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5736181"/>
        <w:docPartObj>
          <w:docPartGallery w:val="Cover Pages"/>
          <w:docPartUnique/>
        </w:docPartObj>
      </w:sdtPr>
      <w:sdtContent>
        <w:p w14:paraId="4BD61205" w14:textId="6AA7B86A" w:rsidR="00F65518" w:rsidRDefault="00F65518">
          <w:r>
            <w:rPr>
              <w:noProof/>
              <w:lang w:eastAsia="lv-LV"/>
            </w:rPr>
            <mc:AlternateContent>
              <mc:Choice Requires="wpg">
                <w:drawing>
                  <wp:anchor distT="0" distB="0" distL="114300" distR="114300" simplePos="0" relativeHeight="251659264" behindDoc="1" locked="0" layoutInCell="1" allowOverlap="1" wp14:anchorId="6E7E1664" wp14:editId="13AB00A0">
                    <wp:simplePos x="0" y="0"/>
                    <wp:positionH relativeFrom="page">
                      <wp:posOffset>-42530</wp:posOffset>
                    </wp:positionH>
                    <wp:positionV relativeFrom="page">
                      <wp:posOffset>-138223</wp:posOffset>
                    </wp:positionV>
                    <wp:extent cx="7619589" cy="10829482"/>
                    <wp:effectExtent l="0" t="0" r="635" b="0"/>
                    <wp:wrapNone/>
                    <wp:docPr id="193" name="Group 193"/>
                    <wp:cNvGraphicFramePr/>
                    <a:graphic xmlns:a="http://schemas.openxmlformats.org/drawingml/2006/main">
                      <a:graphicData uri="http://schemas.microsoft.com/office/word/2010/wordprocessingGroup">
                        <wpg:wgp>
                          <wpg:cNvGrpSpPr/>
                          <wpg:grpSpPr>
                            <a:xfrm>
                              <a:off x="0" y="0"/>
                              <a:ext cx="7619589" cy="10829482"/>
                              <a:chOff x="0" y="-120765"/>
                              <a:chExt cx="6949143" cy="9840075"/>
                            </a:xfrm>
                          </wpg:grpSpPr>
                          <wps:wsp>
                            <wps:cNvPr id="194" name="Rectangle 194"/>
                            <wps:cNvSpPr/>
                            <wps:spPr>
                              <a:xfrm>
                                <a:off x="6625" y="-120765"/>
                                <a:ext cx="6942518" cy="223563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791075"/>
                                <a:ext cx="6943053" cy="4928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C40969" w14:textId="776691E5" w:rsidR="002E22AB" w:rsidRDefault="002E22AB">
                                  <w:pPr>
                                    <w:pStyle w:val="NoSpacing"/>
                                    <w:spacing w:before="120"/>
                                    <w:jc w:val="center"/>
                                    <w:rPr>
                                      <w:color w:val="FFFFFF" w:themeColor="background1"/>
                                    </w:rPr>
                                  </w:pPr>
                                </w:p>
                                <w:p w14:paraId="5DA9E253" w14:textId="66BBA5E4" w:rsidR="002E22AB" w:rsidRPr="00F65518" w:rsidRDefault="002E22AB">
                                  <w:pPr>
                                    <w:pStyle w:val="NoSpacing"/>
                                    <w:spacing w:before="120"/>
                                    <w:jc w:val="center"/>
                                    <w:rPr>
                                      <w:b/>
                                      <w:color w:val="FFFFFF" w:themeColor="background1"/>
                                      <w:sz w:val="28"/>
                                    </w:rPr>
                                  </w:pPr>
                                  <w:r>
                                    <w:rPr>
                                      <w:b/>
                                      <w:caps/>
                                      <w:color w:val="FFFFFF" w:themeColor="background1"/>
                                      <w:sz w:val="28"/>
                                    </w:rPr>
                                    <w:t>Rīga, 2017</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6" y="2114912"/>
                                <a:ext cx="6858000" cy="267616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95C7A8B" w14:textId="60C84CFB" w:rsidR="002E22AB" w:rsidRPr="00F65518" w:rsidRDefault="002E22AB" w:rsidP="00F65518">
                                      <w:pPr>
                                        <w:pStyle w:val="NoSpacing"/>
                                        <w:ind w:firstLine="0"/>
                                        <w:jc w:val="center"/>
                                        <w:rPr>
                                          <w:rFonts w:asciiTheme="majorHAnsi" w:eastAsiaTheme="majorEastAsia" w:hAnsiTheme="majorHAnsi" w:cstheme="majorBidi"/>
                                          <w:caps/>
                                          <w:color w:val="4F81BD" w:themeColor="accent1"/>
                                          <w:sz w:val="80"/>
                                          <w:szCs w:val="80"/>
                                        </w:rPr>
                                      </w:pPr>
                                      <w:r w:rsidRPr="00F65518">
                                        <w:rPr>
                                          <w:rFonts w:asciiTheme="majorHAnsi" w:eastAsiaTheme="majorEastAsia" w:hAnsiTheme="majorHAnsi" w:cstheme="majorBidi"/>
                                          <w:caps/>
                                          <w:color w:val="4F81BD" w:themeColor="accent1"/>
                                          <w:sz w:val="88"/>
                                          <w:szCs w:val="88"/>
                                        </w:rPr>
                                        <w:t>Latvijas Vispārējās vald</w:t>
                                      </w:r>
                                      <w:r>
                                        <w:rPr>
                                          <w:rFonts w:asciiTheme="majorHAnsi" w:eastAsiaTheme="majorEastAsia" w:hAnsiTheme="majorHAnsi" w:cstheme="majorBidi"/>
                                          <w:caps/>
                                          <w:color w:val="4F81BD" w:themeColor="accent1"/>
                                          <w:sz w:val="88"/>
                                          <w:szCs w:val="88"/>
                                        </w:rPr>
                                        <w:t>ības budžeta plāna projekts 2018</w:t>
                                      </w:r>
                                      <w:r w:rsidRPr="00F65518">
                                        <w:rPr>
                                          <w:rFonts w:asciiTheme="majorHAnsi" w:eastAsiaTheme="majorEastAsia" w:hAnsiTheme="majorHAnsi" w:cstheme="majorBidi"/>
                                          <w:caps/>
                                          <w:color w:val="4F81BD" w:themeColor="accent1"/>
                                          <w:sz w:val="88"/>
                                          <w:szCs w:val="88"/>
                                        </w:rPr>
                                        <w:t>.gadam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7E1664" id="Group 193" o:spid="_x0000_s1026" style="position:absolute;left:0;text-align:left;margin-left:-3.35pt;margin-top:-10.9pt;width:599.95pt;height:852.7pt;z-index:-251657216;mso-position-horizontal-relative:page;mso-position-vertical-relative:page" coordorigin=",-1207" coordsize="69491,9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">
                    <v:rect id="Rectangle 194" o:spid="_x0000_s1027" style="position:absolute;left:66;top:-1207;width:69425;height:2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7910;width:69430;height:492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4AC40969" w14:textId="776691E5" w:rsidR="002E22AB" w:rsidRDefault="002E22AB">
                            <w:pPr>
                              <w:pStyle w:val="NoSpacing"/>
                              <w:spacing w:before="120"/>
                              <w:jc w:val="center"/>
                              <w:rPr>
                                <w:color w:val="FFFFFF" w:themeColor="background1"/>
                              </w:rPr>
                            </w:pPr>
                          </w:p>
                          <w:p w14:paraId="5DA9E253" w14:textId="66BBA5E4" w:rsidR="002E22AB" w:rsidRPr="00F65518" w:rsidRDefault="002E22AB">
                            <w:pPr>
                              <w:pStyle w:val="NoSpacing"/>
                              <w:spacing w:before="120"/>
                              <w:jc w:val="center"/>
                              <w:rPr>
                                <w:b/>
                                <w:color w:val="FFFFFF" w:themeColor="background1"/>
                                <w:sz w:val="28"/>
                              </w:rPr>
                            </w:pPr>
                            <w:r>
                              <w:rPr>
                                <w:b/>
                                <w:caps/>
                                <w:color w:val="FFFFFF" w:themeColor="background1"/>
                                <w:sz w:val="28"/>
                              </w:rPr>
                              <w:t>Rīga, 2017</w:t>
                            </w:r>
                          </w:p>
                        </w:txbxContent>
                      </v:textbox>
                    </v:rect>
                    <v:shapetype id="_x0000_t202" coordsize="21600,21600" o:spt="202" path="m,l,21600r21600,l21600,xe">
                      <v:stroke joinstyle="miter"/>
                      <v:path gradientshapeok="t" o:connecttype="rect"/>
                    </v:shapetype>
                    <v:shape id="Text Box 196" o:spid="_x0000_s1029" type="#_x0000_t202" style="position:absolute;left:66;top:21149;width:68580;height:26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95C7A8B" w14:textId="60C84CFB" w:rsidR="002E22AB" w:rsidRPr="00F65518" w:rsidRDefault="002E22AB" w:rsidP="00F65518">
                                <w:pPr>
                                  <w:pStyle w:val="NoSpacing"/>
                                  <w:ind w:firstLine="0"/>
                                  <w:jc w:val="center"/>
                                  <w:rPr>
                                    <w:rFonts w:asciiTheme="majorHAnsi" w:eastAsiaTheme="majorEastAsia" w:hAnsiTheme="majorHAnsi" w:cstheme="majorBidi"/>
                                    <w:caps/>
                                    <w:color w:val="4F81BD" w:themeColor="accent1"/>
                                    <w:sz w:val="80"/>
                                    <w:szCs w:val="80"/>
                                  </w:rPr>
                                </w:pPr>
                                <w:r w:rsidRPr="00F65518">
                                  <w:rPr>
                                    <w:rFonts w:asciiTheme="majorHAnsi" w:eastAsiaTheme="majorEastAsia" w:hAnsiTheme="majorHAnsi" w:cstheme="majorBidi"/>
                                    <w:caps/>
                                    <w:color w:val="4F81BD" w:themeColor="accent1"/>
                                    <w:sz w:val="88"/>
                                    <w:szCs w:val="88"/>
                                  </w:rPr>
                                  <w:t>Latvijas Vispārējās vald</w:t>
                                </w:r>
                                <w:r>
                                  <w:rPr>
                                    <w:rFonts w:asciiTheme="majorHAnsi" w:eastAsiaTheme="majorEastAsia" w:hAnsiTheme="majorHAnsi" w:cstheme="majorBidi"/>
                                    <w:caps/>
                                    <w:color w:val="4F81BD" w:themeColor="accent1"/>
                                    <w:sz w:val="88"/>
                                    <w:szCs w:val="88"/>
                                  </w:rPr>
                                  <w:t>ības budžeta plāna projekts 2018</w:t>
                                </w:r>
                                <w:r w:rsidRPr="00F65518">
                                  <w:rPr>
                                    <w:rFonts w:asciiTheme="majorHAnsi" w:eastAsiaTheme="majorEastAsia" w:hAnsiTheme="majorHAnsi" w:cstheme="majorBidi"/>
                                    <w:caps/>
                                    <w:color w:val="4F81BD" w:themeColor="accent1"/>
                                    <w:sz w:val="88"/>
                                    <w:szCs w:val="88"/>
                                  </w:rPr>
                                  <w:t>.gadam</w:t>
                                </w:r>
                              </w:p>
                            </w:sdtContent>
                          </w:sdt>
                        </w:txbxContent>
                      </v:textbox>
                    </v:shape>
                    <w10:wrap anchorx="page" anchory="page"/>
                  </v:group>
                </w:pict>
              </mc:Fallback>
            </mc:AlternateContent>
          </w:r>
        </w:p>
        <w:p w14:paraId="2E989082" w14:textId="77777777" w:rsidR="00F65518" w:rsidRDefault="00F65518" w:rsidP="00F65518">
          <w:pPr>
            <w:spacing w:after="0"/>
            <w:ind w:firstLine="0"/>
            <w:jc w:val="left"/>
          </w:pPr>
          <w:r>
            <w:br w:type="page"/>
          </w:r>
        </w:p>
      </w:sdtContent>
    </w:sdt>
    <w:sdt>
      <w:sdtPr>
        <w:rPr>
          <w:rFonts w:ascii="Times New Roman" w:eastAsia="Times New Roman" w:hAnsi="Times New Roman"/>
          <w:b w:val="0"/>
          <w:bCs w:val="0"/>
          <w:color w:val="auto"/>
          <w:sz w:val="24"/>
          <w:szCs w:val="20"/>
          <w:lang w:val="lv-LV" w:eastAsia="en-US"/>
        </w:rPr>
        <w:id w:val="1895851769"/>
        <w:docPartObj>
          <w:docPartGallery w:val="Table of Contents"/>
          <w:docPartUnique/>
        </w:docPartObj>
      </w:sdtPr>
      <w:sdtEndPr>
        <w:rPr>
          <w:noProof/>
        </w:rPr>
      </w:sdtEndPr>
      <w:sdtContent>
        <w:p w14:paraId="5A7AAFEA" w14:textId="48C499C6" w:rsidR="007369A9" w:rsidRPr="002131F7" w:rsidRDefault="007369A9" w:rsidP="00CD6580">
          <w:pPr>
            <w:pStyle w:val="TOCHeading"/>
            <w:spacing w:before="120" w:after="240"/>
            <w:rPr>
              <w:rFonts w:ascii="Times New Roman" w:eastAsia="Times New Roman" w:hAnsi="Times New Roman"/>
              <w:color w:val="18185E"/>
              <w:sz w:val="28"/>
              <w:lang w:val="x-none" w:eastAsia="x-none"/>
            </w:rPr>
          </w:pPr>
          <w:r w:rsidRPr="002131F7">
            <w:rPr>
              <w:rFonts w:ascii="Times New Roman" w:eastAsia="Times New Roman" w:hAnsi="Times New Roman"/>
              <w:color w:val="18185E"/>
              <w:sz w:val="28"/>
              <w:lang w:val="x-none" w:eastAsia="x-none"/>
            </w:rPr>
            <w:t>Saturs</w:t>
          </w:r>
        </w:p>
        <w:p w14:paraId="1B52A12D" w14:textId="5F9F49D5" w:rsidR="009E6B12" w:rsidRDefault="007369A9">
          <w:pPr>
            <w:pStyle w:val="TOC1"/>
            <w:rPr>
              <w:rFonts w:asciiTheme="minorHAnsi" w:eastAsiaTheme="minorEastAsia" w:hAnsiTheme="minorHAnsi" w:cstheme="minorBidi"/>
              <w:sz w:val="22"/>
              <w:szCs w:val="22"/>
              <w:lang w:eastAsia="lv-LV"/>
            </w:rPr>
          </w:pPr>
          <w:r>
            <w:fldChar w:fldCharType="begin"/>
          </w:r>
          <w:r>
            <w:instrText xml:space="preserve"> TOC \o "1-3" \h \z \u </w:instrText>
          </w:r>
          <w:r>
            <w:fldChar w:fldCharType="separate"/>
          </w:r>
          <w:hyperlink w:anchor="_Toc494786335" w:history="1">
            <w:r w:rsidR="009E6B12" w:rsidRPr="002A3FF4">
              <w:rPr>
                <w:rStyle w:val="Hyperlink"/>
              </w:rPr>
              <w:t>Ievads</w:t>
            </w:r>
            <w:r w:rsidR="009E6B12">
              <w:rPr>
                <w:webHidden/>
              </w:rPr>
              <w:tab/>
            </w:r>
            <w:r w:rsidR="009E6B12">
              <w:rPr>
                <w:webHidden/>
              </w:rPr>
              <w:fldChar w:fldCharType="begin"/>
            </w:r>
            <w:r w:rsidR="009E6B12">
              <w:rPr>
                <w:webHidden/>
              </w:rPr>
              <w:instrText xml:space="preserve"> PAGEREF _Toc494786335 \h </w:instrText>
            </w:r>
            <w:r w:rsidR="009E6B12">
              <w:rPr>
                <w:webHidden/>
              </w:rPr>
            </w:r>
            <w:r w:rsidR="009E6B12">
              <w:rPr>
                <w:webHidden/>
              </w:rPr>
              <w:fldChar w:fldCharType="separate"/>
            </w:r>
            <w:r w:rsidR="007471B4">
              <w:rPr>
                <w:webHidden/>
              </w:rPr>
              <w:t>4</w:t>
            </w:r>
            <w:r w:rsidR="009E6B12">
              <w:rPr>
                <w:webHidden/>
              </w:rPr>
              <w:fldChar w:fldCharType="end"/>
            </w:r>
          </w:hyperlink>
        </w:p>
        <w:p w14:paraId="4BFDF6EA" w14:textId="346CC0A9" w:rsidR="009E6B12" w:rsidRDefault="002E22AB">
          <w:pPr>
            <w:pStyle w:val="TOC1"/>
            <w:rPr>
              <w:rFonts w:asciiTheme="minorHAnsi" w:eastAsiaTheme="minorEastAsia" w:hAnsiTheme="minorHAnsi" w:cstheme="minorBidi"/>
              <w:sz w:val="22"/>
              <w:szCs w:val="22"/>
              <w:lang w:eastAsia="lv-LV"/>
            </w:rPr>
          </w:pPr>
          <w:hyperlink w:anchor="_Toc494786336" w:history="1">
            <w:r w:rsidR="009E6B12" w:rsidRPr="002A3FF4">
              <w:rPr>
                <w:rStyle w:val="Hyperlink"/>
              </w:rPr>
              <w:t>Makroekonomiskās attīstības scenārijs</w:t>
            </w:r>
            <w:r w:rsidR="009E6B12">
              <w:rPr>
                <w:webHidden/>
              </w:rPr>
              <w:tab/>
            </w:r>
            <w:r w:rsidR="009E6B12">
              <w:rPr>
                <w:webHidden/>
              </w:rPr>
              <w:fldChar w:fldCharType="begin"/>
            </w:r>
            <w:r w:rsidR="009E6B12">
              <w:rPr>
                <w:webHidden/>
              </w:rPr>
              <w:instrText xml:space="preserve"> PAGEREF _Toc494786336 \h </w:instrText>
            </w:r>
            <w:r w:rsidR="009E6B12">
              <w:rPr>
                <w:webHidden/>
              </w:rPr>
            </w:r>
            <w:r w:rsidR="009E6B12">
              <w:rPr>
                <w:webHidden/>
              </w:rPr>
              <w:fldChar w:fldCharType="separate"/>
            </w:r>
            <w:r w:rsidR="007471B4">
              <w:rPr>
                <w:webHidden/>
              </w:rPr>
              <w:t>5</w:t>
            </w:r>
            <w:r w:rsidR="009E6B12">
              <w:rPr>
                <w:webHidden/>
              </w:rPr>
              <w:fldChar w:fldCharType="end"/>
            </w:r>
          </w:hyperlink>
        </w:p>
        <w:p w14:paraId="76CBA536" w14:textId="557FEB92" w:rsidR="009E6B12" w:rsidRDefault="002E22AB" w:rsidP="009E6B12">
          <w:pPr>
            <w:pStyle w:val="TOC1"/>
            <w:rPr>
              <w:rFonts w:asciiTheme="minorHAnsi" w:eastAsiaTheme="minorEastAsia" w:hAnsiTheme="minorHAnsi" w:cstheme="minorBidi"/>
              <w:sz w:val="22"/>
              <w:szCs w:val="22"/>
              <w:lang w:eastAsia="lv-LV"/>
            </w:rPr>
          </w:pPr>
          <w:hyperlink w:anchor="_Toc494786342" w:history="1">
            <w:r w:rsidR="009E6B12" w:rsidRPr="002A3FF4">
              <w:rPr>
                <w:rStyle w:val="Hyperlink"/>
              </w:rPr>
              <w:t>Fiskālā stratēģija un strukturālās bilances mērķi</w:t>
            </w:r>
            <w:r w:rsidR="009E6B12">
              <w:rPr>
                <w:webHidden/>
              </w:rPr>
              <w:tab/>
            </w:r>
            <w:r w:rsidR="009E6B12">
              <w:rPr>
                <w:webHidden/>
              </w:rPr>
              <w:fldChar w:fldCharType="begin"/>
            </w:r>
            <w:r w:rsidR="009E6B12">
              <w:rPr>
                <w:webHidden/>
              </w:rPr>
              <w:instrText xml:space="preserve"> PAGEREF _Toc494786342 \h </w:instrText>
            </w:r>
            <w:r w:rsidR="009E6B12">
              <w:rPr>
                <w:webHidden/>
              </w:rPr>
            </w:r>
            <w:r w:rsidR="009E6B12">
              <w:rPr>
                <w:webHidden/>
              </w:rPr>
              <w:fldChar w:fldCharType="separate"/>
            </w:r>
            <w:r w:rsidR="007471B4">
              <w:rPr>
                <w:webHidden/>
              </w:rPr>
              <w:t>9</w:t>
            </w:r>
            <w:r w:rsidR="009E6B12">
              <w:rPr>
                <w:webHidden/>
              </w:rPr>
              <w:fldChar w:fldCharType="end"/>
            </w:r>
          </w:hyperlink>
        </w:p>
        <w:p w14:paraId="60EE1CFA" w14:textId="089838E9" w:rsidR="009E6B12" w:rsidRDefault="002E22AB" w:rsidP="009E6B12">
          <w:pPr>
            <w:pStyle w:val="TOC1"/>
            <w:rPr>
              <w:rFonts w:asciiTheme="minorHAnsi" w:eastAsiaTheme="minorEastAsia" w:hAnsiTheme="minorHAnsi" w:cstheme="minorBidi"/>
              <w:sz w:val="22"/>
              <w:szCs w:val="22"/>
              <w:lang w:eastAsia="lv-LV"/>
            </w:rPr>
          </w:pPr>
          <w:hyperlink w:anchor="_Toc494786358" w:history="1">
            <w:r w:rsidR="009E6B12" w:rsidRPr="002A3FF4">
              <w:rPr>
                <w:rStyle w:val="Hyperlink"/>
              </w:rPr>
              <w:t>Valdības lēmumu ietekme no konkrētiem budžeta ieņēmumu un izdevumu pasākumiem</w:t>
            </w:r>
            <w:r w:rsidR="009E6B12">
              <w:rPr>
                <w:webHidden/>
              </w:rPr>
              <w:tab/>
            </w:r>
            <w:r w:rsidR="009E6B12">
              <w:rPr>
                <w:webHidden/>
              </w:rPr>
              <w:fldChar w:fldCharType="begin"/>
            </w:r>
            <w:r w:rsidR="009E6B12">
              <w:rPr>
                <w:webHidden/>
              </w:rPr>
              <w:instrText xml:space="preserve"> PAGEREF _Toc494786358 \h </w:instrText>
            </w:r>
            <w:r w:rsidR="009E6B12">
              <w:rPr>
                <w:webHidden/>
              </w:rPr>
            </w:r>
            <w:r w:rsidR="009E6B12">
              <w:rPr>
                <w:webHidden/>
              </w:rPr>
              <w:fldChar w:fldCharType="separate"/>
            </w:r>
            <w:r w:rsidR="007471B4">
              <w:rPr>
                <w:webHidden/>
              </w:rPr>
              <w:t>26</w:t>
            </w:r>
            <w:r w:rsidR="009E6B12">
              <w:rPr>
                <w:webHidden/>
              </w:rPr>
              <w:fldChar w:fldCharType="end"/>
            </w:r>
          </w:hyperlink>
        </w:p>
        <w:p w14:paraId="6BCF45E4" w14:textId="74BC5FCB" w:rsidR="009E6B12" w:rsidRDefault="002E22AB" w:rsidP="009E6B12">
          <w:pPr>
            <w:pStyle w:val="TOC1"/>
            <w:rPr>
              <w:rFonts w:asciiTheme="minorHAnsi" w:eastAsiaTheme="minorEastAsia" w:hAnsiTheme="minorHAnsi" w:cstheme="minorBidi"/>
              <w:sz w:val="22"/>
              <w:szCs w:val="22"/>
              <w:lang w:eastAsia="lv-LV"/>
            </w:rPr>
          </w:pPr>
          <w:hyperlink w:anchor="_Toc494786363" w:history="1">
            <w:r w:rsidR="009E6B12" w:rsidRPr="002A3FF4">
              <w:rPr>
                <w:rStyle w:val="Hyperlink"/>
              </w:rPr>
              <w:t>Pielikums: Metodoloģiskie aspekti</w:t>
            </w:r>
            <w:r w:rsidR="009E6B12">
              <w:rPr>
                <w:webHidden/>
              </w:rPr>
              <w:tab/>
            </w:r>
            <w:r w:rsidR="009E6B12">
              <w:rPr>
                <w:webHidden/>
              </w:rPr>
              <w:fldChar w:fldCharType="begin"/>
            </w:r>
            <w:r w:rsidR="009E6B12">
              <w:rPr>
                <w:webHidden/>
              </w:rPr>
              <w:instrText xml:space="preserve"> PAGEREF _Toc494786363 \h </w:instrText>
            </w:r>
            <w:r w:rsidR="009E6B12">
              <w:rPr>
                <w:webHidden/>
              </w:rPr>
            </w:r>
            <w:r w:rsidR="009E6B12">
              <w:rPr>
                <w:webHidden/>
              </w:rPr>
              <w:fldChar w:fldCharType="separate"/>
            </w:r>
            <w:r w:rsidR="007471B4">
              <w:rPr>
                <w:webHidden/>
              </w:rPr>
              <w:t>48</w:t>
            </w:r>
            <w:r w:rsidR="009E6B12">
              <w:rPr>
                <w:webHidden/>
              </w:rPr>
              <w:fldChar w:fldCharType="end"/>
            </w:r>
          </w:hyperlink>
        </w:p>
        <w:p w14:paraId="7DAAAF3A" w14:textId="77777777" w:rsidR="009E6B12" w:rsidRDefault="009E6B12">
          <w:pPr>
            <w:pStyle w:val="TOC1"/>
            <w:rPr>
              <w:rStyle w:val="Hyperlink"/>
            </w:rPr>
          </w:pPr>
        </w:p>
        <w:p w14:paraId="33792467" w14:textId="77777777" w:rsidR="009E6B12" w:rsidRDefault="009E6B12">
          <w:pPr>
            <w:pStyle w:val="TOC1"/>
            <w:rPr>
              <w:rStyle w:val="Hyperlink"/>
            </w:rPr>
          </w:pPr>
        </w:p>
        <w:p w14:paraId="308326B7" w14:textId="0ACB8269" w:rsidR="00422D26" w:rsidRPr="00422D26" w:rsidRDefault="00422D26" w:rsidP="00422D26">
          <w:pPr>
            <w:pStyle w:val="TOCHeading"/>
            <w:spacing w:before="120" w:after="240"/>
            <w:rPr>
              <w:rFonts w:ascii="Times New Roman" w:eastAsia="Times New Roman" w:hAnsi="Times New Roman"/>
              <w:noProof/>
              <w:color w:val="18185E"/>
              <w:sz w:val="28"/>
              <w:lang w:val="x-none" w:eastAsia="x-none"/>
            </w:rPr>
          </w:pPr>
          <w:r w:rsidRPr="00422D26">
            <w:rPr>
              <w:rFonts w:ascii="Times New Roman" w:eastAsia="Times New Roman" w:hAnsi="Times New Roman"/>
              <w:noProof/>
              <w:color w:val="18185E"/>
              <w:sz w:val="28"/>
              <w:lang w:val="x-none" w:eastAsia="x-none"/>
            </w:rPr>
            <w:t>Tabulas</w:t>
          </w:r>
        </w:p>
        <w:p w14:paraId="68F6585B" w14:textId="06F3F141" w:rsidR="009E6B12" w:rsidRDefault="002E22AB">
          <w:pPr>
            <w:pStyle w:val="TOC1"/>
            <w:rPr>
              <w:rFonts w:asciiTheme="minorHAnsi" w:eastAsiaTheme="minorEastAsia" w:hAnsiTheme="minorHAnsi" w:cstheme="minorBidi"/>
              <w:sz w:val="22"/>
              <w:szCs w:val="22"/>
              <w:lang w:eastAsia="lv-LV"/>
            </w:rPr>
          </w:pPr>
          <w:hyperlink w:anchor="_Toc494786337" w:history="1">
            <w:r w:rsidR="009E6B12" w:rsidRPr="002A3FF4">
              <w:rPr>
                <w:rStyle w:val="Hyperlink"/>
              </w:rPr>
              <w:t>Tabula 0.i). Ārējās vides pamata pieņēmumi</w:t>
            </w:r>
            <w:r w:rsidR="009E6B12">
              <w:rPr>
                <w:webHidden/>
              </w:rPr>
              <w:tab/>
            </w:r>
            <w:r w:rsidR="009E6B12">
              <w:rPr>
                <w:webHidden/>
              </w:rPr>
              <w:fldChar w:fldCharType="begin"/>
            </w:r>
            <w:r w:rsidR="009E6B12">
              <w:rPr>
                <w:webHidden/>
              </w:rPr>
              <w:instrText xml:space="preserve"> PAGEREF _Toc494786337 \h </w:instrText>
            </w:r>
            <w:r w:rsidR="009E6B12">
              <w:rPr>
                <w:webHidden/>
              </w:rPr>
            </w:r>
            <w:r w:rsidR="009E6B12">
              <w:rPr>
                <w:webHidden/>
              </w:rPr>
              <w:fldChar w:fldCharType="separate"/>
            </w:r>
            <w:r w:rsidR="007471B4">
              <w:rPr>
                <w:webHidden/>
              </w:rPr>
              <w:t>6</w:t>
            </w:r>
            <w:r w:rsidR="009E6B12">
              <w:rPr>
                <w:webHidden/>
              </w:rPr>
              <w:fldChar w:fldCharType="end"/>
            </w:r>
          </w:hyperlink>
        </w:p>
        <w:p w14:paraId="4DA883BC" w14:textId="21BAE954" w:rsidR="009E6B12" w:rsidRDefault="002E22AB">
          <w:pPr>
            <w:pStyle w:val="TOC1"/>
            <w:rPr>
              <w:rFonts w:asciiTheme="minorHAnsi" w:eastAsiaTheme="minorEastAsia" w:hAnsiTheme="minorHAnsi" w:cstheme="minorBidi"/>
              <w:sz w:val="22"/>
              <w:szCs w:val="22"/>
              <w:lang w:eastAsia="lv-LV"/>
            </w:rPr>
          </w:pPr>
          <w:hyperlink w:anchor="_Toc494786338" w:history="1">
            <w:r w:rsidR="009E6B12" w:rsidRPr="002A3FF4">
              <w:rPr>
                <w:rStyle w:val="Hyperlink"/>
              </w:rPr>
              <w:t>Tabula 1a: Izaugsme un ar to saistītie faktori</w:t>
            </w:r>
            <w:r w:rsidR="009E6B12">
              <w:rPr>
                <w:webHidden/>
              </w:rPr>
              <w:tab/>
            </w:r>
            <w:r w:rsidR="009E6B12">
              <w:rPr>
                <w:webHidden/>
              </w:rPr>
              <w:fldChar w:fldCharType="begin"/>
            </w:r>
            <w:r w:rsidR="009E6B12">
              <w:rPr>
                <w:webHidden/>
              </w:rPr>
              <w:instrText xml:space="preserve"> PAGEREF _Toc494786338 \h </w:instrText>
            </w:r>
            <w:r w:rsidR="009E6B12">
              <w:rPr>
                <w:webHidden/>
              </w:rPr>
            </w:r>
            <w:r w:rsidR="009E6B12">
              <w:rPr>
                <w:webHidden/>
              </w:rPr>
              <w:fldChar w:fldCharType="separate"/>
            </w:r>
            <w:r w:rsidR="007471B4">
              <w:rPr>
                <w:webHidden/>
              </w:rPr>
              <w:t>7</w:t>
            </w:r>
            <w:r w:rsidR="009E6B12">
              <w:rPr>
                <w:webHidden/>
              </w:rPr>
              <w:fldChar w:fldCharType="end"/>
            </w:r>
          </w:hyperlink>
        </w:p>
        <w:p w14:paraId="54D2939E" w14:textId="04E758FC" w:rsidR="009E6B12" w:rsidRDefault="002E22AB">
          <w:pPr>
            <w:pStyle w:val="TOC1"/>
            <w:rPr>
              <w:rFonts w:asciiTheme="minorHAnsi" w:eastAsiaTheme="minorEastAsia" w:hAnsiTheme="minorHAnsi" w:cstheme="minorBidi"/>
              <w:sz w:val="22"/>
              <w:szCs w:val="22"/>
              <w:lang w:eastAsia="lv-LV"/>
            </w:rPr>
          </w:pPr>
          <w:hyperlink w:anchor="_Toc494786339" w:history="1">
            <w:r w:rsidR="009E6B12" w:rsidRPr="002A3FF4">
              <w:rPr>
                <w:rStyle w:val="Hyperlink"/>
              </w:rPr>
              <w:t>Tabula 1b: Patēriņa cenu izmaiņas</w:t>
            </w:r>
            <w:r w:rsidR="009E6B12">
              <w:rPr>
                <w:webHidden/>
              </w:rPr>
              <w:tab/>
            </w:r>
            <w:r w:rsidR="009E6B12">
              <w:rPr>
                <w:webHidden/>
              </w:rPr>
              <w:fldChar w:fldCharType="begin"/>
            </w:r>
            <w:r w:rsidR="009E6B12">
              <w:rPr>
                <w:webHidden/>
              </w:rPr>
              <w:instrText xml:space="preserve"> PAGEREF _Toc494786339 \h </w:instrText>
            </w:r>
            <w:r w:rsidR="009E6B12">
              <w:rPr>
                <w:webHidden/>
              </w:rPr>
            </w:r>
            <w:r w:rsidR="009E6B12">
              <w:rPr>
                <w:webHidden/>
              </w:rPr>
              <w:fldChar w:fldCharType="separate"/>
            </w:r>
            <w:r w:rsidR="007471B4">
              <w:rPr>
                <w:webHidden/>
              </w:rPr>
              <w:t>8</w:t>
            </w:r>
            <w:r w:rsidR="009E6B12">
              <w:rPr>
                <w:webHidden/>
              </w:rPr>
              <w:fldChar w:fldCharType="end"/>
            </w:r>
          </w:hyperlink>
        </w:p>
        <w:p w14:paraId="2D7609D0" w14:textId="46C8D4F0" w:rsidR="009E6B12" w:rsidRDefault="002E22AB">
          <w:pPr>
            <w:pStyle w:val="TOC1"/>
            <w:rPr>
              <w:rFonts w:asciiTheme="minorHAnsi" w:eastAsiaTheme="minorEastAsia" w:hAnsiTheme="minorHAnsi" w:cstheme="minorBidi"/>
              <w:sz w:val="22"/>
              <w:szCs w:val="22"/>
              <w:lang w:eastAsia="lv-LV"/>
            </w:rPr>
          </w:pPr>
          <w:hyperlink w:anchor="_Toc494786340" w:history="1">
            <w:r w:rsidR="009E6B12" w:rsidRPr="002A3FF4">
              <w:rPr>
                <w:rStyle w:val="Hyperlink"/>
              </w:rPr>
              <w:t>Tabula 1c: Darba tirgus attīstība</w:t>
            </w:r>
            <w:r w:rsidR="009E6B12">
              <w:rPr>
                <w:webHidden/>
              </w:rPr>
              <w:tab/>
            </w:r>
            <w:r w:rsidR="009E6B12">
              <w:rPr>
                <w:webHidden/>
              </w:rPr>
              <w:fldChar w:fldCharType="begin"/>
            </w:r>
            <w:r w:rsidR="009E6B12">
              <w:rPr>
                <w:webHidden/>
              </w:rPr>
              <w:instrText xml:space="preserve"> PAGEREF _Toc494786340 \h </w:instrText>
            </w:r>
            <w:r w:rsidR="009E6B12">
              <w:rPr>
                <w:webHidden/>
              </w:rPr>
            </w:r>
            <w:r w:rsidR="009E6B12">
              <w:rPr>
                <w:webHidden/>
              </w:rPr>
              <w:fldChar w:fldCharType="separate"/>
            </w:r>
            <w:r w:rsidR="007471B4">
              <w:rPr>
                <w:webHidden/>
              </w:rPr>
              <w:t>8</w:t>
            </w:r>
            <w:r w:rsidR="009E6B12">
              <w:rPr>
                <w:webHidden/>
              </w:rPr>
              <w:fldChar w:fldCharType="end"/>
            </w:r>
          </w:hyperlink>
        </w:p>
        <w:p w14:paraId="24633C3E" w14:textId="411EA6E7" w:rsidR="009E6B12" w:rsidRDefault="002E22AB">
          <w:pPr>
            <w:pStyle w:val="TOC1"/>
            <w:rPr>
              <w:rFonts w:asciiTheme="minorHAnsi" w:eastAsiaTheme="minorEastAsia" w:hAnsiTheme="minorHAnsi" w:cstheme="minorBidi"/>
              <w:sz w:val="22"/>
              <w:szCs w:val="22"/>
              <w:lang w:eastAsia="lv-LV"/>
            </w:rPr>
          </w:pPr>
          <w:hyperlink w:anchor="_Toc494786341" w:history="1">
            <w:r w:rsidR="009E6B12" w:rsidRPr="002A3FF4">
              <w:rPr>
                <w:rStyle w:val="Hyperlink"/>
              </w:rPr>
              <w:t>Tabula 1d: Sektoru bilances</w:t>
            </w:r>
            <w:r w:rsidR="009E6B12">
              <w:rPr>
                <w:webHidden/>
              </w:rPr>
              <w:tab/>
            </w:r>
            <w:r w:rsidR="009E6B12">
              <w:rPr>
                <w:webHidden/>
              </w:rPr>
              <w:fldChar w:fldCharType="begin"/>
            </w:r>
            <w:r w:rsidR="009E6B12">
              <w:rPr>
                <w:webHidden/>
              </w:rPr>
              <w:instrText xml:space="preserve"> PAGEREF _Toc494786341 \h </w:instrText>
            </w:r>
            <w:r w:rsidR="009E6B12">
              <w:rPr>
                <w:webHidden/>
              </w:rPr>
            </w:r>
            <w:r w:rsidR="009E6B12">
              <w:rPr>
                <w:webHidden/>
              </w:rPr>
              <w:fldChar w:fldCharType="separate"/>
            </w:r>
            <w:r w:rsidR="007471B4">
              <w:rPr>
                <w:webHidden/>
              </w:rPr>
              <w:t>8</w:t>
            </w:r>
            <w:r w:rsidR="009E6B12">
              <w:rPr>
                <w:webHidden/>
              </w:rPr>
              <w:fldChar w:fldCharType="end"/>
            </w:r>
          </w:hyperlink>
        </w:p>
        <w:p w14:paraId="5194D569" w14:textId="217FC2DC" w:rsidR="009E6B12" w:rsidRDefault="002E22AB">
          <w:pPr>
            <w:pStyle w:val="TOC1"/>
            <w:rPr>
              <w:rFonts w:asciiTheme="minorHAnsi" w:eastAsiaTheme="minorEastAsia" w:hAnsiTheme="minorHAnsi" w:cstheme="minorBidi"/>
              <w:sz w:val="22"/>
              <w:szCs w:val="22"/>
              <w:lang w:eastAsia="lv-LV"/>
            </w:rPr>
          </w:pPr>
          <w:hyperlink w:anchor="_Toc494786343" w:history="1">
            <w:r w:rsidR="009E6B12" w:rsidRPr="002A3FF4">
              <w:rPr>
                <w:rStyle w:val="Hyperlink"/>
              </w:rPr>
              <w:t>Tabula 2.a: Vispārējās valdības budžeta mērķi sadalījumā pa apakšsektoriem</w:t>
            </w:r>
            <w:r w:rsidR="009E6B12">
              <w:rPr>
                <w:webHidden/>
              </w:rPr>
              <w:tab/>
            </w:r>
            <w:r w:rsidR="009E6B12">
              <w:rPr>
                <w:webHidden/>
              </w:rPr>
              <w:fldChar w:fldCharType="begin"/>
            </w:r>
            <w:r w:rsidR="009E6B12">
              <w:rPr>
                <w:webHidden/>
              </w:rPr>
              <w:instrText xml:space="preserve"> PAGEREF _Toc494786343 \h </w:instrText>
            </w:r>
            <w:r w:rsidR="009E6B12">
              <w:rPr>
                <w:webHidden/>
              </w:rPr>
            </w:r>
            <w:r w:rsidR="009E6B12">
              <w:rPr>
                <w:webHidden/>
              </w:rPr>
              <w:fldChar w:fldCharType="separate"/>
            </w:r>
            <w:r w:rsidR="007471B4">
              <w:rPr>
                <w:webHidden/>
              </w:rPr>
              <w:t>11</w:t>
            </w:r>
            <w:r w:rsidR="009E6B12">
              <w:rPr>
                <w:webHidden/>
              </w:rPr>
              <w:fldChar w:fldCharType="end"/>
            </w:r>
          </w:hyperlink>
        </w:p>
        <w:p w14:paraId="55CBF14A" w14:textId="21C672E6" w:rsidR="009E6B12" w:rsidRDefault="002E22AB">
          <w:pPr>
            <w:pStyle w:val="TOC1"/>
            <w:rPr>
              <w:rFonts w:asciiTheme="minorHAnsi" w:eastAsiaTheme="minorEastAsia" w:hAnsiTheme="minorHAnsi" w:cstheme="minorBidi"/>
              <w:sz w:val="22"/>
              <w:szCs w:val="22"/>
              <w:lang w:eastAsia="lv-LV"/>
            </w:rPr>
          </w:pPr>
          <w:hyperlink w:anchor="_Toc494786344" w:history="1">
            <w:r w:rsidR="009E6B12" w:rsidRPr="002A3FF4">
              <w:rPr>
                <w:rStyle w:val="Hyperlink"/>
              </w:rPr>
              <w:t>Tabula 2.b: Vispārējās valdības parāda attīstība 2017.-2018.gadā</w:t>
            </w:r>
            <w:r w:rsidR="009E6B12">
              <w:rPr>
                <w:webHidden/>
              </w:rPr>
              <w:tab/>
            </w:r>
            <w:r w:rsidR="009E6B12">
              <w:rPr>
                <w:webHidden/>
              </w:rPr>
              <w:fldChar w:fldCharType="begin"/>
            </w:r>
            <w:r w:rsidR="009E6B12">
              <w:rPr>
                <w:webHidden/>
              </w:rPr>
              <w:instrText xml:space="preserve"> PAGEREF _Toc494786344 \h </w:instrText>
            </w:r>
            <w:r w:rsidR="009E6B12">
              <w:rPr>
                <w:webHidden/>
              </w:rPr>
            </w:r>
            <w:r w:rsidR="009E6B12">
              <w:rPr>
                <w:webHidden/>
              </w:rPr>
              <w:fldChar w:fldCharType="separate"/>
            </w:r>
            <w:r w:rsidR="007471B4">
              <w:rPr>
                <w:webHidden/>
              </w:rPr>
              <w:t>12</w:t>
            </w:r>
            <w:r w:rsidR="009E6B12">
              <w:rPr>
                <w:webHidden/>
              </w:rPr>
              <w:fldChar w:fldCharType="end"/>
            </w:r>
          </w:hyperlink>
        </w:p>
        <w:p w14:paraId="0BF47D0D" w14:textId="12A2CD87" w:rsidR="009E6B12" w:rsidRDefault="002E22AB">
          <w:pPr>
            <w:pStyle w:val="TOC1"/>
            <w:rPr>
              <w:rFonts w:asciiTheme="minorHAnsi" w:eastAsiaTheme="minorEastAsia" w:hAnsiTheme="minorHAnsi" w:cstheme="minorBidi"/>
              <w:sz w:val="22"/>
              <w:szCs w:val="22"/>
              <w:lang w:eastAsia="lv-LV"/>
            </w:rPr>
          </w:pPr>
          <w:hyperlink w:anchor="_Toc494786345" w:history="1">
            <w:r w:rsidR="009E6B12" w:rsidRPr="002A3FF4">
              <w:rPr>
                <w:rStyle w:val="Hyperlink"/>
              </w:rPr>
              <w:t>Tabula 2.c: Netiešās saistības</w:t>
            </w:r>
            <w:r w:rsidR="009E6B12">
              <w:rPr>
                <w:webHidden/>
              </w:rPr>
              <w:tab/>
            </w:r>
            <w:r w:rsidR="009E6B12">
              <w:rPr>
                <w:webHidden/>
              </w:rPr>
              <w:fldChar w:fldCharType="begin"/>
            </w:r>
            <w:r w:rsidR="009E6B12">
              <w:rPr>
                <w:webHidden/>
              </w:rPr>
              <w:instrText xml:space="preserve"> PAGEREF _Toc494786345 \h </w:instrText>
            </w:r>
            <w:r w:rsidR="009E6B12">
              <w:rPr>
                <w:webHidden/>
              </w:rPr>
            </w:r>
            <w:r w:rsidR="009E6B12">
              <w:rPr>
                <w:webHidden/>
              </w:rPr>
              <w:fldChar w:fldCharType="separate"/>
            </w:r>
            <w:r w:rsidR="007471B4">
              <w:rPr>
                <w:webHidden/>
              </w:rPr>
              <w:t>12</w:t>
            </w:r>
            <w:r w:rsidR="009E6B12">
              <w:rPr>
                <w:webHidden/>
              </w:rPr>
              <w:fldChar w:fldCharType="end"/>
            </w:r>
          </w:hyperlink>
        </w:p>
        <w:p w14:paraId="3D6E150B" w14:textId="1FA2AA79" w:rsidR="009E6B12" w:rsidRDefault="002E22AB" w:rsidP="00422D26">
          <w:pPr>
            <w:pStyle w:val="TOC1"/>
            <w:rPr>
              <w:rFonts w:asciiTheme="minorHAnsi" w:eastAsiaTheme="minorEastAsia" w:hAnsiTheme="minorHAnsi" w:cstheme="minorBidi"/>
              <w:sz w:val="22"/>
              <w:szCs w:val="22"/>
              <w:lang w:eastAsia="lv-LV"/>
            </w:rPr>
          </w:pPr>
          <w:hyperlink w:anchor="_Toc494786346" w:history="1">
            <w:r w:rsidR="009E6B12" w:rsidRPr="002A3FF4">
              <w:rPr>
                <w:rStyle w:val="Hyperlink"/>
              </w:rPr>
              <w:t>Tabula 3: Vispārējās valdības izdevumu un ieņēmumu prognozes pie nemainīgas politikas sadalījumā pa galvenajām komponentēm</w:t>
            </w:r>
            <w:r w:rsidR="009E6B12">
              <w:rPr>
                <w:webHidden/>
              </w:rPr>
              <w:tab/>
            </w:r>
            <w:r w:rsidR="009E6B12">
              <w:rPr>
                <w:webHidden/>
              </w:rPr>
              <w:fldChar w:fldCharType="begin"/>
            </w:r>
            <w:r w:rsidR="009E6B12">
              <w:rPr>
                <w:webHidden/>
              </w:rPr>
              <w:instrText xml:space="preserve"> PAGEREF _Toc494786346 \h </w:instrText>
            </w:r>
            <w:r w:rsidR="009E6B12">
              <w:rPr>
                <w:webHidden/>
              </w:rPr>
            </w:r>
            <w:r w:rsidR="009E6B12">
              <w:rPr>
                <w:webHidden/>
              </w:rPr>
              <w:fldChar w:fldCharType="separate"/>
            </w:r>
            <w:r w:rsidR="007471B4">
              <w:rPr>
                <w:webHidden/>
              </w:rPr>
              <w:t>13</w:t>
            </w:r>
            <w:r w:rsidR="009E6B12">
              <w:rPr>
                <w:webHidden/>
              </w:rPr>
              <w:fldChar w:fldCharType="end"/>
            </w:r>
          </w:hyperlink>
        </w:p>
        <w:p w14:paraId="432A1F1D" w14:textId="505E6A02" w:rsidR="009E6B12" w:rsidRDefault="002E22AB">
          <w:pPr>
            <w:pStyle w:val="TOC1"/>
            <w:rPr>
              <w:rFonts w:asciiTheme="minorHAnsi" w:eastAsiaTheme="minorEastAsia" w:hAnsiTheme="minorHAnsi" w:cstheme="minorBidi"/>
              <w:sz w:val="22"/>
              <w:szCs w:val="22"/>
              <w:lang w:eastAsia="lv-LV"/>
            </w:rPr>
          </w:pPr>
          <w:hyperlink w:anchor="_Toc494786347" w:history="1">
            <w:r w:rsidR="009E6B12" w:rsidRPr="002A3FF4">
              <w:rPr>
                <w:rStyle w:val="Hyperlink"/>
              </w:rPr>
              <w:t>Tabula 4.a: Vispārējās valdības izdevumu un ieņēmumu mērķi sadalījumā pa galvenajām komponentēm</w:t>
            </w:r>
            <w:r w:rsidR="009E6B12">
              <w:rPr>
                <w:webHidden/>
              </w:rPr>
              <w:tab/>
            </w:r>
            <w:r w:rsidR="009E6B12">
              <w:rPr>
                <w:webHidden/>
              </w:rPr>
              <w:fldChar w:fldCharType="begin"/>
            </w:r>
            <w:r w:rsidR="009E6B12">
              <w:rPr>
                <w:webHidden/>
              </w:rPr>
              <w:instrText xml:space="preserve"> PAGEREF _Toc494786347 \h </w:instrText>
            </w:r>
            <w:r w:rsidR="009E6B12">
              <w:rPr>
                <w:webHidden/>
              </w:rPr>
            </w:r>
            <w:r w:rsidR="009E6B12">
              <w:rPr>
                <w:webHidden/>
              </w:rPr>
              <w:fldChar w:fldCharType="separate"/>
            </w:r>
            <w:r w:rsidR="007471B4">
              <w:rPr>
                <w:webHidden/>
              </w:rPr>
              <w:t>14</w:t>
            </w:r>
            <w:r w:rsidR="009E6B12">
              <w:rPr>
                <w:webHidden/>
              </w:rPr>
              <w:fldChar w:fldCharType="end"/>
            </w:r>
          </w:hyperlink>
        </w:p>
        <w:p w14:paraId="41F86664" w14:textId="487782C2" w:rsidR="009E6B12" w:rsidRDefault="002E22AB">
          <w:pPr>
            <w:pStyle w:val="TOC1"/>
            <w:rPr>
              <w:rFonts w:asciiTheme="minorHAnsi" w:eastAsiaTheme="minorEastAsia" w:hAnsiTheme="minorHAnsi" w:cstheme="minorBidi"/>
              <w:sz w:val="22"/>
              <w:szCs w:val="22"/>
              <w:lang w:eastAsia="lv-LV"/>
            </w:rPr>
          </w:pPr>
          <w:hyperlink w:anchor="_Toc494786348" w:history="1">
            <w:r w:rsidR="009E6B12" w:rsidRPr="002A3FF4">
              <w:rPr>
                <w:rStyle w:val="Hyperlink"/>
              </w:rPr>
              <w:t>Tabula 4.b: Izdevumi, kas tiek izslēgti no izdevumu kritērija</w:t>
            </w:r>
            <w:r w:rsidR="009E6B12">
              <w:rPr>
                <w:webHidden/>
              </w:rPr>
              <w:tab/>
            </w:r>
            <w:r w:rsidR="009E6B12">
              <w:rPr>
                <w:webHidden/>
              </w:rPr>
              <w:fldChar w:fldCharType="begin"/>
            </w:r>
            <w:r w:rsidR="009E6B12">
              <w:rPr>
                <w:webHidden/>
              </w:rPr>
              <w:instrText xml:space="preserve"> PAGEREF _Toc494786348 \h </w:instrText>
            </w:r>
            <w:r w:rsidR="009E6B12">
              <w:rPr>
                <w:webHidden/>
              </w:rPr>
            </w:r>
            <w:r w:rsidR="009E6B12">
              <w:rPr>
                <w:webHidden/>
              </w:rPr>
              <w:fldChar w:fldCharType="separate"/>
            </w:r>
            <w:r w:rsidR="007471B4">
              <w:rPr>
                <w:webHidden/>
              </w:rPr>
              <w:t>15</w:t>
            </w:r>
            <w:r w:rsidR="009E6B12">
              <w:rPr>
                <w:webHidden/>
              </w:rPr>
              <w:fldChar w:fldCharType="end"/>
            </w:r>
          </w:hyperlink>
        </w:p>
        <w:p w14:paraId="717CCF69" w14:textId="53586A02" w:rsidR="009E6B12" w:rsidRDefault="002E22AB">
          <w:pPr>
            <w:pStyle w:val="TOC1"/>
            <w:rPr>
              <w:rFonts w:asciiTheme="minorHAnsi" w:eastAsiaTheme="minorEastAsia" w:hAnsiTheme="minorHAnsi" w:cstheme="minorBidi"/>
              <w:sz w:val="22"/>
              <w:szCs w:val="22"/>
              <w:lang w:eastAsia="lv-LV"/>
            </w:rPr>
          </w:pPr>
          <w:hyperlink w:anchor="_Toc494786349" w:history="1">
            <w:r w:rsidR="009E6B12" w:rsidRPr="002A3FF4">
              <w:rPr>
                <w:rStyle w:val="Hyperlink"/>
              </w:rPr>
              <w:t>Tabula 4.c Vispārējās valdības izdevumi funkciju sadalījumā</w:t>
            </w:r>
            <w:r w:rsidR="009E6B12">
              <w:rPr>
                <w:webHidden/>
              </w:rPr>
              <w:tab/>
            </w:r>
            <w:r w:rsidR="009E6B12">
              <w:rPr>
                <w:webHidden/>
              </w:rPr>
              <w:fldChar w:fldCharType="begin"/>
            </w:r>
            <w:r w:rsidR="009E6B12">
              <w:rPr>
                <w:webHidden/>
              </w:rPr>
              <w:instrText xml:space="preserve"> PAGEREF _Toc494786349 \h </w:instrText>
            </w:r>
            <w:r w:rsidR="009E6B12">
              <w:rPr>
                <w:webHidden/>
              </w:rPr>
            </w:r>
            <w:r w:rsidR="009E6B12">
              <w:rPr>
                <w:webHidden/>
              </w:rPr>
              <w:fldChar w:fldCharType="separate"/>
            </w:r>
            <w:r w:rsidR="007471B4">
              <w:rPr>
                <w:webHidden/>
              </w:rPr>
              <w:t>15</w:t>
            </w:r>
            <w:r w:rsidR="009E6B12">
              <w:rPr>
                <w:webHidden/>
              </w:rPr>
              <w:fldChar w:fldCharType="end"/>
            </w:r>
          </w:hyperlink>
        </w:p>
        <w:p w14:paraId="5C2DDB1D" w14:textId="30150A85" w:rsidR="009E6B12" w:rsidRDefault="002E22AB">
          <w:pPr>
            <w:pStyle w:val="TOC1"/>
            <w:rPr>
              <w:rFonts w:asciiTheme="minorHAnsi" w:eastAsiaTheme="minorEastAsia" w:hAnsiTheme="minorHAnsi" w:cstheme="minorBidi"/>
              <w:sz w:val="22"/>
              <w:szCs w:val="22"/>
              <w:lang w:eastAsia="lv-LV"/>
            </w:rPr>
          </w:pPr>
          <w:hyperlink w:anchor="_Toc494786350" w:history="1">
            <w:r w:rsidR="009E6B12" w:rsidRPr="002A3FF4">
              <w:rPr>
                <w:rStyle w:val="Hyperlink"/>
              </w:rPr>
              <w:t>4.c.i) Vispārējās valdības izdevumi izglītībai, veselības aprūpei un nodarbinātībai</w:t>
            </w:r>
            <w:r w:rsidR="009E6B12">
              <w:rPr>
                <w:webHidden/>
              </w:rPr>
              <w:tab/>
            </w:r>
            <w:r w:rsidR="009E6B12">
              <w:rPr>
                <w:webHidden/>
              </w:rPr>
              <w:fldChar w:fldCharType="begin"/>
            </w:r>
            <w:r w:rsidR="009E6B12">
              <w:rPr>
                <w:webHidden/>
              </w:rPr>
              <w:instrText xml:space="preserve"> PAGEREF _Toc494786350 \h </w:instrText>
            </w:r>
            <w:r w:rsidR="009E6B12">
              <w:rPr>
                <w:webHidden/>
              </w:rPr>
            </w:r>
            <w:r w:rsidR="009E6B12">
              <w:rPr>
                <w:webHidden/>
              </w:rPr>
              <w:fldChar w:fldCharType="separate"/>
            </w:r>
            <w:r w:rsidR="007471B4">
              <w:rPr>
                <w:webHidden/>
              </w:rPr>
              <w:t>15</w:t>
            </w:r>
            <w:r w:rsidR="009E6B12">
              <w:rPr>
                <w:webHidden/>
              </w:rPr>
              <w:fldChar w:fldCharType="end"/>
            </w:r>
          </w:hyperlink>
        </w:p>
        <w:p w14:paraId="663BDDFF" w14:textId="118FB4D9" w:rsidR="009E6B12" w:rsidRDefault="002E22AB">
          <w:pPr>
            <w:pStyle w:val="TOC1"/>
            <w:rPr>
              <w:rFonts w:asciiTheme="minorHAnsi" w:eastAsiaTheme="minorEastAsia" w:hAnsiTheme="minorHAnsi" w:cstheme="minorBidi"/>
              <w:sz w:val="22"/>
              <w:szCs w:val="22"/>
              <w:lang w:eastAsia="lv-LV"/>
            </w:rPr>
          </w:pPr>
          <w:hyperlink w:anchor="_Toc494786351" w:history="1">
            <w:r w:rsidR="009E6B12" w:rsidRPr="002A3FF4">
              <w:rPr>
                <w:rStyle w:val="Hyperlink"/>
              </w:rPr>
              <w:t>4.c.ii) Vispārējās valdības izdevumi funkciju sadalījumā</w:t>
            </w:r>
            <w:r w:rsidR="009E6B12">
              <w:rPr>
                <w:webHidden/>
              </w:rPr>
              <w:tab/>
            </w:r>
            <w:r w:rsidR="009E6B12">
              <w:rPr>
                <w:webHidden/>
              </w:rPr>
              <w:fldChar w:fldCharType="begin"/>
            </w:r>
            <w:r w:rsidR="009E6B12">
              <w:rPr>
                <w:webHidden/>
              </w:rPr>
              <w:instrText xml:space="preserve"> PAGEREF _Toc494786351 \h </w:instrText>
            </w:r>
            <w:r w:rsidR="009E6B12">
              <w:rPr>
                <w:webHidden/>
              </w:rPr>
            </w:r>
            <w:r w:rsidR="009E6B12">
              <w:rPr>
                <w:webHidden/>
              </w:rPr>
              <w:fldChar w:fldCharType="separate"/>
            </w:r>
            <w:r w:rsidR="007471B4">
              <w:rPr>
                <w:webHidden/>
              </w:rPr>
              <w:t>15</w:t>
            </w:r>
            <w:r w:rsidR="009E6B12">
              <w:rPr>
                <w:webHidden/>
              </w:rPr>
              <w:fldChar w:fldCharType="end"/>
            </w:r>
          </w:hyperlink>
        </w:p>
        <w:p w14:paraId="21C06026" w14:textId="60F85890" w:rsidR="009E6B12" w:rsidRDefault="002E22AB">
          <w:pPr>
            <w:pStyle w:val="TOC1"/>
            <w:rPr>
              <w:rFonts w:asciiTheme="minorHAnsi" w:eastAsiaTheme="minorEastAsia" w:hAnsiTheme="minorHAnsi" w:cstheme="minorBidi"/>
              <w:sz w:val="22"/>
              <w:szCs w:val="22"/>
              <w:lang w:eastAsia="lv-LV"/>
            </w:rPr>
          </w:pPr>
          <w:hyperlink w:anchor="_Toc494786352" w:history="1">
            <w:r w:rsidR="009E6B12" w:rsidRPr="002A3FF4">
              <w:rPr>
                <w:rStyle w:val="Hyperlink"/>
              </w:rPr>
              <w:t>Tabula 5:  Diskrecionāro pasākumu apraksts, kas iekļauti budžeta projektā</w:t>
            </w:r>
            <w:r w:rsidR="009E6B12">
              <w:rPr>
                <w:webHidden/>
              </w:rPr>
              <w:tab/>
            </w:r>
            <w:r w:rsidR="009E6B12">
              <w:rPr>
                <w:webHidden/>
              </w:rPr>
              <w:fldChar w:fldCharType="begin"/>
            </w:r>
            <w:r w:rsidR="009E6B12">
              <w:rPr>
                <w:webHidden/>
              </w:rPr>
              <w:instrText xml:space="preserve"> PAGEREF _Toc494786352 \h </w:instrText>
            </w:r>
            <w:r w:rsidR="009E6B12">
              <w:rPr>
                <w:webHidden/>
              </w:rPr>
            </w:r>
            <w:r w:rsidR="009E6B12">
              <w:rPr>
                <w:webHidden/>
              </w:rPr>
              <w:fldChar w:fldCharType="separate"/>
            </w:r>
            <w:r w:rsidR="007471B4">
              <w:rPr>
                <w:webHidden/>
              </w:rPr>
              <w:t>19</w:t>
            </w:r>
            <w:r w:rsidR="009E6B12">
              <w:rPr>
                <w:webHidden/>
              </w:rPr>
              <w:fldChar w:fldCharType="end"/>
            </w:r>
          </w:hyperlink>
        </w:p>
        <w:p w14:paraId="6C35437B" w14:textId="3BFF5CBD" w:rsidR="009E6B12" w:rsidRDefault="002E22AB">
          <w:pPr>
            <w:pStyle w:val="TOC1"/>
            <w:rPr>
              <w:rFonts w:asciiTheme="minorHAnsi" w:eastAsiaTheme="minorEastAsia" w:hAnsiTheme="minorHAnsi" w:cstheme="minorBidi"/>
              <w:sz w:val="22"/>
              <w:szCs w:val="22"/>
              <w:lang w:eastAsia="lv-LV"/>
            </w:rPr>
          </w:pPr>
          <w:hyperlink w:anchor="_Toc494786353" w:history="1">
            <w:r w:rsidR="009E6B12" w:rsidRPr="002A3FF4">
              <w:rPr>
                <w:rStyle w:val="Hyperlink"/>
              </w:rPr>
              <w:t>5.a.i) Diskrecionārie ieņēmumu pasākumi vispārējās valdības budžetā</w:t>
            </w:r>
            <w:r w:rsidR="009E6B12">
              <w:rPr>
                <w:webHidden/>
              </w:rPr>
              <w:tab/>
            </w:r>
            <w:r w:rsidR="009E6B12">
              <w:rPr>
                <w:webHidden/>
              </w:rPr>
              <w:fldChar w:fldCharType="begin"/>
            </w:r>
            <w:r w:rsidR="009E6B12">
              <w:rPr>
                <w:webHidden/>
              </w:rPr>
              <w:instrText xml:space="preserve"> PAGEREF _Toc494786353 \h </w:instrText>
            </w:r>
            <w:r w:rsidR="009E6B12">
              <w:rPr>
                <w:webHidden/>
              </w:rPr>
            </w:r>
            <w:r w:rsidR="009E6B12">
              <w:rPr>
                <w:webHidden/>
              </w:rPr>
              <w:fldChar w:fldCharType="separate"/>
            </w:r>
            <w:r w:rsidR="007471B4">
              <w:rPr>
                <w:webHidden/>
              </w:rPr>
              <w:t>19</w:t>
            </w:r>
            <w:r w:rsidR="009E6B12">
              <w:rPr>
                <w:webHidden/>
              </w:rPr>
              <w:fldChar w:fldCharType="end"/>
            </w:r>
          </w:hyperlink>
        </w:p>
        <w:p w14:paraId="526AAFEE" w14:textId="5B6FDF06" w:rsidR="009E6B12" w:rsidRDefault="002E22AB">
          <w:pPr>
            <w:pStyle w:val="TOC1"/>
            <w:rPr>
              <w:rFonts w:asciiTheme="minorHAnsi" w:eastAsiaTheme="minorEastAsia" w:hAnsiTheme="minorHAnsi" w:cstheme="minorBidi"/>
              <w:sz w:val="22"/>
              <w:szCs w:val="22"/>
              <w:lang w:eastAsia="lv-LV"/>
            </w:rPr>
          </w:pPr>
          <w:hyperlink w:anchor="_Toc494786354" w:history="1">
            <w:r w:rsidR="009E6B12" w:rsidRPr="002A3FF4">
              <w:rPr>
                <w:rStyle w:val="Hyperlink"/>
              </w:rPr>
              <w:t>5.a.ii) Diskrecionārie izdevumu pasākumi vispārējās valdības budžetā</w:t>
            </w:r>
            <w:r w:rsidR="009E6B12">
              <w:rPr>
                <w:webHidden/>
              </w:rPr>
              <w:tab/>
            </w:r>
            <w:r w:rsidR="009E6B12">
              <w:rPr>
                <w:webHidden/>
              </w:rPr>
              <w:fldChar w:fldCharType="begin"/>
            </w:r>
            <w:r w:rsidR="009E6B12">
              <w:rPr>
                <w:webHidden/>
              </w:rPr>
              <w:instrText xml:space="preserve"> PAGEREF _Toc494786354 \h </w:instrText>
            </w:r>
            <w:r w:rsidR="009E6B12">
              <w:rPr>
                <w:webHidden/>
              </w:rPr>
            </w:r>
            <w:r w:rsidR="009E6B12">
              <w:rPr>
                <w:webHidden/>
              </w:rPr>
              <w:fldChar w:fldCharType="separate"/>
            </w:r>
            <w:r w:rsidR="007471B4">
              <w:rPr>
                <w:webHidden/>
              </w:rPr>
              <w:t>20</w:t>
            </w:r>
            <w:r w:rsidR="009E6B12">
              <w:rPr>
                <w:webHidden/>
              </w:rPr>
              <w:fldChar w:fldCharType="end"/>
            </w:r>
          </w:hyperlink>
        </w:p>
        <w:p w14:paraId="61EC2D2D" w14:textId="40F09B5B" w:rsidR="009E6B12" w:rsidRDefault="002E22AB">
          <w:pPr>
            <w:pStyle w:val="TOC1"/>
            <w:rPr>
              <w:rFonts w:asciiTheme="minorHAnsi" w:eastAsiaTheme="minorEastAsia" w:hAnsiTheme="minorHAnsi" w:cstheme="minorBidi"/>
              <w:sz w:val="22"/>
              <w:szCs w:val="22"/>
              <w:lang w:eastAsia="lv-LV"/>
            </w:rPr>
          </w:pPr>
          <w:hyperlink w:anchor="_Toc494786355" w:history="1">
            <w:r w:rsidR="009E6B12" w:rsidRPr="002A3FF4">
              <w:rPr>
                <w:rStyle w:val="Hyperlink"/>
              </w:rPr>
              <w:t>5.b.i):  Diskrecionārie ieņēmumu pasākumi centrālās valdības budžetā</w:t>
            </w:r>
            <w:r w:rsidR="009E6B12">
              <w:rPr>
                <w:webHidden/>
              </w:rPr>
              <w:tab/>
            </w:r>
            <w:r w:rsidR="009E6B12">
              <w:rPr>
                <w:webHidden/>
              </w:rPr>
              <w:fldChar w:fldCharType="begin"/>
            </w:r>
            <w:r w:rsidR="009E6B12">
              <w:rPr>
                <w:webHidden/>
              </w:rPr>
              <w:instrText xml:space="preserve"> PAGEREF _Toc494786355 \h </w:instrText>
            </w:r>
            <w:r w:rsidR="009E6B12">
              <w:rPr>
                <w:webHidden/>
              </w:rPr>
            </w:r>
            <w:r w:rsidR="009E6B12">
              <w:rPr>
                <w:webHidden/>
              </w:rPr>
              <w:fldChar w:fldCharType="separate"/>
            </w:r>
            <w:r w:rsidR="007471B4">
              <w:rPr>
                <w:webHidden/>
              </w:rPr>
              <w:t>22</w:t>
            </w:r>
            <w:r w:rsidR="009E6B12">
              <w:rPr>
                <w:webHidden/>
              </w:rPr>
              <w:fldChar w:fldCharType="end"/>
            </w:r>
          </w:hyperlink>
        </w:p>
        <w:p w14:paraId="3C8E10E2" w14:textId="23AF2956" w:rsidR="009E6B12" w:rsidRDefault="002E22AB">
          <w:pPr>
            <w:pStyle w:val="TOC1"/>
            <w:rPr>
              <w:rFonts w:asciiTheme="minorHAnsi" w:eastAsiaTheme="minorEastAsia" w:hAnsiTheme="minorHAnsi" w:cstheme="minorBidi"/>
              <w:sz w:val="22"/>
              <w:szCs w:val="22"/>
              <w:lang w:eastAsia="lv-LV"/>
            </w:rPr>
          </w:pPr>
          <w:hyperlink w:anchor="_Toc494786356" w:history="1">
            <w:r w:rsidR="009E6B12" w:rsidRPr="002A3FF4">
              <w:rPr>
                <w:rStyle w:val="Hyperlink"/>
              </w:rPr>
              <w:t>5.b.ii): Diskrecionārie izdevumi pasākumi centrālās valdības budžetā</w:t>
            </w:r>
            <w:r w:rsidR="009E6B12">
              <w:rPr>
                <w:webHidden/>
              </w:rPr>
              <w:tab/>
            </w:r>
            <w:r w:rsidR="009E6B12">
              <w:rPr>
                <w:webHidden/>
              </w:rPr>
              <w:fldChar w:fldCharType="begin"/>
            </w:r>
            <w:r w:rsidR="009E6B12">
              <w:rPr>
                <w:webHidden/>
              </w:rPr>
              <w:instrText xml:space="preserve"> PAGEREF _Toc494786356 \h </w:instrText>
            </w:r>
            <w:r w:rsidR="009E6B12">
              <w:rPr>
                <w:webHidden/>
              </w:rPr>
            </w:r>
            <w:r w:rsidR="009E6B12">
              <w:rPr>
                <w:webHidden/>
              </w:rPr>
              <w:fldChar w:fldCharType="separate"/>
            </w:r>
            <w:r w:rsidR="007471B4">
              <w:rPr>
                <w:webHidden/>
              </w:rPr>
              <w:t>23</w:t>
            </w:r>
            <w:r w:rsidR="009E6B12">
              <w:rPr>
                <w:webHidden/>
              </w:rPr>
              <w:fldChar w:fldCharType="end"/>
            </w:r>
          </w:hyperlink>
        </w:p>
        <w:p w14:paraId="312A7968" w14:textId="2F52B32F" w:rsidR="009E6B12" w:rsidRDefault="002E22AB">
          <w:pPr>
            <w:pStyle w:val="TOC1"/>
            <w:rPr>
              <w:rFonts w:asciiTheme="minorHAnsi" w:eastAsiaTheme="minorEastAsia" w:hAnsiTheme="minorHAnsi" w:cstheme="minorBidi"/>
              <w:sz w:val="22"/>
              <w:szCs w:val="22"/>
              <w:lang w:eastAsia="lv-LV"/>
            </w:rPr>
          </w:pPr>
          <w:hyperlink w:anchor="_Toc494786357" w:history="1">
            <w:r w:rsidR="009E6B12" w:rsidRPr="002A3FF4">
              <w:rPr>
                <w:rStyle w:val="Hyperlink"/>
              </w:rPr>
              <w:t>Tabula 5.c.  Diskrecionārie ieņēmumu pasākumi vietējās valdības budžetā</w:t>
            </w:r>
            <w:r w:rsidR="009E6B12">
              <w:rPr>
                <w:webHidden/>
              </w:rPr>
              <w:tab/>
            </w:r>
            <w:r w:rsidR="009E6B12">
              <w:rPr>
                <w:webHidden/>
              </w:rPr>
              <w:fldChar w:fldCharType="begin"/>
            </w:r>
            <w:r w:rsidR="009E6B12">
              <w:rPr>
                <w:webHidden/>
              </w:rPr>
              <w:instrText xml:space="preserve"> PAGEREF _Toc494786357 \h </w:instrText>
            </w:r>
            <w:r w:rsidR="009E6B12">
              <w:rPr>
                <w:webHidden/>
              </w:rPr>
            </w:r>
            <w:r w:rsidR="009E6B12">
              <w:rPr>
                <w:webHidden/>
              </w:rPr>
              <w:fldChar w:fldCharType="separate"/>
            </w:r>
            <w:r w:rsidR="007471B4">
              <w:rPr>
                <w:webHidden/>
              </w:rPr>
              <w:t>25</w:t>
            </w:r>
            <w:r w:rsidR="009E6B12">
              <w:rPr>
                <w:webHidden/>
              </w:rPr>
              <w:fldChar w:fldCharType="end"/>
            </w:r>
          </w:hyperlink>
        </w:p>
        <w:p w14:paraId="6708F74E" w14:textId="291AB8E3" w:rsidR="009E6B12" w:rsidRDefault="002E22AB">
          <w:pPr>
            <w:pStyle w:val="TOC1"/>
            <w:rPr>
              <w:rFonts w:asciiTheme="minorHAnsi" w:eastAsiaTheme="minorEastAsia" w:hAnsiTheme="minorHAnsi" w:cstheme="minorBidi"/>
              <w:sz w:val="22"/>
              <w:szCs w:val="22"/>
              <w:lang w:eastAsia="lv-LV"/>
            </w:rPr>
          </w:pPr>
          <w:hyperlink w:anchor="_Toc494786359" w:history="1">
            <w:r w:rsidR="009E6B12" w:rsidRPr="002A3FF4">
              <w:rPr>
                <w:rStyle w:val="Hyperlink"/>
              </w:rPr>
              <w:t>Tabula 5.e: Nodokļu reformas ietekme</w:t>
            </w:r>
            <w:r w:rsidR="009E6B12">
              <w:rPr>
                <w:webHidden/>
              </w:rPr>
              <w:tab/>
            </w:r>
            <w:r w:rsidR="009E6B12">
              <w:rPr>
                <w:webHidden/>
              </w:rPr>
              <w:fldChar w:fldCharType="begin"/>
            </w:r>
            <w:r w:rsidR="009E6B12">
              <w:rPr>
                <w:webHidden/>
              </w:rPr>
              <w:instrText xml:space="preserve"> PAGEREF _Toc494786359 \h </w:instrText>
            </w:r>
            <w:r w:rsidR="009E6B12">
              <w:rPr>
                <w:webHidden/>
              </w:rPr>
            </w:r>
            <w:r w:rsidR="009E6B12">
              <w:rPr>
                <w:webHidden/>
              </w:rPr>
              <w:fldChar w:fldCharType="separate"/>
            </w:r>
            <w:r w:rsidR="007471B4">
              <w:rPr>
                <w:webHidden/>
              </w:rPr>
              <w:t>28</w:t>
            </w:r>
            <w:r w:rsidR="009E6B12">
              <w:rPr>
                <w:webHidden/>
              </w:rPr>
              <w:fldChar w:fldCharType="end"/>
            </w:r>
          </w:hyperlink>
        </w:p>
        <w:p w14:paraId="5E0463F8" w14:textId="3613F4F6" w:rsidR="009E6B12" w:rsidRDefault="002E22AB">
          <w:pPr>
            <w:pStyle w:val="TOC1"/>
            <w:rPr>
              <w:rFonts w:asciiTheme="minorHAnsi" w:eastAsiaTheme="minorEastAsia" w:hAnsiTheme="minorHAnsi" w:cstheme="minorBidi"/>
              <w:sz w:val="22"/>
              <w:szCs w:val="22"/>
              <w:lang w:eastAsia="lv-LV"/>
            </w:rPr>
          </w:pPr>
          <w:hyperlink w:anchor="_Toc494786360" w:history="1">
            <w:r w:rsidR="009E6B12" w:rsidRPr="002A3FF4">
              <w:rPr>
                <w:rStyle w:val="Hyperlink"/>
              </w:rPr>
              <w:t>Tabula 6.a: Valstu specifiskās rekomendācijas</w:t>
            </w:r>
            <w:r w:rsidR="009E6B12">
              <w:rPr>
                <w:webHidden/>
              </w:rPr>
              <w:tab/>
            </w:r>
            <w:r w:rsidR="009E6B12">
              <w:rPr>
                <w:webHidden/>
              </w:rPr>
              <w:fldChar w:fldCharType="begin"/>
            </w:r>
            <w:r w:rsidR="009E6B12">
              <w:rPr>
                <w:webHidden/>
              </w:rPr>
              <w:instrText xml:space="preserve"> PAGEREF _Toc494786360 \h </w:instrText>
            </w:r>
            <w:r w:rsidR="009E6B12">
              <w:rPr>
                <w:webHidden/>
              </w:rPr>
            </w:r>
            <w:r w:rsidR="009E6B12">
              <w:rPr>
                <w:webHidden/>
              </w:rPr>
              <w:fldChar w:fldCharType="separate"/>
            </w:r>
            <w:r w:rsidR="007471B4">
              <w:rPr>
                <w:webHidden/>
              </w:rPr>
              <w:t>31</w:t>
            </w:r>
            <w:r w:rsidR="009E6B12">
              <w:rPr>
                <w:webHidden/>
              </w:rPr>
              <w:fldChar w:fldCharType="end"/>
            </w:r>
          </w:hyperlink>
        </w:p>
        <w:p w14:paraId="697C0BDD" w14:textId="169C05BE" w:rsidR="009E6B12" w:rsidRDefault="002E22AB">
          <w:pPr>
            <w:pStyle w:val="TOC1"/>
            <w:rPr>
              <w:rFonts w:asciiTheme="minorHAnsi" w:eastAsiaTheme="minorEastAsia" w:hAnsiTheme="minorHAnsi" w:cstheme="minorBidi"/>
              <w:sz w:val="22"/>
              <w:szCs w:val="22"/>
              <w:lang w:eastAsia="lv-LV"/>
            </w:rPr>
          </w:pPr>
          <w:hyperlink w:anchor="_Toc494786361" w:history="1">
            <w:r w:rsidR="009E6B12" w:rsidRPr="002A3FF4">
              <w:rPr>
                <w:rStyle w:val="Hyperlink"/>
              </w:rPr>
              <w:t>Tabula 6.b: ES Stratēģijas noteiktie mērķi attiecībā uz izaugsmi un darbu</w:t>
            </w:r>
            <w:r w:rsidR="009E6B12">
              <w:rPr>
                <w:webHidden/>
              </w:rPr>
              <w:tab/>
            </w:r>
            <w:r w:rsidR="009E6B12">
              <w:rPr>
                <w:webHidden/>
              </w:rPr>
              <w:fldChar w:fldCharType="begin"/>
            </w:r>
            <w:r w:rsidR="009E6B12">
              <w:rPr>
                <w:webHidden/>
              </w:rPr>
              <w:instrText xml:space="preserve"> PAGEREF _Toc494786361 \h </w:instrText>
            </w:r>
            <w:r w:rsidR="009E6B12">
              <w:rPr>
                <w:webHidden/>
              </w:rPr>
            </w:r>
            <w:r w:rsidR="009E6B12">
              <w:rPr>
                <w:webHidden/>
              </w:rPr>
              <w:fldChar w:fldCharType="separate"/>
            </w:r>
            <w:r w:rsidR="007471B4">
              <w:rPr>
                <w:webHidden/>
              </w:rPr>
              <w:t>35</w:t>
            </w:r>
            <w:r w:rsidR="009E6B12">
              <w:rPr>
                <w:webHidden/>
              </w:rPr>
              <w:fldChar w:fldCharType="end"/>
            </w:r>
          </w:hyperlink>
        </w:p>
        <w:p w14:paraId="56E01744" w14:textId="427FF5A5" w:rsidR="009E6B12" w:rsidRDefault="002E22AB">
          <w:pPr>
            <w:pStyle w:val="TOC1"/>
            <w:rPr>
              <w:rFonts w:asciiTheme="minorHAnsi" w:eastAsiaTheme="minorEastAsia" w:hAnsiTheme="minorHAnsi" w:cstheme="minorBidi"/>
              <w:sz w:val="22"/>
              <w:szCs w:val="22"/>
              <w:lang w:eastAsia="lv-LV"/>
            </w:rPr>
          </w:pPr>
          <w:hyperlink w:anchor="_Toc494786362" w:history="1">
            <w:r w:rsidR="009E6B12" w:rsidRPr="002A3FF4">
              <w:rPr>
                <w:rStyle w:val="Hyperlink"/>
              </w:rPr>
              <w:t>Tabula 7: Salīdzinājums ar Stabilitātes programmu 2017.-2020.gadam</w:t>
            </w:r>
            <w:r w:rsidR="009E6B12">
              <w:rPr>
                <w:webHidden/>
              </w:rPr>
              <w:tab/>
            </w:r>
            <w:r w:rsidR="009E6B12">
              <w:rPr>
                <w:webHidden/>
              </w:rPr>
              <w:fldChar w:fldCharType="begin"/>
            </w:r>
            <w:r w:rsidR="009E6B12">
              <w:rPr>
                <w:webHidden/>
              </w:rPr>
              <w:instrText xml:space="preserve"> PAGEREF _Toc494786362 \h </w:instrText>
            </w:r>
            <w:r w:rsidR="009E6B12">
              <w:rPr>
                <w:webHidden/>
              </w:rPr>
            </w:r>
            <w:r w:rsidR="009E6B12">
              <w:rPr>
                <w:webHidden/>
              </w:rPr>
              <w:fldChar w:fldCharType="separate"/>
            </w:r>
            <w:r w:rsidR="007471B4">
              <w:rPr>
                <w:webHidden/>
              </w:rPr>
              <w:t>46</w:t>
            </w:r>
            <w:r w:rsidR="009E6B12">
              <w:rPr>
                <w:webHidden/>
              </w:rPr>
              <w:fldChar w:fldCharType="end"/>
            </w:r>
          </w:hyperlink>
        </w:p>
        <w:p w14:paraId="2FBB7874" w14:textId="454BFC64" w:rsidR="007369A9" w:rsidRDefault="007369A9">
          <w:r>
            <w:rPr>
              <w:b/>
              <w:bCs/>
              <w:noProof/>
            </w:rPr>
            <w:fldChar w:fldCharType="end"/>
          </w:r>
        </w:p>
      </w:sdtContent>
    </w:sdt>
    <w:p w14:paraId="0EDCF06F" w14:textId="77777777" w:rsidR="00A922FB" w:rsidRDefault="00A922FB">
      <w:pPr>
        <w:spacing w:after="0"/>
        <w:ind w:firstLine="0"/>
        <w:jc w:val="left"/>
        <w:rPr>
          <w:color w:val="18185E"/>
          <w:sz w:val="28"/>
        </w:rPr>
      </w:pPr>
    </w:p>
    <w:p w14:paraId="4D009E27" w14:textId="34B95D35" w:rsidR="001A1170" w:rsidRDefault="001A1170">
      <w:pPr>
        <w:spacing w:after="0"/>
        <w:ind w:firstLine="0"/>
        <w:jc w:val="left"/>
        <w:rPr>
          <w:color w:val="18185E"/>
          <w:sz w:val="28"/>
        </w:rPr>
      </w:pPr>
      <w:r>
        <w:rPr>
          <w:color w:val="18185E"/>
          <w:sz w:val="28"/>
        </w:rPr>
        <w:br w:type="page"/>
      </w:r>
    </w:p>
    <w:p w14:paraId="08BA91C9" w14:textId="77777777" w:rsidR="001A1170" w:rsidRPr="001A1170" w:rsidRDefault="001A1170" w:rsidP="001A1170">
      <w:pPr>
        <w:pStyle w:val="Heading1"/>
        <w:tabs>
          <w:tab w:val="left" w:pos="1276"/>
        </w:tabs>
        <w:spacing w:before="0" w:after="240"/>
        <w:jc w:val="center"/>
        <w:rPr>
          <w:rFonts w:ascii="Times New Roman" w:hAnsi="Times New Roman"/>
          <w:color w:val="18185E"/>
          <w:sz w:val="28"/>
        </w:rPr>
      </w:pPr>
      <w:bookmarkStart w:id="0" w:name="_Toc494786334"/>
      <w:r w:rsidRPr="001A1170">
        <w:rPr>
          <w:rFonts w:ascii="Times New Roman" w:hAnsi="Times New Roman"/>
          <w:color w:val="18185E"/>
          <w:sz w:val="28"/>
        </w:rPr>
        <w:lastRenderedPageBreak/>
        <w:t>Saīsinājumu apzīmējumi</w:t>
      </w:r>
      <w:bookmarkEnd w:id="0"/>
    </w:p>
    <w:p w14:paraId="2AA02C06"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AER</w:t>
      </w:r>
      <w:r>
        <w:rPr>
          <w:rFonts w:ascii="Times New Roman" w:eastAsia="Calibri" w:hAnsi="Times New Roman"/>
          <w:color w:val="000000"/>
          <w:szCs w:val="24"/>
        </w:rPr>
        <w:tab/>
        <w:t>Atjaunojamie energoresursi</w:t>
      </w:r>
    </w:p>
    <w:p w14:paraId="4FDCF8FD" w14:textId="2FB24E1E"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AS</w:t>
      </w:r>
      <w:r>
        <w:rPr>
          <w:rFonts w:ascii="Times New Roman" w:eastAsia="Calibri" w:hAnsi="Times New Roman"/>
          <w:color w:val="000000"/>
          <w:szCs w:val="24"/>
        </w:rPr>
        <w:tab/>
      </w:r>
      <w:r>
        <w:rPr>
          <w:rFonts w:ascii="Times New Roman" w:eastAsia="Calibri" w:hAnsi="Times New Roman"/>
          <w:color w:val="000000"/>
          <w:szCs w:val="24"/>
        </w:rPr>
        <w:tab/>
        <w:t>Akciju sabiedrība</w:t>
      </w:r>
    </w:p>
    <w:p w14:paraId="7A00875A" w14:textId="2BE6C9EB" w:rsidR="001A1170" w:rsidRDefault="001A1170"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ASV</w:t>
      </w:r>
      <w:r>
        <w:rPr>
          <w:rFonts w:ascii="Times New Roman" w:eastAsia="Calibri" w:hAnsi="Times New Roman"/>
          <w:color w:val="000000"/>
          <w:szCs w:val="24"/>
        </w:rPr>
        <w:tab/>
      </w:r>
      <w:r>
        <w:rPr>
          <w:rFonts w:ascii="Times New Roman" w:eastAsia="Calibri" w:hAnsi="Times New Roman"/>
          <w:color w:val="000000"/>
          <w:szCs w:val="24"/>
        </w:rPr>
        <w:tab/>
        <w:t>Amerikas Savienotās valstis</w:t>
      </w:r>
    </w:p>
    <w:p w14:paraId="2BC0111D" w14:textId="5867FD5F" w:rsidR="00A922FB" w:rsidRDefault="001A1170" w:rsidP="004D3A7C">
      <w:pPr>
        <w:pStyle w:val="teksts"/>
        <w:spacing w:after="0"/>
        <w:rPr>
          <w:rFonts w:ascii="Times New Roman" w:eastAsia="Calibri" w:hAnsi="Times New Roman"/>
          <w:color w:val="000000"/>
          <w:szCs w:val="24"/>
        </w:rPr>
      </w:pPr>
      <w:r w:rsidRPr="001A1170">
        <w:rPr>
          <w:rFonts w:ascii="Times New Roman" w:eastAsia="Calibri" w:hAnsi="Times New Roman"/>
          <w:color w:val="000000"/>
          <w:szCs w:val="24"/>
        </w:rPr>
        <w:t>EK</w:t>
      </w:r>
      <w:r w:rsidRPr="001A1170">
        <w:rPr>
          <w:rFonts w:ascii="Times New Roman" w:eastAsia="Calibri" w:hAnsi="Times New Roman"/>
          <w:color w:val="000000"/>
          <w:szCs w:val="24"/>
        </w:rPr>
        <w:tab/>
      </w:r>
      <w:r>
        <w:rPr>
          <w:rFonts w:ascii="Times New Roman" w:eastAsia="Calibri" w:hAnsi="Times New Roman"/>
          <w:color w:val="000000"/>
          <w:szCs w:val="24"/>
        </w:rPr>
        <w:tab/>
      </w:r>
      <w:r w:rsidRPr="001A1170">
        <w:rPr>
          <w:rFonts w:ascii="Times New Roman" w:eastAsia="Calibri" w:hAnsi="Times New Roman"/>
          <w:color w:val="000000"/>
          <w:szCs w:val="24"/>
        </w:rPr>
        <w:t>Eiropas Komisija</w:t>
      </w:r>
    </w:p>
    <w:p w14:paraId="3BA0B94C"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EKII</w:t>
      </w:r>
      <w:r>
        <w:rPr>
          <w:rFonts w:ascii="Times New Roman" w:eastAsia="Calibri" w:hAnsi="Times New Roman"/>
          <w:color w:val="000000"/>
          <w:szCs w:val="24"/>
        </w:rPr>
        <w:tab/>
      </w:r>
      <w:r w:rsidRPr="004D3A7C">
        <w:rPr>
          <w:rFonts w:ascii="Times New Roman" w:eastAsia="Calibri" w:hAnsi="Times New Roman"/>
          <w:color w:val="000000"/>
          <w:szCs w:val="24"/>
        </w:rPr>
        <w:t>Emisijas kvotu izsolīšanas instruments</w:t>
      </w:r>
    </w:p>
    <w:p w14:paraId="13A9AC12"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EKS</w:t>
      </w:r>
      <w:r>
        <w:rPr>
          <w:rFonts w:ascii="Times New Roman" w:eastAsia="Calibri" w:hAnsi="Times New Roman"/>
          <w:color w:val="000000"/>
          <w:szCs w:val="24"/>
        </w:rPr>
        <w:tab/>
      </w:r>
      <w:r>
        <w:rPr>
          <w:rFonts w:ascii="Times New Roman" w:eastAsia="Calibri" w:hAnsi="Times New Roman"/>
          <w:color w:val="000000"/>
          <w:szCs w:val="24"/>
        </w:rPr>
        <w:tab/>
        <w:t>Eiropas Kontu sistēma</w:t>
      </w:r>
    </w:p>
    <w:p w14:paraId="41384587"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EM</w:t>
      </w:r>
      <w:r>
        <w:rPr>
          <w:rFonts w:ascii="Times New Roman" w:eastAsia="Calibri" w:hAnsi="Times New Roman"/>
          <w:color w:val="000000"/>
          <w:szCs w:val="24"/>
        </w:rPr>
        <w:tab/>
      </w:r>
      <w:r>
        <w:rPr>
          <w:rFonts w:ascii="Times New Roman" w:eastAsia="Calibri" w:hAnsi="Times New Roman"/>
          <w:color w:val="000000"/>
          <w:szCs w:val="24"/>
        </w:rPr>
        <w:tab/>
        <w:t>Ekonomikas ministrija</w:t>
      </w:r>
    </w:p>
    <w:p w14:paraId="3DA7F734" w14:textId="001186A3"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ERAF</w:t>
      </w:r>
      <w:r>
        <w:rPr>
          <w:rFonts w:ascii="Times New Roman" w:eastAsia="Calibri" w:hAnsi="Times New Roman"/>
          <w:color w:val="000000"/>
          <w:szCs w:val="24"/>
        </w:rPr>
        <w:tab/>
      </w:r>
      <w:r>
        <w:rPr>
          <w:rFonts w:ascii="Times New Roman" w:eastAsia="Calibri" w:hAnsi="Times New Roman"/>
          <w:color w:val="000000"/>
          <w:szCs w:val="24"/>
        </w:rPr>
        <w:tab/>
      </w:r>
      <w:r w:rsidRPr="00AF4FFC">
        <w:rPr>
          <w:rFonts w:ascii="Times New Roman" w:eastAsia="Calibri" w:hAnsi="Times New Roman"/>
          <w:color w:val="000000"/>
          <w:szCs w:val="24"/>
        </w:rPr>
        <w:t>Eiropas Reģionālās attīstības fonds</w:t>
      </w:r>
      <w:r>
        <w:rPr>
          <w:rFonts w:ascii="Times New Roman" w:eastAsia="Calibri" w:hAnsi="Times New Roman"/>
          <w:color w:val="000000"/>
          <w:szCs w:val="24"/>
        </w:rPr>
        <w:t xml:space="preserve"> </w:t>
      </w:r>
    </w:p>
    <w:p w14:paraId="468E4DCF" w14:textId="6F314D5F"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ES</w:t>
      </w:r>
      <w:r>
        <w:rPr>
          <w:rFonts w:ascii="Times New Roman" w:eastAsia="Calibri" w:hAnsi="Times New Roman"/>
          <w:color w:val="000000"/>
          <w:szCs w:val="24"/>
        </w:rPr>
        <w:tab/>
      </w:r>
      <w:r>
        <w:rPr>
          <w:rFonts w:ascii="Times New Roman" w:eastAsia="Calibri" w:hAnsi="Times New Roman"/>
          <w:color w:val="000000"/>
          <w:szCs w:val="24"/>
        </w:rPr>
        <w:tab/>
        <w:t>Eiropas Savienība</w:t>
      </w:r>
    </w:p>
    <w:p w14:paraId="51723749" w14:textId="349A80F2"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ESF</w:t>
      </w:r>
      <w:r>
        <w:rPr>
          <w:rFonts w:ascii="Times New Roman" w:eastAsia="Calibri" w:hAnsi="Times New Roman"/>
          <w:color w:val="000000"/>
          <w:szCs w:val="24"/>
        </w:rPr>
        <w:tab/>
      </w:r>
      <w:r>
        <w:rPr>
          <w:rFonts w:ascii="Times New Roman" w:eastAsia="Calibri" w:hAnsi="Times New Roman"/>
          <w:color w:val="000000"/>
          <w:szCs w:val="24"/>
        </w:rPr>
        <w:tab/>
        <w:t>Eiropas Sociālais fonds</w:t>
      </w:r>
    </w:p>
    <w:p w14:paraId="6C8EE7C5"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FM</w:t>
      </w:r>
      <w:r>
        <w:rPr>
          <w:rFonts w:ascii="Times New Roman" w:eastAsia="Calibri" w:hAnsi="Times New Roman"/>
          <w:color w:val="000000"/>
          <w:szCs w:val="24"/>
        </w:rPr>
        <w:tab/>
      </w:r>
      <w:r>
        <w:rPr>
          <w:rFonts w:ascii="Times New Roman" w:eastAsia="Calibri" w:hAnsi="Times New Roman"/>
          <w:color w:val="000000"/>
          <w:szCs w:val="24"/>
        </w:rPr>
        <w:tab/>
        <w:t>Finanšu ministrija</w:t>
      </w:r>
    </w:p>
    <w:p w14:paraId="1BC8BC11"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IIN</w:t>
      </w:r>
      <w:r>
        <w:rPr>
          <w:rFonts w:ascii="Times New Roman" w:eastAsia="Calibri" w:hAnsi="Times New Roman"/>
          <w:color w:val="000000"/>
          <w:szCs w:val="24"/>
        </w:rPr>
        <w:tab/>
      </w:r>
      <w:r>
        <w:rPr>
          <w:rFonts w:ascii="Times New Roman" w:eastAsia="Calibri" w:hAnsi="Times New Roman"/>
          <w:color w:val="000000"/>
          <w:szCs w:val="24"/>
        </w:rPr>
        <w:tab/>
        <w:t>Iedzīvotāju ienākumu nodoklis</w:t>
      </w:r>
    </w:p>
    <w:p w14:paraId="332896DC"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IKP</w:t>
      </w:r>
      <w:r>
        <w:rPr>
          <w:rFonts w:ascii="Times New Roman" w:eastAsia="Calibri" w:hAnsi="Times New Roman"/>
          <w:color w:val="000000"/>
          <w:szCs w:val="24"/>
        </w:rPr>
        <w:tab/>
      </w:r>
      <w:r>
        <w:rPr>
          <w:rFonts w:ascii="Times New Roman" w:eastAsia="Calibri" w:hAnsi="Times New Roman"/>
          <w:color w:val="000000"/>
          <w:szCs w:val="24"/>
        </w:rPr>
        <w:tab/>
        <w:t>Iekšzemes kopprodukts</w:t>
      </w:r>
    </w:p>
    <w:p w14:paraId="59D60B07"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IKT</w:t>
      </w:r>
      <w:r>
        <w:rPr>
          <w:rFonts w:ascii="Times New Roman" w:eastAsia="Calibri" w:hAnsi="Times New Roman"/>
          <w:color w:val="000000"/>
          <w:szCs w:val="24"/>
        </w:rPr>
        <w:tab/>
      </w:r>
      <w:r w:rsidRPr="00AF4FFC">
        <w:rPr>
          <w:rFonts w:ascii="Times New Roman" w:eastAsia="Calibri" w:hAnsi="Times New Roman"/>
          <w:color w:val="000000"/>
          <w:szCs w:val="24"/>
        </w:rPr>
        <w:t xml:space="preserve">Informācijas un komunikāciju </w:t>
      </w:r>
      <w:r w:rsidRPr="00AF4FFC">
        <w:rPr>
          <w:rFonts w:ascii="Times New Roman" w:eastAsia="Calibri" w:hAnsi="Times New Roman"/>
          <w:bCs/>
          <w:color w:val="000000"/>
          <w:szCs w:val="24"/>
        </w:rPr>
        <w:t>tehnoloģijas</w:t>
      </w:r>
      <w:r>
        <w:rPr>
          <w:rFonts w:ascii="Times New Roman" w:eastAsia="Calibri" w:hAnsi="Times New Roman"/>
          <w:color w:val="000000"/>
          <w:szCs w:val="24"/>
        </w:rPr>
        <w:t xml:space="preserve"> </w:t>
      </w:r>
    </w:p>
    <w:p w14:paraId="04C1A5B7" w14:textId="651460E5"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IZM</w:t>
      </w:r>
      <w:r>
        <w:rPr>
          <w:rFonts w:ascii="Times New Roman" w:eastAsia="Calibri" w:hAnsi="Times New Roman"/>
          <w:color w:val="000000"/>
          <w:szCs w:val="24"/>
        </w:rPr>
        <w:tab/>
        <w:t>Izglītības un zinātnes ministrija</w:t>
      </w:r>
    </w:p>
    <w:p w14:paraId="181FCB7A"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MK</w:t>
      </w:r>
      <w:r>
        <w:rPr>
          <w:rFonts w:ascii="Times New Roman" w:eastAsia="Calibri" w:hAnsi="Times New Roman"/>
          <w:color w:val="000000"/>
          <w:szCs w:val="24"/>
        </w:rPr>
        <w:tab/>
      </w:r>
      <w:r>
        <w:rPr>
          <w:rFonts w:ascii="Times New Roman" w:eastAsia="Calibri" w:hAnsi="Times New Roman"/>
          <w:color w:val="000000"/>
          <w:szCs w:val="24"/>
        </w:rPr>
        <w:tab/>
        <w:t>Ministru kabinets</w:t>
      </w:r>
    </w:p>
    <w:p w14:paraId="4EDAA786" w14:textId="4ED73C4C"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MUN</w:t>
      </w:r>
      <w:r>
        <w:rPr>
          <w:rFonts w:ascii="Times New Roman" w:eastAsia="Calibri" w:hAnsi="Times New Roman"/>
          <w:color w:val="000000"/>
          <w:szCs w:val="24"/>
        </w:rPr>
        <w:tab/>
      </w:r>
      <w:r>
        <w:rPr>
          <w:rFonts w:ascii="Times New Roman" w:eastAsia="Calibri" w:hAnsi="Times New Roman"/>
          <w:color w:val="000000"/>
          <w:szCs w:val="24"/>
        </w:rPr>
        <w:tab/>
      </w:r>
      <w:proofErr w:type="spellStart"/>
      <w:r>
        <w:rPr>
          <w:rFonts w:ascii="Times New Roman" w:eastAsia="Calibri" w:hAnsi="Times New Roman"/>
          <w:color w:val="000000"/>
          <w:szCs w:val="24"/>
        </w:rPr>
        <w:t>Mikrouzņēmuma</w:t>
      </w:r>
      <w:proofErr w:type="spellEnd"/>
      <w:r>
        <w:rPr>
          <w:rFonts w:ascii="Times New Roman" w:eastAsia="Calibri" w:hAnsi="Times New Roman"/>
          <w:color w:val="000000"/>
          <w:szCs w:val="24"/>
        </w:rPr>
        <w:t xml:space="preserve"> nodoklis</w:t>
      </w:r>
    </w:p>
    <w:p w14:paraId="323109F9" w14:textId="0EF3481B" w:rsidR="00A64E90" w:rsidRDefault="00A64E90" w:rsidP="00A64E90">
      <w:pPr>
        <w:pStyle w:val="teksts"/>
        <w:spacing w:after="0"/>
        <w:rPr>
          <w:rFonts w:ascii="Times New Roman" w:eastAsia="Calibri" w:hAnsi="Times New Roman"/>
          <w:color w:val="000000"/>
          <w:szCs w:val="24"/>
        </w:rPr>
      </w:pPr>
      <w:r>
        <w:rPr>
          <w:rFonts w:ascii="Times New Roman" w:eastAsia="Calibri" w:hAnsi="Times New Roman"/>
          <w:color w:val="000000"/>
          <w:szCs w:val="24"/>
        </w:rPr>
        <w:t>OECD</w:t>
      </w:r>
      <w:r>
        <w:rPr>
          <w:rFonts w:ascii="Times New Roman" w:eastAsia="Calibri" w:hAnsi="Times New Roman"/>
          <w:color w:val="000000"/>
          <w:szCs w:val="24"/>
        </w:rPr>
        <w:tab/>
      </w:r>
      <w:r>
        <w:rPr>
          <w:rFonts w:ascii="Times New Roman" w:eastAsia="Calibri" w:hAnsi="Times New Roman"/>
          <w:color w:val="000000"/>
          <w:szCs w:val="24"/>
        </w:rPr>
        <w:tab/>
      </w:r>
      <w:r w:rsidRPr="00A64E90">
        <w:rPr>
          <w:rFonts w:ascii="Times New Roman" w:eastAsia="Calibri" w:hAnsi="Times New Roman"/>
          <w:color w:val="000000"/>
          <w:szCs w:val="24"/>
        </w:rPr>
        <w:t>Ekonomiskās sadarbības un attīstības organizācija</w:t>
      </w:r>
    </w:p>
    <w:p w14:paraId="2621DA8C" w14:textId="503C7158" w:rsidR="005D4CA0" w:rsidRDefault="005D4CA0" w:rsidP="00A64E90">
      <w:pPr>
        <w:pStyle w:val="teksts"/>
        <w:spacing w:after="0"/>
        <w:rPr>
          <w:rFonts w:ascii="Times New Roman" w:eastAsia="Calibri" w:hAnsi="Times New Roman"/>
          <w:color w:val="000000"/>
          <w:szCs w:val="24"/>
        </w:rPr>
      </w:pPr>
      <w:r>
        <w:rPr>
          <w:rFonts w:ascii="Times New Roman" w:eastAsia="Calibri" w:hAnsi="Times New Roman"/>
          <w:color w:val="000000"/>
          <w:szCs w:val="24"/>
        </w:rPr>
        <w:t>OIK</w:t>
      </w:r>
      <w:r>
        <w:rPr>
          <w:rFonts w:ascii="Times New Roman" w:eastAsia="Calibri" w:hAnsi="Times New Roman"/>
          <w:color w:val="000000"/>
          <w:szCs w:val="24"/>
        </w:rPr>
        <w:tab/>
      </w:r>
      <w:r>
        <w:rPr>
          <w:rFonts w:ascii="Times New Roman" w:eastAsia="Calibri" w:hAnsi="Times New Roman"/>
          <w:color w:val="000000"/>
          <w:szCs w:val="24"/>
        </w:rPr>
        <w:tab/>
        <w:t>Obligātā iepirkuma komponente</w:t>
      </w:r>
    </w:p>
    <w:p w14:paraId="4E44D99F"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PIKC</w:t>
      </w:r>
      <w:r>
        <w:rPr>
          <w:rFonts w:ascii="Times New Roman" w:eastAsia="Calibri" w:hAnsi="Times New Roman"/>
          <w:color w:val="000000"/>
          <w:szCs w:val="24"/>
        </w:rPr>
        <w:tab/>
      </w:r>
      <w:r w:rsidRPr="004D3A7C">
        <w:rPr>
          <w:rFonts w:ascii="Times New Roman" w:eastAsia="Calibri" w:hAnsi="Times New Roman"/>
          <w:color w:val="000000"/>
          <w:szCs w:val="24"/>
        </w:rPr>
        <w:t>Profesionālās izglītības kompetences centrs</w:t>
      </w:r>
    </w:p>
    <w:p w14:paraId="4C09F9A1"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PVN</w:t>
      </w:r>
      <w:r>
        <w:rPr>
          <w:rFonts w:ascii="Times New Roman" w:eastAsia="Calibri" w:hAnsi="Times New Roman"/>
          <w:color w:val="000000"/>
          <w:szCs w:val="24"/>
        </w:rPr>
        <w:tab/>
      </w:r>
      <w:r>
        <w:rPr>
          <w:rFonts w:ascii="Times New Roman" w:eastAsia="Calibri" w:hAnsi="Times New Roman"/>
          <w:color w:val="000000"/>
          <w:szCs w:val="24"/>
        </w:rPr>
        <w:tab/>
        <w:t>Pievienotās vērtības nodoklis</w:t>
      </w:r>
    </w:p>
    <w:p w14:paraId="2FBF5A2D"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SAM</w:t>
      </w:r>
      <w:r>
        <w:rPr>
          <w:rFonts w:ascii="Times New Roman" w:eastAsia="Calibri" w:hAnsi="Times New Roman"/>
          <w:color w:val="000000"/>
          <w:szCs w:val="24"/>
        </w:rPr>
        <w:tab/>
      </w:r>
      <w:r>
        <w:rPr>
          <w:rFonts w:ascii="Times New Roman" w:eastAsia="Calibri" w:hAnsi="Times New Roman"/>
          <w:color w:val="000000"/>
          <w:szCs w:val="24"/>
        </w:rPr>
        <w:tab/>
        <w:t>Specifiskā atbalsta mērķis</w:t>
      </w:r>
    </w:p>
    <w:p w14:paraId="09157550"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bCs/>
          <w:color w:val="000000"/>
          <w:szCs w:val="24"/>
        </w:rPr>
        <w:t>SEG</w:t>
      </w:r>
      <w:r>
        <w:rPr>
          <w:rFonts w:ascii="Times New Roman" w:eastAsia="Calibri" w:hAnsi="Times New Roman"/>
          <w:bCs/>
          <w:color w:val="000000"/>
          <w:szCs w:val="24"/>
        </w:rPr>
        <w:tab/>
      </w:r>
      <w:r w:rsidRPr="00AF4FFC">
        <w:rPr>
          <w:rFonts w:ascii="Times New Roman" w:eastAsia="Calibri" w:hAnsi="Times New Roman"/>
          <w:color w:val="000000"/>
          <w:szCs w:val="24"/>
        </w:rPr>
        <w:t>Siltumnīcefekta gāzes</w:t>
      </w:r>
    </w:p>
    <w:p w14:paraId="47D22EDD"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SIP</w:t>
      </w:r>
      <w:r>
        <w:rPr>
          <w:rFonts w:ascii="Times New Roman" w:eastAsia="Calibri" w:hAnsi="Times New Roman"/>
          <w:color w:val="000000"/>
          <w:szCs w:val="24"/>
        </w:rPr>
        <w:tab/>
      </w:r>
      <w:r>
        <w:rPr>
          <w:rFonts w:ascii="Times New Roman" w:eastAsia="Calibri" w:hAnsi="Times New Roman"/>
          <w:color w:val="000000"/>
          <w:szCs w:val="24"/>
        </w:rPr>
        <w:tab/>
        <w:t>Stabilitātes un izaugsmes pakts</w:t>
      </w:r>
    </w:p>
    <w:p w14:paraId="23F0AD99" w14:textId="0550E866"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STEM</w:t>
      </w:r>
      <w:r>
        <w:rPr>
          <w:rFonts w:ascii="Times New Roman" w:eastAsia="Calibri" w:hAnsi="Times New Roman"/>
          <w:color w:val="000000"/>
          <w:szCs w:val="24"/>
        </w:rPr>
        <w:tab/>
      </w:r>
      <w:r w:rsidR="005D4CA0">
        <w:rPr>
          <w:rFonts w:ascii="Times New Roman" w:eastAsia="Calibri" w:hAnsi="Times New Roman"/>
          <w:color w:val="000000"/>
          <w:szCs w:val="24"/>
        </w:rPr>
        <w:t>Z</w:t>
      </w:r>
      <w:r w:rsidRPr="004D3A7C">
        <w:rPr>
          <w:rFonts w:ascii="Times New Roman" w:eastAsia="Calibri" w:hAnsi="Times New Roman"/>
          <w:color w:val="000000"/>
          <w:szCs w:val="24"/>
        </w:rPr>
        <w:t>inātne, tehnoloģijas, inženierzinātnes un matemātika (</w:t>
      </w:r>
      <w:proofErr w:type="spellStart"/>
      <w:r w:rsidRPr="004D3A7C">
        <w:rPr>
          <w:rFonts w:ascii="Times New Roman" w:eastAsia="Calibri" w:hAnsi="Times New Roman"/>
          <w:i/>
          <w:color w:val="000000"/>
          <w:szCs w:val="24"/>
        </w:rPr>
        <w:t>science</w:t>
      </w:r>
      <w:proofErr w:type="spellEnd"/>
      <w:r w:rsidRPr="004D3A7C">
        <w:rPr>
          <w:rFonts w:ascii="Times New Roman" w:eastAsia="Calibri" w:hAnsi="Times New Roman"/>
          <w:i/>
          <w:color w:val="000000"/>
          <w:szCs w:val="24"/>
        </w:rPr>
        <w:t xml:space="preserve">, </w:t>
      </w:r>
      <w:proofErr w:type="spellStart"/>
      <w:r w:rsidRPr="004D3A7C">
        <w:rPr>
          <w:rFonts w:ascii="Times New Roman" w:eastAsia="Calibri" w:hAnsi="Times New Roman"/>
          <w:i/>
          <w:color w:val="000000"/>
          <w:szCs w:val="24"/>
        </w:rPr>
        <w:t>technology</w:t>
      </w:r>
      <w:proofErr w:type="spellEnd"/>
      <w:r w:rsidRPr="004D3A7C">
        <w:rPr>
          <w:rFonts w:ascii="Times New Roman" w:eastAsia="Calibri" w:hAnsi="Times New Roman"/>
          <w:i/>
          <w:color w:val="000000"/>
          <w:szCs w:val="24"/>
        </w:rPr>
        <w:t xml:space="preserve">, </w:t>
      </w:r>
      <w:proofErr w:type="spellStart"/>
      <w:r w:rsidRPr="004D3A7C">
        <w:rPr>
          <w:rFonts w:ascii="Times New Roman" w:eastAsia="Calibri" w:hAnsi="Times New Roman"/>
          <w:i/>
          <w:color w:val="000000"/>
          <w:szCs w:val="24"/>
        </w:rPr>
        <w:t>engineering</w:t>
      </w:r>
      <w:proofErr w:type="spellEnd"/>
      <w:r w:rsidRPr="004D3A7C">
        <w:rPr>
          <w:rFonts w:ascii="Times New Roman" w:eastAsia="Calibri" w:hAnsi="Times New Roman"/>
          <w:i/>
          <w:color w:val="000000"/>
          <w:szCs w:val="24"/>
        </w:rPr>
        <w:t xml:space="preserve"> </w:t>
      </w:r>
      <w:proofErr w:type="spellStart"/>
      <w:r w:rsidRPr="004D3A7C">
        <w:rPr>
          <w:rFonts w:ascii="Times New Roman" w:eastAsia="Calibri" w:hAnsi="Times New Roman"/>
          <w:i/>
          <w:color w:val="000000"/>
          <w:szCs w:val="24"/>
        </w:rPr>
        <w:t>and</w:t>
      </w:r>
      <w:proofErr w:type="spellEnd"/>
      <w:r w:rsidRPr="004D3A7C">
        <w:rPr>
          <w:rFonts w:ascii="Times New Roman" w:eastAsia="Calibri" w:hAnsi="Times New Roman"/>
          <w:i/>
          <w:color w:val="000000"/>
          <w:szCs w:val="24"/>
        </w:rPr>
        <w:t xml:space="preserve"> </w:t>
      </w:r>
      <w:proofErr w:type="spellStart"/>
      <w:r w:rsidRPr="004D3A7C">
        <w:rPr>
          <w:rFonts w:ascii="Times New Roman" w:eastAsia="Calibri" w:hAnsi="Times New Roman"/>
          <w:i/>
          <w:color w:val="000000"/>
          <w:szCs w:val="24"/>
        </w:rPr>
        <w:t>mathematics</w:t>
      </w:r>
      <w:proofErr w:type="spellEnd"/>
      <w:r w:rsidRPr="004D3A7C">
        <w:rPr>
          <w:rFonts w:ascii="Times New Roman" w:eastAsia="Calibri" w:hAnsi="Times New Roman"/>
          <w:color w:val="000000"/>
          <w:szCs w:val="24"/>
        </w:rPr>
        <w:t>)</w:t>
      </w:r>
    </w:p>
    <w:p w14:paraId="00BF1578"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TEN</w:t>
      </w:r>
      <w:r>
        <w:rPr>
          <w:rFonts w:ascii="Times New Roman" w:eastAsia="Calibri" w:hAnsi="Times New Roman"/>
          <w:color w:val="000000"/>
          <w:szCs w:val="24"/>
        </w:rPr>
        <w:tab/>
      </w:r>
      <w:r>
        <w:rPr>
          <w:rFonts w:ascii="Times New Roman" w:eastAsia="Calibri" w:hAnsi="Times New Roman"/>
          <w:color w:val="000000"/>
          <w:szCs w:val="24"/>
        </w:rPr>
        <w:tab/>
        <w:t>Transportlīdzekļu ekspluatācijas nodoklis</w:t>
      </w:r>
    </w:p>
    <w:p w14:paraId="795CE73A"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UIN</w:t>
      </w:r>
      <w:r>
        <w:rPr>
          <w:rFonts w:ascii="Times New Roman" w:eastAsia="Calibri" w:hAnsi="Times New Roman"/>
          <w:color w:val="000000"/>
          <w:szCs w:val="24"/>
        </w:rPr>
        <w:tab/>
      </w:r>
      <w:r>
        <w:rPr>
          <w:rFonts w:ascii="Times New Roman" w:eastAsia="Calibri" w:hAnsi="Times New Roman"/>
          <w:color w:val="000000"/>
          <w:szCs w:val="24"/>
        </w:rPr>
        <w:tab/>
        <w:t>Uzņēmuma ienākumu nodoklis</w:t>
      </w:r>
    </w:p>
    <w:p w14:paraId="7588555A" w14:textId="7777777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VARAM</w:t>
      </w:r>
      <w:r>
        <w:rPr>
          <w:rFonts w:ascii="Times New Roman" w:eastAsia="Calibri" w:hAnsi="Times New Roman"/>
          <w:color w:val="000000"/>
          <w:szCs w:val="24"/>
        </w:rPr>
        <w:tab/>
      </w:r>
      <w:r w:rsidRPr="00AF4FFC">
        <w:rPr>
          <w:rFonts w:ascii="Times New Roman" w:eastAsia="Calibri" w:hAnsi="Times New Roman"/>
          <w:color w:val="000000"/>
          <w:szCs w:val="24"/>
        </w:rPr>
        <w:t>Vides aizsardzības un reģionālas attīstības ministrija</w:t>
      </w:r>
    </w:p>
    <w:p w14:paraId="7F5C7E5C" w14:textId="77777777" w:rsidR="004D3A7C" w:rsidRDefault="004D3A7C" w:rsidP="004D3A7C">
      <w:pPr>
        <w:pStyle w:val="teksts"/>
        <w:spacing w:after="0"/>
        <w:rPr>
          <w:rFonts w:ascii="Times New Roman" w:eastAsia="Calibri" w:hAnsi="Times New Roman"/>
          <w:color w:val="000000"/>
          <w:szCs w:val="24"/>
        </w:rPr>
      </w:pPr>
      <w:r>
        <w:rPr>
          <w:rFonts w:ascii="Times New Roman" w:eastAsia="Calibri" w:hAnsi="Times New Roman"/>
          <w:color w:val="000000"/>
          <w:szCs w:val="24"/>
        </w:rPr>
        <w:t>VID</w:t>
      </w:r>
      <w:r>
        <w:rPr>
          <w:rFonts w:ascii="Times New Roman" w:eastAsia="Calibri" w:hAnsi="Times New Roman"/>
          <w:color w:val="000000"/>
          <w:szCs w:val="24"/>
        </w:rPr>
        <w:tab/>
      </w:r>
      <w:r>
        <w:rPr>
          <w:rFonts w:ascii="Times New Roman" w:eastAsia="Calibri" w:hAnsi="Times New Roman"/>
          <w:color w:val="000000"/>
          <w:szCs w:val="24"/>
        </w:rPr>
        <w:tab/>
        <w:t>Valsts ieņēmumu dienests</w:t>
      </w:r>
    </w:p>
    <w:p w14:paraId="13FF238B" w14:textId="32D98627" w:rsidR="004D3A7C" w:rsidRDefault="004D3A7C" w:rsidP="004D3A7C">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VSAOI</w:t>
      </w:r>
      <w:r>
        <w:rPr>
          <w:rFonts w:ascii="Times New Roman" w:eastAsia="Calibri" w:hAnsi="Times New Roman"/>
          <w:color w:val="000000"/>
          <w:szCs w:val="24"/>
        </w:rPr>
        <w:tab/>
      </w:r>
      <w:r w:rsidRPr="00AF4FFC">
        <w:rPr>
          <w:rFonts w:ascii="Times New Roman" w:eastAsia="Calibri" w:hAnsi="Times New Roman"/>
          <w:color w:val="000000"/>
          <w:szCs w:val="24"/>
        </w:rPr>
        <w:t>Valsts sociālās apdrošināšanas obligātās iemaksas</w:t>
      </w:r>
    </w:p>
    <w:p w14:paraId="5DFC6301" w14:textId="51516DDF" w:rsidR="00A64E90" w:rsidRPr="00A64E90" w:rsidRDefault="00A64E90" w:rsidP="004D3A7C">
      <w:pPr>
        <w:pStyle w:val="teksts"/>
        <w:spacing w:after="0"/>
        <w:ind w:left="1440" w:hanging="1440"/>
        <w:rPr>
          <w:rFonts w:ascii="Times New Roman" w:eastAsia="Calibri" w:hAnsi="Times New Roman"/>
          <w:color w:val="000000"/>
          <w:szCs w:val="24"/>
        </w:rPr>
      </w:pPr>
      <w:r w:rsidRPr="00A64E90">
        <w:rPr>
          <w:rFonts w:ascii="Times New Roman" w:eastAsiaTheme="minorHAnsi" w:hAnsi="Times New Roman"/>
          <w:szCs w:val="24"/>
        </w:rPr>
        <w:t>VTBIL</w:t>
      </w:r>
      <w:r w:rsidRPr="00A64E90">
        <w:rPr>
          <w:rFonts w:ascii="Times New Roman" w:eastAsiaTheme="minorHAnsi" w:hAnsi="Times New Roman"/>
          <w:szCs w:val="24"/>
        </w:rPr>
        <w:tab/>
        <w:t>Vidēja termiņa budžeta ietvara likums</w:t>
      </w:r>
    </w:p>
    <w:p w14:paraId="084DACD0" w14:textId="61574DBF" w:rsidR="00A64E90" w:rsidRDefault="00A64E90" w:rsidP="00A64E90">
      <w:pPr>
        <w:pStyle w:val="teksts"/>
        <w:spacing w:after="0"/>
        <w:ind w:left="1440" w:hanging="1440"/>
        <w:rPr>
          <w:rFonts w:ascii="Times New Roman" w:eastAsia="Calibri" w:hAnsi="Times New Roman"/>
          <w:bCs/>
          <w:color w:val="000000"/>
          <w:szCs w:val="24"/>
        </w:rPr>
      </w:pPr>
      <w:r>
        <w:rPr>
          <w:rFonts w:ascii="Times New Roman" w:eastAsia="Calibri" w:hAnsi="Times New Roman"/>
          <w:color w:val="000000"/>
          <w:szCs w:val="24"/>
        </w:rPr>
        <w:t>VTM</w:t>
      </w:r>
      <w:r>
        <w:rPr>
          <w:rFonts w:ascii="Times New Roman" w:eastAsia="Calibri" w:hAnsi="Times New Roman"/>
          <w:color w:val="000000"/>
          <w:szCs w:val="24"/>
        </w:rPr>
        <w:tab/>
      </w:r>
      <w:r w:rsidRPr="00A64E90">
        <w:rPr>
          <w:rFonts w:ascii="Times New Roman" w:eastAsia="Calibri" w:hAnsi="Times New Roman"/>
          <w:color w:val="000000"/>
          <w:szCs w:val="24"/>
        </w:rPr>
        <w:t>Vidēja termiņa strukturālās bilances mērķis</w:t>
      </w:r>
    </w:p>
    <w:p w14:paraId="2D324912" w14:textId="54743DFB" w:rsidR="00C3203D" w:rsidRPr="00F5071D" w:rsidRDefault="004D3A7C" w:rsidP="00F5071D">
      <w:pPr>
        <w:pStyle w:val="teksts"/>
        <w:spacing w:after="0"/>
        <w:ind w:left="1440" w:hanging="1440"/>
        <w:rPr>
          <w:rFonts w:ascii="Times New Roman" w:eastAsia="Calibri" w:hAnsi="Times New Roman"/>
          <w:color w:val="000000"/>
          <w:szCs w:val="24"/>
        </w:rPr>
      </w:pPr>
      <w:r>
        <w:rPr>
          <w:rFonts w:ascii="Times New Roman" w:eastAsia="Calibri" w:hAnsi="Times New Roman"/>
          <w:color w:val="000000"/>
          <w:szCs w:val="24"/>
        </w:rPr>
        <w:t>ZTAI</w:t>
      </w:r>
      <w:r>
        <w:rPr>
          <w:rFonts w:ascii="Times New Roman" w:eastAsia="Calibri" w:hAnsi="Times New Roman"/>
          <w:color w:val="000000"/>
          <w:szCs w:val="24"/>
        </w:rPr>
        <w:tab/>
      </w:r>
      <w:r w:rsidRPr="00AF4FFC">
        <w:rPr>
          <w:rFonts w:ascii="Times New Roman" w:eastAsia="Calibri" w:hAnsi="Times New Roman"/>
          <w:color w:val="000000"/>
          <w:szCs w:val="24"/>
        </w:rPr>
        <w:t xml:space="preserve">Zinātnes, tehnoloģijas attīstības un inovācijas </w:t>
      </w:r>
      <w:r w:rsidR="00F5071D">
        <w:rPr>
          <w:rFonts w:ascii="Times New Roman" w:eastAsia="Calibri" w:hAnsi="Times New Roman"/>
          <w:color w:val="000000"/>
          <w:szCs w:val="24"/>
        </w:rPr>
        <w:t>pamatnostādnes 2014.-2020.gadam</w:t>
      </w:r>
    </w:p>
    <w:p w14:paraId="6C5B0ED8" w14:textId="77777777" w:rsidR="00AA720B" w:rsidRDefault="00AA720B" w:rsidP="00DA2011">
      <w:pPr>
        <w:pStyle w:val="Heading1"/>
        <w:tabs>
          <w:tab w:val="left" w:pos="1276"/>
        </w:tabs>
        <w:spacing w:before="0" w:after="240"/>
        <w:jc w:val="center"/>
        <w:rPr>
          <w:rFonts w:ascii="Times New Roman" w:hAnsi="Times New Roman"/>
          <w:color w:val="18185E"/>
          <w:sz w:val="28"/>
        </w:rPr>
        <w:sectPr w:rsidR="00AA720B" w:rsidSect="00F5071D">
          <w:headerReference w:type="default" r:id="rId49"/>
          <w:footerReference w:type="default" r:id="rId50"/>
          <w:footerReference w:type="first" r:id="rId51"/>
          <w:pgSz w:w="11906" w:h="16838"/>
          <w:pgMar w:top="1418" w:right="1134" w:bottom="1418" w:left="1701" w:header="567" w:footer="737" w:gutter="0"/>
          <w:pgNumType w:start="1"/>
          <w:cols w:space="708"/>
          <w:titlePg/>
          <w:docGrid w:linePitch="360"/>
        </w:sectPr>
      </w:pPr>
      <w:bookmarkStart w:id="1" w:name="_Toc494786335"/>
    </w:p>
    <w:p w14:paraId="628C808B" w14:textId="01170D04" w:rsidR="001F5AEA" w:rsidRPr="006B2FB4" w:rsidRDefault="001F5AEA" w:rsidP="00DA2011">
      <w:pPr>
        <w:pStyle w:val="Heading1"/>
        <w:tabs>
          <w:tab w:val="left" w:pos="1276"/>
        </w:tabs>
        <w:spacing w:before="0" w:after="240"/>
        <w:jc w:val="center"/>
        <w:rPr>
          <w:rFonts w:ascii="Times New Roman" w:hAnsi="Times New Roman"/>
          <w:color w:val="18185E"/>
        </w:rPr>
      </w:pPr>
      <w:r w:rsidRPr="006B2FB4">
        <w:rPr>
          <w:rFonts w:ascii="Times New Roman" w:hAnsi="Times New Roman"/>
          <w:color w:val="18185E"/>
          <w:sz w:val="28"/>
        </w:rPr>
        <w:lastRenderedPageBreak/>
        <w:t>Ievads</w:t>
      </w:r>
      <w:bookmarkEnd w:id="1"/>
    </w:p>
    <w:p w14:paraId="0191D3A5" w14:textId="7E3E6CBF" w:rsidR="007420FD" w:rsidRPr="007420FD" w:rsidRDefault="00083DC0" w:rsidP="00083DC0">
      <w:pPr>
        <w:pStyle w:val="teksts"/>
        <w:spacing w:before="60" w:after="60" w:line="276" w:lineRule="auto"/>
        <w:ind w:firstLine="720"/>
        <w:rPr>
          <w:rFonts w:ascii="Times New Roman" w:eastAsia="Calibri" w:hAnsi="Times New Roman"/>
          <w:color w:val="000000"/>
          <w:szCs w:val="24"/>
        </w:rPr>
      </w:pPr>
      <w:r w:rsidRPr="007420FD">
        <w:rPr>
          <w:rFonts w:ascii="Times New Roman" w:eastAsia="Calibri" w:hAnsi="Times New Roman"/>
          <w:color w:val="000000"/>
          <w:szCs w:val="24"/>
        </w:rPr>
        <w:t xml:space="preserve">Latvijas Republika Eiropas Semestra ietvaros </w:t>
      </w:r>
      <w:r w:rsidR="007420FD" w:rsidRPr="007420FD">
        <w:rPr>
          <w:rFonts w:ascii="Times New Roman" w:eastAsia="Calibri" w:hAnsi="Times New Roman"/>
          <w:color w:val="000000"/>
          <w:szCs w:val="24"/>
        </w:rPr>
        <w:t xml:space="preserve">atbilstoši Eiropas Parlamenta un Padomes Regulai Nr.473/2013 “Par kopīgiem noteikumiem budžeta plānu projektu uzraudzībai un novērtēšanai un pārmērīga budžeta deficīta novēršanai </w:t>
      </w:r>
      <w:proofErr w:type="spellStart"/>
      <w:r w:rsidR="007420FD" w:rsidRPr="007420FD">
        <w:rPr>
          <w:rFonts w:ascii="Times New Roman" w:eastAsia="Calibri" w:hAnsi="Times New Roman"/>
          <w:i/>
          <w:color w:val="000000"/>
          <w:szCs w:val="24"/>
        </w:rPr>
        <w:t>euro</w:t>
      </w:r>
      <w:proofErr w:type="spellEnd"/>
      <w:r w:rsidR="007420FD">
        <w:rPr>
          <w:rFonts w:ascii="Times New Roman" w:eastAsia="Calibri" w:hAnsi="Times New Roman"/>
          <w:color w:val="000000"/>
          <w:szCs w:val="24"/>
        </w:rPr>
        <w:t xml:space="preserve"> </w:t>
      </w:r>
      <w:r w:rsidR="007420FD" w:rsidRPr="007420FD">
        <w:rPr>
          <w:rFonts w:ascii="Times New Roman" w:eastAsia="Calibri" w:hAnsi="Times New Roman"/>
          <w:color w:val="000000"/>
          <w:szCs w:val="24"/>
        </w:rPr>
        <w:t>zonas dalībvalstīs”</w:t>
      </w:r>
      <w:r w:rsidR="006A00B2">
        <w:rPr>
          <w:rFonts w:ascii="Times New Roman" w:eastAsia="Calibri" w:hAnsi="Times New Roman"/>
          <w:color w:val="000000"/>
          <w:szCs w:val="24"/>
        </w:rPr>
        <w:t xml:space="preserve"> iesniedz Vispārējās valdības budžeta plāna projektu </w:t>
      </w:r>
      <w:r w:rsidR="006B28DB">
        <w:rPr>
          <w:rFonts w:ascii="Times New Roman" w:eastAsia="Calibri" w:hAnsi="Times New Roman"/>
          <w:color w:val="000000"/>
          <w:szCs w:val="24"/>
        </w:rPr>
        <w:t>2018</w:t>
      </w:r>
      <w:r w:rsidR="006A00B2">
        <w:rPr>
          <w:rFonts w:ascii="Times New Roman" w:eastAsia="Calibri" w:hAnsi="Times New Roman"/>
          <w:color w:val="000000"/>
          <w:szCs w:val="24"/>
        </w:rPr>
        <w:t>.gadam.</w:t>
      </w:r>
    </w:p>
    <w:p w14:paraId="23885B71" w14:textId="17D3A5EF" w:rsidR="00083DC0" w:rsidRPr="00664FF8" w:rsidRDefault="00083DC0" w:rsidP="00083DC0">
      <w:pPr>
        <w:pStyle w:val="teksts"/>
        <w:spacing w:before="60" w:after="60" w:line="276" w:lineRule="auto"/>
        <w:ind w:firstLine="720"/>
        <w:rPr>
          <w:rFonts w:ascii="Times New Roman" w:eastAsia="Calibri" w:hAnsi="Times New Roman"/>
          <w:color w:val="000000"/>
          <w:szCs w:val="24"/>
        </w:rPr>
      </w:pPr>
      <w:r w:rsidRPr="00664FF8">
        <w:rPr>
          <w:rFonts w:ascii="Times New Roman" w:eastAsia="Calibri" w:hAnsi="Times New Roman"/>
          <w:color w:val="000000"/>
          <w:szCs w:val="24"/>
        </w:rPr>
        <w:t xml:space="preserve">Regula </w:t>
      </w:r>
      <w:r w:rsidR="00664FF8" w:rsidRPr="007420FD">
        <w:rPr>
          <w:rFonts w:ascii="Times New Roman" w:eastAsia="Calibri" w:hAnsi="Times New Roman"/>
          <w:color w:val="000000"/>
          <w:szCs w:val="24"/>
        </w:rPr>
        <w:t xml:space="preserve">Nr.473/2013 </w:t>
      </w:r>
      <w:r w:rsidRPr="00664FF8">
        <w:rPr>
          <w:rFonts w:ascii="Times New Roman" w:eastAsia="Calibri" w:hAnsi="Times New Roman"/>
          <w:color w:val="000000"/>
          <w:szCs w:val="24"/>
        </w:rPr>
        <w:t xml:space="preserve">paredz koordinēt un stiprināt budžeta uzraudzības procesu </w:t>
      </w:r>
      <w:proofErr w:type="spellStart"/>
      <w:r w:rsidRPr="00664FF8">
        <w:rPr>
          <w:rFonts w:ascii="Times New Roman" w:eastAsia="Calibri" w:hAnsi="Times New Roman"/>
          <w:i/>
          <w:color w:val="000000"/>
          <w:szCs w:val="24"/>
        </w:rPr>
        <w:t>euro</w:t>
      </w:r>
      <w:proofErr w:type="spellEnd"/>
      <w:r w:rsidRPr="00664FF8">
        <w:rPr>
          <w:rFonts w:ascii="Times New Roman" w:eastAsia="Calibri" w:hAnsi="Times New Roman"/>
          <w:color w:val="000000"/>
          <w:szCs w:val="24"/>
        </w:rPr>
        <w:t xml:space="preserve"> zonā kopumā: </w:t>
      </w:r>
    </w:p>
    <w:p w14:paraId="4128CCBA" w14:textId="5D95AACD" w:rsidR="00083DC0" w:rsidRPr="00664FF8" w:rsidRDefault="00083DC0" w:rsidP="00083DC0">
      <w:pPr>
        <w:pStyle w:val="teksts"/>
        <w:numPr>
          <w:ilvl w:val="0"/>
          <w:numId w:val="2"/>
        </w:numPr>
        <w:spacing w:before="60" w:after="60" w:line="276" w:lineRule="auto"/>
        <w:rPr>
          <w:rFonts w:ascii="Times New Roman" w:eastAsia="Calibri" w:hAnsi="Times New Roman"/>
          <w:color w:val="000000"/>
          <w:szCs w:val="24"/>
        </w:rPr>
      </w:pPr>
      <w:r w:rsidRPr="00664FF8">
        <w:rPr>
          <w:rFonts w:ascii="Times New Roman" w:eastAsia="Calibri" w:hAnsi="Times New Roman"/>
          <w:color w:val="000000"/>
          <w:szCs w:val="24"/>
        </w:rPr>
        <w:t xml:space="preserve">nodrošinot vienotu budžetu izstrādes laika ietvaru – budžeta procesa uzraudzība, kas tiek veikta pavasarī līdz ar Konverģences un Stabilitātes programmu sagatavošanu un iesniegšanu </w:t>
      </w:r>
      <w:r w:rsidR="001A1170">
        <w:rPr>
          <w:rFonts w:ascii="Times New Roman" w:eastAsia="Calibri" w:hAnsi="Times New Roman"/>
          <w:color w:val="000000"/>
          <w:szCs w:val="24"/>
        </w:rPr>
        <w:t>EK</w:t>
      </w:r>
      <w:r w:rsidRPr="00664FF8">
        <w:rPr>
          <w:rFonts w:ascii="Times New Roman" w:eastAsia="Calibri" w:hAnsi="Times New Roman"/>
          <w:color w:val="000000"/>
          <w:szCs w:val="24"/>
        </w:rPr>
        <w:t xml:space="preserve">, tiek papildināta ar otru uzraudzības fāzi, kas tiek īstenota rudenī, </w:t>
      </w:r>
      <w:proofErr w:type="spellStart"/>
      <w:r w:rsidRPr="00664FF8">
        <w:rPr>
          <w:rFonts w:ascii="Times New Roman" w:eastAsia="Calibri" w:hAnsi="Times New Roman"/>
          <w:i/>
          <w:color w:val="000000"/>
          <w:szCs w:val="24"/>
        </w:rPr>
        <w:t>euro</w:t>
      </w:r>
      <w:proofErr w:type="spellEnd"/>
      <w:r w:rsidRPr="00664FF8">
        <w:rPr>
          <w:rFonts w:ascii="Times New Roman" w:eastAsia="Calibri" w:hAnsi="Times New Roman"/>
          <w:color w:val="000000"/>
          <w:szCs w:val="24"/>
        </w:rPr>
        <w:t xml:space="preserve"> zonas dalībvalstīm gatavojot gadskārtējo valsts budžetu;</w:t>
      </w:r>
    </w:p>
    <w:p w14:paraId="5542CAC5" w14:textId="14500223" w:rsidR="00083DC0" w:rsidRPr="00664FF8" w:rsidRDefault="00083DC0" w:rsidP="00083DC0">
      <w:pPr>
        <w:pStyle w:val="teksts"/>
        <w:numPr>
          <w:ilvl w:val="0"/>
          <w:numId w:val="2"/>
        </w:numPr>
        <w:spacing w:before="60" w:after="60" w:line="276" w:lineRule="auto"/>
        <w:rPr>
          <w:rFonts w:ascii="Times New Roman" w:eastAsia="Calibri" w:hAnsi="Times New Roman"/>
          <w:color w:val="000000"/>
          <w:szCs w:val="24"/>
        </w:rPr>
      </w:pPr>
      <w:r w:rsidRPr="00664FF8">
        <w:rPr>
          <w:rFonts w:ascii="Times New Roman" w:eastAsia="Calibri" w:hAnsi="Times New Roman"/>
          <w:color w:val="000000"/>
          <w:szCs w:val="24"/>
        </w:rPr>
        <w:t xml:space="preserve">nosakot vienotus budžeta principus, kas balstās fiskālajos nosacījumos, ko paredz stiprinātais </w:t>
      </w:r>
      <w:r w:rsidR="001A1170">
        <w:rPr>
          <w:rFonts w:ascii="Times New Roman" w:eastAsia="Calibri" w:hAnsi="Times New Roman"/>
          <w:color w:val="000000"/>
          <w:szCs w:val="24"/>
        </w:rPr>
        <w:t>SIP</w:t>
      </w:r>
      <w:r w:rsidRPr="00664FF8">
        <w:rPr>
          <w:rFonts w:ascii="Times New Roman" w:eastAsia="Calibri" w:hAnsi="Times New Roman"/>
          <w:color w:val="000000"/>
          <w:szCs w:val="24"/>
        </w:rPr>
        <w:t>.</w:t>
      </w:r>
    </w:p>
    <w:p w14:paraId="045DD66D" w14:textId="32578495" w:rsidR="00083DC0" w:rsidRDefault="00DD2655" w:rsidP="00DD2655">
      <w:pPr>
        <w:pStyle w:val="teksts"/>
        <w:spacing w:before="60" w:after="60" w:line="276" w:lineRule="auto"/>
        <w:ind w:firstLine="720"/>
        <w:rPr>
          <w:rFonts w:ascii="Times New Roman" w:eastAsia="Calibri" w:hAnsi="Times New Roman"/>
          <w:color w:val="000000"/>
          <w:szCs w:val="24"/>
        </w:rPr>
      </w:pPr>
      <w:r w:rsidRPr="009E6B12">
        <w:rPr>
          <w:rFonts w:ascii="Times New Roman" w:eastAsia="Calibri" w:hAnsi="Times New Roman"/>
          <w:color w:val="000000"/>
          <w:szCs w:val="24"/>
        </w:rPr>
        <w:t>Latvijas</w:t>
      </w:r>
      <w:r w:rsidR="00083DC0" w:rsidRPr="009E6B12">
        <w:rPr>
          <w:rFonts w:ascii="Times New Roman" w:eastAsia="Calibri" w:hAnsi="Times New Roman"/>
          <w:color w:val="000000"/>
          <w:szCs w:val="24"/>
        </w:rPr>
        <w:t xml:space="preserve"> Vispārējās valdības budžeta plāna projektu</w:t>
      </w:r>
      <w:r w:rsidR="006B28DB" w:rsidRPr="009E6B12">
        <w:rPr>
          <w:rFonts w:ascii="Times New Roman" w:eastAsia="Calibri" w:hAnsi="Times New Roman"/>
          <w:color w:val="000000"/>
          <w:szCs w:val="24"/>
        </w:rPr>
        <w:t xml:space="preserve"> 2018</w:t>
      </w:r>
      <w:r w:rsidR="006E1046" w:rsidRPr="009E6B12">
        <w:rPr>
          <w:rFonts w:ascii="Times New Roman" w:eastAsia="Calibri" w:hAnsi="Times New Roman"/>
          <w:color w:val="000000"/>
          <w:szCs w:val="24"/>
        </w:rPr>
        <w:t>.gadam</w:t>
      </w:r>
      <w:r w:rsidR="00083DC0" w:rsidRPr="009E6B12">
        <w:rPr>
          <w:rFonts w:ascii="Times New Roman" w:eastAsia="Calibri" w:hAnsi="Times New Roman"/>
          <w:color w:val="000000"/>
          <w:szCs w:val="24"/>
        </w:rPr>
        <w:t xml:space="preserve"> </w:t>
      </w:r>
      <w:r w:rsidR="006B28DB" w:rsidRPr="009E6B12">
        <w:rPr>
          <w:rFonts w:ascii="Times New Roman" w:eastAsia="Calibri" w:hAnsi="Times New Roman"/>
          <w:color w:val="000000"/>
          <w:szCs w:val="24"/>
        </w:rPr>
        <w:t>š.g. 10</w:t>
      </w:r>
      <w:r w:rsidR="00BE53CB" w:rsidRPr="009E6B12">
        <w:rPr>
          <w:rFonts w:ascii="Times New Roman" w:eastAsia="Calibri" w:hAnsi="Times New Roman"/>
          <w:color w:val="000000"/>
          <w:szCs w:val="24"/>
        </w:rPr>
        <w:t>.oktobrī</w:t>
      </w:r>
      <w:r w:rsidR="00083DC0" w:rsidRPr="009E6B12">
        <w:rPr>
          <w:rFonts w:ascii="Times New Roman" w:eastAsia="Calibri" w:hAnsi="Times New Roman"/>
          <w:color w:val="000000"/>
          <w:szCs w:val="24"/>
        </w:rPr>
        <w:t xml:space="preserve"> ir apstiprinājusi valdība.</w:t>
      </w:r>
      <w:r w:rsidR="00083DC0" w:rsidRPr="00DD2655">
        <w:rPr>
          <w:rFonts w:ascii="Times New Roman" w:eastAsia="Calibri" w:hAnsi="Times New Roman"/>
          <w:color w:val="000000"/>
          <w:szCs w:val="24"/>
        </w:rPr>
        <w:t xml:space="preserve"> </w:t>
      </w:r>
    </w:p>
    <w:p w14:paraId="62862710" w14:textId="38E6085F" w:rsidR="000F52CD" w:rsidRDefault="000F52CD" w:rsidP="00DD2655">
      <w:pPr>
        <w:pStyle w:val="teksts"/>
        <w:spacing w:before="60" w:after="60" w:line="276" w:lineRule="auto"/>
        <w:ind w:firstLine="720"/>
        <w:rPr>
          <w:rFonts w:ascii="Times New Roman" w:eastAsia="Calibri" w:hAnsi="Times New Roman"/>
          <w:color w:val="000000"/>
          <w:szCs w:val="24"/>
        </w:rPr>
      </w:pPr>
    </w:p>
    <w:p w14:paraId="72A63B0E" w14:textId="1CCB721D" w:rsidR="0095691A" w:rsidRDefault="001F5AEA" w:rsidP="000448AD">
      <w:pPr>
        <w:pStyle w:val="Heading1"/>
        <w:tabs>
          <w:tab w:val="left" w:pos="1276"/>
        </w:tabs>
        <w:spacing w:before="0" w:after="240"/>
        <w:ind w:firstLine="0"/>
        <w:jc w:val="center"/>
        <w:rPr>
          <w:rFonts w:ascii="Times New Roman" w:hAnsi="Times New Roman"/>
          <w:color w:val="18185E"/>
          <w:sz w:val="28"/>
        </w:rPr>
      </w:pPr>
      <w:r w:rsidRPr="00976103">
        <w:rPr>
          <w:rFonts w:eastAsia="Calibri"/>
          <w:b w:val="0"/>
          <w:color w:val="000000"/>
        </w:rPr>
        <w:br w:type="page"/>
      </w:r>
      <w:bookmarkStart w:id="2" w:name="_Toc494786336"/>
      <w:r w:rsidRPr="006B2FB4">
        <w:rPr>
          <w:rFonts w:ascii="Times New Roman" w:hAnsi="Times New Roman"/>
          <w:color w:val="18185E"/>
          <w:sz w:val="28"/>
        </w:rPr>
        <w:lastRenderedPageBreak/>
        <w:t>Makroekonomiskās attīstības scenārijs</w:t>
      </w:r>
      <w:bookmarkEnd w:id="2"/>
    </w:p>
    <w:p w14:paraId="4F46B6E8" w14:textId="3D6EFAB3" w:rsidR="00A517A2" w:rsidRPr="00A517A2" w:rsidRDefault="00A517A2" w:rsidP="005C1F92">
      <w:pPr>
        <w:spacing w:after="0" w:line="276" w:lineRule="auto"/>
        <w:ind w:firstLine="720"/>
        <w:rPr>
          <w:rFonts w:eastAsia="Calibri"/>
          <w:szCs w:val="24"/>
        </w:rPr>
      </w:pPr>
      <w:r w:rsidRPr="00A517A2">
        <w:rPr>
          <w:rFonts w:eastAsia="Calibri"/>
          <w:szCs w:val="24"/>
        </w:rPr>
        <w:t xml:space="preserve">Vidēja termiņa makroekonomiskās attīstības scenārijs 2017.-2020.gadam izstrādāts 2017.gada jūlijā, ņemot vērā 2017.gada 1.ceturkšņa </w:t>
      </w:r>
      <w:r>
        <w:rPr>
          <w:rFonts w:eastAsia="Calibri"/>
          <w:szCs w:val="24"/>
        </w:rPr>
        <w:t>IKP</w:t>
      </w:r>
      <w:r w:rsidRPr="00A517A2">
        <w:rPr>
          <w:rFonts w:eastAsia="Calibri"/>
          <w:szCs w:val="24"/>
        </w:rPr>
        <w:t xml:space="preserve"> datus un līdz 2017.gada jūlijam pieejamo īstermiņa makroekonomisko informāciju. Salīdzinājumā ar Stabilitātes progra</w:t>
      </w:r>
      <w:r w:rsidR="000448AD">
        <w:rPr>
          <w:rFonts w:eastAsia="Calibri"/>
          <w:szCs w:val="24"/>
        </w:rPr>
        <w:t xml:space="preserve">mmu 2017.–2020.gadam, </w:t>
      </w:r>
      <w:r w:rsidR="00BD5770">
        <w:rPr>
          <w:rFonts w:eastAsia="Calibri"/>
          <w:szCs w:val="24"/>
        </w:rPr>
        <w:t>Latvijas IKP izaugsme ir paaugstināta</w:t>
      </w:r>
      <w:r w:rsidRPr="00A517A2">
        <w:rPr>
          <w:rFonts w:eastAsia="Calibri"/>
          <w:szCs w:val="24"/>
        </w:rPr>
        <w:t>, galvenokārt straujāka nekā gaidīts investīciju pieauguma dēļ. Arī inflācijas prognozes ir nedaudz koriģētas uz augšu, pieaugot iekšējo faktoru nozīmei. Savukārt nodarbinātības pieauguma prognozes ir saglabātas nemainīgas. Citu rādītāju prognozes ir precizētas, ņemot vērā aktuālos statistikas datus.</w:t>
      </w:r>
    </w:p>
    <w:p w14:paraId="66E3C93B" w14:textId="5EF59C9A" w:rsidR="00A517A2" w:rsidRPr="00A517A2" w:rsidRDefault="00A517A2" w:rsidP="005C1F92">
      <w:pPr>
        <w:spacing w:after="0" w:line="276" w:lineRule="auto"/>
        <w:ind w:firstLine="720"/>
        <w:rPr>
          <w:rFonts w:eastAsia="Calibri"/>
          <w:szCs w:val="24"/>
        </w:rPr>
      </w:pPr>
      <w:r w:rsidRPr="00A517A2">
        <w:rPr>
          <w:rFonts w:eastAsia="Calibri"/>
          <w:szCs w:val="24"/>
        </w:rPr>
        <w:t xml:space="preserve">Izstrādātās makroekonomisko rādītāju prognozes ir saskaņotas ar Latvijas Banku un </w:t>
      </w:r>
      <w:r w:rsidR="001A1170">
        <w:rPr>
          <w:rFonts w:eastAsia="Calibri"/>
          <w:szCs w:val="24"/>
        </w:rPr>
        <w:t>EM</w:t>
      </w:r>
      <w:r w:rsidRPr="00A517A2">
        <w:rPr>
          <w:rFonts w:eastAsia="Calibri"/>
          <w:szCs w:val="24"/>
        </w:rPr>
        <w:t xml:space="preserve">, parakstot vienošanās protokolu, un tās 4.augustā ir apstiprinājusi Fiskālās disciplīnas padome. Izstrādājot prognozes, FM ir konsultējusies ar Starptautiskā Valūtas fonda un </w:t>
      </w:r>
      <w:r>
        <w:rPr>
          <w:rFonts w:eastAsia="Calibri"/>
          <w:szCs w:val="24"/>
        </w:rPr>
        <w:t>EK</w:t>
      </w:r>
      <w:r w:rsidRPr="00A517A2">
        <w:rPr>
          <w:rFonts w:eastAsia="Calibri"/>
          <w:szCs w:val="24"/>
        </w:rPr>
        <w:t xml:space="preserve"> ekspertiem. Izstrādātās makroekonomisko rādītāju prognozes tika </w:t>
      </w:r>
      <w:r>
        <w:rPr>
          <w:rFonts w:eastAsia="Calibri"/>
          <w:szCs w:val="24"/>
        </w:rPr>
        <w:t xml:space="preserve">izmantotas par pamatu </w:t>
      </w:r>
      <w:r w:rsidR="009A0153">
        <w:rPr>
          <w:rFonts w:eastAsia="Calibri"/>
          <w:szCs w:val="24"/>
        </w:rPr>
        <w:t>VTBIL</w:t>
      </w:r>
      <w:r w:rsidRPr="00A517A2">
        <w:rPr>
          <w:rFonts w:eastAsia="Calibri"/>
          <w:szCs w:val="24"/>
        </w:rPr>
        <w:t xml:space="preserve"> 2018.-2020.gadam izstrādei.</w:t>
      </w:r>
    </w:p>
    <w:p w14:paraId="4BABCC4D" w14:textId="5EFF95C5" w:rsidR="00A517A2" w:rsidRPr="00A517A2" w:rsidRDefault="00A517A2" w:rsidP="005C1F92">
      <w:pPr>
        <w:spacing w:after="0" w:line="276" w:lineRule="auto"/>
        <w:ind w:firstLine="720"/>
        <w:rPr>
          <w:rFonts w:eastAsia="Calibri"/>
          <w:szCs w:val="24"/>
        </w:rPr>
      </w:pPr>
      <w:r w:rsidRPr="00A517A2">
        <w:rPr>
          <w:rFonts w:eastAsia="Calibri"/>
          <w:szCs w:val="24"/>
        </w:rPr>
        <w:t>Makroekonomiskās attīstības scenārijs balstās uz EK 2017.gada pavasara prognožu tehniskajiem pieņēmumi</w:t>
      </w:r>
      <w:r>
        <w:rPr>
          <w:rFonts w:eastAsia="Calibri"/>
          <w:szCs w:val="24"/>
        </w:rPr>
        <w:t>em par naftas cenu attīstību un</w:t>
      </w:r>
      <w:r w:rsidRPr="00A517A2">
        <w:rPr>
          <w:rFonts w:eastAsia="Calibri"/>
          <w:szCs w:val="24"/>
        </w:rPr>
        <w:t xml:space="preserve"> Latvijas tirdzniecības partnervalstu ekonomisko attīstību. Atbilstoši EK scenārijam, ekonomiskā izaugsme 2017.gadā un 2018.gadā pirmo reizi ir gaidāma visās ES valstīs un tiek prognozēts, ka šajos gados ES IKP kopumā pieaugs par 1,9%. ES labos rādītājus arī veicinās ekonomiskā aktivitāte pārējā pasaulē, kā arī iekšzemes pieprasījuma pieaugums. Pēc EK prognozēm, izaugsme pārējā pasaulē paātrināsies no 3,7% 2017.gadā līdz 3,9% 2018.gadā, tajā skaitā ASV ekonomika 2017. un 2018.gadā augs attiecīgi par 2,2% un 2,3%, Ķīnas ekonomika - par 6,6% un 6,3%, un Krievijas ekonomika – par 1,2% un 1,4%.</w:t>
      </w:r>
    </w:p>
    <w:p w14:paraId="18C98715" w14:textId="77777777" w:rsidR="00A517A2" w:rsidRPr="00A517A2" w:rsidRDefault="00A517A2" w:rsidP="005C1F92">
      <w:pPr>
        <w:spacing w:after="0" w:line="276" w:lineRule="auto"/>
        <w:ind w:firstLine="720"/>
        <w:rPr>
          <w:rFonts w:eastAsia="Calibri"/>
          <w:szCs w:val="24"/>
        </w:rPr>
      </w:pPr>
      <w:r w:rsidRPr="00A517A2">
        <w:rPr>
          <w:rFonts w:eastAsia="Calibri"/>
          <w:szCs w:val="24"/>
        </w:rPr>
        <w:t xml:space="preserve">Pasaules pieprasījuma dinamikai un ekonomikas izaugsmei ir labvēlīgas arī stabilās izejvielu cenas un zemās procentu likmes. EK savās prognozēs pieņēma, ka 2017.gadā vidējā naftas cena būs 55,5 dolāri par </w:t>
      </w:r>
      <w:proofErr w:type="spellStart"/>
      <w:r w:rsidRPr="00A517A2">
        <w:rPr>
          <w:rFonts w:eastAsia="Calibri"/>
          <w:szCs w:val="24"/>
        </w:rPr>
        <w:t>Brent</w:t>
      </w:r>
      <w:proofErr w:type="spellEnd"/>
      <w:r w:rsidRPr="00A517A2">
        <w:rPr>
          <w:rFonts w:eastAsia="Calibri"/>
          <w:szCs w:val="24"/>
        </w:rPr>
        <w:t xml:space="preserve"> jēlnaftas barelu un 2018.gadā tā palielināsies līdz 55,9 dolāriem, savukārt EUR/USD kurss 2017. un 2018.gadā saglabāsies stabils un būs 1,06. Turklāt procentu likmes tiek prognozētas stabilas un zemas, īstermiņa likmēm saglabājoties negatīvām -0,3% un  0,2% attiecīgi 2017.gadā un 2018.gadā.</w:t>
      </w:r>
    </w:p>
    <w:p w14:paraId="0712457E" w14:textId="064FF3B2" w:rsidR="00D47730" w:rsidRDefault="00A517A2" w:rsidP="005C1F92">
      <w:pPr>
        <w:spacing w:after="0" w:line="276" w:lineRule="auto"/>
        <w:ind w:firstLine="720"/>
        <w:rPr>
          <w:b/>
          <w:bCs/>
          <w:color w:val="18185E"/>
          <w:szCs w:val="28"/>
          <w:lang w:val="x-none" w:eastAsia="x-none"/>
        </w:rPr>
      </w:pPr>
      <w:r w:rsidRPr="00A517A2">
        <w:rPr>
          <w:rFonts w:eastAsia="Calibri"/>
          <w:szCs w:val="24"/>
        </w:rPr>
        <w:t>Atbilstoši FM prognozēm, Latvijas IKP salīdzināmās cenās 2017.gadā palielināsies par 3,7%, pateicoties straujai izaugsmei gada pirmajā pusē, ko lielā mērā noteica straujāka nekā gaidīts privātā patēriņa izaugsme (prognoze palielināta par 1,7 procentpunktiem līdz 4,8%), kā arī investīciju pieaugums (prognoze palielināta par 6,2 procentpunktiem līdz 11,4%). Sagaidāms, ka arī otrajā pusgadā turpināsies investīciju pieaugums, kas ir saistīts ar ES fondu apguves aktivitātes atjaunošanos. Paredzams, ka nākamajos gados izaugsme būs mērenāka, jo nav gaidāms tik straujš investīciju pieaugums, kāds sekoja pēc krasā investīciju krituma 2016.gadā. Tāpēc IKP 2018.gadā palielināsies par 3,4% un tad 2019. un 2020.gadā pieaugums nostabilizēsies 3,2% līmenī, kas ir tuvu ekonomikas izaugsmes potenciālam.</w:t>
      </w:r>
      <w:r w:rsidR="00D47730">
        <w:rPr>
          <w:color w:val="18185E"/>
        </w:rPr>
        <w:br w:type="page"/>
      </w:r>
    </w:p>
    <w:p w14:paraId="011305D0" w14:textId="11A1CBC0" w:rsidR="00527C18" w:rsidRPr="00527C18" w:rsidRDefault="007369A9" w:rsidP="00527C18">
      <w:pPr>
        <w:pStyle w:val="Heading1"/>
        <w:tabs>
          <w:tab w:val="left" w:pos="1276"/>
        </w:tabs>
        <w:spacing w:before="0" w:after="240"/>
        <w:ind w:firstLine="0"/>
        <w:jc w:val="left"/>
        <w:rPr>
          <w:rFonts w:ascii="Times New Roman" w:hAnsi="Times New Roman"/>
          <w:color w:val="18185E"/>
          <w:sz w:val="24"/>
        </w:rPr>
      </w:pPr>
      <w:bookmarkStart w:id="3" w:name="_Toc494786337"/>
      <w:r>
        <w:rPr>
          <w:rFonts w:ascii="Times New Roman" w:hAnsi="Times New Roman"/>
          <w:color w:val="18185E"/>
          <w:sz w:val="24"/>
        </w:rPr>
        <w:lastRenderedPageBreak/>
        <w:t>Tabula 0.i)</w:t>
      </w:r>
      <w:r w:rsidR="00527C18" w:rsidRPr="00527C18">
        <w:rPr>
          <w:rFonts w:ascii="Times New Roman" w:hAnsi="Times New Roman"/>
          <w:color w:val="18185E"/>
          <w:sz w:val="24"/>
        </w:rPr>
        <w:t>. Ārējās vides pamata pieņēmumi</w:t>
      </w:r>
      <w:bookmarkEnd w:id="3"/>
    </w:p>
    <w:tbl>
      <w:tblPr>
        <w:tblStyle w:val="GridTable6Colorful-Accent11"/>
        <w:tblW w:w="9072" w:type="dxa"/>
        <w:jc w:val="center"/>
        <w:tblLayout w:type="fixed"/>
        <w:tblLook w:val="04A0" w:firstRow="1" w:lastRow="0" w:firstColumn="1" w:lastColumn="0" w:noHBand="0" w:noVBand="1"/>
      </w:tblPr>
      <w:tblGrid>
        <w:gridCol w:w="6799"/>
        <w:gridCol w:w="776"/>
        <w:gridCol w:w="788"/>
        <w:gridCol w:w="709"/>
      </w:tblGrid>
      <w:tr w:rsidR="00527C18" w:rsidRPr="00E877ED" w14:paraId="3B2FBD51" w14:textId="77777777" w:rsidTr="00E877E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hideMark/>
          </w:tcPr>
          <w:p w14:paraId="241C13F4" w14:textId="77777777" w:rsidR="00527C18" w:rsidRPr="00527C18" w:rsidRDefault="00527C18" w:rsidP="00527C18">
            <w:pPr>
              <w:spacing w:after="0"/>
              <w:ind w:firstLine="0"/>
              <w:jc w:val="left"/>
              <w:rPr>
                <w:rFonts w:ascii="Arial" w:hAnsi="Arial" w:cs="Arial"/>
                <w:color w:val="auto"/>
                <w:lang w:eastAsia="lv-LV"/>
              </w:rPr>
            </w:pPr>
            <w:r w:rsidRPr="00527C18">
              <w:rPr>
                <w:rFonts w:ascii="Arial" w:hAnsi="Arial" w:cs="Arial"/>
                <w:color w:val="auto"/>
                <w:lang w:eastAsia="lv-LV"/>
              </w:rPr>
              <w:t> </w:t>
            </w:r>
          </w:p>
        </w:tc>
        <w:tc>
          <w:tcPr>
            <w:tcW w:w="776" w:type="dxa"/>
            <w:vAlign w:val="center"/>
            <w:hideMark/>
          </w:tcPr>
          <w:p w14:paraId="0E883F68" w14:textId="7B6E8B9A" w:rsidR="00527C18" w:rsidRPr="00527C18" w:rsidRDefault="006F3B5B"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2016</w:t>
            </w:r>
          </w:p>
        </w:tc>
        <w:tc>
          <w:tcPr>
            <w:tcW w:w="788" w:type="dxa"/>
            <w:vAlign w:val="center"/>
            <w:hideMark/>
          </w:tcPr>
          <w:p w14:paraId="1BF541C4" w14:textId="7DF2317E" w:rsidR="00527C18" w:rsidRPr="00527C18" w:rsidRDefault="006F3B5B"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2017</w:t>
            </w:r>
          </w:p>
        </w:tc>
        <w:tc>
          <w:tcPr>
            <w:tcW w:w="709" w:type="dxa"/>
            <w:vAlign w:val="center"/>
            <w:hideMark/>
          </w:tcPr>
          <w:p w14:paraId="2AE8AC89" w14:textId="237472ED" w:rsidR="00527C18" w:rsidRPr="00527C18" w:rsidRDefault="006F3B5B"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2018</w:t>
            </w:r>
          </w:p>
        </w:tc>
      </w:tr>
      <w:tr w:rsidR="00527C18" w:rsidRPr="00E877ED" w14:paraId="11AAE9E9" w14:textId="77777777" w:rsidTr="007A31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317E9316" w14:textId="373324B6" w:rsidR="00527C18" w:rsidRPr="00527C18" w:rsidRDefault="00527C18" w:rsidP="00083DC0">
            <w:pPr>
              <w:spacing w:after="0"/>
              <w:ind w:firstLine="0"/>
              <w:jc w:val="left"/>
              <w:rPr>
                <w:color w:val="auto"/>
                <w:szCs w:val="22"/>
                <w:lang w:eastAsia="lv-LV"/>
              </w:rPr>
            </w:pPr>
            <w:r w:rsidRPr="00527C18">
              <w:rPr>
                <w:color w:val="auto"/>
                <w:szCs w:val="22"/>
                <w:lang w:eastAsia="lv-LV"/>
              </w:rPr>
              <w:t xml:space="preserve">Īstermiņa procentu likme </w:t>
            </w:r>
            <w:proofErr w:type="spellStart"/>
            <w:r w:rsidR="00083DC0">
              <w:rPr>
                <w:i/>
                <w:color w:val="auto"/>
                <w:szCs w:val="22"/>
                <w:lang w:eastAsia="lv-LV"/>
              </w:rPr>
              <w:t>euro</w:t>
            </w:r>
            <w:proofErr w:type="spellEnd"/>
            <w:r w:rsidR="00083DC0">
              <w:rPr>
                <w:color w:val="auto"/>
                <w:szCs w:val="22"/>
                <w:lang w:eastAsia="lv-LV"/>
              </w:rPr>
              <w:t xml:space="preserve"> </w:t>
            </w:r>
            <w:r w:rsidRPr="00527C18">
              <w:rPr>
                <w:color w:val="auto"/>
                <w:szCs w:val="22"/>
                <w:lang w:eastAsia="lv-LV"/>
              </w:rPr>
              <w:t>zonā (gada vidējā)</w:t>
            </w:r>
          </w:p>
        </w:tc>
        <w:tc>
          <w:tcPr>
            <w:tcW w:w="776" w:type="dxa"/>
            <w:vAlign w:val="center"/>
          </w:tcPr>
          <w:p w14:paraId="4D576841" w14:textId="0E425A77" w:rsidR="00527C18" w:rsidRPr="00527C18" w:rsidRDefault="00527C18"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p>
        </w:tc>
        <w:tc>
          <w:tcPr>
            <w:tcW w:w="788" w:type="dxa"/>
            <w:vAlign w:val="center"/>
          </w:tcPr>
          <w:p w14:paraId="2D476706" w14:textId="4888AF6A" w:rsidR="00527C18" w:rsidRPr="00527C18" w:rsidRDefault="00CC2899"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-0,3</w:t>
            </w:r>
          </w:p>
        </w:tc>
        <w:tc>
          <w:tcPr>
            <w:tcW w:w="709" w:type="dxa"/>
            <w:vAlign w:val="center"/>
          </w:tcPr>
          <w:p w14:paraId="274809C1" w14:textId="5128A196" w:rsidR="00527C18" w:rsidRPr="00527C18" w:rsidRDefault="00CC2899"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-0,2</w:t>
            </w:r>
          </w:p>
        </w:tc>
      </w:tr>
      <w:tr w:rsidR="00527C18" w:rsidRPr="00E877ED" w14:paraId="66B8BFD9" w14:textId="77777777" w:rsidTr="007A318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4DC5D58" w14:textId="0CE66A17" w:rsidR="00527C18" w:rsidRPr="00527C18" w:rsidRDefault="00527C18" w:rsidP="00083DC0">
            <w:pPr>
              <w:spacing w:after="0"/>
              <w:ind w:firstLine="0"/>
              <w:jc w:val="left"/>
              <w:rPr>
                <w:color w:val="auto"/>
                <w:szCs w:val="22"/>
                <w:lang w:eastAsia="lv-LV"/>
              </w:rPr>
            </w:pPr>
            <w:r w:rsidRPr="00527C18">
              <w:rPr>
                <w:color w:val="auto"/>
                <w:szCs w:val="22"/>
                <w:lang w:eastAsia="lv-LV"/>
              </w:rPr>
              <w:t xml:space="preserve">Ilgtermiņa procentu likme </w:t>
            </w:r>
            <w:proofErr w:type="spellStart"/>
            <w:r w:rsidR="00083DC0">
              <w:rPr>
                <w:i/>
                <w:color w:val="auto"/>
                <w:szCs w:val="22"/>
                <w:lang w:eastAsia="lv-LV"/>
              </w:rPr>
              <w:t>euro</w:t>
            </w:r>
            <w:proofErr w:type="spellEnd"/>
            <w:r w:rsidR="00083DC0">
              <w:rPr>
                <w:color w:val="auto"/>
                <w:szCs w:val="22"/>
                <w:lang w:eastAsia="lv-LV"/>
              </w:rPr>
              <w:t xml:space="preserve"> </w:t>
            </w:r>
            <w:r w:rsidRPr="00527C18">
              <w:rPr>
                <w:color w:val="auto"/>
                <w:szCs w:val="22"/>
                <w:lang w:eastAsia="lv-LV"/>
              </w:rPr>
              <w:t>zonā (gada vidējā)</w:t>
            </w:r>
          </w:p>
        </w:tc>
        <w:tc>
          <w:tcPr>
            <w:tcW w:w="776" w:type="dxa"/>
            <w:vAlign w:val="center"/>
          </w:tcPr>
          <w:p w14:paraId="17B8E8F3" w14:textId="3A81EEB9" w:rsidR="00527C18" w:rsidRPr="00527C18" w:rsidRDefault="00527C18"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p>
        </w:tc>
        <w:tc>
          <w:tcPr>
            <w:tcW w:w="788" w:type="dxa"/>
            <w:vAlign w:val="center"/>
          </w:tcPr>
          <w:p w14:paraId="2BCD6A40" w14:textId="39227A51" w:rsidR="00527C18" w:rsidRPr="00527C18" w:rsidRDefault="00CC2899"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0,3</w:t>
            </w:r>
          </w:p>
        </w:tc>
        <w:tc>
          <w:tcPr>
            <w:tcW w:w="709" w:type="dxa"/>
            <w:vAlign w:val="center"/>
          </w:tcPr>
          <w:p w14:paraId="0271E708" w14:textId="4C46B4E0" w:rsidR="00527C18" w:rsidRPr="00527C18" w:rsidRDefault="00CC2899"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0,4</w:t>
            </w:r>
          </w:p>
        </w:tc>
      </w:tr>
      <w:tr w:rsidR="00527C18" w:rsidRPr="00E877ED" w14:paraId="2FD3BCF5" w14:textId="77777777" w:rsidTr="007A31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58A4CC89"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USD/EUR kurss (gada vidējais)</w:t>
            </w:r>
          </w:p>
        </w:tc>
        <w:tc>
          <w:tcPr>
            <w:tcW w:w="776" w:type="dxa"/>
            <w:vAlign w:val="center"/>
          </w:tcPr>
          <w:p w14:paraId="66D50B5D" w14:textId="6DF07E83" w:rsidR="00527C18" w:rsidRPr="00527C18" w:rsidRDefault="00CC2899"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1,11</w:t>
            </w:r>
          </w:p>
        </w:tc>
        <w:tc>
          <w:tcPr>
            <w:tcW w:w="788" w:type="dxa"/>
            <w:vAlign w:val="center"/>
          </w:tcPr>
          <w:p w14:paraId="1621CDCC" w14:textId="097E86A3" w:rsidR="00527C18" w:rsidRPr="00527C18" w:rsidRDefault="00CC2899"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1,06</w:t>
            </w:r>
          </w:p>
        </w:tc>
        <w:tc>
          <w:tcPr>
            <w:tcW w:w="709" w:type="dxa"/>
            <w:vAlign w:val="center"/>
          </w:tcPr>
          <w:p w14:paraId="29E0CAE0" w14:textId="52D305C8" w:rsidR="00527C18" w:rsidRPr="00527C18" w:rsidRDefault="00CC2899"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1,06</w:t>
            </w:r>
          </w:p>
        </w:tc>
      </w:tr>
      <w:tr w:rsidR="00527C18" w:rsidRPr="00E877ED" w14:paraId="79814AFD" w14:textId="77777777" w:rsidTr="007A318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904C4B7"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Nominālais efektīvais maiņas kurss ES</w:t>
            </w:r>
          </w:p>
        </w:tc>
        <w:tc>
          <w:tcPr>
            <w:tcW w:w="776" w:type="dxa"/>
            <w:vAlign w:val="center"/>
          </w:tcPr>
          <w:p w14:paraId="2A4839AD" w14:textId="2B9B1255" w:rsidR="00527C18" w:rsidRPr="00527C18" w:rsidRDefault="00CC2899"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-7,3</w:t>
            </w:r>
          </w:p>
        </w:tc>
        <w:tc>
          <w:tcPr>
            <w:tcW w:w="788" w:type="dxa"/>
            <w:vAlign w:val="center"/>
          </w:tcPr>
          <w:p w14:paraId="2FD96A9B" w14:textId="129FE169" w:rsidR="00527C18" w:rsidRPr="00527C18" w:rsidRDefault="00CC2899"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-1,3</w:t>
            </w:r>
          </w:p>
        </w:tc>
        <w:tc>
          <w:tcPr>
            <w:tcW w:w="709" w:type="dxa"/>
            <w:vAlign w:val="center"/>
          </w:tcPr>
          <w:p w14:paraId="42DB7E19" w14:textId="7B05FFED" w:rsidR="00527C18" w:rsidRPr="00527C18" w:rsidRDefault="00CC2899"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-1,2</w:t>
            </w:r>
          </w:p>
        </w:tc>
      </w:tr>
      <w:tr w:rsidR="00527C18" w:rsidRPr="00E877ED" w14:paraId="26EDB47D" w14:textId="77777777" w:rsidTr="007A31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7026B7CE"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Pasaules IKP, izņemot ES, pieaugums salīdzināmās cenās, %</w:t>
            </w:r>
          </w:p>
        </w:tc>
        <w:tc>
          <w:tcPr>
            <w:tcW w:w="776" w:type="dxa"/>
            <w:vAlign w:val="center"/>
          </w:tcPr>
          <w:p w14:paraId="2715205A" w14:textId="3AF35828" w:rsidR="00527C18" w:rsidRPr="00527C18" w:rsidRDefault="00CC2899"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3,2</w:t>
            </w:r>
          </w:p>
        </w:tc>
        <w:tc>
          <w:tcPr>
            <w:tcW w:w="788" w:type="dxa"/>
            <w:vAlign w:val="center"/>
          </w:tcPr>
          <w:p w14:paraId="7086D916" w14:textId="182A0D09" w:rsidR="00527C18" w:rsidRPr="00527C18" w:rsidRDefault="00CC2899"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3,7</w:t>
            </w:r>
          </w:p>
        </w:tc>
        <w:tc>
          <w:tcPr>
            <w:tcW w:w="709" w:type="dxa"/>
            <w:vAlign w:val="center"/>
          </w:tcPr>
          <w:p w14:paraId="00430A45" w14:textId="2788F27F" w:rsidR="00527C18" w:rsidRPr="00527C18" w:rsidRDefault="00CC2899"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3,9</w:t>
            </w:r>
          </w:p>
        </w:tc>
      </w:tr>
      <w:tr w:rsidR="00527C18" w:rsidRPr="00E877ED" w14:paraId="4936BCD2" w14:textId="77777777" w:rsidTr="007A318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831D477"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ES IKP pieaugums salīdzināmās cenās, %</w:t>
            </w:r>
          </w:p>
        </w:tc>
        <w:tc>
          <w:tcPr>
            <w:tcW w:w="776" w:type="dxa"/>
            <w:vAlign w:val="center"/>
          </w:tcPr>
          <w:p w14:paraId="61F04EFA" w14:textId="49170AA0" w:rsidR="00527C18" w:rsidRPr="00527C18" w:rsidRDefault="00CC2899"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1,9</w:t>
            </w:r>
          </w:p>
        </w:tc>
        <w:tc>
          <w:tcPr>
            <w:tcW w:w="788" w:type="dxa"/>
            <w:vAlign w:val="center"/>
          </w:tcPr>
          <w:p w14:paraId="5B12B173" w14:textId="0ED48FE6" w:rsidR="00527C18" w:rsidRPr="00527C18" w:rsidRDefault="00CC2899"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1,9</w:t>
            </w:r>
          </w:p>
        </w:tc>
        <w:tc>
          <w:tcPr>
            <w:tcW w:w="709" w:type="dxa"/>
            <w:vAlign w:val="center"/>
          </w:tcPr>
          <w:p w14:paraId="772E6071" w14:textId="2879DF2B" w:rsidR="00527C18" w:rsidRPr="00527C18" w:rsidRDefault="00CC2899"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1,9</w:t>
            </w:r>
          </w:p>
        </w:tc>
      </w:tr>
      <w:tr w:rsidR="00527C18" w:rsidRPr="00E877ED" w14:paraId="55CCB281" w14:textId="77777777" w:rsidTr="007A318D">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53F6A22C"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Pasaules preču un pakalpojumu tirdzniecības apjomu izmaiņas ES eksporta tirgos, izslēdzot ES, %</w:t>
            </w:r>
          </w:p>
        </w:tc>
        <w:tc>
          <w:tcPr>
            <w:tcW w:w="776" w:type="dxa"/>
            <w:vAlign w:val="center"/>
          </w:tcPr>
          <w:p w14:paraId="37AE67E1" w14:textId="0997463E" w:rsidR="00527C18" w:rsidRPr="00527C18" w:rsidRDefault="00CC2899"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0,8</w:t>
            </w:r>
          </w:p>
        </w:tc>
        <w:tc>
          <w:tcPr>
            <w:tcW w:w="788" w:type="dxa"/>
            <w:vAlign w:val="center"/>
          </w:tcPr>
          <w:p w14:paraId="38D40532" w14:textId="16C6476F" w:rsidR="00527C18" w:rsidRPr="00527C18" w:rsidRDefault="00CC2899"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3,1</w:t>
            </w:r>
          </w:p>
        </w:tc>
        <w:tc>
          <w:tcPr>
            <w:tcW w:w="709" w:type="dxa"/>
            <w:vAlign w:val="center"/>
          </w:tcPr>
          <w:p w14:paraId="38D81C91" w14:textId="2CCD24BD" w:rsidR="00527C18" w:rsidRPr="00527C18" w:rsidRDefault="00CC2899" w:rsidP="00527C1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3,8</w:t>
            </w:r>
          </w:p>
        </w:tc>
      </w:tr>
      <w:tr w:rsidR="00527C18" w:rsidRPr="00E877ED" w14:paraId="35A8B841" w14:textId="77777777" w:rsidTr="007A318D">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8E8D1D0" w14:textId="77777777" w:rsidR="00527C18" w:rsidRPr="00527C18" w:rsidRDefault="00527C18" w:rsidP="00527C18">
            <w:pPr>
              <w:spacing w:after="0"/>
              <w:ind w:firstLine="0"/>
              <w:jc w:val="left"/>
              <w:rPr>
                <w:color w:val="auto"/>
                <w:szCs w:val="22"/>
                <w:lang w:eastAsia="lv-LV"/>
              </w:rPr>
            </w:pPr>
            <w:r w:rsidRPr="00527C18">
              <w:rPr>
                <w:color w:val="auto"/>
                <w:szCs w:val="22"/>
                <w:lang w:eastAsia="lv-LV"/>
              </w:rPr>
              <w:t>Pasaules preču un pakalpojumu importa apjomu izmaiņas, izslēdzot ES, %</w:t>
            </w:r>
          </w:p>
        </w:tc>
        <w:tc>
          <w:tcPr>
            <w:tcW w:w="776" w:type="dxa"/>
            <w:vAlign w:val="center"/>
          </w:tcPr>
          <w:p w14:paraId="6DA18842" w14:textId="1E4930D8" w:rsidR="00527C18" w:rsidRPr="00527C18" w:rsidRDefault="00CC2899"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0,8</w:t>
            </w:r>
          </w:p>
        </w:tc>
        <w:tc>
          <w:tcPr>
            <w:tcW w:w="788" w:type="dxa"/>
            <w:vAlign w:val="center"/>
          </w:tcPr>
          <w:p w14:paraId="68F54476" w14:textId="72E3026E" w:rsidR="00527C18" w:rsidRPr="00527C18" w:rsidRDefault="00CC2899"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3,1</w:t>
            </w:r>
          </w:p>
        </w:tc>
        <w:tc>
          <w:tcPr>
            <w:tcW w:w="709" w:type="dxa"/>
            <w:vAlign w:val="center"/>
          </w:tcPr>
          <w:p w14:paraId="24503FB5" w14:textId="207D9363" w:rsidR="00527C18" w:rsidRPr="00527C18" w:rsidRDefault="00CC2899" w:rsidP="00527C18">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3,8</w:t>
            </w:r>
          </w:p>
        </w:tc>
      </w:tr>
      <w:tr w:rsidR="00CD02FF" w:rsidRPr="00E877ED" w14:paraId="293413CB" w14:textId="77777777" w:rsidTr="007A31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4B1639E" w14:textId="77777777" w:rsidR="00CD02FF" w:rsidRPr="00527C18" w:rsidRDefault="00CD02FF" w:rsidP="00CD02FF">
            <w:pPr>
              <w:spacing w:after="0"/>
              <w:ind w:firstLine="0"/>
              <w:jc w:val="left"/>
              <w:rPr>
                <w:color w:val="auto"/>
                <w:szCs w:val="22"/>
                <w:lang w:eastAsia="lv-LV"/>
              </w:rPr>
            </w:pPr>
            <w:r w:rsidRPr="00527C18">
              <w:rPr>
                <w:color w:val="auto"/>
                <w:szCs w:val="22"/>
                <w:lang w:eastAsia="lv-LV"/>
              </w:rPr>
              <w:t>Naftas cena (</w:t>
            </w:r>
            <w:proofErr w:type="spellStart"/>
            <w:r w:rsidRPr="00381267">
              <w:rPr>
                <w:i/>
                <w:color w:val="auto"/>
                <w:szCs w:val="22"/>
                <w:lang w:eastAsia="lv-LV"/>
              </w:rPr>
              <w:t>Brent</w:t>
            </w:r>
            <w:proofErr w:type="spellEnd"/>
            <w:r w:rsidRPr="00527C18">
              <w:rPr>
                <w:color w:val="auto"/>
                <w:szCs w:val="22"/>
                <w:lang w:eastAsia="lv-LV"/>
              </w:rPr>
              <w:t>, USD par barelu)</w:t>
            </w:r>
          </w:p>
        </w:tc>
        <w:tc>
          <w:tcPr>
            <w:tcW w:w="776" w:type="dxa"/>
            <w:vAlign w:val="center"/>
          </w:tcPr>
          <w:p w14:paraId="0084583B" w14:textId="1AD23FBF" w:rsidR="00CD02FF" w:rsidRPr="00527C18" w:rsidRDefault="00CC2899" w:rsidP="00CD02F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44,8</w:t>
            </w:r>
          </w:p>
        </w:tc>
        <w:tc>
          <w:tcPr>
            <w:tcW w:w="788" w:type="dxa"/>
            <w:vAlign w:val="center"/>
          </w:tcPr>
          <w:p w14:paraId="703988D3" w14:textId="1F774247" w:rsidR="00CD02FF" w:rsidRPr="00527C18" w:rsidRDefault="00CC2899" w:rsidP="00CD02F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55,5</w:t>
            </w:r>
          </w:p>
        </w:tc>
        <w:tc>
          <w:tcPr>
            <w:tcW w:w="709" w:type="dxa"/>
            <w:vAlign w:val="center"/>
          </w:tcPr>
          <w:p w14:paraId="6A430C19" w14:textId="617BF079" w:rsidR="00CD02FF" w:rsidRPr="00527C18" w:rsidRDefault="00CC2899" w:rsidP="00CD02FF">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55,9</w:t>
            </w:r>
          </w:p>
        </w:tc>
      </w:tr>
    </w:tbl>
    <w:p w14:paraId="51D2B2F6" w14:textId="77777777" w:rsidR="00527C18" w:rsidRPr="006F7B6D" w:rsidRDefault="00527C18" w:rsidP="002E3D3D">
      <w:pPr>
        <w:spacing w:after="0"/>
        <w:ind w:firstLine="720"/>
        <w:rPr>
          <w:szCs w:val="24"/>
        </w:rPr>
      </w:pPr>
    </w:p>
    <w:p w14:paraId="25BE7AE4" w14:textId="77777777" w:rsidR="00D47730" w:rsidRDefault="00D47730">
      <w:pPr>
        <w:spacing w:after="0"/>
        <w:ind w:firstLine="0"/>
        <w:jc w:val="left"/>
        <w:rPr>
          <w:b/>
          <w:bCs/>
          <w:color w:val="18185E"/>
          <w:szCs w:val="28"/>
          <w:lang w:val="x-none" w:eastAsia="x-none"/>
        </w:rPr>
      </w:pPr>
      <w:r>
        <w:rPr>
          <w:color w:val="18185E"/>
        </w:rPr>
        <w:br w:type="page"/>
      </w:r>
    </w:p>
    <w:p w14:paraId="50783C64" w14:textId="2391A6F3"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bookmarkStart w:id="4" w:name="_Toc494786338"/>
      <w:r w:rsidRPr="001D5709">
        <w:rPr>
          <w:rFonts w:ascii="Times New Roman" w:hAnsi="Times New Roman"/>
          <w:color w:val="18185E"/>
          <w:sz w:val="24"/>
        </w:rPr>
        <w:lastRenderedPageBreak/>
        <w:t>Tabula 1a: Izaugsme un ar to saistītie faktori</w:t>
      </w:r>
      <w:bookmarkEnd w:id="4"/>
    </w:p>
    <w:tbl>
      <w:tblPr>
        <w:tblStyle w:val="GridTable6Colorful-Accent11"/>
        <w:tblW w:w="9072" w:type="dxa"/>
        <w:jc w:val="center"/>
        <w:tblLayout w:type="fixed"/>
        <w:tblLook w:val="04A0" w:firstRow="1" w:lastRow="0" w:firstColumn="1" w:lastColumn="0" w:noHBand="0" w:noVBand="1"/>
      </w:tblPr>
      <w:tblGrid>
        <w:gridCol w:w="3119"/>
        <w:gridCol w:w="1417"/>
        <w:gridCol w:w="1418"/>
        <w:gridCol w:w="1134"/>
        <w:gridCol w:w="1129"/>
        <w:gridCol w:w="855"/>
      </w:tblGrid>
      <w:tr w:rsidR="00C32D1D" w:rsidRPr="001B0074" w14:paraId="2C7CD67A" w14:textId="77777777" w:rsidTr="001B0074">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FB1A611" w14:textId="77777777" w:rsidR="00C32D1D" w:rsidRPr="001B0074" w:rsidRDefault="00C32D1D" w:rsidP="006B2FB4">
            <w:pPr>
              <w:spacing w:after="0"/>
              <w:ind w:firstLineChars="100" w:firstLine="240"/>
              <w:jc w:val="left"/>
              <w:rPr>
                <w:color w:val="000000"/>
                <w:szCs w:val="24"/>
                <w:lang w:eastAsia="lv-LV"/>
              </w:rPr>
            </w:pPr>
            <w:r w:rsidRPr="001B0074">
              <w:rPr>
                <w:color w:val="000000"/>
                <w:szCs w:val="24"/>
                <w:lang w:eastAsia="lv-LV"/>
              </w:rPr>
              <w:t> </w:t>
            </w:r>
          </w:p>
        </w:tc>
        <w:tc>
          <w:tcPr>
            <w:tcW w:w="1417" w:type="dxa"/>
            <w:vAlign w:val="center"/>
            <w:hideMark/>
          </w:tcPr>
          <w:p w14:paraId="4D3C9691" w14:textId="30644C73" w:rsidR="00C32D1D" w:rsidRPr="001B0074" w:rsidRDefault="000318B2" w:rsidP="001A1170">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EKS k</w:t>
            </w:r>
            <w:r w:rsidR="00C32D1D" w:rsidRPr="001B0074">
              <w:rPr>
                <w:color w:val="000000"/>
                <w:szCs w:val="24"/>
                <w:lang w:eastAsia="lv-LV"/>
              </w:rPr>
              <w:t>ods</w:t>
            </w:r>
          </w:p>
        </w:tc>
        <w:tc>
          <w:tcPr>
            <w:tcW w:w="1418" w:type="dxa"/>
            <w:vAlign w:val="center"/>
            <w:hideMark/>
          </w:tcPr>
          <w:p w14:paraId="286921F4" w14:textId="730CE1AB" w:rsidR="00C32D1D" w:rsidRPr="001B0074"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2016</w:t>
            </w:r>
          </w:p>
        </w:tc>
        <w:tc>
          <w:tcPr>
            <w:tcW w:w="1134" w:type="dxa"/>
            <w:vAlign w:val="center"/>
            <w:hideMark/>
          </w:tcPr>
          <w:p w14:paraId="644848FB" w14:textId="11461634" w:rsidR="00C32D1D" w:rsidRPr="001B0074"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2016</w:t>
            </w:r>
          </w:p>
        </w:tc>
        <w:tc>
          <w:tcPr>
            <w:tcW w:w="1129" w:type="dxa"/>
            <w:vAlign w:val="center"/>
            <w:hideMark/>
          </w:tcPr>
          <w:p w14:paraId="4424BFFE" w14:textId="4584312A" w:rsidR="00C32D1D" w:rsidRPr="001B0074"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855" w:type="dxa"/>
            <w:vAlign w:val="center"/>
            <w:hideMark/>
          </w:tcPr>
          <w:p w14:paraId="50E641F3" w14:textId="7D660A89" w:rsidR="00C32D1D" w:rsidRPr="001B0074"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r>
      <w:tr w:rsidR="00C32D1D" w:rsidRPr="001B0074" w14:paraId="39F54910" w14:textId="77777777" w:rsidTr="00777B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C3CDFEF" w14:textId="77777777" w:rsidR="00C32D1D" w:rsidRPr="001B0074" w:rsidRDefault="00C32D1D" w:rsidP="006B2FB4">
            <w:pPr>
              <w:spacing w:after="0"/>
              <w:ind w:firstLineChars="100" w:firstLine="240"/>
              <w:jc w:val="left"/>
              <w:rPr>
                <w:color w:val="000000"/>
                <w:szCs w:val="24"/>
                <w:lang w:eastAsia="lv-LV"/>
              </w:rPr>
            </w:pPr>
            <w:r w:rsidRPr="001B0074">
              <w:rPr>
                <w:color w:val="000000"/>
                <w:szCs w:val="24"/>
                <w:lang w:eastAsia="lv-LV"/>
              </w:rPr>
              <w:t> </w:t>
            </w:r>
          </w:p>
        </w:tc>
        <w:tc>
          <w:tcPr>
            <w:tcW w:w="1417" w:type="dxa"/>
            <w:vAlign w:val="center"/>
            <w:hideMark/>
          </w:tcPr>
          <w:p w14:paraId="5667B6F4" w14:textId="7B3FBCD5"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hideMark/>
          </w:tcPr>
          <w:p w14:paraId="63E29464" w14:textId="57BD8FDE" w:rsidR="00C32D1D" w:rsidRPr="001B0074" w:rsidRDefault="005B0736" w:rsidP="006B2FB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3118" w:type="dxa"/>
            <w:gridSpan w:val="3"/>
            <w:hideMark/>
          </w:tcPr>
          <w:p w14:paraId="0663B3CC" w14:textId="77777777" w:rsidR="00C32D1D" w:rsidRPr="001B0074" w:rsidRDefault="00C32D1D" w:rsidP="0038126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C32D1D" w:rsidRPr="001B0074" w14:paraId="56D10053"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200CE3F" w14:textId="375CFD63" w:rsidR="00C32D1D" w:rsidRPr="00A76B50" w:rsidRDefault="00C32D1D" w:rsidP="006B2FB4">
            <w:pPr>
              <w:spacing w:after="0"/>
              <w:ind w:firstLine="0"/>
              <w:jc w:val="left"/>
              <w:rPr>
                <w:i/>
                <w:color w:val="000000"/>
                <w:szCs w:val="24"/>
                <w:lang w:eastAsia="lv-LV"/>
              </w:rPr>
            </w:pPr>
            <w:r w:rsidRPr="001B0074">
              <w:rPr>
                <w:color w:val="000000"/>
                <w:szCs w:val="24"/>
                <w:lang w:eastAsia="lv-LV"/>
              </w:rPr>
              <w:t>1. Reālais IKP</w:t>
            </w:r>
            <w:r w:rsidR="00A76B50">
              <w:rPr>
                <w:color w:val="000000"/>
                <w:szCs w:val="24"/>
                <w:lang w:eastAsia="lv-LV"/>
              </w:rPr>
              <w:t xml:space="preserve">, </w:t>
            </w:r>
            <w:proofErr w:type="spellStart"/>
            <w:r w:rsidR="00A76B50">
              <w:rPr>
                <w:color w:val="000000"/>
                <w:szCs w:val="24"/>
                <w:lang w:eastAsia="lv-LV"/>
              </w:rPr>
              <w:t>miljrd</w:t>
            </w:r>
            <w:proofErr w:type="spellEnd"/>
            <w:r w:rsidR="00A76B50">
              <w:rPr>
                <w:color w:val="000000"/>
                <w:szCs w:val="24"/>
                <w:lang w:eastAsia="lv-LV"/>
              </w:rPr>
              <w:t xml:space="preserve">. </w:t>
            </w:r>
            <w:proofErr w:type="spellStart"/>
            <w:r w:rsidR="00A76B50">
              <w:rPr>
                <w:i/>
                <w:color w:val="000000"/>
                <w:szCs w:val="24"/>
                <w:lang w:eastAsia="lv-LV"/>
              </w:rPr>
              <w:t>euro</w:t>
            </w:r>
            <w:proofErr w:type="spellEnd"/>
          </w:p>
        </w:tc>
        <w:tc>
          <w:tcPr>
            <w:tcW w:w="1417" w:type="dxa"/>
            <w:vAlign w:val="center"/>
            <w:hideMark/>
          </w:tcPr>
          <w:p w14:paraId="43F4FBC9"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418" w:type="dxa"/>
            <w:vAlign w:val="center"/>
          </w:tcPr>
          <w:p w14:paraId="286C3100" w14:textId="399E58AA"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21,8</w:t>
            </w:r>
          </w:p>
        </w:tc>
        <w:tc>
          <w:tcPr>
            <w:tcW w:w="1134" w:type="dxa"/>
            <w:vAlign w:val="center"/>
          </w:tcPr>
          <w:p w14:paraId="59A0A4D1" w14:textId="29DD2C26"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w:t>
            </w:r>
          </w:p>
        </w:tc>
        <w:tc>
          <w:tcPr>
            <w:tcW w:w="1129" w:type="dxa"/>
            <w:vAlign w:val="center"/>
          </w:tcPr>
          <w:p w14:paraId="02DFBB46" w14:textId="7EAA702A"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3,7</w:t>
            </w:r>
          </w:p>
        </w:tc>
        <w:tc>
          <w:tcPr>
            <w:tcW w:w="855" w:type="dxa"/>
            <w:vAlign w:val="center"/>
          </w:tcPr>
          <w:p w14:paraId="5C201BA2" w14:textId="733E74D1"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3,4</w:t>
            </w:r>
          </w:p>
        </w:tc>
      </w:tr>
      <w:tr w:rsidR="00C32D1D" w:rsidRPr="001B0074" w14:paraId="5605DA46"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B066544"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no kā</w:t>
            </w:r>
          </w:p>
        </w:tc>
        <w:tc>
          <w:tcPr>
            <w:tcW w:w="1417" w:type="dxa"/>
            <w:vAlign w:val="center"/>
            <w:hideMark/>
          </w:tcPr>
          <w:p w14:paraId="2F67B7DF" w14:textId="573C2EE3"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3905BB81" w14:textId="1D761591"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BF7275F" w14:textId="2F2444F4"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43AE2361" w14:textId="1DBB226C"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855" w:type="dxa"/>
            <w:vAlign w:val="center"/>
          </w:tcPr>
          <w:p w14:paraId="0A901F1A" w14:textId="60685614"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C32D1D" w:rsidRPr="001B0074" w14:paraId="0C88CFF1" w14:textId="77777777" w:rsidTr="00777B3F">
        <w:trPr>
          <w:trHeight w:val="94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9938141"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pieskaitāmi aprēķinātajai ietekmei no budžeta pasākumiem uz ekonomikas izaugsmi</w:t>
            </w:r>
          </w:p>
        </w:tc>
        <w:tc>
          <w:tcPr>
            <w:tcW w:w="1417" w:type="dxa"/>
            <w:vAlign w:val="center"/>
            <w:hideMark/>
          </w:tcPr>
          <w:p w14:paraId="6AD25B93" w14:textId="3ADFAFE1"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231002C0" w14:textId="34229135"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38464C67" w14:textId="0C33A3E0"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7BEDDE49" w14:textId="0E1D1176"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5" w:type="dxa"/>
            <w:vAlign w:val="center"/>
          </w:tcPr>
          <w:p w14:paraId="6F7592AC" w14:textId="562615BF"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C32D1D" w:rsidRPr="001B0074" w14:paraId="2E079AC5"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79E02F9"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2. Potenciālais IKP</w:t>
            </w:r>
          </w:p>
        </w:tc>
        <w:tc>
          <w:tcPr>
            <w:tcW w:w="1417" w:type="dxa"/>
            <w:vAlign w:val="center"/>
            <w:hideMark/>
          </w:tcPr>
          <w:p w14:paraId="03E51408" w14:textId="326B166B"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063E16E8" w14:textId="06909FFB"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22,0</w:t>
            </w:r>
          </w:p>
        </w:tc>
        <w:tc>
          <w:tcPr>
            <w:tcW w:w="1134" w:type="dxa"/>
            <w:vAlign w:val="center"/>
          </w:tcPr>
          <w:p w14:paraId="170164E7" w14:textId="34956554"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2,2</w:t>
            </w:r>
          </w:p>
        </w:tc>
        <w:tc>
          <w:tcPr>
            <w:tcW w:w="1129" w:type="dxa"/>
            <w:vAlign w:val="center"/>
          </w:tcPr>
          <w:p w14:paraId="2B88A240" w14:textId="2AFE7AED"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2,8</w:t>
            </w:r>
          </w:p>
        </w:tc>
        <w:tc>
          <w:tcPr>
            <w:tcW w:w="855" w:type="dxa"/>
            <w:vAlign w:val="center"/>
          </w:tcPr>
          <w:p w14:paraId="33C52ACC" w14:textId="01D029A9"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3,0</w:t>
            </w:r>
          </w:p>
        </w:tc>
      </w:tr>
      <w:tr w:rsidR="00C32D1D" w:rsidRPr="001B0074" w14:paraId="5AB35A65"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4C9360E"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Devums</w:t>
            </w:r>
          </w:p>
        </w:tc>
        <w:tc>
          <w:tcPr>
            <w:tcW w:w="1417" w:type="dxa"/>
            <w:vAlign w:val="center"/>
            <w:hideMark/>
          </w:tcPr>
          <w:p w14:paraId="662BA3A8" w14:textId="5147CBE1"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33324584" w14:textId="64706CE8"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2AA1987E" w14:textId="2C701F60"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1463F4D0" w14:textId="5E2E2C8E"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5" w:type="dxa"/>
            <w:vAlign w:val="center"/>
          </w:tcPr>
          <w:p w14:paraId="59B39DA3" w14:textId="1641322A"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C32D1D" w:rsidRPr="001B0074" w14:paraId="5BCD47F2"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D9FA8EA" w14:textId="67819BE8" w:rsidR="00C32D1D" w:rsidRPr="001B0074" w:rsidRDefault="00381267" w:rsidP="006B2FB4">
            <w:pPr>
              <w:spacing w:after="0"/>
              <w:ind w:firstLine="0"/>
              <w:jc w:val="left"/>
              <w:rPr>
                <w:color w:val="000000"/>
                <w:szCs w:val="24"/>
                <w:lang w:eastAsia="lv-LV"/>
              </w:rPr>
            </w:pPr>
            <w:r w:rsidRPr="001B0074">
              <w:rPr>
                <w:color w:val="000000"/>
                <w:szCs w:val="24"/>
                <w:lang w:eastAsia="lv-LV"/>
              </w:rPr>
              <w:t xml:space="preserve">Devums </w:t>
            </w:r>
            <w:proofErr w:type="spellStart"/>
            <w:r w:rsidRPr="001B0074">
              <w:rPr>
                <w:color w:val="000000"/>
                <w:szCs w:val="24"/>
                <w:lang w:eastAsia="lv-LV"/>
              </w:rPr>
              <w:t>pot.IKP</w:t>
            </w:r>
            <w:proofErr w:type="spellEnd"/>
            <w:r w:rsidRPr="001B0074">
              <w:rPr>
                <w:color w:val="000000"/>
                <w:szCs w:val="24"/>
                <w:lang w:eastAsia="lv-LV"/>
              </w:rPr>
              <w:t>: darba s</w:t>
            </w:r>
            <w:r w:rsidR="00C32D1D" w:rsidRPr="001B0074">
              <w:rPr>
                <w:color w:val="000000"/>
                <w:szCs w:val="24"/>
                <w:lang w:eastAsia="lv-LV"/>
              </w:rPr>
              <w:t>pēks</w:t>
            </w:r>
          </w:p>
        </w:tc>
        <w:tc>
          <w:tcPr>
            <w:tcW w:w="1417" w:type="dxa"/>
            <w:vAlign w:val="center"/>
            <w:hideMark/>
          </w:tcPr>
          <w:p w14:paraId="611FD2C7" w14:textId="4A655BBE"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1CE5F7DC" w14:textId="5E3C0A8E"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3D62650D" w14:textId="3338F628"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w:t>
            </w:r>
          </w:p>
        </w:tc>
        <w:tc>
          <w:tcPr>
            <w:tcW w:w="1129" w:type="dxa"/>
            <w:vAlign w:val="center"/>
          </w:tcPr>
          <w:p w14:paraId="02CB6B0F" w14:textId="5048C054"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w:t>
            </w:r>
          </w:p>
        </w:tc>
        <w:tc>
          <w:tcPr>
            <w:tcW w:w="855" w:type="dxa"/>
            <w:vAlign w:val="center"/>
          </w:tcPr>
          <w:p w14:paraId="50D6CEED" w14:textId="4FC404EF"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w:t>
            </w:r>
          </w:p>
        </w:tc>
      </w:tr>
      <w:tr w:rsidR="00C32D1D" w:rsidRPr="001B0074" w14:paraId="06AC0139"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D4DE454" w14:textId="48966A1C" w:rsidR="00C32D1D" w:rsidRPr="001B0074" w:rsidRDefault="00C32D1D" w:rsidP="00381267">
            <w:pPr>
              <w:spacing w:after="0"/>
              <w:ind w:firstLine="0"/>
              <w:jc w:val="left"/>
              <w:rPr>
                <w:color w:val="000000"/>
                <w:szCs w:val="24"/>
                <w:lang w:eastAsia="lv-LV"/>
              </w:rPr>
            </w:pPr>
            <w:r w:rsidRPr="001B0074">
              <w:rPr>
                <w:color w:val="000000"/>
                <w:szCs w:val="24"/>
                <w:lang w:eastAsia="lv-LV"/>
              </w:rPr>
              <w:t xml:space="preserve">Devums </w:t>
            </w:r>
            <w:proofErr w:type="spellStart"/>
            <w:r w:rsidR="00381267" w:rsidRPr="001B0074">
              <w:rPr>
                <w:color w:val="000000"/>
                <w:szCs w:val="24"/>
                <w:lang w:eastAsia="lv-LV"/>
              </w:rPr>
              <w:t>pot.IKP</w:t>
            </w:r>
            <w:proofErr w:type="spellEnd"/>
            <w:r w:rsidR="00381267" w:rsidRPr="001B0074">
              <w:rPr>
                <w:color w:val="000000"/>
                <w:szCs w:val="24"/>
                <w:lang w:eastAsia="lv-LV"/>
              </w:rPr>
              <w:t>: k</w:t>
            </w:r>
            <w:r w:rsidRPr="001B0074">
              <w:rPr>
                <w:color w:val="000000"/>
                <w:szCs w:val="24"/>
                <w:lang w:eastAsia="lv-LV"/>
              </w:rPr>
              <w:t>apitāls</w:t>
            </w:r>
          </w:p>
        </w:tc>
        <w:tc>
          <w:tcPr>
            <w:tcW w:w="1417" w:type="dxa"/>
            <w:vAlign w:val="center"/>
            <w:hideMark/>
          </w:tcPr>
          <w:p w14:paraId="603D6D6A" w14:textId="2D7D5C2B"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2F9B61F0" w14:textId="37B806A1"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7708F346" w14:textId="0D8B32B6"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0,4</w:t>
            </w:r>
          </w:p>
        </w:tc>
        <w:tc>
          <w:tcPr>
            <w:tcW w:w="1129" w:type="dxa"/>
            <w:vAlign w:val="center"/>
          </w:tcPr>
          <w:p w14:paraId="2D69C263" w14:textId="6CADA0A8"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0,9</w:t>
            </w:r>
          </w:p>
        </w:tc>
        <w:tc>
          <w:tcPr>
            <w:tcW w:w="855" w:type="dxa"/>
            <w:vAlign w:val="center"/>
          </w:tcPr>
          <w:p w14:paraId="4D53107A" w14:textId="62953F5C"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1,0</w:t>
            </w:r>
          </w:p>
        </w:tc>
      </w:tr>
      <w:tr w:rsidR="00C32D1D" w:rsidRPr="001B0074" w14:paraId="0A947751" w14:textId="77777777" w:rsidTr="00777B3F">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FB7A693" w14:textId="70DA5654" w:rsidR="00C32D1D" w:rsidRPr="001B0074" w:rsidRDefault="00C32D1D" w:rsidP="00381267">
            <w:pPr>
              <w:spacing w:after="0"/>
              <w:ind w:firstLine="0"/>
              <w:jc w:val="left"/>
              <w:rPr>
                <w:color w:val="000000"/>
                <w:szCs w:val="24"/>
                <w:lang w:eastAsia="lv-LV"/>
              </w:rPr>
            </w:pPr>
            <w:r w:rsidRPr="001B0074">
              <w:rPr>
                <w:color w:val="000000"/>
                <w:szCs w:val="24"/>
                <w:lang w:eastAsia="lv-LV"/>
              </w:rPr>
              <w:t xml:space="preserve">Devums </w:t>
            </w:r>
            <w:proofErr w:type="spellStart"/>
            <w:r w:rsidR="00381267" w:rsidRPr="001B0074">
              <w:rPr>
                <w:color w:val="000000"/>
                <w:szCs w:val="24"/>
                <w:lang w:eastAsia="lv-LV"/>
              </w:rPr>
              <w:t>pot.IKP</w:t>
            </w:r>
            <w:proofErr w:type="spellEnd"/>
            <w:r w:rsidR="00381267" w:rsidRPr="001B0074">
              <w:rPr>
                <w:color w:val="000000"/>
                <w:szCs w:val="24"/>
                <w:lang w:eastAsia="lv-LV"/>
              </w:rPr>
              <w:t xml:space="preserve"> : faktoru p</w:t>
            </w:r>
            <w:r w:rsidRPr="001B0074">
              <w:rPr>
                <w:color w:val="000000"/>
                <w:szCs w:val="24"/>
                <w:lang w:eastAsia="lv-LV"/>
              </w:rPr>
              <w:t>roduktivitāte</w:t>
            </w:r>
          </w:p>
        </w:tc>
        <w:tc>
          <w:tcPr>
            <w:tcW w:w="1417" w:type="dxa"/>
            <w:vAlign w:val="center"/>
            <w:hideMark/>
          </w:tcPr>
          <w:p w14:paraId="137E1817" w14:textId="3D45B6C9"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676EF728" w14:textId="78A6605A"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70C9A57" w14:textId="1680EA23"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1,7</w:t>
            </w:r>
          </w:p>
        </w:tc>
        <w:tc>
          <w:tcPr>
            <w:tcW w:w="1129" w:type="dxa"/>
            <w:vAlign w:val="center"/>
          </w:tcPr>
          <w:p w14:paraId="2989C928" w14:textId="5A839410"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1,9</w:t>
            </w:r>
          </w:p>
        </w:tc>
        <w:tc>
          <w:tcPr>
            <w:tcW w:w="855" w:type="dxa"/>
            <w:vAlign w:val="center"/>
          </w:tcPr>
          <w:p w14:paraId="25F6DD4C" w14:textId="1E3735DE"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2,0</w:t>
            </w:r>
          </w:p>
        </w:tc>
      </w:tr>
      <w:tr w:rsidR="00C32D1D" w:rsidRPr="001B0074" w14:paraId="7E5F16BD"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CB21592"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3. Nominālais IKP</w:t>
            </w:r>
          </w:p>
        </w:tc>
        <w:tc>
          <w:tcPr>
            <w:tcW w:w="1417" w:type="dxa"/>
            <w:vAlign w:val="center"/>
            <w:hideMark/>
          </w:tcPr>
          <w:p w14:paraId="56F27640"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418" w:type="dxa"/>
            <w:vAlign w:val="center"/>
          </w:tcPr>
          <w:p w14:paraId="2EAF6AF7" w14:textId="49E017BA"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25,0</w:t>
            </w:r>
          </w:p>
        </w:tc>
        <w:tc>
          <w:tcPr>
            <w:tcW w:w="1134" w:type="dxa"/>
            <w:vAlign w:val="center"/>
          </w:tcPr>
          <w:p w14:paraId="1AA746EC" w14:textId="7F209967"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2,7</w:t>
            </w:r>
          </w:p>
        </w:tc>
        <w:tc>
          <w:tcPr>
            <w:tcW w:w="1129" w:type="dxa"/>
            <w:vAlign w:val="center"/>
          </w:tcPr>
          <w:p w14:paraId="1E588043" w14:textId="609D2767"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6,6</w:t>
            </w:r>
          </w:p>
        </w:tc>
        <w:tc>
          <w:tcPr>
            <w:tcW w:w="855" w:type="dxa"/>
            <w:vAlign w:val="center"/>
          </w:tcPr>
          <w:p w14:paraId="443D4A7B" w14:textId="4D7F6FC4"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6,3</w:t>
            </w:r>
          </w:p>
        </w:tc>
      </w:tr>
      <w:tr w:rsidR="00C32D1D" w:rsidRPr="001B0074" w14:paraId="7E18D6EA"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0F84A7F"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Reālā IKP komponentes</w:t>
            </w:r>
          </w:p>
        </w:tc>
        <w:tc>
          <w:tcPr>
            <w:tcW w:w="1417" w:type="dxa"/>
            <w:vAlign w:val="center"/>
            <w:hideMark/>
          </w:tcPr>
          <w:p w14:paraId="704EAB19" w14:textId="36821CB4"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1506CA6E" w14:textId="5C0B2BD0"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4090AA9D" w14:textId="624DC1A8"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08EE1BE9" w14:textId="4327A0B9"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855" w:type="dxa"/>
            <w:vAlign w:val="center"/>
          </w:tcPr>
          <w:p w14:paraId="31B16913" w14:textId="53C18C13"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C32D1D" w:rsidRPr="001B0074" w14:paraId="384756BF"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9F9C71F"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4. Privātais patēriņš</w:t>
            </w:r>
          </w:p>
        </w:tc>
        <w:tc>
          <w:tcPr>
            <w:tcW w:w="1417" w:type="dxa"/>
            <w:vAlign w:val="center"/>
            <w:hideMark/>
          </w:tcPr>
          <w:p w14:paraId="1E58AA55"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P.3</w:t>
            </w:r>
          </w:p>
        </w:tc>
        <w:tc>
          <w:tcPr>
            <w:tcW w:w="1418" w:type="dxa"/>
            <w:vAlign w:val="center"/>
          </w:tcPr>
          <w:p w14:paraId="4A8B4FF3" w14:textId="6FB10F3E"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13,8</w:t>
            </w:r>
          </w:p>
        </w:tc>
        <w:tc>
          <w:tcPr>
            <w:tcW w:w="1134" w:type="dxa"/>
            <w:vAlign w:val="center"/>
          </w:tcPr>
          <w:p w14:paraId="5D870BA5" w14:textId="073EE3B4"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3,4</w:t>
            </w:r>
          </w:p>
        </w:tc>
        <w:tc>
          <w:tcPr>
            <w:tcW w:w="1129" w:type="dxa"/>
            <w:vAlign w:val="center"/>
          </w:tcPr>
          <w:p w14:paraId="20D6A823" w14:textId="34BFA317"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4,8</w:t>
            </w:r>
          </w:p>
        </w:tc>
        <w:tc>
          <w:tcPr>
            <w:tcW w:w="855" w:type="dxa"/>
            <w:vAlign w:val="center"/>
          </w:tcPr>
          <w:p w14:paraId="65FD0F78" w14:textId="4964521C"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3,1</w:t>
            </w:r>
          </w:p>
        </w:tc>
      </w:tr>
      <w:tr w:rsidR="00C32D1D" w:rsidRPr="001B0074" w14:paraId="52E2379B" w14:textId="77777777" w:rsidTr="00777B3F">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3D7A34C"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5. Valdības patēriņš</w:t>
            </w:r>
          </w:p>
        </w:tc>
        <w:tc>
          <w:tcPr>
            <w:tcW w:w="1417" w:type="dxa"/>
            <w:vAlign w:val="center"/>
            <w:hideMark/>
          </w:tcPr>
          <w:p w14:paraId="22A06025"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P.3</w:t>
            </w:r>
          </w:p>
        </w:tc>
        <w:tc>
          <w:tcPr>
            <w:tcW w:w="1418" w:type="dxa"/>
            <w:vAlign w:val="center"/>
          </w:tcPr>
          <w:p w14:paraId="7D95347E" w14:textId="0E433EC8"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3,7</w:t>
            </w:r>
          </w:p>
        </w:tc>
        <w:tc>
          <w:tcPr>
            <w:tcW w:w="1134" w:type="dxa"/>
            <w:vAlign w:val="center"/>
          </w:tcPr>
          <w:p w14:paraId="600BC9CC" w14:textId="5A8049A0"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2,7</w:t>
            </w:r>
          </w:p>
        </w:tc>
        <w:tc>
          <w:tcPr>
            <w:tcW w:w="1129" w:type="dxa"/>
            <w:vAlign w:val="center"/>
          </w:tcPr>
          <w:p w14:paraId="3F49730C" w14:textId="12AAE110"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3,1</w:t>
            </w:r>
          </w:p>
        </w:tc>
        <w:tc>
          <w:tcPr>
            <w:tcW w:w="855" w:type="dxa"/>
            <w:vAlign w:val="center"/>
          </w:tcPr>
          <w:p w14:paraId="7FCF6853" w14:textId="1FD445C4"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4,2</w:t>
            </w:r>
          </w:p>
        </w:tc>
      </w:tr>
      <w:tr w:rsidR="00C32D1D" w:rsidRPr="001B0074" w14:paraId="462730FF"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B7C0E19"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6. Bruto pamatkapitāla veidošana</w:t>
            </w:r>
          </w:p>
        </w:tc>
        <w:tc>
          <w:tcPr>
            <w:tcW w:w="1417" w:type="dxa"/>
            <w:vAlign w:val="center"/>
            <w:hideMark/>
          </w:tcPr>
          <w:p w14:paraId="7135B849"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P.51</w:t>
            </w:r>
          </w:p>
        </w:tc>
        <w:tc>
          <w:tcPr>
            <w:tcW w:w="1418" w:type="dxa"/>
            <w:vAlign w:val="center"/>
          </w:tcPr>
          <w:p w14:paraId="34EBB53E" w14:textId="4A71CED8"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4,0</w:t>
            </w:r>
          </w:p>
        </w:tc>
        <w:tc>
          <w:tcPr>
            <w:tcW w:w="1134" w:type="dxa"/>
            <w:vAlign w:val="center"/>
          </w:tcPr>
          <w:p w14:paraId="5194D494" w14:textId="323AE591"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-11,7</w:t>
            </w:r>
          </w:p>
        </w:tc>
        <w:tc>
          <w:tcPr>
            <w:tcW w:w="1129" w:type="dxa"/>
            <w:vAlign w:val="center"/>
          </w:tcPr>
          <w:p w14:paraId="55AC0F6D" w14:textId="6083F9AD"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11,4</w:t>
            </w:r>
          </w:p>
        </w:tc>
        <w:tc>
          <w:tcPr>
            <w:tcW w:w="855" w:type="dxa"/>
            <w:vAlign w:val="center"/>
          </w:tcPr>
          <w:p w14:paraId="44D8A463" w14:textId="289E5FFE"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8,4</w:t>
            </w:r>
          </w:p>
        </w:tc>
      </w:tr>
      <w:tr w:rsidR="00C32D1D" w:rsidRPr="001B0074" w14:paraId="05B6C39C" w14:textId="77777777" w:rsidTr="00777B3F">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88F87F7"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7. Izmaiņas krājumos</w:t>
            </w:r>
          </w:p>
        </w:tc>
        <w:tc>
          <w:tcPr>
            <w:tcW w:w="1417" w:type="dxa"/>
            <w:vAlign w:val="center"/>
            <w:hideMark/>
          </w:tcPr>
          <w:p w14:paraId="65600D0F"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418" w:type="dxa"/>
            <w:vAlign w:val="center"/>
          </w:tcPr>
          <w:p w14:paraId="30E1DBBB" w14:textId="0F64F29F"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63B76242" w14:textId="7BFF6224"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0D416934" w14:textId="008150A4"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855" w:type="dxa"/>
            <w:vAlign w:val="center"/>
          </w:tcPr>
          <w:p w14:paraId="216DA099" w14:textId="7D6AAD25"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C32D1D" w:rsidRPr="001B0074" w14:paraId="0C5D05EB"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F7AE9B9"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8. Eksports</w:t>
            </w:r>
          </w:p>
        </w:tc>
        <w:tc>
          <w:tcPr>
            <w:tcW w:w="1417" w:type="dxa"/>
            <w:vAlign w:val="center"/>
            <w:hideMark/>
          </w:tcPr>
          <w:p w14:paraId="396544EF"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P.6</w:t>
            </w:r>
          </w:p>
        </w:tc>
        <w:tc>
          <w:tcPr>
            <w:tcW w:w="1418" w:type="dxa"/>
            <w:vAlign w:val="center"/>
          </w:tcPr>
          <w:p w14:paraId="7D125FC9" w14:textId="33530D47"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13,1</w:t>
            </w:r>
          </w:p>
        </w:tc>
        <w:tc>
          <w:tcPr>
            <w:tcW w:w="1134" w:type="dxa"/>
            <w:vAlign w:val="center"/>
          </w:tcPr>
          <w:p w14:paraId="44F18F7D" w14:textId="684C5458"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2,8</w:t>
            </w:r>
          </w:p>
        </w:tc>
        <w:tc>
          <w:tcPr>
            <w:tcW w:w="1129" w:type="dxa"/>
            <w:vAlign w:val="center"/>
          </w:tcPr>
          <w:p w14:paraId="021A96CA" w14:textId="76AF7CAE"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6,1</w:t>
            </w:r>
          </w:p>
        </w:tc>
        <w:tc>
          <w:tcPr>
            <w:tcW w:w="855" w:type="dxa"/>
            <w:vAlign w:val="center"/>
          </w:tcPr>
          <w:p w14:paraId="511777D5" w14:textId="0AA97947"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3,7</w:t>
            </w:r>
          </w:p>
        </w:tc>
      </w:tr>
      <w:tr w:rsidR="00C32D1D" w:rsidRPr="001B0074" w14:paraId="072F1F86" w14:textId="77777777" w:rsidTr="00777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7B8C330"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9. Imports</w:t>
            </w:r>
          </w:p>
        </w:tc>
        <w:tc>
          <w:tcPr>
            <w:tcW w:w="1417" w:type="dxa"/>
            <w:vAlign w:val="center"/>
            <w:hideMark/>
          </w:tcPr>
          <w:p w14:paraId="3624F8D5"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P.7</w:t>
            </w:r>
          </w:p>
        </w:tc>
        <w:tc>
          <w:tcPr>
            <w:tcW w:w="1418" w:type="dxa"/>
            <w:vAlign w:val="center"/>
          </w:tcPr>
          <w:p w14:paraId="436AC88A" w14:textId="709832DA"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13,6</w:t>
            </w:r>
          </w:p>
        </w:tc>
        <w:tc>
          <w:tcPr>
            <w:tcW w:w="1134" w:type="dxa"/>
            <w:vAlign w:val="center"/>
          </w:tcPr>
          <w:p w14:paraId="729C22B5" w14:textId="6F2D4DCF"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4,6</w:t>
            </w:r>
          </w:p>
        </w:tc>
        <w:tc>
          <w:tcPr>
            <w:tcW w:w="1129" w:type="dxa"/>
            <w:vAlign w:val="center"/>
          </w:tcPr>
          <w:p w14:paraId="6AEC6C04" w14:textId="16521127"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5,4</w:t>
            </w:r>
          </w:p>
        </w:tc>
        <w:tc>
          <w:tcPr>
            <w:tcW w:w="855" w:type="dxa"/>
            <w:vAlign w:val="center"/>
          </w:tcPr>
          <w:p w14:paraId="0AF8D5CF" w14:textId="75BCEAAB"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5,0</w:t>
            </w:r>
          </w:p>
        </w:tc>
      </w:tr>
      <w:tr w:rsidR="00C32D1D" w:rsidRPr="001B0074" w14:paraId="64005B99" w14:textId="77777777" w:rsidTr="00777B3F">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5D9096F"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Devums reālā IKP pieaugumā</w:t>
            </w:r>
          </w:p>
        </w:tc>
        <w:tc>
          <w:tcPr>
            <w:tcW w:w="1417" w:type="dxa"/>
            <w:vAlign w:val="center"/>
            <w:hideMark/>
          </w:tcPr>
          <w:p w14:paraId="624BB22D" w14:textId="3893FD82" w:rsidR="00C32D1D" w:rsidRPr="001B0074"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18" w:type="dxa"/>
            <w:vAlign w:val="center"/>
          </w:tcPr>
          <w:p w14:paraId="0CFF53CC" w14:textId="6CD32D57"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3A3E7EB8" w14:textId="729F858B"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0A9028DF" w14:textId="02402A33"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5" w:type="dxa"/>
            <w:vAlign w:val="center"/>
          </w:tcPr>
          <w:p w14:paraId="577CA630" w14:textId="2A971CFF"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C32D1D" w:rsidRPr="001B0074" w14:paraId="4636AA0D" w14:textId="77777777" w:rsidTr="00777B3F">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CC6E674"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10. Kopējais iekšzemes pieprasījums</w:t>
            </w:r>
          </w:p>
        </w:tc>
        <w:tc>
          <w:tcPr>
            <w:tcW w:w="1417" w:type="dxa"/>
            <w:vAlign w:val="center"/>
            <w:hideMark/>
          </w:tcPr>
          <w:p w14:paraId="7583E33A" w14:textId="20712F15" w:rsidR="00C32D1D" w:rsidRPr="001B0074"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18" w:type="dxa"/>
            <w:vAlign w:val="center"/>
          </w:tcPr>
          <w:p w14:paraId="5FB12845" w14:textId="65612E11" w:rsidR="00C32D1D" w:rsidRPr="001B0074" w:rsidRDefault="00C32D1D" w:rsidP="00E40D1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2A62D72E" w14:textId="3A82C96C"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c>
          <w:tcPr>
            <w:tcW w:w="1129" w:type="dxa"/>
            <w:vAlign w:val="center"/>
          </w:tcPr>
          <w:p w14:paraId="2CE5B9B5" w14:textId="43EE8933"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5,5</w:t>
            </w:r>
          </w:p>
        </w:tc>
        <w:tc>
          <w:tcPr>
            <w:tcW w:w="855" w:type="dxa"/>
            <w:vAlign w:val="center"/>
          </w:tcPr>
          <w:p w14:paraId="04121EDD" w14:textId="0D4B84C8"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4,4</w:t>
            </w:r>
          </w:p>
        </w:tc>
      </w:tr>
      <w:tr w:rsidR="00C32D1D" w:rsidRPr="001B0074" w14:paraId="76BA20AC" w14:textId="77777777" w:rsidTr="00777B3F">
        <w:trPr>
          <w:trHeight w:val="191"/>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A267D2E"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11. Izmaiņas krājumos</w:t>
            </w:r>
          </w:p>
        </w:tc>
        <w:tc>
          <w:tcPr>
            <w:tcW w:w="1417" w:type="dxa"/>
            <w:vAlign w:val="center"/>
            <w:hideMark/>
          </w:tcPr>
          <w:p w14:paraId="719D19FC" w14:textId="77777777" w:rsidR="00C32D1D" w:rsidRPr="001B0074"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418" w:type="dxa"/>
            <w:vAlign w:val="center"/>
          </w:tcPr>
          <w:p w14:paraId="32FAD54E" w14:textId="51C8D40D" w:rsidR="00C32D1D" w:rsidRPr="001B0074"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5BD5D572" w14:textId="28124C5C"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3,0</w:t>
            </w:r>
          </w:p>
        </w:tc>
        <w:tc>
          <w:tcPr>
            <w:tcW w:w="1129" w:type="dxa"/>
            <w:vAlign w:val="center"/>
          </w:tcPr>
          <w:p w14:paraId="356A5486" w14:textId="29953057"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-2,1</w:t>
            </w:r>
          </w:p>
        </w:tc>
        <w:tc>
          <w:tcPr>
            <w:tcW w:w="855" w:type="dxa"/>
            <w:vAlign w:val="center"/>
          </w:tcPr>
          <w:p w14:paraId="4B3977EA" w14:textId="476E8362" w:rsidR="00C32D1D" w:rsidRPr="001B0074" w:rsidRDefault="00A76B50"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C32D1D" w:rsidRPr="001B0074" w14:paraId="438FE66B" w14:textId="77777777" w:rsidTr="00777B3F">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D84706D"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12. Preču un pakalpojumu tirdzniecības bilance</w:t>
            </w:r>
          </w:p>
        </w:tc>
        <w:tc>
          <w:tcPr>
            <w:tcW w:w="1417" w:type="dxa"/>
            <w:vAlign w:val="center"/>
            <w:hideMark/>
          </w:tcPr>
          <w:p w14:paraId="3CD9EEDF" w14:textId="77777777" w:rsidR="00C32D1D" w:rsidRPr="001B0074"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B.11</w:t>
            </w:r>
          </w:p>
        </w:tc>
        <w:tc>
          <w:tcPr>
            <w:tcW w:w="1418" w:type="dxa"/>
            <w:vAlign w:val="center"/>
          </w:tcPr>
          <w:p w14:paraId="0FADC2B9" w14:textId="2C816AD2" w:rsidR="00C32D1D" w:rsidRPr="001B0074"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1813E14A" w14:textId="101C6E81"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w:t>
            </w:r>
          </w:p>
        </w:tc>
        <w:tc>
          <w:tcPr>
            <w:tcW w:w="1129" w:type="dxa"/>
            <w:vAlign w:val="center"/>
          </w:tcPr>
          <w:p w14:paraId="4DB6A28F" w14:textId="328FFF3A"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0,3</w:t>
            </w:r>
          </w:p>
        </w:tc>
        <w:tc>
          <w:tcPr>
            <w:tcW w:w="855" w:type="dxa"/>
            <w:vAlign w:val="center"/>
          </w:tcPr>
          <w:p w14:paraId="72871725" w14:textId="267017B7" w:rsidR="00C32D1D" w:rsidRPr="001B0074" w:rsidRDefault="00A76B50"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r>
    </w:tbl>
    <w:p w14:paraId="02877A01" w14:textId="77777777" w:rsidR="00C32D1D" w:rsidRPr="00976103" w:rsidRDefault="00C32D1D" w:rsidP="00C32D1D">
      <w:pPr>
        <w:ind w:firstLine="0"/>
        <w:jc w:val="left"/>
        <w:rPr>
          <w:szCs w:val="24"/>
        </w:rPr>
      </w:pPr>
    </w:p>
    <w:p w14:paraId="226037C1" w14:textId="77777777" w:rsidR="00C32D1D" w:rsidRPr="00976103" w:rsidRDefault="00C32D1D" w:rsidP="00C32D1D">
      <w:pPr>
        <w:pStyle w:val="Heading1"/>
        <w:tabs>
          <w:tab w:val="left" w:pos="1276"/>
        </w:tabs>
        <w:spacing w:before="0" w:after="240"/>
        <w:ind w:firstLine="0"/>
        <w:jc w:val="left"/>
        <w:rPr>
          <w:rFonts w:ascii="Times New Roman" w:hAnsi="Times New Roman"/>
        </w:rPr>
      </w:pPr>
      <w:r w:rsidRPr="00976103">
        <w:rPr>
          <w:b w:val="0"/>
        </w:rPr>
        <w:br w:type="page"/>
      </w:r>
      <w:bookmarkStart w:id="5" w:name="_Toc494786339"/>
      <w:r w:rsidRPr="001D5709">
        <w:rPr>
          <w:rFonts w:ascii="Times New Roman" w:hAnsi="Times New Roman"/>
          <w:color w:val="18185E"/>
          <w:sz w:val="24"/>
        </w:rPr>
        <w:lastRenderedPageBreak/>
        <w:t>Tabula 1b: Patēriņa cenu izmaiņas</w:t>
      </w:r>
      <w:bookmarkEnd w:id="5"/>
    </w:p>
    <w:tbl>
      <w:tblPr>
        <w:tblStyle w:val="GridTable6Colorful-Accent11"/>
        <w:tblW w:w="9351" w:type="dxa"/>
        <w:jc w:val="center"/>
        <w:tblLook w:val="04A0" w:firstRow="1" w:lastRow="0" w:firstColumn="1" w:lastColumn="0" w:noHBand="0" w:noVBand="1"/>
      </w:tblPr>
      <w:tblGrid>
        <w:gridCol w:w="3644"/>
        <w:gridCol w:w="1298"/>
        <w:gridCol w:w="1056"/>
        <w:gridCol w:w="1085"/>
        <w:gridCol w:w="1134"/>
        <w:gridCol w:w="1134"/>
      </w:tblGrid>
      <w:tr w:rsidR="00C32D1D" w:rsidRPr="001B0074" w14:paraId="2539C218" w14:textId="77777777" w:rsidTr="00AF5E23">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047B437" w14:textId="77777777" w:rsidR="00C32D1D" w:rsidRPr="001B0074" w:rsidRDefault="00C32D1D" w:rsidP="00E254F1">
            <w:pPr>
              <w:spacing w:after="0"/>
              <w:ind w:firstLineChars="100" w:firstLine="240"/>
              <w:jc w:val="center"/>
              <w:rPr>
                <w:b w:val="0"/>
                <w:color w:val="000000"/>
                <w:szCs w:val="24"/>
                <w:lang w:eastAsia="lv-LV"/>
              </w:rPr>
            </w:pPr>
          </w:p>
        </w:tc>
        <w:tc>
          <w:tcPr>
            <w:tcW w:w="1298" w:type="dxa"/>
            <w:vAlign w:val="center"/>
            <w:hideMark/>
          </w:tcPr>
          <w:p w14:paraId="39D98F4D" w14:textId="26BF62E6" w:rsidR="00C32D1D" w:rsidRPr="001B0074" w:rsidRDefault="00C32D1D"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xml:space="preserve">EKS </w:t>
            </w:r>
            <w:r w:rsidR="000318B2" w:rsidRPr="001B0074">
              <w:rPr>
                <w:color w:val="000000"/>
                <w:szCs w:val="24"/>
                <w:lang w:eastAsia="lv-LV"/>
              </w:rPr>
              <w:t>k</w:t>
            </w:r>
            <w:r w:rsidRPr="001B0074">
              <w:rPr>
                <w:color w:val="000000"/>
                <w:szCs w:val="24"/>
                <w:lang w:eastAsia="lv-LV"/>
              </w:rPr>
              <w:t>ods</w:t>
            </w:r>
          </w:p>
        </w:tc>
        <w:tc>
          <w:tcPr>
            <w:tcW w:w="1056" w:type="dxa"/>
            <w:vAlign w:val="center"/>
            <w:hideMark/>
          </w:tcPr>
          <w:p w14:paraId="6A5B5755" w14:textId="16B21F44" w:rsidR="00C32D1D" w:rsidRPr="001B0074"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2016</w:t>
            </w:r>
          </w:p>
        </w:tc>
        <w:tc>
          <w:tcPr>
            <w:tcW w:w="1085" w:type="dxa"/>
            <w:vAlign w:val="center"/>
            <w:hideMark/>
          </w:tcPr>
          <w:p w14:paraId="4D325A54" w14:textId="0F3987E7" w:rsidR="00C32D1D" w:rsidRPr="001B0074"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2016</w:t>
            </w:r>
          </w:p>
        </w:tc>
        <w:tc>
          <w:tcPr>
            <w:tcW w:w="1134" w:type="dxa"/>
            <w:vAlign w:val="center"/>
            <w:hideMark/>
          </w:tcPr>
          <w:p w14:paraId="1FC02B6C" w14:textId="67A3FFF5" w:rsidR="00C32D1D" w:rsidRPr="001B0074"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1134" w:type="dxa"/>
            <w:vAlign w:val="center"/>
            <w:hideMark/>
          </w:tcPr>
          <w:p w14:paraId="2A4E9F15" w14:textId="1E3EC469" w:rsidR="00C32D1D" w:rsidRPr="001B0074"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r>
      <w:tr w:rsidR="00C32D1D" w:rsidRPr="001B0074" w14:paraId="7A38AF6F" w14:textId="77777777" w:rsidTr="00AF5E2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33D7E7EA" w14:textId="77777777" w:rsidR="00C32D1D" w:rsidRPr="001B0074" w:rsidRDefault="00C32D1D" w:rsidP="006B2FB4">
            <w:pPr>
              <w:spacing w:after="0"/>
              <w:ind w:firstLineChars="100" w:firstLine="240"/>
              <w:jc w:val="right"/>
              <w:rPr>
                <w:color w:val="000000"/>
                <w:szCs w:val="24"/>
                <w:lang w:eastAsia="lv-LV"/>
              </w:rPr>
            </w:pPr>
            <w:r w:rsidRPr="001B0074">
              <w:rPr>
                <w:color w:val="000000"/>
                <w:szCs w:val="24"/>
                <w:lang w:eastAsia="lv-LV"/>
              </w:rPr>
              <w:t> </w:t>
            </w:r>
          </w:p>
        </w:tc>
        <w:tc>
          <w:tcPr>
            <w:tcW w:w="1298" w:type="dxa"/>
            <w:vAlign w:val="center"/>
            <w:hideMark/>
          </w:tcPr>
          <w:p w14:paraId="7CE8C3A3" w14:textId="33457578" w:rsidR="00C32D1D" w:rsidRPr="001B0074"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56" w:type="dxa"/>
            <w:vAlign w:val="center"/>
            <w:hideMark/>
          </w:tcPr>
          <w:p w14:paraId="08A636EF" w14:textId="77777777" w:rsidR="00C32D1D" w:rsidRPr="001B0074" w:rsidRDefault="00C32D1D"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3353" w:type="dxa"/>
            <w:gridSpan w:val="3"/>
            <w:vAlign w:val="center"/>
            <w:hideMark/>
          </w:tcPr>
          <w:p w14:paraId="6B9625E5" w14:textId="77777777" w:rsidR="00C32D1D" w:rsidRPr="001B0074"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C32D1D" w:rsidRPr="001B0074" w14:paraId="5AC7FFBB" w14:textId="77777777" w:rsidTr="006B28DB">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BAF2F3B"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1. IKP </w:t>
            </w:r>
            <w:proofErr w:type="spellStart"/>
            <w:r w:rsidRPr="001B0074">
              <w:rPr>
                <w:color w:val="000000"/>
                <w:szCs w:val="24"/>
                <w:lang w:eastAsia="lv-LV"/>
              </w:rPr>
              <w:t>deflators</w:t>
            </w:r>
            <w:proofErr w:type="spellEnd"/>
          </w:p>
        </w:tc>
        <w:tc>
          <w:tcPr>
            <w:tcW w:w="1298" w:type="dxa"/>
            <w:hideMark/>
          </w:tcPr>
          <w:p w14:paraId="3AB3D8A7"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208B6001" w14:textId="11514692"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085" w:type="dxa"/>
            <w:vAlign w:val="center"/>
          </w:tcPr>
          <w:p w14:paraId="1DEEB7F8" w14:textId="23501C82"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0,7</w:t>
            </w:r>
          </w:p>
        </w:tc>
        <w:tc>
          <w:tcPr>
            <w:tcW w:w="1134" w:type="dxa"/>
            <w:vAlign w:val="center"/>
          </w:tcPr>
          <w:p w14:paraId="6A146202" w14:textId="3E162115"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2,8</w:t>
            </w:r>
          </w:p>
        </w:tc>
        <w:tc>
          <w:tcPr>
            <w:tcW w:w="1134" w:type="dxa"/>
            <w:vAlign w:val="center"/>
          </w:tcPr>
          <w:p w14:paraId="2B00DA6B" w14:textId="314C55FB"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2,8</w:t>
            </w:r>
          </w:p>
        </w:tc>
      </w:tr>
      <w:tr w:rsidR="00C32D1D" w:rsidRPr="001B0074" w14:paraId="60E231B3" w14:textId="77777777" w:rsidTr="006B28D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45AA8000"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2. Privātā patēriņa </w:t>
            </w:r>
            <w:proofErr w:type="spellStart"/>
            <w:r w:rsidRPr="001B0074">
              <w:rPr>
                <w:color w:val="000000"/>
                <w:szCs w:val="24"/>
                <w:lang w:eastAsia="lv-LV"/>
              </w:rPr>
              <w:t>deflators</w:t>
            </w:r>
            <w:proofErr w:type="spellEnd"/>
          </w:p>
        </w:tc>
        <w:tc>
          <w:tcPr>
            <w:tcW w:w="1298" w:type="dxa"/>
            <w:hideMark/>
          </w:tcPr>
          <w:p w14:paraId="38FD5C63"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6ACE1A61" w14:textId="50F37321"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85" w:type="dxa"/>
            <w:vAlign w:val="center"/>
          </w:tcPr>
          <w:p w14:paraId="7FD6E1F6" w14:textId="4A3D3CCF" w:rsidR="00C32D1D" w:rsidRPr="001B0074" w:rsidRDefault="00D678E2"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c>
          <w:tcPr>
            <w:tcW w:w="1134" w:type="dxa"/>
            <w:vAlign w:val="center"/>
          </w:tcPr>
          <w:p w14:paraId="71A79BC4" w14:textId="3E84C2E0" w:rsidR="00C32D1D" w:rsidRPr="001B0074" w:rsidRDefault="00D678E2"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2,8</w:t>
            </w:r>
          </w:p>
        </w:tc>
        <w:tc>
          <w:tcPr>
            <w:tcW w:w="1134" w:type="dxa"/>
            <w:vAlign w:val="center"/>
          </w:tcPr>
          <w:p w14:paraId="460FA2B7" w14:textId="1BD40305" w:rsidR="00C32D1D" w:rsidRPr="001B0074" w:rsidRDefault="00D678E2"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2,8</w:t>
            </w:r>
          </w:p>
        </w:tc>
      </w:tr>
      <w:tr w:rsidR="00C32D1D" w:rsidRPr="001B0074" w14:paraId="1A7A434D" w14:textId="77777777" w:rsidTr="006B28DB">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0999D75" w14:textId="3703ACD6" w:rsidR="00C32D1D" w:rsidRPr="001B0074" w:rsidRDefault="00C32D1D" w:rsidP="00381267">
            <w:pPr>
              <w:spacing w:after="0"/>
              <w:ind w:firstLine="0"/>
              <w:jc w:val="left"/>
              <w:rPr>
                <w:color w:val="000000"/>
                <w:szCs w:val="24"/>
                <w:lang w:eastAsia="lv-LV"/>
              </w:rPr>
            </w:pPr>
            <w:r w:rsidRPr="001B0074">
              <w:rPr>
                <w:color w:val="000000"/>
                <w:szCs w:val="24"/>
                <w:lang w:eastAsia="lv-LV"/>
              </w:rPr>
              <w:t xml:space="preserve">3. </w:t>
            </w:r>
            <w:r w:rsidR="00381267" w:rsidRPr="001B0074">
              <w:rPr>
                <w:color w:val="000000"/>
                <w:szCs w:val="24"/>
                <w:lang w:eastAsia="lv-LV"/>
              </w:rPr>
              <w:t>Saskaņotā patēriņa cenu indekss (SPCI)</w:t>
            </w:r>
          </w:p>
        </w:tc>
        <w:tc>
          <w:tcPr>
            <w:tcW w:w="1298" w:type="dxa"/>
            <w:hideMark/>
          </w:tcPr>
          <w:p w14:paraId="003A6DE5"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C969C3E" w14:textId="17ED195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085" w:type="dxa"/>
            <w:vAlign w:val="center"/>
          </w:tcPr>
          <w:p w14:paraId="18F4DD41" w14:textId="6FE925D6"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c>
          <w:tcPr>
            <w:tcW w:w="1134" w:type="dxa"/>
            <w:vAlign w:val="center"/>
          </w:tcPr>
          <w:p w14:paraId="04D8C99A" w14:textId="220FA8E2"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2,8</w:t>
            </w:r>
          </w:p>
        </w:tc>
        <w:tc>
          <w:tcPr>
            <w:tcW w:w="1134" w:type="dxa"/>
            <w:vAlign w:val="center"/>
          </w:tcPr>
          <w:p w14:paraId="0BBADB43" w14:textId="6D026085"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2,8</w:t>
            </w:r>
          </w:p>
        </w:tc>
      </w:tr>
      <w:tr w:rsidR="00C32D1D" w:rsidRPr="001B0074" w14:paraId="68663050" w14:textId="77777777" w:rsidTr="006B28DB">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F74B005"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4. Valdības patēriņa </w:t>
            </w:r>
            <w:proofErr w:type="spellStart"/>
            <w:r w:rsidRPr="001B0074">
              <w:rPr>
                <w:color w:val="000000"/>
                <w:szCs w:val="24"/>
                <w:lang w:eastAsia="lv-LV"/>
              </w:rPr>
              <w:t>deflators</w:t>
            </w:r>
            <w:proofErr w:type="spellEnd"/>
          </w:p>
        </w:tc>
        <w:tc>
          <w:tcPr>
            <w:tcW w:w="1298" w:type="dxa"/>
            <w:hideMark/>
          </w:tcPr>
          <w:p w14:paraId="1A91A1DC"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FFB39EE" w14:textId="25504AF4"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85" w:type="dxa"/>
            <w:vAlign w:val="center"/>
          </w:tcPr>
          <w:p w14:paraId="43EA4477" w14:textId="6EDA2D49" w:rsidR="00C32D1D" w:rsidRPr="001B0074" w:rsidRDefault="00D678E2"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-2,9</w:t>
            </w:r>
          </w:p>
        </w:tc>
        <w:tc>
          <w:tcPr>
            <w:tcW w:w="1134" w:type="dxa"/>
            <w:vAlign w:val="center"/>
          </w:tcPr>
          <w:p w14:paraId="0D515D61" w14:textId="1D010790" w:rsidR="00C32D1D" w:rsidRPr="001B0074" w:rsidRDefault="00D678E2"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3,5</w:t>
            </w:r>
          </w:p>
        </w:tc>
        <w:tc>
          <w:tcPr>
            <w:tcW w:w="1134" w:type="dxa"/>
            <w:vAlign w:val="center"/>
          </w:tcPr>
          <w:p w14:paraId="0578050B" w14:textId="56711B97" w:rsidR="00C32D1D" w:rsidRPr="001B0074" w:rsidRDefault="00D678E2"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3,2</w:t>
            </w:r>
          </w:p>
        </w:tc>
      </w:tr>
      <w:tr w:rsidR="00C32D1D" w:rsidRPr="001B0074" w14:paraId="6DB3B055" w14:textId="77777777" w:rsidTr="006B28DB">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33586B8B"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5. Investīciju </w:t>
            </w:r>
            <w:proofErr w:type="spellStart"/>
            <w:r w:rsidRPr="001B0074">
              <w:rPr>
                <w:color w:val="000000"/>
                <w:szCs w:val="24"/>
                <w:lang w:eastAsia="lv-LV"/>
              </w:rPr>
              <w:t>deflators</w:t>
            </w:r>
            <w:proofErr w:type="spellEnd"/>
          </w:p>
        </w:tc>
        <w:tc>
          <w:tcPr>
            <w:tcW w:w="1298" w:type="dxa"/>
            <w:hideMark/>
          </w:tcPr>
          <w:p w14:paraId="62227E59"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605607C7" w14:textId="2659655C"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085" w:type="dxa"/>
            <w:vAlign w:val="center"/>
          </w:tcPr>
          <w:p w14:paraId="5F754943" w14:textId="059EDFAD"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-1,1</w:t>
            </w:r>
          </w:p>
        </w:tc>
        <w:tc>
          <w:tcPr>
            <w:tcW w:w="1134" w:type="dxa"/>
            <w:vAlign w:val="center"/>
          </w:tcPr>
          <w:p w14:paraId="318885BA" w14:textId="4672A5E9"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1,0</w:t>
            </w:r>
          </w:p>
        </w:tc>
        <w:tc>
          <w:tcPr>
            <w:tcW w:w="1134" w:type="dxa"/>
            <w:vAlign w:val="center"/>
          </w:tcPr>
          <w:p w14:paraId="5D7F0A1C" w14:textId="7CAA1D81"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5,0</w:t>
            </w:r>
          </w:p>
        </w:tc>
      </w:tr>
      <w:tr w:rsidR="00C32D1D" w:rsidRPr="001B0074" w14:paraId="282C942D" w14:textId="77777777" w:rsidTr="006B28DB">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218096C1"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6. Eksporta cenu </w:t>
            </w:r>
            <w:proofErr w:type="spellStart"/>
            <w:r w:rsidRPr="001B0074">
              <w:rPr>
                <w:color w:val="000000"/>
                <w:szCs w:val="24"/>
                <w:lang w:eastAsia="lv-LV"/>
              </w:rPr>
              <w:t>deflators</w:t>
            </w:r>
            <w:proofErr w:type="spellEnd"/>
          </w:p>
        </w:tc>
        <w:tc>
          <w:tcPr>
            <w:tcW w:w="1298" w:type="dxa"/>
            <w:hideMark/>
          </w:tcPr>
          <w:p w14:paraId="5D2436EA" w14:textId="77777777"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15B8FD0" w14:textId="60231390" w:rsidR="00C32D1D" w:rsidRPr="001B0074"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85" w:type="dxa"/>
            <w:vAlign w:val="center"/>
          </w:tcPr>
          <w:p w14:paraId="40A9127A" w14:textId="3E3D4333" w:rsidR="00C32D1D" w:rsidRPr="001B0074" w:rsidRDefault="00D678E2"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-1,7</w:t>
            </w:r>
          </w:p>
        </w:tc>
        <w:tc>
          <w:tcPr>
            <w:tcW w:w="1134" w:type="dxa"/>
            <w:vAlign w:val="center"/>
          </w:tcPr>
          <w:p w14:paraId="3136AC16" w14:textId="63877EFC" w:rsidR="00C32D1D" w:rsidRPr="001B0074" w:rsidRDefault="00D678E2"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3,0</w:t>
            </w:r>
          </w:p>
        </w:tc>
        <w:tc>
          <w:tcPr>
            <w:tcW w:w="1134" w:type="dxa"/>
            <w:vAlign w:val="center"/>
          </w:tcPr>
          <w:p w14:paraId="197492B3" w14:textId="0496A3D8" w:rsidR="00C32D1D" w:rsidRPr="001B0074" w:rsidRDefault="00D678E2" w:rsidP="00381267">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3,0</w:t>
            </w:r>
          </w:p>
        </w:tc>
      </w:tr>
      <w:tr w:rsidR="00C32D1D" w:rsidRPr="001B0074" w14:paraId="2DAFF039" w14:textId="77777777" w:rsidTr="006B28DB">
        <w:trPr>
          <w:trHeight w:val="317"/>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13D5033" w14:textId="77777777" w:rsidR="00C32D1D" w:rsidRPr="001B0074" w:rsidRDefault="00C32D1D" w:rsidP="006B2FB4">
            <w:pPr>
              <w:spacing w:after="0"/>
              <w:ind w:firstLine="0"/>
              <w:jc w:val="left"/>
              <w:rPr>
                <w:color w:val="000000"/>
                <w:szCs w:val="24"/>
                <w:lang w:eastAsia="lv-LV"/>
              </w:rPr>
            </w:pPr>
            <w:r w:rsidRPr="001B0074">
              <w:rPr>
                <w:color w:val="000000"/>
                <w:szCs w:val="24"/>
                <w:lang w:eastAsia="lv-LV"/>
              </w:rPr>
              <w:t xml:space="preserve">7. Importa cenu </w:t>
            </w:r>
            <w:proofErr w:type="spellStart"/>
            <w:r w:rsidRPr="001B0074">
              <w:rPr>
                <w:color w:val="000000"/>
                <w:szCs w:val="24"/>
                <w:lang w:eastAsia="lv-LV"/>
              </w:rPr>
              <w:t>deflators</w:t>
            </w:r>
            <w:proofErr w:type="spellEnd"/>
          </w:p>
        </w:tc>
        <w:tc>
          <w:tcPr>
            <w:tcW w:w="1298" w:type="dxa"/>
            <w:hideMark/>
          </w:tcPr>
          <w:p w14:paraId="383A83CD" w14:textId="77777777"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37DF300E" w14:textId="0980C034" w:rsidR="00C32D1D" w:rsidRPr="001B0074"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085" w:type="dxa"/>
            <w:vAlign w:val="center"/>
          </w:tcPr>
          <w:p w14:paraId="08436819" w14:textId="4F076AFB"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-6,1</w:t>
            </w:r>
          </w:p>
        </w:tc>
        <w:tc>
          <w:tcPr>
            <w:tcW w:w="1134" w:type="dxa"/>
            <w:vAlign w:val="center"/>
          </w:tcPr>
          <w:p w14:paraId="1CFD46D9" w14:textId="1A4EA048"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5,0</w:t>
            </w:r>
          </w:p>
        </w:tc>
        <w:tc>
          <w:tcPr>
            <w:tcW w:w="1134" w:type="dxa"/>
            <w:vAlign w:val="center"/>
          </w:tcPr>
          <w:p w14:paraId="3B93BC6A" w14:textId="6311E05F" w:rsidR="00C32D1D" w:rsidRPr="001B0074" w:rsidRDefault="00D678E2" w:rsidP="00381267">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4,5</w:t>
            </w:r>
          </w:p>
        </w:tc>
      </w:tr>
    </w:tbl>
    <w:p w14:paraId="519F79A5" w14:textId="77777777" w:rsidR="00C32D1D" w:rsidRPr="00976103" w:rsidRDefault="00C32D1D" w:rsidP="00C32D1D">
      <w:pPr>
        <w:ind w:firstLine="0"/>
        <w:jc w:val="left"/>
        <w:rPr>
          <w:szCs w:val="24"/>
        </w:rPr>
      </w:pPr>
    </w:p>
    <w:p w14:paraId="6E0A9EF5" w14:textId="77777777" w:rsidR="00C32D1D" w:rsidRPr="00976103" w:rsidRDefault="00C32D1D" w:rsidP="00C32D1D">
      <w:pPr>
        <w:ind w:firstLine="0"/>
        <w:jc w:val="left"/>
        <w:rPr>
          <w:b/>
          <w:szCs w:val="24"/>
        </w:rPr>
      </w:pPr>
    </w:p>
    <w:p w14:paraId="28810C0D" w14:textId="77777777"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bookmarkStart w:id="6" w:name="_Toc494786340"/>
      <w:r w:rsidRPr="001D5709">
        <w:rPr>
          <w:rFonts w:ascii="Times New Roman" w:hAnsi="Times New Roman"/>
          <w:color w:val="18185E"/>
          <w:sz w:val="24"/>
        </w:rPr>
        <w:t>Tabula 1c: Darba tirgus attīstība</w:t>
      </w:r>
      <w:bookmarkEnd w:id="6"/>
    </w:p>
    <w:tbl>
      <w:tblPr>
        <w:tblStyle w:val="GridTable6Colorful-Accent11"/>
        <w:tblW w:w="9351" w:type="dxa"/>
        <w:jc w:val="center"/>
        <w:tblLayout w:type="fixed"/>
        <w:tblLook w:val="04A0" w:firstRow="1" w:lastRow="0" w:firstColumn="1" w:lastColumn="0" w:noHBand="0" w:noVBand="1"/>
      </w:tblPr>
      <w:tblGrid>
        <w:gridCol w:w="3681"/>
        <w:gridCol w:w="862"/>
        <w:gridCol w:w="1635"/>
        <w:gridCol w:w="1047"/>
        <w:gridCol w:w="992"/>
        <w:gridCol w:w="1134"/>
      </w:tblGrid>
      <w:tr w:rsidR="00C32D1D" w:rsidRPr="00976103" w14:paraId="57002110" w14:textId="77777777" w:rsidTr="00AF5E23">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79B809B0" w14:textId="77777777" w:rsidR="00C32D1D" w:rsidRPr="00976103" w:rsidRDefault="00C32D1D" w:rsidP="006B2FB4">
            <w:pPr>
              <w:spacing w:after="0"/>
              <w:ind w:firstLineChars="100" w:firstLine="240"/>
              <w:jc w:val="right"/>
              <w:rPr>
                <w:color w:val="000000"/>
                <w:szCs w:val="24"/>
                <w:lang w:eastAsia="lv-LV"/>
              </w:rPr>
            </w:pPr>
            <w:r w:rsidRPr="00976103">
              <w:rPr>
                <w:color w:val="000000"/>
                <w:szCs w:val="24"/>
                <w:lang w:eastAsia="lv-LV"/>
              </w:rPr>
              <w:t> </w:t>
            </w:r>
          </w:p>
        </w:tc>
        <w:tc>
          <w:tcPr>
            <w:tcW w:w="862" w:type="dxa"/>
            <w:hideMark/>
          </w:tcPr>
          <w:p w14:paraId="2458A345" w14:textId="39A2334F" w:rsidR="00C32D1D" w:rsidRPr="00517C82" w:rsidRDefault="000318B2" w:rsidP="006B2FB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EKS k</w:t>
            </w:r>
            <w:r w:rsidR="00C32D1D" w:rsidRPr="00517C82">
              <w:rPr>
                <w:color w:val="000000"/>
                <w:szCs w:val="24"/>
                <w:lang w:eastAsia="lv-LV"/>
              </w:rPr>
              <w:t>ods</w:t>
            </w:r>
          </w:p>
        </w:tc>
        <w:tc>
          <w:tcPr>
            <w:tcW w:w="1635" w:type="dxa"/>
            <w:vAlign w:val="center"/>
            <w:hideMark/>
          </w:tcPr>
          <w:p w14:paraId="777C4B21" w14:textId="219A17AC" w:rsidR="00C32D1D" w:rsidRPr="00517C82" w:rsidRDefault="006F3B5B"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2016</w:t>
            </w:r>
          </w:p>
        </w:tc>
        <w:tc>
          <w:tcPr>
            <w:tcW w:w="1047" w:type="dxa"/>
            <w:vAlign w:val="center"/>
            <w:hideMark/>
          </w:tcPr>
          <w:p w14:paraId="765B329C" w14:textId="350BA97E" w:rsidR="00C32D1D" w:rsidRPr="00517C82" w:rsidRDefault="00C32D1D" w:rsidP="007A4C9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517C82">
              <w:rPr>
                <w:color w:val="000000"/>
                <w:szCs w:val="24"/>
                <w:lang w:eastAsia="lv-LV"/>
              </w:rPr>
              <w:t>201</w:t>
            </w:r>
            <w:r w:rsidR="006F3B5B">
              <w:rPr>
                <w:color w:val="000000"/>
                <w:szCs w:val="24"/>
                <w:lang w:eastAsia="lv-LV"/>
              </w:rPr>
              <w:t>6</w:t>
            </w:r>
          </w:p>
        </w:tc>
        <w:tc>
          <w:tcPr>
            <w:tcW w:w="992" w:type="dxa"/>
            <w:vAlign w:val="center"/>
            <w:hideMark/>
          </w:tcPr>
          <w:p w14:paraId="23B1942B" w14:textId="606519E9" w:rsidR="00C32D1D" w:rsidRPr="00517C82" w:rsidRDefault="00C32D1D"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517C82">
              <w:rPr>
                <w:color w:val="000000"/>
                <w:szCs w:val="24"/>
                <w:lang w:eastAsia="lv-LV"/>
              </w:rPr>
              <w:t>2</w:t>
            </w:r>
            <w:r w:rsidR="006F3B5B">
              <w:rPr>
                <w:color w:val="000000"/>
                <w:szCs w:val="24"/>
                <w:lang w:eastAsia="lv-LV"/>
              </w:rPr>
              <w:t>017</w:t>
            </w:r>
          </w:p>
        </w:tc>
        <w:tc>
          <w:tcPr>
            <w:tcW w:w="1134" w:type="dxa"/>
            <w:vAlign w:val="center"/>
            <w:hideMark/>
          </w:tcPr>
          <w:p w14:paraId="6E8DF515" w14:textId="56A1CD85" w:rsidR="00C32D1D" w:rsidRPr="00517C82" w:rsidRDefault="006F3B5B"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r>
      <w:tr w:rsidR="00C32D1D" w:rsidRPr="00976103" w14:paraId="4549E323"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B013529" w14:textId="77777777" w:rsidR="00C32D1D" w:rsidRPr="00976103" w:rsidRDefault="00C32D1D" w:rsidP="006B2FB4">
            <w:pPr>
              <w:spacing w:after="0"/>
              <w:ind w:firstLineChars="100" w:firstLine="240"/>
              <w:jc w:val="right"/>
              <w:rPr>
                <w:color w:val="000000"/>
                <w:szCs w:val="24"/>
                <w:lang w:eastAsia="lv-LV"/>
              </w:rPr>
            </w:pPr>
            <w:r w:rsidRPr="00976103">
              <w:rPr>
                <w:color w:val="000000"/>
                <w:szCs w:val="24"/>
                <w:lang w:eastAsia="lv-LV"/>
              </w:rPr>
              <w:t> </w:t>
            </w:r>
          </w:p>
        </w:tc>
        <w:tc>
          <w:tcPr>
            <w:tcW w:w="862" w:type="dxa"/>
            <w:hideMark/>
          </w:tcPr>
          <w:p w14:paraId="38613146" w14:textId="77777777" w:rsidR="00C32D1D" w:rsidRPr="00976103" w:rsidRDefault="00C32D1D"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1635" w:type="dxa"/>
            <w:vAlign w:val="center"/>
            <w:hideMark/>
          </w:tcPr>
          <w:p w14:paraId="03AC19EF" w14:textId="77777777" w:rsidR="00C32D1D" w:rsidRPr="00976103" w:rsidRDefault="00C32D1D"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Līmenis</w:t>
            </w:r>
          </w:p>
        </w:tc>
        <w:tc>
          <w:tcPr>
            <w:tcW w:w="3173" w:type="dxa"/>
            <w:gridSpan w:val="3"/>
            <w:vAlign w:val="center"/>
            <w:hideMark/>
          </w:tcPr>
          <w:p w14:paraId="7C6B8E95" w14:textId="77777777" w:rsidR="00C32D1D" w:rsidRPr="00976103"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Pieaugums %</w:t>
            </w:r>
          </w:p>
        </w:tc>
      </w:tr>
      <w:tr w:rsidR="00C32D1D" w:rsidRPr="00976103" w14:paraId="7850D91D" w14:textId="77777777" w:rsidTr="00AF5E23">
        <w:trPr>
          <w:trHeight w:val="246"/>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E9B9D0B"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1. Nodarbinātība</w:t>
            </w:r>
            <w:r w:rsidR="008329B8">
              <w:rPr>
                <w:color w:val="000000"/>
                <w:szCs w:val="24"/>
                <w:lang w:eastAsia="lv-LV"/>
              </w:rPr>
              <w:t>, cilvēki, tūkst.</w:t>
            </w:r>
          </w:p>
        </w:tc>
        <w:tc>
          <w:tcPr>
            <w:tcW w:w="862" w:type="dxa"/>
            <w:vAlign w:val="center"/>
            <w:hideMark/>
          </w:tcPr>
          <w:p w14:paraId="72E474FA" w14:textId="180529DE" w:rsidR="00C32D1D" w:rsidRPr="00976103"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635" w:type="dxa"/>
            <w:vAlign w:val="center"/>
          </w:tcPr>
          <w:p w14:paraId="41688DB0" w14:textId="0AE9196A" w:rsidR="00C32D1D" w:rsidRPr="00976103" w:rsidRDefault="002A1EA8"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893</w:t>
            </w:r>
          </w:p>
        </w:tc>
        <w:tc>
          <w:tcPr>
            <w:tcW w:w="1047" w:type="dxa"/>
            <w:vAlign w:val="center"/>
          </w:tcPr>
          <w:p w14:paraId="63105DF2" w14:textId="5140806E" w:rsidR="00C32D1D" w:rsidRPr="00976103" w:rsidRDefault="002A1EA8"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-0,3</w:t>
            </w:r>
          </w:p>
        </w:tc>
        <w:tc>
          <w:tcPr>
            <w:tcW w:w="992" w:type="dxa"/>
            <w:vAlign w:val="center"/>
          </w:tcPr>
          <w:p w14:paraId="05F0F1EC" w14:textId="7F100239" w:rsidR="00C32D1D" w:rsidRPr="00976103" w:rsidRDefault="002A1EA8"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134" w:type="dxa"/>
            <w:vAlign w:val="center"/>
          </w:tcPr>
          <w:p w14:paraId="077D9885" w14:textId="0ED55C6F" w:rsidR="00C32D1D" w:rsidRPr="00976103" w:rsidRDefault="002A1EA8"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r>
      <w:tr w:rsidR="00C32D1D" w:rsidRPr="00976103" w14:paraId="3920DEA8" w14:textId="77777777" w:rsidTr="00AF5E23">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0A63395" w14:textId="77777777" w:rsidR="00C32D1D" w:rsidRPr="00976103" w:rsidRDefault="00C32D1D" w:rsidP="00322A76">
            <w:pPr>
              <w:spacing w:after="0"/>
              <w:ind w:firstLine="0"/>
              <w:jc w:val="left"/>
              <w:rPr>
                <w:color w:val="000000"/>
                <w:szCs w:val="24"/>
                <w:lang w:eastAsia="lv-LV"/>
              </w:rPr>
            </w:pPr>
            <w:r w:rsidRPr="00976103">
              <w:rPr>
                <w:color w:val="000000"/>
                <w:szCs w:val="24"/>
                <w:lang w:eastAsia="lv-LV"/>
              </w:rPr>
              <w:t>2. Nostrādātās stundas</w:t>
            </w:r>
          </w:p>
        </w:tc>
        <w:tc>
          <w:tcPr>
            <w:tcW w:w="862" w:type="dxa"/>
            <w:vAlign w:val="center"/>
            <w:hideMark/>
          </w:tcPr>
          <w:p w14:paraId="1315B353" w14:textId="1923E42C" w:rsidR="00C32D1D" w:rsidRPr="00976103"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635" w:type="dxa"/>
            <w:vAlign w:val="center"/>
          </w:tcPr>
          <w:p w14:paraId="428D229C" w14:textId="72B8A08E" w:rsidR="00C32D1D" w:rsidRPr="00976103" w:rsidRDefault="002A1EA8"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1306792585</w:t>
            </w:r>
          </w:p>
        </w:tc>
        <w:tc>
          <w:tcPr>
            <w:tcW w:w="1047" w:type="dxa"/>
            <w:vAlign w:val="center"/>
          </w:tcPr>
          <w:p w14:paraId="3B75A200" w14:textId="66E6ADF6" w:rsidR="00C32D1D" w:rsidRPr="00976103" w:rsidRDefault="002A1EA8"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-0,4</w:t>
            </w:r>
          </w:p>
        </w:tc>
        <w:tc>
          <w:tcPr>
            <w:tcW w:w="992" w:type="dxa"/>
            <w:vAlign w:val="center"/>
          </w:tcPr>
          <w:p w14:paraId="2AD49FFC" w14:textId="4190CD4C" w:rsidR="00C32D1D" w:rsidRPr="00976103" w:rsidRDefault="002A1EA8"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w:t>
            </w:r>
          </w:p>
        </w:tc>
        <w:tc>
          <w:tcPr>
            <w:tcW w:w="1134" w:type="dxa"/>
            <w:vAlign w:val="center"/>
          </w:tcPr>
          <w:p w14:paraId="3A0A530D" w14:textId="1463CF14" w:rsidR="00C32D1D" w:rsidRPr="00976103" w:rsidRDefault="002A1EA8"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w:t>
            </w:r>
          </w:p>
        </w:tc>
      </w:tr>
      <w:tr w:rsidR="00C32D1D" w:rsidRPr="00976103" w14:paraId="3EB822AC"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D0AB111"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3. Bezdarbs</w:t>
            </w:r>
            <w:r w:rsidR="008329B8">
              <w:rPr>
                <w:color w:val="000000"/>
                <w:szCs w:val="24"/>
                <w:lang w:eastAsia="lv-LV"/>
              </w:rPr>
              <w:t xml:space="preserve"> (%)</w:t>
            </w:r>
          </w:p>
        </w:tc>
        <w:tc>
          <w:tcPr>
            <w:tcW w:w="862" w:type="dxa"/>
            <w:vAlign w:val="center"/>
            <w:hideMark/>
          </w:tcPr>
          <w:p w14:paraId="5E37B171" w14:textId="10F51A25" w:rsidR="00C32D1D" w:rsidRPr="00976103"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635" w:type="dxa"/>
            <w:vAlign w:val="center"/>
          </w:tcPr>
          <w:p w14:paraId="199F14D8" w14:textId="15B5279B" w:rsidR="00C32D1D" w:rsidRPr="00976103"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047" w:type="dxa"/>
            <w:vAlign w:val="center"/>
          </w:tcPr>
          <w:p w14:paraId="06EF5F50" w14:textId="5BB56183" w:rsidR="00C32D1D" w:rsidRPr="00976103" w:rsidRDefault="002A1EA8"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9,6</w:t>
            </w:r>
          </w:p>
        </w:tc>
        <w:tc>
          <w:tcPr>
            <w:tcW w:w="992" w:type="dxa"/>
            <w:vAlign w:val="center"/>
          </w:tcPr>
          <w:p w14:paraId="2828466C" w14:textId="1BBDACA8" w:rsidR="00C32D1D" w:rsidRPr="00976103" w:rsidRDefault="002A1EA8"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8,9</w:t>
            </w:r>
          </w:p>
        </w:tc>
        <w:tc>
          <w:tcPr>
            <w:tcW w:w="1134" w:type="dxa"/>
            <w:vAlign w:val="center"/>
          </w:tcPr>
          <w:p w14:paraId="2C226637" w14:textId="77C3D90D" w:rsidR="00C32D1D" w:rsidRPr="00976103" w:rsidRDefault="002A1EA8"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8,2</w:t>
            </w:r>
          </w:p>
        </w:tc>
      </w:tr>
      <w:tr w:rsidR="00C32D1D" w:rsidRPr="00976103" w14:paraId="0D24B6DE" w14:textId="77777777" w:rsidTr="00AF5E23">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9170065"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4. Produktivitāte uz nodarbināto</w:t>
            </w:r>
          </w:p>
        </w:tc>
        <w:tc>
          <w:tcPr>
            <w:tcW w:w="862" w:type="dxa"/>
            <w:vAlign w:val="center"/>
            <w:hideMark/>
          </w:tcPr>
          <w:p w14:paraId="4276E959" w14:textId="25F8ACB9" w:rsidR="00C32D1D" w:rsidRPr="00976103"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635" w:type="dxa"/>
            <w:vAlign w:val="center"/>
          </w:tcPr>
          <w:p w14:paraId="66E2E02F" w14:textId="69914877"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47" w:type="dxa"/>
            <w:vAlign w:val="center"/>
          </w:tcPr>
          <w:p w14:paraId="28BF57A6" w14:textId="3734CE78" w:rsidR="00C32D1D" w:rsidRPr="00976103" w:rsidRDefault="002A1EA8"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2,3</w:t>
            </w:r>
          </w:p>
        </w:tc>
        <w:tc>
          <w:tcPr>
            <w:tcW w:w="992" w:type="dxa"/>
            <w:vAlign w:val="center"/>
          </w:tcPr>
          <w:p w14:paraId="4F923659" w14:textId="7B04D9D3" w:rsidR="00C32D1D" w:rsidRPr="00976103" w:rsidRDefault="002A1EA8"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3,5</w:t>
            </w:r>
          </w:p>
        </w:tc>
        <w:tc>
          <w:tcPr>
            <w:tcW w:w="1134" w:type="dxa"/>
            <w:vAlign w:val="center"/>
          </w:tcPr>
          <w:p w14:paraId="373BD344" w14:textId="35182765" w:rsidR="00C32D1D" w:rsidRPr="00976103" w:rsidRDefault="002A1EA8"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3,2</w:t>
            </w:r>
          </w:p>
        </w:tc>
      </w:tr>
      <w:tr w:rsidR="00C32D1D" w:rsidRPr="00976103" w14:paraId="4B427356" w14:textId="77777777" w:rsidTr="00AF5E23">
        <w:trPr>
          <w:trHeight w:val="29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48809FC"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5. Produktivitāte stundā</w:t>
            </w:r>
          </w:p>
        </w:tc>
        <w:tc>
          <w:tcPr>
            <w:tcW w:w="862" w:type="dxa"/>
            <w:vAlign w:val="center"/>
            <w:hideMark/>
          </w:tcPr>
          <w:p w14:paraId="01F3F040" w14:textId="50070049" w:rsidR="00C32D1D" w:rsidRPr="00976103" w:rsidRDefault="00C32D1D"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635" w:type="dxa"/>
            <w:vAlign w:val="center"/>
          </w:tcPr>
          <w:p w14:paraId="065489B7" w14:textId="5F21526F" w:rsidR="00C32D1D" w:rsidRPr="00976103" w:rsidRDefault="00C32D1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047" w:type="dxa"/>
            <w:vAlign w:val="center"/>
          </w:tcPr>
          <w:p w14:paraId="7433E960" w14:textId="1AE29338" w:rsidR="00C32D1D" w:rsidRPr="00976103" w:rsidRDefault="00AE39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2,3</w:t>
            </w:r>
          </w:p>
        </w:tc>
        <w:tc>
          <w:tcPr>
            <w:tcW w:w="992" w:type="dxa"/>
            <w:vAlign w:val="center"/>
          </w:tcPr>
          <w:p w14:paraId="068D0C0B" w14:textId="0ECA8BAE" w:rsidR="00C32D1D" w:rsidRPr="00976103" w:rsidRDefault="00AE39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3,5</w:t>
            </w:r>
          </w:p>
        </w:tc>
        <w:tc>
          <w:tcPr>
            <w:tcW w:w="1134" w:type="dxa"/>
            <w:vAlign w:val="center"/>
          </w:tcPr>
          <w:p w14:paraId="6C13B638" w14:textId="298FA25E" w:rsidR="00C32D1D" w:rsidRPr="00976103" w:rsidRDefault="00AE39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3,2</w:t>
            </w:r>
          </w:p>
        </w:tc>
      </w:tr>
      <w:tr w:rsidR="00C32D1D" w:rsidRPr="00976103" w14:paraId="393FF780" w14:textId="77777777" w:rsidTr="00AF5E2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F4F80C9"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6. Darbinieku atalgojums kopā</w:t>
            </w:r>
            <w:r w:rsidR="008329B8">
              <w:rPr>
                <w:color w:val="000000"/>
                <w:szCs w:val="24"/>
                <w:lang w:eastAsia="lv-LV"/>
              </w:rPr>
              <w:t xml:space="preserve">, mljrd. </w:t>
            </w:r>
            <w:proofErr w:type="spellStart"/>
            <w:r w:rsidR="008329B8" w:rsidRPr="0067207B">
              <w:rPr>
                <w:i/>
                <w:color w:val="000000"/>
                <w:szCs w:val="24"/>
                <w:lang w:eastAsia="lv-LV"/>
              </w:rPr>
              <w:t>euro</w:t>
            </w:r>
            <w:proofErr w:type="spellEnd"/>
          </w:p>
        </w:tc>
        <w:tc>
          <w:tcPr>
            <w:tcW w:w="862" w:type="dxa"/>
            <w:vAlign w:val="center"/>
            <w:hideMark/>
          </w:tcPr>
          <w:p w14:paraId="380C70FE" w14:textId="77777777" w:rsidR="00C32D1D" w:rsidRPr="00976103" w:rsidRDefault="00C32D1D"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635" w:type="dxa"/>
            <w:vAlign w:val="center"/>
          </w:tcPr>
          <w:p w14:paraId="50578F2C" w14:textId="73D25D10" w:rsidR="00C32D1D" w:rsidRPr="00976103" w:rsidRDefault="00AE39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11505</w:t>
            </w:r>
          </w:p>
        </w:tc>
        <w:tc>
          <w:tcPr>
            <w:tcW w:w="1047" w:type="dxa"/>
            <w:vAlign w:val="center"/>
          </w:tcPr>
          <w:p w14:paraId="4A1C6F17" w14:textId="4F5DB0C9" w:rsidR="00C32D1D" w:rsidRPr="00976103" w:rsidRDefault="00AE39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6,2</w:t>
            </w:r>
          </w:p>
        </w:tc>
        <w:tc>
          <w:tcPr>
            <w:tcW w:w="992" w:type="dxa"/>
            <w:vAlign w:val="center"/>
          </w:tcPr>
          <w:p w14:paraId="3FDE929B" w14:textId="28FEF3D3" w:rsidR="00C32D1D" w:rsidRPr="00976103" w:rsidRDefault="00AE39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6,7</w:t>
            </w:r>
          </w:p>
        </w:tc>
        <w:tc>
          <w:tcPr>
            <w:tcW w:w="1134" w:type="dxa"/>
            <w:vAlign w:val="center"/>
          </w:tcPr>
          <w:p w14:paraId="58AB2890" w14:textId="14F0B412" w:rsidR="00C32D1D" w:rsidRPr="00976103" w:rsidRDefault="00AE394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6,0</w:t>
            </w:r>
          </w:p>
        </w:tc>
      </w:tr>
      <w:tr w:rsidR="00C32D1D" w:rsidRPr="00976103" w14:paraId="62BF9038" w14:textId="77777777" w:rsidTr="00AE394D">
        <w:trPr>
          <w:trHeight w:val="234"/>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6606C583" w14:textId="77777777" w:rsidR="00C32D1D" w:rsidRPr="00976103" w:rsidRDefault="00C32D1D" w:rsidP="006B2FB4">
            <w:pPr>
              <w:spacing w:after="0"/>
              <w:ind w:firstLine="0"/>
              <w:jc w:val="left"/>
              <w:rPr>
                <w:color w:val="000000"/>
                <w:szCs w:val="24"/>
                <w:lang w:eastAsia="lv-LV"/>
              </w:rPr>
            </w:pPr>
            <w:r w:rsidRPr="00976103">
              <w:rPr>
                <w:color w:val="000000"/>
                <w:szCs w:val="24"/>
                <w:lang w:eastAsia="lv-LV"/>
              </w:rPr>
              <w:t>7. Bruto alga</w:t>
            </w:r>
            <w:r w:rsidR="008329B8">
              <w:rPr>
                <w:color w:val="000000"/>
                <w:szCs w:val="24"/>
                <w:lang w:eastAsia="lv-LV"/>
              </w:rPr>
              <w:t xml:space="preserve">, </w:t>
            </w:r>
            <w:proofErr w:type="spellStart"/>
            <w:r w:rsidR="008329B8" w:rsidRPr="0067207B">
              <w:rPr>
                <w:i/>
                <w:color w:val="000000"/>
                <w:szCs w:val="24"/>
                <w:lang w:eastAsia="lv-LV"/>
              </w:rPr>
              <w:t>euro</w:t>
            </w:r>
            <w:proofErr w:type="spellEnd"/>
          </w:p>
        </w:tc>
        <w:tc>
          <w:tcPr>
            <w:tcW w:w="862" w:type="dxa"/>
            <w:hideMark/>
          </w:tcPr>
          <w:p w14:paraId="2CD40E87" w14:textId="77777777" w:rsidR="00C32D1D" w:rsidRPr="00976103" w:rsidRDefault="00C32D1D" w:rsidP="006B2FB4">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w:t>
            </w:r>
          </w:p>
        </w:tc>
        <w:tc>
          <w:tcPr>
            <w:tcW w:w="1635" w:type="dxa"/>
            <w:vAlign w:val="center"/>
          </w:tcPr>
          <w:p w14:paraId="5E3E2603" w14:textId="000609B6" w:rsidR="00C32D1D" w:rsidRPr="00976103" w:rsidRDefault="00AE394D" w:rsidP="00AE394D">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859</w:t>
            </w:r>
          </w:p>
        </w:tc>
        <w:tc>
          <w:tcPr>
            <w:tcW w:w="1047" w:type="dxa"/>
            <w:vAlign w:val="center"/>
          </w:tcPr>
          <w:p w14:paraId="11451A2F" w14:textId="4386DAED" w:rsidR="00C32D1D" w:rsidRPr="00976103" w:rsidRDefault="00AE39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5,0</w:t>
            </w:r>
          </w:p>
        </w:tc>
        <w:tc>
          <w:tcPr>
            <w:tcW w:w="992" w:type="dxa"/>
            <w:vAlign w:val="center"/>
          </w:tcPr>
          <w:p w14:paraId="230A2F6E" w14:textId="7DADAE6F" w:rsidR="00C32D1D" w:rsidRPr="00976103" w:rsidRDefault="00AE39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6,5</w:t>
            </w:r>
          </w:p>
        </w:tc>
        <w:tc>
          <w:tcPr>
            <w:tcW w:w="1134" w:type="dxa"/>
            <w:vAlign w:val="center"/>
          </w:tcPr>
          <w:p w14:paraId="58CA44D5" w14:textId="23FA869A" w:rsidR="00C32D1D" w:rsidRPr="00976103" w:rsidRDefault="00AE394D"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6,0</w:t>
            </w:r>
          </w:p>
        </w:tc>
      </w:tr>
    </w:tbl>
    <w:p w14:paraId="6A0CA34F" w14:textId="77777777" w:rsidR="00C32D1D" w:rsidRPr="00976103" w:rsidRDefault="00C32D1D" w:rsidP="00C32D1D">
      <w:pPr>
        <w:ind w:firstLine="0"/>
        <w:jc w:val="left"/>
        <w:rPr>
          <w:szCs w:val="24"/>
        </w:rPr>
      </w:pPr>
    </w:p>
    <w:p w14:paraId="01E20E48" w14:textId="77777777" w:rsidR="00C32D1D" w:rsidRPr="00976103" w:rsidRDefault="00C32D1D" w:rsidP="00C32D1D">
      <w:pPr>
        <w:ind w:firstLine="0"/>
        <w:jc w:val="left"/>
        <w:rPr>
          <w:szCs w:val="24"/>
        </w:rPr>
      </w:pPr>
    </w:p>
    <w:p w14:paraId="584A87F1" w14:textId="77777777" w:rsidR="00C32D1D" w:rsidRPr="001D5709" w:rsidRDefault="00C32D1D" w:rsidP="001D5709">
      <w:pPr>
        <w:pStyle w:val="Heading1"/>
        <w:tabs>
          <w:tab w:val="left" w:pos="1276"/>
        </w:tabs>
        <w:spacing w:before="0" w:after="240"/>
        <w:ind w:firstLine="0"/>
        <w:jc w:val="left"/>
        <w:rPr>
          <w:rFonts w:ascii="Times New Roman" w:hAnsi="Times New Roman"/>
          <w:color w:val="18185E"/>
          <w:sz w:val="24"/>
        </w:rPr>
      </w:pPr>
      <w:bookmarkStart w:id="7" w:name="_Toc494786341"/>
      <w:r w:rsidRPr="001D5709">
        <w:rPr>
          <w:rFonts w:ascii="Times New Roman" w:hAnsi="Times New Roman"/>
          <w:color w:val="18185E"/>
          <w:sz w:val="24"/>
        </w:rPr>
        <w:t>Tabula 1d: Sektoru bilances</w:t>
      </w:r>
      <w:bookmarkEnd w:id="7"/>
    </w:p>
    <w:tbl>
      <w:tblPr>
        <w:tblStyle w:val="GridTable6Colorful-Accent11"/>
        <w:tblW w:w="9351" w:type="dxa"/>
        <w:jc w:val="center"/>
        <w:tblLook w:val="04A0" w:firstRow="1" w:lastRow="0" w:firstColumn="1" w:lastColumn="0" w:noHBand="0" w:noVBand="1"/>
      </w:tblPr>
      <w:tblGrid>
        <w:gridCol w:w="5382"/>
        <w:gridCol w:w="1362"/>
        <w:gridCol w:w="906"/>
        <w:gridCol w:w="850"/>
        <w:gridCol w:w="851"/>
      </w:tblGrid>
      <w:tr w:rsidR="00C32D1D" w:rsidRPr="00976103" w14:paraId="20764141" w14:textId="77777777" w:rsidTr="00AF5E23">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E4E13B3" w14:textId="77777777" w:rsidR="00C32D1D" w:rsidRPr="00976103" w:rsidRDefault="00C32D1D" w:rsidP="006B2FB4">
            <w:pPr>
              <w:spacing w:after="0"/>
              <w:ind w:firstLineChars="100" w:firstLine="240"/>
              <w:jc w:val="right"/>
              <w:rPr>
                <w:color w:val="000000"/>
                <w:szCs w:val="22"/>
                <w:lang w:eastAsia="lv-LV"/>
              </w:rPr>
            </w:pPr>
            <w:r w:rsidRPr="00976103">
              <w:rPr>
                <w:color w:val="000000"/>
                <w:szCs w:val="22"/>
                <w:lang w:eastAsia="lv-LV"/>
              </w:rPr>
              <w:t> </w:t>
            </w:r>
          </w:p>
        </w:tc>
        <w:tc>
          <w:tcPr>
            <w:tcW w:w="1362" w:type="dxa"/>
            <w:vAlign w:val="center"/>
            <w:hideMark/>
          </w:tcPr>
          <w:p w14:paraId="5456A121" w14:textId="2DA157E1" w:rsidR="00C32D1D" w:rsidRPr="00517C82" w:rsidRDefault="000318B2"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EKS k</w:t>
            </w:r>
            <w:r w:rsidR="00C32D1D" w:rsidRPr="00517C82">
              <w:rPr>
                <w:color w:val="000000"/>
                <w:szCs w:val="22"/>
                <w:lang w:eastAsia="lv-LV"/>
              </w:rPr>
              <w:t>ods</w:t>
            </w:r>
          </w:p>
        </w:tc>
        <w:tc>
          <w:tcPr>
            <w:tcW w:w="906" w:type="dxa"/>
            <w:vAlign w:val="center"/>
            <w:hideMark/>
          </w:tcPr>
          <w:p w14:paraId="1A70466F" w14:textId="6CB10714" w:rsidR="00C32D1D" w:rsidRPr="00517C82"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2016</w:t>
            </w:r>
          </w:p>
        </w:tc>
        <w:tc>
          <w:tcPr>
            <w:tcW w:w="850" w:type="dxa"/>
            <w:vAlign w:val="center"/>
            <w:hideMark/>
          </w:tcPr>
          <w:p w14:paraId="604AC2D3" w14:textId="29D52089" w:rsidR="00C32D1D" w:rsidRPr="00517C82"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2017</w:t>
            </w:r>
          </w:p>
        </w:tc>
        <w:tc>
          <w:tcPr>
            <w:tcW w:w="851" w:type="dxa"/>
            <w:vAlign w:val="center"/>
            <w:hideMark/>
          </w:tcPr>
          <w:p w14:paraId="2F2102D4" w14:textId="6E5D940A" w:rsidR="00C32D1D" w:rsidRPr="00517C82"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2018</w:t>
            </w:r>
          </w:p>
        </w:tc>
      </w:tr>
      <w:tr w:rsidR="00C32D1D" w:rsidRPr="00976103" w14:paraId="27AFB500"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73B223F7" w14:textId="77777777" w:rsidR="00C32D1D" w:rsidRPr="00976103" w:rsidRDefault="00C32D1D" w:rsidP="006B2FB4">
            <w:pPr>
              <w:spacing w:after="0"/>
              <w:ind w:firstLineChars="100" w:firstLine="240"/>
              <w:jc w:val="right"/>
              <w:rPr>
                <w:color w:val="000000"/>
                <w:szCs w:val="22"/>
                <w:lang w:eastAsia="lv-LV"/>
              </w:rPr>
            </w:pPr>
            <w:r w:rsidRPr="00976103">
              <w:rPr>
                <w:color w:val="000000"/>
                <w:szCs w:val="22"/>
                <w:lang w:eastAsia="lv-LV"/>
              </w:rPr>
              <w:t> </w:t>
            </w:r>
          </w:p>
        </w:tc>
        <w:tc>
          <w:tcPr>
            <w:tcW w:w="1362" w:type="dxa"/>
            <w:vAlign w:val="center"/>
            <w:hideMark/>
          </w:tcPr>
          <w:p w14:paraId="141AB444" w14:textId="37A2CA82" w:rsidR="00C32D1D" w:rsidRPr="00976103" w:rsidRDefault="00C32D1D"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2607" w:type="dxa"/>
            <w:gridSpan w:val="3"/>
            <w:vAlign w:val="center"/>
            <w:hideMark/>
          </w:tcPr>
          <w:p w14:paraId="5F826028" w14:textId="77777777" w:rsidR="00C32D1D" w:rsidRPr="00976103" w:rsidRDefault="00C32D1D"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 no IKP</w:t>
            </w:r>
          </w:p>
        </w:tc>
      </w:tr>
      <w:tr w:rsidR="00C32D1D" w:rsidRPr="00976103" w14:paraId="2C7E7293" w14:textId="77777777" w:rsidTr="00AF5E23">
        <w:trPr>
          <w:trHeight w:val="491"/>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1ABF8C01" w14:textId="77777777" w:rsidR="00C32D1D" w:rsidRPr="00976103" w:rsidRDefault="00C32D1D" w:rsidP="00777B3F">
            <w:pPr>
              <w:spacing w:after="0"/>
              <w:ind w:firstLine="0"/>
              <w:jc w:val="left"/>
              <w:rPr>
                <w:color w:val="000000"/>
                <w:szCs w:val="22"/>
                <w:lang w:eastAsia="lv-LV"/>
              </w:rPr>
            </w:pPr>
            <w:r w:rsidRPr="00976103">
              <w:rPr>
                <w:color w:val="000000"/>
                <w:szCs w:val="22"/>
                <w:lang w:eastAsia="lv-LV"/>
              </w:rPr>
              <w:t>1. Neto aizdevumi/aizņēmumi attiecībā pret pārējām valstīm</w:t>
            </w:r>
          </w:p>
        </w:tc>
        <w:tc>
          <w:tcPr>
            <w:tcW w:w="1362" w:type="dxa"/>
            <w:vAlign w:val="center"/>
            <w:hideMark/>
          </w:tcPr>
          <w:p w14:paraId="416AD562" w14:textId="77777777" w:rsidR="00C32D1D" w:rsidRPr="00976103" w:rsidRDefault="00C32D1D"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B.9</w:t>
            </w:r>
          </w:p>
        </w:tc>
        <w:tc>
          <w:tcPr>
            <w:tcW w:w="906" w:type="dxa"/>
            <w:vAlign w:val="center"/>
          </w:tcPr>
          <w:p w14:paraId="3A88F455" w14:textId="7B3FE409" w:rsidR="00C32D1D" w:rsidRPr="00976103" w:rsidRDefault="000E3CB3"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w:t>
            </w:r>
          </w:p>
        </w:tc>
        <w:tc>
          <w:tcPr>
            <w:tcW w:w="850" w:type="dxa"/>
            <w:vAlign w:val="center"/>
          </w:tcPr>
          <w:p w14:paraId="331231A7" w14:textId="638BC9AA" w:rsidR="00C32D1D" w:rsidRPr="00976103" w:rsidRDefault="000E3CB3"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0,9</w:t>
            </w:r>
          </w:p>
        </w:tc>
        <w:tc>
          <w:tcPr>
            <w:tcW w:w="851" w:type="dxa"/>
            <w:vAlign w:val="center"/>
          </w:tcPr>
          <w:p w14:paraId="5C07A62A" w14:textId="51BB9832" w:rsidR="00C32D1D" w:rsidRPr="00976103" w:rsidRDefault="000E3CB3" w:rsidP="00517C82">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0,7</w:t>
            </w:r>
          </w:p>
        </w:tc>
      </w:tr>
      <w:tr w:rsidR="00C32D1D" w:rsidRPr="00976103" w14:paraId="0A659E72"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09FE38AA" w14:textId="77777777" w:rsidR="00C32D1D" w:rsidRPr="00976103" w:rsidRDefault="00C32D1D" w:rsidP="00777B3F">
            <w:pPr>
              <w:spacing w:after="0"/>
              <w:ind w:firstLine="0"/>
              <w:jc w:val="left"/>
              <w:rPr>
                <w:color w:val="000000"/>
                <w:szCs w:val="22"/>
                <w:lang w:eastAsia="lv-LV"/>
              </w:rPr>
            </w:pPr>
            <w:r w:rsidRPr="00976103">
              <w:rPr>
                <w:color w:val="000000"/>
                <w:szCs w:val="22"/>
                <w:lang w:eastAsia="lv-LV"/>
              </w:rPr>
              <w:t>no kā</w:t>
            </w:r>
          </w:p>
        </w:tc>
        <w:tc>
          <w:tcPr>
            <w:tcW w:w="1362" w:type="dxa"/>
            <w:vAlign w:val="center"/>
            <w:hideMark/>
          </w:tcPr>
          <w:p w14:paraId="78D07B44" w14:textId="2BA3E6FA" w:rsidR="00C32D1D" w:rsidRPr="00976103" w:rsidRDefault="00C32D1D"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06" w:type="dxa"/>
            <w:vAlign w:val="center"/>
          </w:tcPr>
          <w:p w14:paraId="7115D1AB" w14:textId="2ADA4C94"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850" w:type="dxa"/>
            <w:vAlign w:val="center"/>
          </w:tcPr>
          <w:p w14:paraId="6D197199" w14:textId="2204BD2E"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851" w:type="dxa"/>
            <w:vAlign w:val="center"/>
          </w:tcPr>
          <w:p w14:paraId="0427EAC1" w14:textId="6E829115" w:rsidR="00C32D1D" w:rsidRPr="00976103" w:rsidRDefault="00C32D1D" w:rsidP="00517C82">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r>
      <w:tr w:rsidR="00777B3F" w:rsidRPr="00976103" w14:paraId="4AA8B399" w14:textId="77777777" w:rsidTr="00AF5E23">
        <w:trPr>
          <w:trHeight w:val="219"/>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777C34F5"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Preču un pakalpojumu bilance</w:t>
            </w:r>
          </w:p>
        </w:tc>
        <w:tc>
          <w:tcPr>
            <w:tcW w:w="1362" w:type="dxa"/>
            <w:vAlign w:val="center"/>
            <w:hideMark/>
          </w:tcPr>
          <w:p w14:paraId="73088806" w14:textId="49E0DC43" w:rsidR="00777B3F" w:rsidRPr="00976103" w:rsidRDefault="00777B3F"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906" w:type="dxa"/>
            <w:vAlign w:val="center"/>
          </w:tcPr>
          <w:p w14:paraId="2957331C" w14:textId="21328607" w:rsidR="00777B3F" w:rsidRPr="00976103" w:rsidRDefault="000E3CB3"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0,5</w:t>
            </w:r>
          </w:p>
        </w:tc>
        <w:tc>
          <w:tcPr>
            <w:tcW w:w="850" w:type="dxa"/>
            <w:vAlign w:val="center"/>
          </w:tcPr>
          <w:p w14:paraId="1150866D" w14:textId="1B2DC8DA" w:rsidR="00777B3F" w:rsidRPr="00976103" w:rsidRDefault="000E3CB3"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-0,2</w:t>
            </w:r>
          </w:p>
        </w:tc>
        <w:tc>
          <w:tcPr>
            <w:tcW w:w="851" w:type="dxa"/>
            <w:vAlign w:val="center"/>
          </w:tcPr>
          <w:p w14:paraId="5941C17D" w14:textId="734555D3" w:rsidR="00777B3F" w:rsidRPr="00976103" w:rsidRDefault="000E3CB3"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-1,8</w:t>
            </w:r>
          </w:p>
        </w:tc>
      </w:tr>
      <w:tr w:rsidR="00777B3F" w:rsidRPr="00976103" w14:paraId="2662C70F" w14:textId="77777777" w:rsidTr="00AF5E2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44FED098"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 xml:space="preserve">Primāro ienākumu un </w:t>
            </w:r>
            <w:proofErr w:type="spellStart"/>
            <w:r w:rsidRPr="00976103">
              <w:rPr>
                <w:color w:val="000000"/>
                <w:szCs w:val="22"/>
                <w:lang w:eastAsia="lv-LV"/>
              </w:rPr>
              <w:t>transfēru</w:t>
            </w:r>
            <w:proofErr w:type="spellEnd"/>
            <w:r w:rsidRPr="00976103">
              <w:rPr>
                <w:color w:val="000000"/>
                <w:szCs w:val="22"/>
                <w:lang w:eastAsia="lv-LV"/>
              </w:rPr>
              <w:t xml:space="preserve"> bilance</w:t>
            </w:r>
          </w:p>
        </w:tc>
        <w:tc>
          <w:tcPr>
            <w:tcW w:w="1362" w:type="dxa"/>
            <w:vAlign w:val="center"/>
            <w:hideMark/>
          </w:tcPr>
          <w:p w14:paraId="7E953327" w14:textId="526ECF34" w:rsidR="00777B3F" w:rsidRPr="00976103" w:rsidRDefault="00777B3F"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06" w:type="dxa"/>
            <w:vAlign w:val="center"/>
          </w:tcPr>
          <w:p w14:paraId="3CD85A80" w14:textId="5751ACFE" w:rsidR="00777B3F" w:rsidRPr="00976103" w:rsidRDefault="000E3CB3"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0,5</w:t>
            </w:r>
          </w:p>
        </w:tc>
        <w:tc>
          <w:tcPr>
            <w:tcW w:w="850" w:type="dxa"/>
            <w:vAlign w:val="center"/>
          </w:tcPr>
          <w:p w14:paraId="5314B9BD" w14:textId="0070C614" w:rsidR="00777B3F" w:rsidRPr="00976103" w:rsidRDefault="000E3CB3"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0,5</w:t>
            </w:r>
          </w:p>
        </w:tc>
        <w:tc>
          <w:tcPr>
            <w:tcW w:w="851" w:type="dxa"/>
            <w:vAlign w:val="center"/>
          </w:tcPr>
          <w:p w14:paraId="5D266E4F" w14:textId="0053B22D" w:rsidR="00777B3F" w:rsidRPr="00976103" w:rsidRDefault="000E3CB3"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0,5</w:t>
            </w:r>
          </w:p>
        </w:tc>
      </w:tr>
      <w:tr w:rsidR="00777B3F" w:rsidRPr="00976103" w14:paraId="39A80EB4" w14:textId="77777777" w:rsidTr="00AF5E23">
        <w:trPr>
          <w:trHeight w:val="269"/>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367B55AE"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Kapitāla konts</w:t>
            </w:r>
          </w:p>
        </w:tc>
        <w:tc>
          <w:tcPr>
            <w:tcW w:w="1362" w:type="dxa"/>
            <w:vAlign w:val="center"/>
            <w:hideMark/>
          </w:tcPr>
          <w:p w14:paraId="3492B5C6" w14:textId="000FE811" w:rsidR="00777B3F" w:rsidRPr="00976103" w:rsidRDefault="00777B3F" w:rsidP="00777B3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906" w:type="dxa"/>
            <w:vAlign w:val="center"/>
          </w:tcPr>
          <w:p w14:paraId="7B54444B" w14:textId="481B0428" w:rsidR="00777B3F" w:rsidRPr="00976103" w:rsidRDefault="000E3CB3"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1,0</w:t>
            </w:r>
          </w:p>
        </w:tc>
        <w:tc>
          <w:tcPr>
            <w:tcW w:w="850" w:type="dxa"/>
            <w:vAlign w:val="center"/>
          </w:tcPr>
          <w:p w14:paraId="6ACCE981" w14:textId="40091F05" w:rsidR="00777B3F" w:rsidRPr="00976103" w:rsidRDefault="000E3CB3"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0,6</w:t>
            </w:r>
          </w:p>
        </w:tc>
        <w:tc>
          <w:tcPr>
            <w:tcW w:w="851" w:type="dxa"/>
            <w:vAlign w:val="center"/>
          </w:tcPr>
          <w:p w14:paraId="5226E83B" w14:textId="7229E6A2" w:rsidR="00777B3F" w:rsidRPr="00976103" w:rsidRDefault="000E3CB3"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2,0</w:t>
            </w:r>
          </w:p>
        </w:tc>
      </w:tr>
      <w:tr w:rsidR="00777B3F" w:rsidRPr="00976103" w14:paraId="159C3C76" w14:textId="77777777" w:rsidTr="00AF5E2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7F48DF1C"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2. Neto aizdevumi/aizņēmumi privātajā sektorā</w:t>
            </w:r>
          </w:p>
        </w:tc>
        <w:tc>
          <w:tcPr>
            <w:tcW w:w="1362" w:type="dxa"/>
            <w:vAlign w:val="center"/>
            <w:hideMark/>
          </w:tcPr>
          <w:p w14:paraId="29A43F91" w14:textId="77777777" w:rsidR="00777B3F" w:rsidRPr="00976103" w:rsidRDefault="00777B3F" w:rsidP="00777B3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B.9</w:t>
            </w:r>
          </w:p>
        </w:tc>
        <w:tc>
          <w:tcPr>
            <w:tcW w:w="906" w:type="dxa"/>
            <w:vAlign w:val="center"/>
          </w:tcPr>
          <w:p w14:paraId="1D276409" w14:textId="6C37F48D" w:rsidR="00777B3F" w:rsidRPr="00976103" w:rsidRDefault="000E3CB3"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2,0</w:t>
            </w:r>
          </w:p>
        </w:tc>
        <w:tc>
          <w:tcPr>
            <w:tcW w:w="850" w:type="dxa"/>
            <w:vAlign w:val="center"/>
          </w:tcPr>
          <w:p w14:paraId="0B357641" w14:textId="6DFF9730" w:rsidR="00777B3F" w:rsidRPr="00976103" w:rsidRDefault="00200AFF"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1,8</w:t>
            </w:r>
          </w:p>
        </w:tc>
        <w:tc>
          <w:tcPr>
            <w:tcW w:w="851" w:type="dxa"/>
            <w:vAlign w:val="center"/>
          </w:tcPr>
          <w:p w14:paraId="1D064BF2" w14:textId="6690C3E8" w:rsidR="00777B3F" w:rsidRPr="00976103" w:rsidRDefault="00200AFF" w:rsidP="00DA7AFA">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1</w:t>
            </w:r>
            <w:r w:rsidR="000E3CB3">
              <w:rPr>
                <w:color w:val="000000"/>
                <w:szCs w:val="22"/>
                <w:lang w:eastAsia="lv-LV"/>
              </w:rPr>
              <w:t>,7</w:t>
            </w:r>
          </w:p>
        </w:tc>
      </w:tr>
      <w:tr w:rsidR="00777B3F" w:rsidRPr="00976103" w14:paraId="17CA6486" w14:textId="77777777" w:rsidTr="00AF5E23">
        <w:trPr>
          <w:trHeight w:val="267"/>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25C84187"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3. Neto aizdevumi/aizņēmumi valdības sektorā</w:t>
            </w:r>
          </w:p>
        </w:tc>
        <w:tc>
          <w:tcPr>
            <w:tcW w:w="1362" w:type="dxa"/>
            <w:vAlign w:val="center"/>
            <w:hideMark/>
          </w:tcPr>
          <w:p w14:paraId="0E869689" w14:textId="77777777" w:rsidR="00777B3F" w:rsidRPr="00976103" w:rsidRDefault="00777B3F" w:rsidP="00777B3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EDP B.9</w:t>
            </w:r>
          </w:p>
        </w:tc>
        <w:tc>
          <w:tcPr>
            <w:tcW w:w="906" w:type="dxa"/>
            <w:vAlign w:val="center"/>
          </w:tcPr>
          <w:p w14:paraId="5C49CBFA" w14:textId="66FA8BC5" w:rsidR="00777B3F" w:rsidRPr="00976103" w:rsidRDefault="000E3CB3"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0,0</w:t>
            </w:r>
          </w:p>
        </w:tc>
        <w:tc>
          <w:tcPr>
            <w:tcW w:w="850" w:type="dxa"/>
            <w:vAlign w:val="center"/>
          </w:tcPr>
          <w:p w14:paraId="1623173B" w14:textId="439460E7" w:rsidR="00777B3F" w:rsidRPr="00976103" w:rsidRDefault="00200AFF"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-0,9</w:t>
            </w:r>
          </w:p>
        </w:tc>
        <w:tc>
          <w:tcPr>
            <w:tcW w:w="851" w:type="dxa"/>
            <w:vAlign w:val="center"/>
          </w:tcPr>
          <w:p w14:paraId="5B3EEB01" w14:textId="7D1FA78E" w:rsidR="00777B3F" w:rsidRPr="00976103" w:rsidRDefault="00200AFF" w:rsidP="00777B3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-1,0</w:t>
            </w:r>
          </w:p>
        </w:tc>
      </w:tr>
      <w:tr w:rsidR="00777B3F" w:rsidRPr="00976103" w14:paraId="74B5DF4A"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4A7F3661" w14:textId="77777777" w:rsidR="00777B3F" w:rsidRPr="00976103" w:rsidRDefault="00777B3F" w:rsidP="00777B3F">
            <w:pPr>
              <w:spacing w:after="0"/>
              <w:ind w:firstLine="0"/>
              <w:jc w:val="left"/>
              <w:rPr>
                <w:color w:val="000000"/>
                <w:szCs w:val="22"/>
                <w:lang w:eastAsia="lv-LV"/>
              </w:rPr>
            </w:pPr>
            <w:r w:rsidRPr="00976103">
              <w:rPr>
                <w:color w:val="000000"/>
                <w:szCs w:val="22"/>
                <w:lang w:eastAsia="lv-LV"/>
              </w:rPr>
              <w:t>4. Statistiskā novirze</w:t>
            </w:r>
          </w:p>
        </w:tc>
        <w:tc>
          <w:tcPr>
            <w:tcW w:w="1362" w:type="dxa"/>
            <w:vAlign w:val="center"/>
            <w:hideMark/>
          </w:tcPr>
          <w:p w14:paraId="0D560EF1" w14:textId="7D469669" w:rsidR="00777B3F" w:rsidRPr="00976103" w:rsidRDefault="00777B3F"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906" w:type="dxa"/>
            <w:vAlign w:val="center"/>
          </w:tcPr>
          <w:p w14:paraId="3987F603" w14:textId="7EDE719E" w:rsidR="00777B3F" w:rsidRPr="00976103" w:rsidRDefault="000E3CB3"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0,0</w:t>
            </w:r>
          </w:p>
        </w:tc>
        <w:tc>
          <w:tcPr>
            <w:tcW w:w="850" w:type="dxa"/>
            <w:vAlign w:val="center"/>
          </w:tcPr>
          <w:p w14:paraId="2FF5AF5A" w14:textId="0DEA1088" w:rsidR="00777B3F" w:rsidRPr="00976103" w:rsidRDefault="000E3CB3"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0,0</w:t>
            </w:r>
          </w:p>
        </w:tc>
        <w:tc>
          <w:tcPr>
            <w:tcW w:w="851" w:type="dxa"/>
            <w:vAlign w:val="center"/>
          </w:tcPr>
          <w:p w14:paraId="7F54D680" w14:textId="6168A499" w:rsidR="00777B3F" w:rsidRPr="00976103" w:rsidRDefault="000E3CB3" w:rsidP="00777B3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2"/>
                <w:lang w:eastAsia="lv-LV"/>
              </w:rPr>
            </w:pPr>
            <w:r>
              <w:rPr>
                <w:color w:val="000000"/>
                <w:szCs w:val="22"/>
                <w:lang w:eastAsia="lv-LV"/>
              </w:rPr>
              <w:t>0,0</w:t>
            </w:r>
          </w:p>
        </w:tc>
      </w:tr>
    </w:tbl>
    <w:p w14:paraId="41BAC995" w14:textId="77777777" w:rsidR="005904B9" w:rsidRDefault="005904B9" w:rsidP="00B95048">
      <w:pPr>
        <w:pStyle w:val="Heading1"/>
        <w:tabs>
          <w:tab w:val="left" w:pos="1276"/>
        </w:tabs>
        <w:spacing w:before="0" w:after="240"/>
        <w:ind w:firstLine="0"/>
        <w:rPr>
          <w:rFonts w:ascii="Times New Roman" w:hAnsi="Times New Roman"/>
          <w:color w:val="18185E"/>
          <w:sz w:val="28"/>
        </w:rPr>
      </w:pPr>
    </w:p>
    <w:p w14:paraId="27163864" w14:textId="77777777" w:rsidR="005904B9" w:rsidRDefault="005904B9">
      <w:pPr>
        <w:spacing w:after="0"/>
        <w:ind w:firstLine="0"/>
        <w:jc w:val="left"/>
        <w:rPr>
          <w:b/>
          <w:bCs/>
          <w:color w:val="18185E"/>
          <w:sz w:val="28"/>
          <w:szCs w:val="28"/>
          <w:lang w:val="x-none" w:eastAsia="x-none"/>
        </w:rPr>
      </w:pPr>
      <w:r>
        <w:rPr>
          <w:color w:val="18185E"/>
          <w:sz w:val="28"/>
        </w:rPr>
        <w:br w:type="page"/>
      </w:r>
    </w:p>
    <w:p w14:paraId="0043FE37" w14:textId="35D4282E" w:rsidR="0095691A" w:rsidRDefault="00DE25FE" w:rsidP="00375924">
      <w:pPr>
        <w:pStyle w:val="Heading1"/>
        <w:tabs>
          <w:tab w:val="left" w:pos="1276"/>
        </w:tabs>
        <w:spacing w:before="0" w:after="240"/>
        <w:jc w:val="center"/>
        <w:rPr>
          <w:rFonts w:ascii="Times New Roman" w:hAnsi="Times New Roman"/>
          <w:color w:val="18185E"/>
          <w:sz w:val="28"/>
        </w:rPr>
      </w:pPr>
      <w:bookmarkStart w:id="8" w:name="_Toc494786342"/>
      <w:r w:rsidRPr="006B2FB4">
        <w:rPr>
          <w:rFonts w:ascii="Times New Roman" w:hAnsi="Times New Roman"/>
          <w:color w:val="18185E"/>
          <w:sz w:val="28"/>
        </w:rPr>
        <w:lastRenderedPageBreak/>
        <w:t>Fiskālā stratēģija un strukturālās bilances mērķi</w:t>
      </w:r>
      <w:bookmarkEnd w:id="8"/>
    </w:p>
    <w:p w14:paraId="19D6FCA5" w14:textId="4F813EB2" w:rsidR="002A677B" w:rsidRPr="001A7023" w:rsidRDefault="002A677B" w:rsidP="005C1F92">
      <w:pPr>
        <w:pStyle w:val="NoSpacing"/>
        <w:spacing w:line="276" w:lineRule="auto"/>
        <w:ind w:firstLine="720"/>
        <w:rPr>
          <w:rFonts w:eastAsiaTheme="minorHAnsi"/>
          <w:szCs w:val="24"/>
        </w:rPr>
      </w:pPr>
      <w:r w:rsidRPr="001A7023">
        <w:rPr>
          <w:rFonts w:eastAsiaTheme="minorHAnsi"/>
          <w:szCs w:val="24"/>
        </w:rPr>
        <w:t xml:space="preserve">Latvijas fiskālās politikas principi, </w:t>
      </w:r>
      <w:r w:rsidR="001E0291">
        <w:rPr>
          <w:rFonts w:eastAsiaTheme="minorHAnsi"/>
          <w:szCs w:val="24"/>
        </w:rPr>
        <w:t>VTM</w:t>
      </w:r>
      <w:r w:rsidRPr="001A7023">
        <w:rPr>
          <w:rFonts w:eastAsiaTheme="minorHAnsi"/>
          <w:szCs w:val="24"/>
        </w:rPr>
        <w:t xml:space="preserve"> un pielietotās atkāpes sakarā ar iemaksu atjaunošanos 2.pensiju līmenī un veselības reformām nav mainīti un ir aprakstīti Stabilitātes programmā 2017.-2020.gadam. </w:t>
      </w:r>
    </w:p>
    <w:p w14:paraId="67A6F7EB" w14:textId="77777777" w:rsidR="002A677B" w:rsidRPr="001A7023" w:rsidRDefault="002A677B" w:rsidP="005C1F92">
      <w:pPr>
        <w:pStyle w:val="NoSpacing"/>
        <w:spacing w:line="276" w:lineRule="auto"/>
        <w:ind w:firstLine="720"/>
        <w:rPr>
          <w:rFonts w:eastAsiaTheme="minorHAnsi"/>
          <w:szCs w:val="24"/>
        </w:rPr>
      </w:pPr>
      <w:r w:rsidRPr="001A7023">
        <w:rPr>
          <w:rFonts w:eastAsiaTheme="minorHAnsi"/>
          <w:szCs w:val="24"/>
        </w:rPr>
        <w:t>Latvijas fiskālās politikas vispārējais mērķis – ilgtspējīgi paaugstināt Latvijas iedzīvotāju dzīves kvalitāti – netiek mainīts un līdzīgi kā iepriekšējos gadus to īsteno ar sekojošiem vidēja termiņa budžeta politikas prioritārajiem attīstības virzieniem:</w:t>
      </w:r>
    </w:p>
    <w:p w14:paraId="0B81D222" w14:textId="7107929C" w:rsidR="002A677B" w:rsidRPr="001A7023" w:rsidRDefault="002A677B" w:rsidP="005C1F92">
      <w:pPr>
        <w:pStyle w:val="NoSpacing"/>
        <w:numPr>
          <w:ilvl w:val="0"/>
          <w:numId w:val="42"/>
        </w:numPr>
        <w:spacing w:line="276" w:lineRule="auto"/>
        <w:ind w:left="1276"/>
        <w:rPr>
          <w:color w:val="000000" w:themeColor="text1"/>
          <w:szCs w:val="24"/>
          <w:lang w:val="x-none" w:eastAsia="x-none"/>
        </w:rPr>
      </w:pPr>
      <w:r w:rsidRPr="001A7023">
        <w:rPr>
          <w:color w:val="000000" w:themeColor="text1"/>
          <w:szCs w:val="24"/>
          <w:lang w:val="x-none" w:eastAsia="x-none"/>
        </w:rPr>
        <w:t xml:space="preserve">valsts aizsardzības spēju palielināšana, nodrošinot valsts aizsardzības finansējumu pret </w:t>
      </w:r>
      <w:r w:rsidR="00A64E90">
        <w:rPr>
          <w:color w:val="000000" w:themeColor="text1"/>
          <w:szCs w:val="24"/>
          <w:lang w:val="x-none" w:eastAsia="x-none"/>
        </w:rPr>
        <w:t>IKP</w:t>
      </w:r>
      <w:r w:rsidRPr="001A7023">
        <w:rPr>
          <w:color w:val="000000" w:themeColor="text1"/>
          <w:szCs w:val="24"/>
          <w:lang w:val="x-none" w:eastAsia="x-none"/>
        </w:rPr>
        <w:t xml:space="preserve"> 2 procentu apmērā;</w:t>
      </w:r>
    </w:p>
    <w:p w14:paraId="0E671B13" w14:textId="531D490F" w:rsidR="002A677B" w:rsidRPr="001A7023" w:rsidRDefault="002A677B" w:rsidP="005C1F92">
      <w:pPr>
        <w:pStyle w:val="NoSpacing"/>
        <w:numPr>
          <w:ilvl w:val="0"/>
          <w:numId w:val="42"/>
        </w:numPr>
        <w:spacing w:line="276" w:lineRule="auto"/>
        <w:ind w:left="1276"/>
        <w:rPr>
          <w:color w:val="000000" w:themeColor="text1"/>
          <w:szCs w:val="24"/>
          <w:lang w:val="x-none" w:eastAsia="x-none"/>
        </w:rPr>
      </w:pPr>
      <w:r w:rsidRPr="001A7023">
        <w:rPr>
          <w:color w:val="000000" w:themeColor="text1"/>
          <w:szCs w:val="24"/>
          <w:lang w:val="x-none" w:eastAsia="x-none"/>
        </w:rPr>
        <w:t xml:space="preserve">ilgtspējīgas un sabalansētas valsts ekonomiskās attīstības veicināšana, ieviešot </w:t>
      </w:r>
      <w:r w:rsidR="00A64E90">
        <w:rPr>
          <w:color w:val="000000" w:themeColor="text1"/>
          <w:szCs w:val="24"/>
          <w:lang w:eastAsia="x-none"/>
        </w:rPr>
        <w:t>UIN</w:t>
      </w:r>
      <w:r w:rsidRPr="001A7023">
        <w:rPr>
          <w:color w:val="000000" w:themeColor="text1"/>
          <w:szCs w:val="24"/>
          <w:lang w:val="x-none" w:eastAsia="x-none"/>
        </w:rPr>
        <w:t xml:space="preserve"> 0 procentu likmi </w:t>
      </w:r>
      <w:proofErr w:type="spellStart"/>
      <w:r w:rsidRPr="001A7023">
        <w:rPr>
          <w:color w:val="000000" w:themeColor="text1"/>
          <w:szCs w:val="24"/>
          <w:lang w:val="x-none" w:eastAsia="x-none"/>
        </w:rPr>
        <w:t>reinvestētai</w:t>
      </w:r>
      <w:proofErr w:type="spellEnd"/>
      <w:r w:rsidRPr="001A7023">
        <w:rPr>
          <w:color w:val="000000" w:themeColor="text1"/>
          <w:szCs w:val="24"/>
          <w:lang w:val="x-none" w:eastAsia="x-none"/>
        </w:rPr>
        <w:t xml:space="preserve"> peļņai, samazinot darbaspēka nodokļa slogu un valsts budžeta iespēju robežās primāri nodrošinot finansējuma pieaugumu aizsardzībai, veselībai, demogrāfijai un autoceļu uzturēšanai;</w:t>
      </w:r>
    </w:p>
    <w:p w14:paraId="24866EA3" w14:textId="4AE36E14" w:rsidR="002A677B" w:rsidRPr="001A7023" w:rsidRDefault="002A677B" w:rsidP="005C1F92">
      <w:pPr>
        <w:pStyle w:val="NoSpacing"/>
        <w:numPr>
          <w:ilvl w:val="0"/>
          <w:numId w:val="42"/>
        </w:numPr>
        <w:spacing w:line="276" w:lineRule="auto"/>
        <w:ind w:left="1276"/>
        <w:rPr>
          <w:color w:val="000000" w:themeColor="text1"/>
          <w:szCs w:val="24"/>
          <w:lang w:val="x-none" w:eastAsia="x-none"/>
        </w:rPr>
      </w:pPr>
      <w:r w:rsidRPr="001A7023">
        <w:rPr>
          <w:color w:val="000000" w:themeColor="text1"/>
          <w:szCs w:val="24"/>
          <w:lang w:val="x-none" w:eastAsia="x-none"/>
        </w:rPr>
        <w:t xml:space="preserve">iedzīvotāju ienākumu nevienlīdzības mazināšana, palielinot minimālo algu, ieviešot progresīvo </w:t>
      </w:r>
      <w:r w:rsidR="00A64E90">
        <w:rPr>
          <w:color w:val="000000" w:themeColor="text1"/>
          <w:szCs w:val="24"/>
          <w:lang w:eastAsia="x-none"/>
        </w:rPr>
        <w:t>IIN</w:t>
      </w:r>
      <w:r w:rsidRPr="001A7023">
        <w:rPr>
          <w:color w:val="000000" w:themeColor="text1"/>
          <w:szCs w:val="24"/>
          <w:lang w:val="x-none" w:eastAsia="x-none"/>
        </w:rPr>
        <w:t xml:space="preserve"> neapliekamo minimumu un diferencējot </w:t>
      </w:r>
      <w:r w:rsidR="00A64E90">
        <w:rPr>
          <w:color w:val="000000" w:themeColor="text1"/>
          <w:szCs w:val="24"/>
          <w:lang w:eastAsia="x-none"/>
        </w:rPr>
        <w:t>IIN</w:t>
      </w:r>
      <w:r w:rsidRPr="001A7023">
        <w:rPr>
          <w:color w:val="000000" w:themeColor="text1"/>
          <w:szCs w:val="24"/>
          <w:lang w:val="x-none" w:eastAsia="x-none"/>
        </w:rPr>
        <w:t xml:space="preserve"> likmi;</w:t>
      </w:r>
    </w:p>
    <w:p w14:paraId="544F28AC" w14:textId="77777777" w:rsidR="002A677B" w:rsidRDefault="002A677B" w:rsidP="005C1F92">
      <w:pPr>
        <w:pStyle w:val="NoSpacing"/>
        <w:numPr>
          <w:ilvl w:val="0"/>
          <w:numId w:val="42"/>
        </w:numPr>
        <w:spacing w:line="276" w:lineRule="auto"/>
        <w:ind w:left="1276"/>
        <w:rPr>
          <w:color w:val="000000" w:themeColor="text1"/>
          <w:szCs w:val="24"/>
          <w:lang w:val="x-none" w:eastAsia="x-none"/>
        </w:rPr>
      </w:pPr>
      <w:r w:rsidRPr="001A7023">
        <w:rPr>
          <w:color w:val="000000" w:themeColor="text1"/>
          <w:szCs w:val="24"/>
          <w:lang w:val="x-none" w:eastAsia="x-none"/>
        </w:rPr>
        <w:t xml:space="preserve">nodokļu ieņēmumu apjoma pret IKP pakāpeniska palielināšana līdz 1/3 no IKP, pamatā uzlabojot nodokļu </w:t>
      </w:r>
      <w:proofErr w:type="spellStart"/>
      <w:r w:rsidRPr="001A7023">
        <w:rPr>
          <w:color w:val="000000" w:themeColor="text1"/>
          <w:szCs w:val="24"/>
          <w:lang w:val="x-none" w:eastAsia="x-none"/>
        </w:rPr>
        <w:t>iekasējamību</w:t>
      </w:r>
      <w:proofErr w:type="spellEnd"/>
      <w:r w:rsidRPr="001A7023">
        <w:rPr>
          <w:color w:val="000000" w:themeColor="text1"/>
          <w:szCs w:val="24"/>
          <w:lang w:val="x-none" w:eastAsia="x-none"/>
        </w:rPr>
        <w:t>.</w:t>
      </w:r>
    </w:p>
    <w:p w14:paraId="7BD836EE" w14:textId="276E9B18" w:rsidR="002A677B" w:rsidRDefault="002A677B" w:rsidP="005C1F92">
      <w:pPr>
        <w:pStyle w:val="NoSpacing"/>
        <w:spacing w:line="276" w:lineRule="auto"/>
        <w:ind w:firstLine="720"/>
        <w:rPr>
          <w:rFonts w:eastAsiaTheme="minorHAnsi"/>
          <w:szCs w:val="24"/>
          <w:highlight w:val="yellow"/>
        </w:rPr>
      </w:pPr>
      <w:r w:rsidRPr="001A7023">
        <w:rPr>
          <w:rFonts w:eastAsiaTheme="minorHAnsi"/>
          <w:szCs w:val="24"/>
        </w:rPr>
        <w:t xml:space="preserve">Latvijas fiskālās politikas specifiskie mērķi </w:t>
      </w:r>
      <w:r>
        <w:rPr>
          <w:rFonts w:eastAsiaTheme="minorHAnsi"/>
          <w:szCs w:val="24"/>
        </w:rPr>
        <w:t xml:space="preserve">aktuālajā </w:t>
      </w:r>
      <w:r w:rsidR="00A64E90">
        <w:rPr>
          <w:rFonts w:eastAsiaTheme="minorHAnsi"/>
          <w:szCs w:val="24"/>
        </w:rPr>
        <w:t xml:space="preserve">budžeta sagatavošanas ciklā ir </w:t>
      </w:r>
      <w:r>
        <w:rPr>
          <w:rFonts w:eastAsiaTheme="minorHAnsi"/>
          <w:szCs w:val="24"/>
        </w:rPr>
        <w:t>saglabāti nemainīgi, t</w:t>
      </w:r>
      <w:r w:rsidRPr="001A7023">
        <w:rPr>
          <w:rFonts w:eastAsiaTheme="minorHAnsi"/>
          <w:szCs w:val="24"/>
        </w:rPr>
        <w:t>omēr ir precizēti politikas pasākumi šo mērķu īstenošanai. Pirmajam mērķim ir precizēts formulējums nosakot, ka 2% finansējums tiek nodrošināts visos VTBI</w:t>
      </w:r>
      <w:r w:rsidR="00A64E90">
        <w:rPr>
          <w:rFonts w:eastAsiaTheme="minorHAnsi"/>
          <w:szCs w:val="24"/>
        </w:rPr>
        <w:t>L gados, otrajā un trešajā mērķī</w:t>
      </w:r>
      <w:r w:rsidRPr="001A7023">
        <w:rPr>
          <w:rFonts w:eastAsiaTheme="minorHAnsi"/>
          <w:szCs w:val="24"/>
        </w:rPr>
        <w:t xml:space="preserve"> politikas pasākumi papildināti ir nodokļu reformas būtiskāk</w:t>
      </w:r>
      <w:r w:rsidR="00A64E90">
        <w:rPr>
          <w:rFonts w:eastAsiaTheme="minorHAnsi"/>
          <w:szCs w:val="24"/>
        </w:rPr>
        <w:t>ajiem pasākumiem un otrajā mērķī</w:t>
      </w:r>
      <w:r w:rsidRPr="001A7023">
        <w:rPr>
          <w:rFonts w:eastAsiaTheme="minorHAnsi"/>
          <w:szCs w:val="24"/>
        </w:rPr>
        <w:t xml:space="preserve"> ir uzskaitītas tās jomas, kurās ar šo VTBIL ir visbūtiskāk palielināts valsts budžeta finansējums. </w:t>
      </w:r>
    </w:p>
    <w:p w14:paraId="30C0509B" w14:textId="378CFB91" w:rsidR="002A677B" w:rsidRPr="00800295" w:rsidRDefault="002A677B" w:rsidP="005C1F92">
      <w:pPr>
        <w:pStyle w:val="NoSpacing"/>
        <w:spacing w:line="276" w:lineRule="auto"/>
        <w:ind w:firstLine="720"/>
        <w:rPr>
          <w:rFonts w:eastAsia="Calibri"/>
          <w:szCs w:val="24"/>
        </w:rPr>
      </w:pPr>
      <w:r w:rsidRPr="00800295">
        <w:rPr>
          <w:rFonts w:eastAsia="Calibri"/>
          <w:szCs w:val="24"/>
        </w:rPr>
        <w:t xml:space="preserve">Iepriekš minēto </w:t>
      </w:r>
      <w:r w:rsidRPr="00800295">
        <w:rPr>
          <w:rFonts w:eastAsiaTheme="minorHAnsi"/>
          <w:szCs w:val="24"/>
        </w:rPr>
        <w:t>vidēja termiņa budžeta politikas prioritāro attīstības virzienu ieviešanai</w:t>
      </w:r>
      <w:r w:rsidRPr="00800295">
        <w:rPr>
          <w:rFonts w:eastAsia="Calibri"/>
          <w:szCs w:val="24"/>
        </w:rPr>
        <w:t xml:space="preserve"> valdība jau vairākos secīgos budžeta sagatavošanas ciklos ir pieņēmusi </w:t>
      </w:r>
      <w:proofErr w:type="spellStart"/>
      <w:r w:rsidRPr="00800295">
        <w:rPr>
          <w:rFonts w:eastAsia="Calibri"/>
          <w:szCs w:val="24"/>
        </w:rPr>
        <w:t>diskrecionāros</w:t>
      </w:r>
      <w:proofErr w:type="spellEnd"/>
      <w:r w:rsidRPr="00800295">
        <w:rPr>
          <w:rFonts w:eastAsia="Calibri"/>
          <w:szCs w:val="24"/>
        </w:rPr>
        <w:t xml:space="preserve"> ieņēmumu un izdevumu pasākum</w:t>
      </w:r>
      <w:r w:rsidR="00A64E90">
        <w:rPr>
          <w:rFonts w:eastAsia="Calibri"/>
          <w:szCs w:val="24"/>
        </w:rPr>
        <w:t>us,</w:t>
      </w:r>
      <w:r w:rsidRPr="00800295">
        <w:rPr>
          <w:rFonts w:eastAsia="Calibri"/>
          <w:szCs w:val="24"/>
        </w:rPr>
        <w:t xml:space="preserve"> turpinot iepriekš īstenoto politikas kursu, kas attiecīgi ir aprakstīts Stabilitātes programmā 2017.-2020.gadam.</w:t>
      </w:r>
    </w:p>
    <w:p w14:paraId="5CE125CB" w14:textId="77777777" w:rsidR="002A677B" w:rsidRPr="006F3B5B" w:rsidRDefault="002A677B" w:rsidP="005C1F92">
      <w:pPr>
        <w:pStyle w:val="NoSpacing"/>
        <w:spacing w:line="276" w:lineRule="auto"/>
        <w:ind w:firstLine="720"/>
        <w:rPr>
          <w:bCs/>
          <w:szCs w:val="24"/>
          <w:highlight w:val="yellow"/>
          <w:shd w:val="clear" w:color="auto" w:fill="FFFFFF"/>
        </w:rPr>
      </w:pPr>
      <w:r w:rsidRPr="00525A37">
        <w:rPr>
          <w:bCs/>
          <w:szCs w:val="24"/>
          <w:shd w:val="clear" w:color="auto" w:fill="FFFFFF"/>
        </w:rPr>
        <w:t xml:space="preserve">2018.gada budžeta izstrāde tika uzsākta ar pozitīvu fiskālo telpu +63,2 milj. </w:t>
      </w:r>
      <w:proofErr w:type="spellStart"/>
      <w:r w:rsidRPr="00525A37">
        <w:rPr>
          <w:bCs/>
          <w:i/>
          <w:szCs w:val="24"/>
          <w:shd w:val="clear" w:color="auto" w:fill="FFFFFF"/>
        </w:rPr>
        <w:t>euro</w:t>
      </w:r>
      <w:proofErr w:type="spellEnd"/>
      <w:r w:rsidRPr="00525A37">
        <w:rPr>
          <w:bCs/>
          <w:szCs w:val="24"/>
          <w:shd w:val="clear" w:color="auto" w:fill="FFFFFF"/>
        </w:rPr>
        <w:t xml:space="preserve"> apmērā, savukārt 2019.gadā fiskālā telpa sākotnēji bija negatīva -42,0 milj. </w:t>
      </w:r>
      <w:proofErr w:type="spellStart"/>
      <w:r w:rsidRPr="00525A37">
        <w:rPr>
          <w:bCs/>
          <w:i/>
          <w:szCs w:val="24"/>
          <w:shd w:val="clear" w:color="auto" w:fill="FFFFFF"/>
        </w:rPr>
        <w:t>euro</w:t>
      </w:r>
      <w:proofErr w:type="spellEnd"/>
      <w:r w:rsidRPr="00525A37">
        <w:rPr>
          <w:bCs/>
          <w:szCs w:val="24"/>
          <w:shd w:val="clear" w:color="auto" w:fill="FFFFFF"/>
        </w:rPr>
        <w:t>. Tas savukārt nozīmēja, ka pieņemot lēmumus par pozitīvas fiskālās telpas pārdali valdības prioritātēm 2018.gadā, attiecīgi vēl vairāk pasliktinātos situācija 2019.gadā. Ņemot vērā</w:t>
      </w:r>
      <w:r>
        <w:rPr>
          <w:bCs/>
          <w:szCs w:val="24"/>
          <w:shd w:val="clear" w:color="auto" w:fill="FFFFFF"/>
        </w:rPr>
        <w:t xml:space="preserve"> izveidojušos situāciju, vairākās secīgās valdības sēdēs tika</w:t>
      </w:r>
      <w:r w:rsidRPr="00525A37">
        <w:rPr>
          <w:bCs/>
          <w:szCs w:val="24"/>
          <w:shd w:val="clear" w:color="auto" w:fill="FFFFFF"/>
        </w:rPr>
        <w:t xml:space="preserve"> pieņ</w:t>
      </w:r>
      <w:r>
        <w:rPr>
          <w:bCs/>
          <w:szCs w:val="24"/>
          <w:shd w:val="clear" w:color="auto" w:fill="FFFFFF"/>
        </w:rPr>
        <w:t>emti ieņēmumus palielinoši un izdevumus samazinoši lēmumi</w:t>
      </w:r>
      <w:r w:rsidRPr="00525A37">
        <w:rPr>
          <w:bCs/>
          <w:szCs w:val="24"/>
          <w:shd w:val="clear" w:color="auto" w:fill="FFFFFF"/>
        </w:rPr>
        <w:t xml:space="preserve">, </w:t>
      </w:r>
      <w:r>
        <w:rPr>
          <w:bCs/>
          <w:szCs w:val="24"/>
          <w:shd w:val="clear" w:color="auto" w:fill="FFFFFF"/>
        </w:rPr>
        <w:t>kas</w:t>
      </w:r>
      <w:r w:rsidRPr="00525A37">
        <w:rPr>
          <w:bCs/>
          <w:szCs w:val="24"/>
          <w:shd w:val="clear" w:color="auto" w:fill="FFFFFF"/>
        </w:rPr>
        <w:t xml:space="preserve"> </w:t>
      </w:r>
      <w:r>
        <w:rPr>
          <w:bCs/>
          <w:szCs w:val="24"/>
          <w:shd w:val="clear" w:color="auto" w:fill="FFFFFF"/>
        </w:rPr>
        <w:t>likvidēja</w:t>
      </w:r>
      <w:r w:rsidRPr="00525A37">
        <w:rPr>
          <w:bCs/>
          <w:szCs w:val="24"/>
          <w:shd w:val="clear" w:color="auto" w:fill="FFFFFF"/>
        </w:rPr>
        <w:t xml:space="preserve"> negatīvo fiskālo telpu 2019.gadā un</w:t>
      </w:r>
      <w:r>
        <w:rPr>
          <w:bCs/>
          <w:szCs w:val="24"/>
          <w:shd w:val="clear" w:color="auto" w:fill="FFFFFF"/>
        </w:rPr>
        <w:t xml:space="preserve"> nodrošināja</w:t>
      </w:r>
      <w:r w:rsidRPr="00525A37">
        <w:rPr>
          <w:bCs/>
          <w:szCs w:val="24"/>
          <w:shd w:val="clear" w:color="auto" w:fill="FFFFFF"/>
        </w:rPr>
        <w:t xml:space="preserve"> vidēja termiņa budžeta prioritāšu finansēšanu. </w:t>
      </w:r>
    </w:p>
    <w:p w14:paraId="4473D4A2" w14:textId="77777777" w:rsidR="002A677B" w:rsidRPr="007D3931" w:rsidRDefault="002A677B" w:rsidP="005C1F92">
      <w:pPr>
        <w:pStyle w:val="NoSpacing"/>
        <w:spacing w:line="276" w:lineRule="auto"/>
        <w:ind w:firstLine="720"/>
        <w:rPr>
          <w:bCs/>
          <w:szCs w:val="24"/>
          <w:shd w:val="clear" w:color="auto" w:fill="FFFFFF"/>
        </w:rPr>
      </w:pPr>
      <w:r w:rsidRPr="007D3931">
        <w:rPr>
          <w:bCs/>
          <w:szCs w:val="24"/>
          <w:shd w:val="clear" w:color="auto" w:fill="FFFFFF"/>
        </w:rPr>
        <w:t xml:space="preserve">Vienlaikus jāatzīmē, ka papildu resursi valdības prioritāšu finansēšanai tika nodrošināti ne tikai pieņemot lēmumus par budžeta ieņēmumu palielināšanas pasākumiem, bet arī īstenojot valsts budžeta bāzes izdevumu pārskatīšanu, kas ļāva nodrošināt papildu līdzekļus gan pašu nozaru prioritāšu finansēšanai, gan arī kopējo valdības prioritāšu finansēšanai. </w:t>
      </w:r>
    </w:p>
    <w:p w14:paraId="2AB1164E" w14:textId="354EDEF3" w:rsidR="002A677B" w:rsidRPr="007B3DC2" w:rsidRDefault="002A677B" w:rsidP="005C1F92">
      <w:pPr>
        <w:pStyle w:val="NoSpacing"/>
        <w:spacing w:line="276" w:lineRule="auto"/>
        <w:ind w:firstLine="720"/>
        <w:rPr>
          <w:bCs/>
          <w:szCs w:val="24"/>
          <w:shd w:val="clear" w:color="auto" w:fill="FFFFFF"/>
        </w:rPr>
      </w:pPr>
      <w:r w:rsidRPr="007D3931">
        <w:rPr>
          <w:bCs/>
          <w:szCs w:val="24"/>
          <w:shd w:val="clear" w:color="auto" w:fill="FFFFFF"/>
        </w:rPr>
        <w:t xml:space="preserve">Tabulā Nr.3 sniegtie fiskālie dati ir sagatavoti pie nemainīgas politikas scenārija, kas ietver likumā „Par vidēja termiņa budžeta ietvaru 2016., 2017. un 2018.gadam” un likumā „Par vidēja termiņa budžeta ietvaru 2017., 2018. un 2018.gadam” iekļautos 2018.gada </w:t>
      </w:r>
      <w:proofErr w:type="spellStart"/>
      <w:r w:rsidRPr="007B3DC2">
        <w:rPr>
          <w:bCs/>
          <w:szCs w:val="24"/>
          <w:shd w:val="clear" w:color="auto" w:fill="FFFFFF"/>
        </w:rPr>
        <w:t>diskrecionāros</w:t>
      </w:r>
      <w:proofErr w:type="spellEnd"/>
      <w:r w:rsidRPr="007B3DC2">
        <w:rPr>
          <w:bCs/>
          <w:szCs w:val="24"/>
          <w:shd w:val="clear" w:color="auto" w:fill="FFFFFF"/>
        </w:rPr>
        <w:t xml:space="preserve"> ieņēmumu un izdevumu pasākumus. Nemainīgas politikas scenārijā 2018.gadā papildus izmaiņām, kas ir veidojušās sakarā ar atjaunoto makroekonomisko scenāriju, </w:t>
      </w:r>
      <w:r w:rsidRPr="007B3DC2">
        <w:rPr>
          <w:bCs/>
          <w:szCs w:val="24"/>
          <w:shd w:val="clear" w:color="auto" w:fill="FFFFFF"/>
        </w:rPr>
        <w:lastRenderedPageBreak/>
        <w:t>atjaunotas ir arī</w:t>
      </w:r>
      <w:r w:rsidR="00883020">
        <w:rPr>
          <w:bCs/>
          <w:szCs w:val="24"/>
          <w:shd w:val="clear" w:color="auto" w:fill="FFFFFF"/>
        </w:rPr>
        <w:t xml:space="preserve"> ieņēmumu un</w:t>
      </w:r>
      <w:r w:rsidRPr="007B3DC2">
        <w:rPr>
          <w:bCs/>
          <w:szCs w:val="24"/>
          <w:shd w:val="clear" w:color="auto" w:fill="FFFFFF"/>
        </w:rPr>
        <w:t xml:space="preserve"> izdevumu prognozes atsevišķos vispārējās valdības līmeņos, ņemot vērā aktuālos izpildes rādītājus, kas netiek klasificētās kā </w:t>
      </w:r>
      <w:proofErr w:type="spellStart"/>
      <w:r w:rsidRPr="007B3DC2">
        <w:rPr>
          <w:bCs/>
          <w:szCs w:val="24"/>
          <w:shd w:val="clear" w:color="auto" w:fill="FFFFFF"/>
        </w:rPr>
        <w:t>diskrecionārie</w:t>
      </w:r>
      <w:proofErr w:type="spellEnd"/>
      <w:r w:rsidRPr="007B3DC2">
        <w:rPr>
          <w:bCs/>
          <w:szCs w:val="24"/>
          <w:shd w:val="clear" w:color="auto" w:fill="FFFFFF"/>
        </w:rPr>
        <w:t xml:space="preserve"> izdevumu pasākumi un attiecīgi nav iekļauti Tabulās Nr.5. </w:t>
      </w:r>
    </w:p>
    <w:p w14:paraId="66B184CD" w14:textId="3428105E" w:rsidR="002A677B" w:rsidRPr="007B3DC2" w:rsidRDefault="002A677B" w:rsidP="005C1F92">
      <w:pPr>
        <w:pStyle w:val="NoSpacing"/>
        <w:spacing w:line="276" w:lineRule="auto"/>
        <w:ind w:firstLine="720"/>
        <w:rPr>
          <w:bCs/>
          <w:szCs w:val="24"/>
          <w:shd w:val="clear" w:color="auto" w:fill="FFFFFF"/>
        </w:rPr>
      </w:pPr>
      <w:r w:rsidRPr="007B3DC2">
        <w:rPr>
          <w:bCs/>
          <w:szCs w:val="24"/>
          <w:shd w:val="clear" w:color="auto" w:fill="FFFFFF"/>
        </w:rPr>
        <w:t>T</w:t>
      </w:r>
      <w:r w:rsidR="00A64E90">
        <w:rPr>
          <w:bCs/>
          <w:szCs w:val="24"/>
          <w:shd w:val="clear" w:color="auto" w:fill="FFFFFF"/>
        </w:rPr>
        <w:t>āpat jāatzīmē, ka jau aktuālajā</w:t>
      </w:r>
      <w:r w:rsidRPr="007B3DC2">
        <w:rPr>
          <w:bCs/>
          <w:szCs w:val="24"/>
          <w:shd w:val="clear" w:color="auto" w:fill="FFFFFF"/>
        </w:rPr>
        <w:t xml:space="preserve"> Stabilitātes programmā tika iekļauta informācija par nodokļu reformas īstenošanu, uz to brīdi definētajiem </w:t>
      </w:r>
      <w:proofErr w:type="spellStart"/>
      <w:r w:rsidRPr="007B3DC2">
        <w:rPr>
          <w:bCs/>
          <w:szCs w:val="24"/>
          <w:shd w:val="clear" w:color="auto" w:fill="FFFFFF"/>
        </w:rPr>
        <w:t>pamatpasākumiem</w:t>
      </w:r>
      <w:proofErr w:type="spellEnd"/>
      <w:r w:rsidRPr="007B3DC2">
        <w:rPr>
          <w:bCs/>
          <w:szCs w:val="24"/>
          <w:shd w:val="clear" w:color="auto" w:fill="FFFFFF"/>
        </w:rPr>
        <w:t xml:space="preserve"> un to novērtētajām ietekmēm. </w:t>
      </w:r>
      <w:r w:rsidR="00A64E90">
        <w:rPr>
          <w:bCs/>
          <w:szCs w:val="24"/>
          <w:shd w:val="clear" w:color="auto" w:fill="FFFFFF"/>
        </w:rPr>
        <w:t xml:space="preserve">Š.g. </w:t>
      </w:r>
      <w:r>
        <w:rPr>
          <w:bCs/>
          <w:szCs w:val="24"/>
          <w:shd w:val="clear" w:color="auto" w:fill="FFFFFF"/>
        </w:rPr>
        <w:t>28.</w:t>
      </w:r>
      <w:r w:rsidRPr="007B3DC2">
        <w:rPr>
          <w:bCs/>
          <w:szCs w:val="24"/>
          <w:shd w:val="clear" w:color="auto" w:fill="FFFFFF"/>
        </w:rPr>
        <w:t>jūlijā Saeima apstiprināja nodokļu reformas likumu paketi – kopā 11 likum</w:t>
      </w:r>
      <w:r w:rsidR="00A64E90">
        <w:rPr>
          <w:bCs/>
          <w:szCs w:val="24"/>
          <w:shd w:val="clear" w:color="auto" w:fill="FFFFFF"/>
        </w:rPr>
        <w:t>projektus un attiecīgi ar 2018.gada 1.</w:t>
      </w:r>
      <w:r w:rsidRPr="007B3DC2">
        <w:rPr>
          <w:bCs/>
          <w:szCs w:val="24"/>
          <w:shd w:val="clear" w:color="auto" w:fill="FFFFFF"/>
        </w:rPr>
        <w:t>janvāri tiek plānotas vairākas būtiskas izmaiņas Latvijas nodokļu politikā. Nodokļu reformas pasākumu ietekme uz vispārējās valdības budžetu ir ietverta nemainīgas politikas scenārijā un</w:t>
      </w:r>
      <w:r>
        <w:rPr>
          <w:bCs/>
          <w:szCs w:val="24"/>
          <w:shd w:val="clear" w:color="auto" w:fill="FFFFFF"/>
        </w:rPr>
        <w:t xml:space="preserve"> tās</w:t>
      </w:r>
      <w:r w:rsidRPr="007B3DC2">
        <w:rPr>
          <w:bCs/>
          <w:szCs w:val="24"/>
          <w:shd w:val="clear" w:color="auto" w:fill="FFFFFF"/>
        </w:rPr>
        <w:t xml:space="preserve"> pasākumu izvērsums ir sniegts </w:t>
      </w:r>
      <w:r w:rsidR="009E6B12">
        <w:rPr>
          <w:bCs/>
          <w:szCs w:val="24"/>
          <w:shd w:val="clear" w:color="auto" w:fill="FFFFFF"/>
        </w:rPr>
        <w:t>Tabulā Nr. 5.e.</w:t>
      </w:r>
    </w:p>
    <w:p w14:paraId="20F41421" w14:textId="77777777" w:rsidR="002A677B" w:rsidRDefault="002A677B" w:rsidP="005C1F92">
      <w:pPr>
        <w:pStyle w:val="NoSpacing"/>
        <w:spacing w:line="276" w:lineRule="auto"/>
        <w:ind w:firstLine="720"/>
        <w:rPr>
          <w:rFonts w:eastAsia="Calibri"/>
          <w:szCs w:val="24"/>
        </w:rPr>
      </w:pPr>
      <w:r w:rsidRPr="007B3DC2">
        <w:rPr>
          <w:rFonts w:eastAsia="Calibri"/>
          <w:szCs w:val="24"/>
        </w:rPr>
        <w:t>Ņemot vērā iepriekš minēto, 2018.gada budžets ir sagatavots:</w:t>
      </w:r>
    </w:p>
    <w:p w14:paraId="4EB4F35B" w14:textId="7710E2CC" w:rsidR="002A677B" w:rsidRPr="008D0B25" w:rsidRDefault="002A677B" w:rsidP="00CF5F3A">
      <w:pPr>
        <w:pStyle w:val="NoSpacing"/>
        <w:numPr>
          <w:ilvl w:val="0"/>
          <w:numId w:val="8"/>
        </w:numPr>
        <w:spacing w:line="276" w:lineRule="auto"/>
        <w:ind w:left="1276"/>
        <w:rPr>
          <w:rFonts w:eastAsia="Calibri"/>
          <w:szCs w:val="24"/>
        </w:rPr>
      </w:pPr>
      <w:r w:rsidRPr="008D0B25">
        <w:rPr>
          <w:rFonts w:eastAsia="Calibri"/>
          <w:szCs w:val="24"/>
        </w:rPr>
        <w:t xml:space="preserve">ieviešot nodokļu reformu, kuras pamatā ir darbaspēka un </w:t>
      </w:r>
      <w:r w:rsidR="00A64E90">
        <w:rPr>
          <w:rFonts w:eastAsia="Calibri"/>
          <w:szCs w:val="24"/>
        </w:rPr>
        <w:t>UIN</w:t>
      </w:r>
      <w:r w:rsidRPr="008D0B25">
        <w:rPr>
          <w:rFonts w:eastAsia="Calibri"/>
          <w:szCs w:val="24"/>
        </w:rPr>
        <w:t xml:space="preserve"> reforma, ēnu ekonomikas apkarošana, kā arī kompensējošie pasākumi, kas mazina atsevišķu reformas elementu ietekmi negatīvo </w:t>
      </w:r>
      <w:r w:rsidR="00A64E90">
        <w:rPr>
          <w:rFonts w:eastAsia="Calibri"/>
          <w:szCs w:val="24"/>
        </w:rPr>
        <w:t>uz vispārējās valdības budžetu;</w:t>
      </w:r>
    </w:p>
    <w:p w14:paraId="0EE8BAD6" w14:textId="77777777" w:rsidR="002A677B" w:rsidRDefault="002A677B" w:rsidP="00CF5F3A">
      <w:pPr>
        <w:pStyle w:val="NoSpacing"/>
        <w:numPr>
          <w:ilvl w:val="0"/>
          <w:numId w:val="8"/>
        </w:numPr>
        <w:spacing w:line="276" w:lineRule="auto"/>
        <w:ind w:left="1276"/>
        <w:rPr>
          <w:rFonts w:eastAsia="Calibri"/>
          <w:szCs w:val="24"/>
        </w:rPr>
      </w:pPr>
      <w:r w:rsidRPr="00786470">
        <w:rPr>
          <w:rFonts w:eastAsia="Calibri"/>
          <w:szCs w:val="24"/>
        </w:rPr>
        <w:t>prognozējot, ka vispārējās valdības nominālais deficīts 2018.gadā, ieskaitot identificētos fiskālos riskus, ir 1,0 % no IKP, kas saskaņā ar Latvijas prognozēm ļauj nodrošināt EK fiskālajā rekomendācijā noteikto;</w:t>
      </w:r>
    </w:p>
    <w:p w14:paraId="11544FE1" w14:textId="77777777" w:rsidR="002A677B" w:rsidRPr="00786470" w:rsidRDefault="002A677B" w:rsidP="00CF5F3A">
      <w:pPr>
        <w:pStyle w:val="NoSpacing"/>
        <w:numPr>
          <w:ilvl w:val="0"/>
          <w:numId w:val="8"/>
        </w:numPr>
        <w:spacing w:line="276" w:lineRule="auto"/>
        <w:ind w:left="1276"/>
        <w:rPr>
          <w:rFonts w:eastAsia="Calibri"/>
          <w:szCs w:val="24"/>
        </w:rPr>
      </w:pPr>
      <w:r w:rsidRPr="00786470">
        <w:rPr>
          <w:rFonts w:eastAsia="Calibri"/>
          <w:szCs w:val="24"/>
        </w:rPr>
        <w:t xml:space="preserve">veicot </w:t>
      </w:r>
      <w:r w:rsidRPr="00786470">
        <w:rPr>
          <w:bCs/>
          <w:szCs w:val="24"/>
          <w:shd w:val="clear" w:color="auto" w:fill="FFFFFF"/>
        </w:rPr>
        <w:t>valsts budžeta bāzes izdevumu pārskatīšanu</w:t>
      </w:r>
      <w:r w:rsidRPr="00786470">
        <w:rPr>
          <w:rFonts w:eastAsia="Calibri"/>
          <w:szCs w:val="24"/>
        </w:rPr>
        <w:t xml:space="preserve"> un izstrādājot papildu </w:t>
      </w:r>
      <w:proofErr w:type="spellStart"/>
      <w:r w:rsidRPr="00786470">
        <w:rPr>
          <w:rFonts w:eastAsia="Calibri"/>
          <w:szCs w:val="24"/>
        </w:rPr>
        <w:t>diskrecionāros</w:t>
      </w:r>
      <w:proofErr w:type="spellEnd"/>
      <w:r w:rsidRPr="00786470">
        <w:rPr>
          <w:rFonts w:eastAsia="Calibri"/>
          <w:szCs w:val="24"/>
        </w:rPr>
        <w:t xml:space="preserve"> ieņēmumu un izdevumu pasākumus, lai nodrošinātu finansējumu valdības definētajām prioritātēm – aizsardzībai, veselībai, demogrāfijai un autoceļu uzturēšanai;</w:t>
      </w:r>
    </w:p>
    <w:p w14:paraId="6A891DB0" w14:textId="77777777" w:rsidR="002A677B" w:rsidRPr="00786470" w:rsidRDefault="002A677B" w:rsidP="00CF5F3A">
      <w:pPr>
        <w:pStyle w:val="NoSpacing"/>
        <w:numPr>
          <w:ilvl w:val="0"/>
          <w:numId w:val="8"/>
        </w:numPr>
        <w:spacing w:line="276" w:lineRule="auto"/>
        <w:ind w:left="1276"/>
        <w:rPr>
          <w:rFonts w:eastAsia="Calibri"/>
          <w:szCs w:val="24"/>
        </w:rPr>
      </w:pPr>
      <w:r w:rsidRPr="00786470">
        <w:rPr>
          <w:rFonts w:eastAsia="Calibri"/>
          <w:szCs w:val="24"/>
        </w:rPr>
        <w:t xml:space="preserve">turpinot nodrošināt </w:t>
      </w:r>
      <w:proofErr w:type="spellStart"/>
      <w:r w:rsidRPr="00786470">
        <w:rPr>
          <w:rFonts w:eastAsia="Calibri"/>
          <w:szCs w:val="24"/>
        </w:rPr>
        <w:t>diskrecionāros</w:t>
      </w:r>
      <w:proofErr w:type="spellEnd"/>
      <w:r w:rsidRPr="00786470">
        <w:rPr>
          <w:rFonts w:eastAsia="Calibri"/>
          <w:szCs w:val="24"/>
        </w:rPr>
        <w:t xml:space="preserve"> pasākumus ēnu ekonomikas samazināšanai un nodokļu </w:t>
      </w:r>
      <w:proofErr w:type="spellStart"/>
      <w:r w:rsidRPr="00786470">
        <w:rPr>
          <w:rFonts w:eastAsia="Calibri"/>
          <w:szCs w:val="24"/>
        </w:rPr>
        <w:t>iekasējamības</w:t>
      </w:r>
      <w:proofErr w:type="spellEnd"/>
      <w:r w:rsidRPr="00786470">
        <w:rPr>
          <w:rFonts w:eastAsia="Calibri"/>
          <w:szCs w:val="24"/>
        </w:rPr>
        <w:t xml:space="preserve"> uzlabošanai, kā arī iedzīvotāju ienākumu nevienlīdzības mazināšanai.</w:t>
      </w:r>
    </w:p>
    <w:p w14:paraId="6D45BACA" w14:textId="77777777" w:rsidR="00F724FE" w:rsidRDefault="00F724FE">
      <w:pPr>
        <w:spacing w:after="0"/>
        <w:ind w:firstLine="0"/>
        <w:jc w:val="left"/>
        <w:rPr>
          <w:b/>
          <w:bCs/>
          <w:color w:val="18185E"/>
          <w:szCs w:val="28"/>
          <w:lang w:val="x-none" w:eastAsia="x-none"/>
        </w:rPr>
      </w:pPr>
      <w:r>
        <w:rPr>
          <w:color w:val="18185E"/>
        </w:rPr>
        <w:br w:type="page"/>
      </w:r>
    </w:p>
    <w:p w14:paraId="077185AD" w14:textId="3EB628BD" w:rsidR="00272FF4" w:rsidRPr="00976103" w:rsidRDefault="00272FF4" w:rsidP="00272FF4">
      <w:pPr>
        <w:pStyle w:val="Heading1"/>
        <w:tabs>
          <w:tab w:val="left" w:pos="1276"/>
        </w:tabs>
        <w:spacing w:before="0" w:after="240"/>
        <w:ind w:firstLine="0"/>
        <w:jc w:val="left"/>
        <w:rPr>
          <w:rFonts w:ascii="Times New Roman" w:hAnsi="Times New Roman"/>
        </w:rPr>
      </w:pPr>
      <w:bookmarkStart w:id="9" w:name="_Toc494786343"/>
      <w:r w:rsidRPr="006B2FB4">
        <w:rPr>
          <w:rFonts w:ascii="Times New Roman" w:hAnsi="Times New Roman"/>
          <w:color w:val="18185E"/>
          <w:sz w:val="24"/>
        </w:rPr>
        <w:lastRenderedPageBreak/>
        <w:t xml:space="preserve">Tabula 2.a: Vispārējās valdības budžeta mērķi sadalījumā pa </w:t>
      </w:r>
      <w:proofErr w:type="spellStart"/>
      <w:r w:rsidRPr="006B2FB4">
        <w:rPr>
          <w:rFonts w:ascii="Times New Roman" w:hAnsi="Times New Roman"/>
          <w:color w:val="18185E"/>
          <w:sz w:val="24"/>
        </w:rPr>
        <w:t>apakšsektoriem</w:t>
      </w:r>
      <w:bookmarkEnd w:id="9"/>
      <w:proofErr w:type="spellEnd"/>
    </w:p>
    <w:tbl>
      <w:tblPr>
        <w:tblStyle w:val="GridTable6Colorful-Accent11"/>
        <w:tblW w:w="9321" w:type="dxa"/>
        <w:jc w:val="center"/>
        <w:tblLook w:val="04A0" w:firstRow="1" w:lastRow="0" w:firstColumn="1" w:lastColumn="0" w:noHBand="0" w:noVBand="1"/>
      </w:tblPr>
      <w:tblGrid>
        <w:gridCol w:w="5382"/>
        <w:gridCol w:w="1409"/>
        <w:gridCol w:w="1309"/>
        <w:gridCol w:w="1221"/>
      </w:tblGrid>
      <w:tr w:rsidR="00272FF4" w:rsidRPr="00976103" w14:paraId="3357E894" w14:textId="77777777" w:rsidTr="001B0074">
        <w:trPr>
          <w:cnfStyle w:val="100000000000" w:firstRow="1" w:lastRow="0" w:firstColumn="0" w:lastColumn="0" w:oddVBand="0" w:evenVBand="0" w:oddHBand="0"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921E4F6"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1459842A" w14:textId="0AB84713" w:rsidR="00272FF4" w:rsidRPr="00AA5420" w:rsidRDefault="000318B2"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Pr>
                <w:color w:val="000000"/>
                <w:szCs w:val="24"/>
                <w:lang w:eastAsia="lv-LV"/>
              </w:rPr>
              <w:t>EKS k</w:t>
            </w:r>
            <w:r w:rsidR="00272FF4" w:rsidRPr="00AA5420">
              <w:rPr>
                <w:color w:val="000000"/>
                <w:szCs w:val="24"/>
                <w:lang w:eastAsia="lv-LV"/>
              </w:rPr>
              <w:t>ods</w:t>
            </w:r>
          </w:p>
        </w:tc>
        <w:tc>
          <w:tcPr>
            <w:tcW w:w="1309" w:type="dxa"/>
            <w:vAlign w:val="center"/>
            <w:hideMark/>
          </w:tcPr>
          <w:p w14:paraId="49300E15" w14:textId="79738545" w:rsidR="00272FF4" w:rsidRPr="00AA5420"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2017</w:t>
            </w:r>
          </w:p>
        </w:tc>
        <w:tc>
          <w:tcPr>
            <w:tcW w:w="1221" w:type="dxa"/>
            <w:vAlign w:val="center"/>
            <w:hideMark/>
          </w:tcPr>
          <w:p w14:paraId="539918C4" w14:textId="75DE6FDF" w:rsidR="00272FF4" w:rsidRPr="00AA5420"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2018</w:t>
            </w:r>
          </w:p>
        </w:tc>
      </w:tr>
      <w:tr w:rsidR="00272FF4" w:rsidRPr="00976103" w14:paraId="2EFC750F" w14:textId="77777777" w:rsidTr="001B007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E823348"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73F62FDD" w14:textId="5A8B6C82" w:rsidR="00272FF4" w:rsidRPr="00976103" w:rsidRDefault="00272FF4"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2530" w:type="dxa"/>
            <w:gridSpan w:val="2"/>
            <w:vAlign w:val="center"/>
            <w:hideMark/>
          </w:tcPr>
          <w:p w14:paraId="469721E7" w14:textId="77777777" w:rsidR="00272FF4" w:rsidRPr="00976103" w:rsidRDefault="00272FF4"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no IKP</w:t>
            </w:r>
          </w:p>
        </w:tc>
      </w:tr>
      <w:tr w:rsidR="00272FF4" w:rsidRPr="00976103" w14:paraId="0247903C" w14:textId="77777777" w:rsidTr="006B28DB">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62387A2" w14:textId="0774F431" w:rsidR="00272FF4" w:rsidRPr="00976103" w:rsidRDefault="00272FF4" w:rsidP="00272FF4">
            <w:pPr>
              <w:spacing w:after="0"/>
              <w:ind w:firstLine="0"/>
              <w:jc w:val="left"/>
              <w:rPr>
                <w:color w:val="000000"/>
                <w:szCs w:val="24"/>
                <w:lang w:eastAsia="lv-LV"/>
              </w:rPr>
            </w:pPr>
            <w:r w:rsidRPr="00976103">
              <w:rPr>
                <w:color w:val="000000"/>
                <w:szCs w:val="24"/>
                <w:lang w:eastAsia="lv-LV"/>
              </w:rPr>
              <w:t>Neto aizdevumi (+) v</w:t>
            </w:r>
            <w:r w:rsidR="00381267">
              <w:rPr>
                <w:color w:val="000000"/>
                <w:szCs w:val="24"/>
                <w:lang w:eastAsia="lv-LV"/>
              </w:rPr>
              <w:t xml:space="preserve">ai aizņēmumi (–) (B.9) pa </w:t>
            </w:r>
            <w:proofErr w:type="spellStart"/>
            <w:r w:rsidR="00381267">
              <w:rPr>
                <w:color w:val="000000"/>
                <w:szCs w:val="24"/>
                <w:lang w:eastAsia="lv-LV"/>
              </w:rPr>
              <w:t>apakš</w:t>
            </w:r>
            <w:r w:rsidRPr="00976103">
              <w:rPr>
                <w:color w:val="000000"/>
                <w:szCs w:val="24"/>
                <w:lang w:eastAsia="lv-LV"/>
              </w:rPr>
              <w:t>sektoriem</w:t>
            </w:r>
            <w:proofErr w:type="spellEnd"/>
          </w:p>
        </w:tc>
        <w:tc>
          <w:tcPr>
            <w:tcW w:w="1409" w:type="dxa"/>
            <w:hideMark/>
          </w:tcPr>
          <w:p w14:paraId="3C171AC2"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D6A5433" w14:textId="3048197C"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1" w:type="dxa"/>
            <w:vAlign w:val="center"/>
          </w:tcPr>
          <w:p w14:paraId="532D0C8E" w14:textId="194968D9"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272FF4" w:rsidRPr="00976103" w14:paraId="2171B4F1"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E750FD0"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 Vispārējā valdība</w:t>
            </w:r>
          </w:p>
        </w:tc>
        <w:tc>
          <w:tcPr>
            <w:tcW w:w="1409" w:type="dxa"/>
            <w:hideMark/>
          </w:tcPr>
          <w:p w14:paraId="3BEC5304"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 </w:t>
            </w:r>
          </w:p>
        </w:tc>
        <w:tc>
          <w:tcPr>
            <w:tcW w:w="1309" w:type="dxa"/>
            <w:vAlign w:val="center"/>
          </w:tcPr>
          <w:p w14:paraId="743990A0" w14:textId="49C3E8F3"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c>
          <w:tcPr>
            <w:tcW w:w="1221" w:type="dxa"/>
            <w:vAlign w:val="center"/>
          </w:tcPr>
          <w:p w14:paraId="5F6E3199" w14:textId="68C7C633" w:rsidR="00272FF4" w:rsidRPr="00976103" w:rsidRDefault="0012644F" w:rsidP="00341686">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r>
      <w:tr w:rsidR="00272FF4" w:rsidRPr="00976103" w14:paraId="47471A62"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2374CC8"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2. Centrālā valdība</w:t>
            </w:r>
          </w:p>
        </w:tc>
        <w:tc>
          <w:tcPr>
            <w:tcW w:w="1409" w:type="dxa"/>
            <w:hideMark/>
          </w:tcPr>
          <w:p w14:paraId="3E895638"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S.1311 </w:t>
            </w:r>
          </w:p>
        </w:tc>
        <w:tc>
          <w:tcPr>
            <w:tcW w:w="1309" w:type="dxa"/>
            <w:vAlign w:val="center"/>
          </w:tcPr>
          <w:p w14:paraId="35BD79B6" w14:textId="6E5D364F"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w:t>
            </w:r>
          </w:p>
        </w:tc>
        <w:tc>
          <w:tcPr>
            <w:tcW w:w="1221" w:type="dxa"/>
            <w:vAlign w:val="center"/>
          </w:tcPr>
          <w:p w14:paraId="40F30D04" w14:textId="2B212409"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-1,5</w:t>
            </w:r>
          </w:p>
        </w:tc>
      </w:tr>
      <w:tr w:rsidR="00272FF4" w:rsidRPr="00976103" w14:paraId="2D4893CD"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DCC09D5"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3. Štatu valdība</w:t>
            </w:r>
          </w:p>
        </w:tc>
        <w:tc>
          <w:tcPr>
            <w:tcW w:w="1409" w:type="dxa"/>
            <w:hideMark/>
          </w:tcPr>
          <w:p w14:paraId="67A1D6E4" w14:textId="77777777" w:rsidR="00272FF4" w:rsidRPr="00003E2F"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xml:space="preserve">S.1312 </w:t>
            </w:r>
          </w:p>
        </w:tc>
        <w:tc>
          <w:tcPr>
            <w:tcW w:w="1309" w:type="dxa"/>
            <w:vAlign w:val="center"/>
          </w:tcPr>
          <w:p w14:paraId="46BDD09B" w14:textId="69BEA87B"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FF0000"/>
                <w:szCs w:val="24"/>
                <w:lang w:eastAsia="lv-LV"/>
              </w:rPr>
            </w:pPr>
          </w:p>
        </w:tc>
        <w:tc>
          <w:tcPr>
            <w:tcW w:w="1221" w:type="dxa"/>
            <w:vAlign w:val="center"/>
          </w:tcPr>
          <w:p w14:paraId="7AF893BC" w14:textId="089C2832"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FF0000"/>
                <w:szCs w:val="24"/>
                <w:lang w:eastAsia="lv-LV"/>
              </w:rPr>
            </w:pPr>
          </w:p>
        </w:tc>
      </w:tr>
      <w:tr w:rsidR="00272FF4" w:rsidRPr="00976103" w14:paraId="7F18657F"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45AE6BB"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4. Vietējā valdība</w:t>
            </w:r>
          </w:p>
        </w:tc>
        <w:tc>
          <w:tcPr>
            <w:tcW w:w="1409" w:type="dxa"/>
            <w:hideMark/>
          </w:tcPr>
          <w:p w14:paraId="3E5263CF"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S.1313 </w:t>
            </w:r>
          </w:p>
        </w:tc>
        <w:tc>
          <w:tcPr>
            <w:tcW w:w="1309" w:type="dxa"/>
            <w:vAlign w:val="center"/>
          </w:tcPr>
          <w:p w14:paraId="79CBC7CC" w14:textId="720F7C5D"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0,2</w:t>
            </w:r>
          </w:p>
        </w:tc>
        <w:tc>
          <w:tcPr>
            <w:tcW w:w="1221" w:type="dxa"/>
            <w:vAlign w:val="center"/>
          </w:tcPr>
          <w:p w14:paraId="19BCE7E1" w14:textId="1BD262E4"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272FF4" w:rsidRPr="00976103" w14:paraId="2EAC1B3E"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5FAB345"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5. Sociālās nodrošināšanas fondi</w:t>
            </w:r>
          </w:p>
        </w:tc>
        <w:tc>
          <w:tcPr>
            <w:tcW w:w="1409" w:type="dxa"/>
            <w:hideMark/>
          </w:tcPr>
          <w:p w14:paraId="5DBC3AE7"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S.1314 </w:t>
            </w:r>
          </w:p>
        </w:tc>
        <w:tc>
          <w:tcPr>
            <w:tcW w:w="1309" w:type="dxa"/>
            <w:vAlign w:val="center"/>
          </w:tcPr>
          <w:p w14:paraId="192C8BC8" w14:textId="178A2419"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0,2</w:t>
            </w:r>
          </w:p>
        </w:tc>
        <w:tc>
          <w:tcPr>
            <w:tcW w:w="1221" w:type="dxa"/>
            <w:vAlign w:val="center"/>
          </w:tcPr>
          <w:p w14:paraId="5CFB45A8" w14:textId="1AF51BC5"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0,4</w:t>
            </w:r>
          </w:p>
        </w:tc>
      </w:tr>
      <w:tr w:rsidR="00272FF4" w:rsidRPr="00976103" w14:paraId="06C1953F"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B9DF1DE"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6. Procentu izdevumi</w:t>
            </w:r>
          </w:p>
        </w:tc>
        <w:tc>
          <w:tcPr>
            <w:tcW w:w="1409" w:type="dxa"/>
            <w:hideMark/>
          </w:tcPr>
          <w:p w14:paraId="15548B0C"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D.41 </w:t>
            </w:r>
          </w:p>
        </w:tc>
        <w:tc>
          <w:tcPr>
            <w:tcW w:w="1309" w:type="dxa"/>
            <w:vAlign w:val="center"/>
          </w:tcPr>
          <w:p w14:paraId="67670414" w14:textId="3E41825B"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0,9</w:t>
            </w:r>
          </w:p>
        </w:tc>
        <w:tc>
          <w:tcPr>
            <w:tcW w:w="1221" w:type="dxa"/>
            <w:vAlign w:val="center"/>
          </w:tcPr>
          <w:p w14:paraId="7614605C" w14:textId="67F6AEBA"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0,8</w:t>
            </w:r>
          </w:p>
        </w:tc>
      </w:tr>
      <w:tr w:rsidR="00272FF4" w:rsidRPr="00976103" w14:paraId="5BF13EF2" w14:textId="77777777" w:rsidTr="00FA1FE7">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B87540C"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7. Primārā bilance</w:t>
            </w:r>
          </w:p>
        </w:tc>
        <w:tc>
          <w:tcPr>
            <w:tcW w:w="1409" w:type="dxa"/>
            <w:hideMark/>
          </w:tcPr>
          <w:p w14:paraId="21B0391C"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08BBE78" w14:textId="10135312" w:rsidR="00272FF4" w:rsidRPr="00976103" w:rsidRDefault="0012644F" w:rsidP="009B64D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c>
          <w:tcPr>
            <w:tcW w:w="1221" w:type="dxa"/>
            <w:vAlign w:val="center"/>
          </w:tcPr>
          <w:p w14:paraId="0C16A62A" w14:textId="401CB189"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-0,2</w:t>
            </w:r>
          </w:p>
        </w:tc>
      </w:tr>
      <w:tr w:rsidR="00272FF4" w:rsidRPr="00976103" w14:paraId="422CF375" w14:textId="77777777" w:rsidTr="006652F3">
        <w:trPr>
          <w:trHeight w:val="31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108BD44"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8. Vienreizēji un citi īslaicīgi pasākumi</w:t>
            </w:r>
          </w:p>
        </w:tc>
        <w:tc>
          <w:tcPr>
            <w:tcW w:w="1409" w:type="dxa"/>
            <w:hideMark/>
          </w:tcPr>
          <w:p w14:paraId="5751B8B6"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7528043E" w14:textId="18CBE6BD"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1" w:type="dxa"/>
            <w:vAlign w:val="center"/>
          </w:tcPr>
          <w:p w14:paraId="1B37AE78" w14:textId="33E950C2" w:rsidR="00272FF4" w:rsidRPr="00976103"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272FF4" w:rsidRPr="00976103" w14:paraId="2A136CB5" w14:textId="77777777" w:rsidTr="006652F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1849C61"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9. Reālā IKP pieaugums (%) (=1. Tabulā 1.a)</w:t>
            </w:r>
          </w:p>
        </w:tc>
        <w:tc>
          <w:tcPr>
            <w:tcW w:w="1409" w:type="dxa"/>
            <w:hideMark/>
          </w:tcPr>
          <w:p w14:paraId="67701D03"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315EBE2" w14:textId="62EF0086"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3,7</w:t>
            </w:r>
          </w:p>
        </w:tc>
        <w:tc>
          <w:tcPr>
            <w:tcW w:w="1221" w:type="dxa"/>
            <w:vAlign w:val="center"/>
          </w:tcPr>
          <w:p w14:paraId="0B07173E" w14:textId="05B2C80D"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3,4</w:t>
            </w:r>
          </w:p>
        </w:tc>
      </w:tr>
      <w:tr w:rsidR="00272FF4" w:rsidRPr="00976103" w14:paraId="65B01666" w14:textId="77777777" w:rsidTr="006652F3">
        <w:trPr>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63E24A9"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10. Potenciālā IKP pieaugums (=2 Tabulā 1.a)</w:t>
            </w:r>
          </w:p>
        </w:tc>
        <w:tc>
          <w:tcPr>
            <w:tcW w:w="1409" w:type="dxa"/>
            <w:hideMark/>
          </w:tcPr>
          <w:p w14:paraId="5911371E"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47C5DEF" w14:textId="2E0C8C1C"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2,8</w:t>
            </w:r>
          </w:p>
        </w:tc>
        <w:tc>
          <w:tcPr>
            <w:tcW w:w="1221" w:type="dxa"/>
            <w:vAlign w:val="center"/>
          </w:tcPr>
          <w:p w14:paraId="322C39BF" w14:textId="7A512211"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3,0</w:t>
            </w:r>
          </w:p>
        </w:tc>
      </w:tr>
      <w:tr w:rsidR="00272FF4" w:rsidRPr="00976103" w14:paraId="19CE3C74"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F5821DE" w14:textId="77777777" w:rsidR="00272FF4" w:rsidRPr="00976103" w:rsidRDefault="00272FF4" w:rsidP="00272FF4">
            <w:pPr>
              <w:spacing w:after="0"/>
              <w:ind w:firstLineChars="100" w:firstLine="240"/>
              <w:jc w:val="left"/>
              <w:rPr>
                <w:color w:val="000000"/>
                <w:szCs w:val="24"/>
                <w:lang w:eastAsia="lv-LV"/>
              </w:rPr>
            </w:pPr>
            <w:r w:rsidRPr="00976103">
              <w:rPr>
                <w:color w:val="000000"/>
                <w:szCs w:val="24"/>
                <w:lang w:eastAsia="lv-LV"/>
              </w:rPr>
              <w:t>iemaksas:</w:t>
            </w:r>
          </w:p>
        </w:tc>
        <w:tc>
          <w:tcPr>
            <w:tcW w:w="1409" w:type="dxa"/>
            <w:hideMark/>
          </w:tcPr>
          <w:p w14:paraId="6318212E" w14:textId="77777777" w:rsidR="00272FF4" w:rsidRPr="00976103"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FBDD241" w14:textId="7F7D4FAB"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1" w:type="dxa"/>
            <w:vAlign w:val="center"/>
          </w:tcPr>
          <w:p w14:paraId="2037DAB6" w14:textId="3C82C2F0" w:rsidR="00272FF4" w:rsidRPr="00976103"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272FF4" w:rsidRPr="00976103" w14:paraId="046EBEAD"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7F1FACC" w14:textId="77777777" w:rsidR="00272FF4" w:rsidRPr="00976103" w:rsidRDefault="00272FF4" w:rsidP="00272FF4">
            <w:pPr>
              <w:spacing w:after="0"/>
              <w:ind w:firstLineChars="100" w:firstLine="240"/>
              <w:jc w:val="left"/>
              <w:rPr>
                <w:color w:val="000000"/>
                <w:szCs w:val="24"/>
                <w:lang w:eastAsia="lv-LV"/>
              </w:rPr>
            </w:pPr>
            <w:r w:rsidRPr="00976103">
              <w:rPr>
                <w:color w:val="000000"/>
                <w:szCs w:val="24"/>
                <w:lang w:eastAsia="lv-LV"/>
              </w:rPr>
              <w:t>- darbaspēks</w:t>
            </w:r>
          </w:p>
        </w:tc>
        <w:tc>
          <w:tcPr>
            <w:tcW w:w="1409" w:type="dxa"/>
            <w:hideMark/>
          </w:tcPr>
          <w:p w14:paraId="392F109E"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D9D5331" w14:textId="442A46FC"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221" w:type="dxa"/>
            <w:vAlign w:val="center"/>
          </w:tcPr>
          <w:p w14:paraId="778D57D0" w14:textId="266E0E8B"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r>
      <w:tr w:rsidR="00272FF4" w:rsidRPr="00976103" w14:paraId="2A9685EF" w14:textId="77777777" w:rsidTr="00665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795ACEB" w14:textId="77777777" w:rsidR="00272FF4" w:rsidRPr="00976103" w:rsidRDefault="00272FF4" w:rsidP="00272FF4">
            <w:pPr>
              <w:spacing w:after="0"/>
              <w:ind w:firstLineChars="100" w:firstLine="240"/>
              <w:jc w:val="left"/>
              <w:rPr>
                <w:color w:val="000000"/>
                <w:szCs w:val="24"/>
                <w:lang w:eastAsia="lv-LV"/>
              </w:rPr>
            </w:pPr>
            <w:r w:rsidRPr="00976103">
              <w:rPr>
                <w:color w:val="000000"/>
                <w:szCs w:val="24"/>
                <w:lang w:eastAsia="lv-LV"/>
              </w:rPr>
              <w:t>- kapitāls</w:t>
            </w:r>
          </w:p>
        </w:tc>
        <w:tc>
          <w:tcPr>
            <w:tcW w:w="1409" w:type="dxa"/>
            <w:hideMark/>
          </w:tcPr>
          <w:p w14:paraId="34178472"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540D16D" w14:textId="3F2340EB"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c>
          <w:tcPr>
            <w:tcW w:w="1221" w:type="dxa"/>
            <w:vAlign w:val="center"/>
          </w:tcPr>
          <w:p w14:paraId="22AEE511" w14:textId="3D51CEA7"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r>
      <w:tr w:rsidR="00272FF4" w:rsidRPr="00976103" w14:paraId="7D9A66CC" w14:textId="77777777" w:rsidTr="006652F3">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B9CE39C" w14:textId="77777777" w:rsidR="00272FF4" w:rsidRPr="00976103" w:rsidRDefault="00272FF4" w:rsidP="00272FF4">
            <w:pPr>
              <w:spacing w:after="0"/>
              <w:ind w:firstLineChars="100" w:firstLine="240"/>
              <w:jc w:val="left"/>
              <w:rPr>
                <w:color w:val="000000"/>
                <w:szCs w:val="24"/>
                <w:lang w:eastAsia="lv-LV"/>
              </w:rPr>
            </w:pPr>
            <w:r w:rsidRPr="00976103">
              <w:rPr>
                <w:color w:val="000000"/>
                <w:szCs w:val="24"/>
                <w:lang w:eastAsia="lv-LV"/>
              </w:rPr>
              <w:t>- kopējais faktoru ražīgums</w:t>
            </w:r>
          </w:p>
        </w:tc>
        <w:tc>
          <w:tcPr>
            <w:tcW w:w="1409" w:type="dxa"/>
            <w:hideMark/>
          </w:tcPr>
          <w:p w14:paraId="7CD4C3F1"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96DE087" w14:textId="353ABAC3"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1,9</w:t>
            </w:r>
          </w:p>
        </w:tc>
        <w:tc>
          <w:tcPr>
            <w:tcW w:w="1221" w:type="dxa"/>
            <w:vAlign w:val="center"/>
          </w:tcPr>
          <w:p w14:paraId="574B44C7" w14:textId="0CD1FDB9"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w:t>
            </w:r>
          </w:p>
        </w:tc>
      </w:tr>
      <w:tr w:rsidR="00272FF4" w:rsidRPr="00976103" w14:paraId="2BD57F5C" w14:textId="77777777" w:rsidTr="006652F3">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7669E84"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11. Starpība starp faktisko un potenciālo IKP (% no potenciālā IKP)</w:t>
            </w:r>
          </w:p>
        </w:tc>
        <w:tc>
          <w:tcPr>
            <w:tcW w:w="1409" w:type="dxa"/>
            <w:hideMark/>
          </w:tcPr>
          <w:p w14:paraId="26DBF1EA"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5EDC6E2E" w14:textId="0E702C74"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0,0</w:t>
            </w:r>
          </w:p>
        </w:tc>
        <w:tc>
          <w:tcPr>
            <w:tcW w:w="1221" w:type="dxa"/>
            <w:vAlign w:val="center"/>
          </w:tcPr>
          <w:p w14:paraId="497BC230" w14:textId="5ADE22C4"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0,3</w:t>
            </w:r>
          </w:p>
        </w:tc>
      </w:tr>
      <w:tr w:rsidR="00272FF4" w:rsidRPr="00976103" w14:paraId="059BD621" w14:textId="77777777" w:rsidTr="006652F3">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883B0AF"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12. Budžeta bilances cikliskā komponente (% no IKP)</w:t>
            </w:r>
          </w:p>
        </w:tc>
        <w:tc>
          <w:tcPr>
            <w:tcW w:w="1409" w:type="dxa"/>
            <w:hideMark/>
          </w:tcPr>
          <w:p w14:paraId="2F1DEF42"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A708DF8" w14:textId="789645CE"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221" w:type="dxa"/>
            <w:vAlign w:val="center"/>
          </w:tcPr>
          <w:p w14:paraId="3B033883" w14:textId="4DDEE2EF"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272FF4" w:rsidRPr="00976103" w14:paraId="4F08E279" w14:textId="77777777" w:rsidTr="006652F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6726FFA"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13. Cikliski koriģētā bilance (1 - 12) (% no IKP)</w:t>
            </w:r>
          </w:p>
        </w:tc>
        <w:tc>
          <w:tcPr>
            <w:tcW w:w="1409" w:type="dxa"/>
            <w:hideMark/>
          </w:tcPr>
          <w:p w14:paraId="2F3EA84E" w14:textId="77777777" w:rsidR="00272FF4" w:rsidRPr="00976103" w:rsidRDefault="00272FF4" w:rsidP="00272FF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1CB940D" w14:textId="594B800B"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c>
          <w:tcPr>
            <w:tcW w:w="1221" w:type="dxa"/>
            <w:vAlign w:val="center"/>
          </w:tcPr>
          <w:p w14:paraId="49FB76C9" w14:textId="6082E548"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-1,2</w:t>
            </w:r>
          </w:p>
        </w:tc>
      </w:tr>
      <w:tr w:rsidR="00272FF4" w:rsidRPr="00976103" w14:paraId="41C6F12D" w14:textId="77777777" w:rsidTr="006652F3">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2E5138D"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14. Cikliski koriģētā primārā bilance (13 + 6) (% no IKP)</w:t>
            </w:r>
          </w:p>
        </w:tc>
        <w:tc>
          <w:tcPr>
            <w:tcW w:w="1409" w:type="dxa"/>
            <w:hideMark/>
          </w:tcPr>
          <w:p w14:paraId="492BC8A9" w14:textId="77777777" w:rsidR="00272FF4" w:rsidRPr="00976103" w:rsidRDefault="00272FF4" w:rsidP="00272FF4">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FBDDD54" w14:textId="78972AFA"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c>
          <w:tcPr>
            <w:tcW w:w="1221" w:type="dxa"/>
            <w:vAlign w:val="center"/>
          </w:tcPr>
          <w:p w14:paraId="21E0A281" w14:textId="0DE50F52" w:rsidR="00272FF4" w:rsidRPr="00976103" w:rsidRDefault="0012644F"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-0,3</w:t>
            </w:r>
          </w:p>
        </w:tc>
      </w:tr>
      <w:tr w:rsidR="00272FF4" w:rsidRPr="00976103" w14:paraId="3DED2306" w14:textId="77777777" w:rsidTr="006652F3">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81F1BAD"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15. Strukturālā bilance (13 - 8)  (% no IKP)</w:t>
            </w:r>
          </w:p>
        </w:tc>
        <w:tc>
          <w:tcPr>
            <w:tcW w:w="1409" w:type="dxa"/>
            <w:noWrap/>
            <w:hideMark/>
          </w:tcPr>
          <w:p w14:paraId="2C756489" w14:textId="77777777" w:rsidR="00272FF4" w:rsidRPr="00976103"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E9EA773" w14:textId="0322815D"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c>
          <w:tcPr>
            <w:tcW w:w="1221" w:type="dxa"/>
            <w:vAlign w:val="center"/>
          </w:tcPr>
          <w:p w14:paraId="178AABCA" w14:textId="33CFB178" w:rsidR="00272FF4" w:rsidRPr="00976103" w:rsidRDefault="0012644F"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-1,2</w:t>
            </w:r>
          </w:p>
        </w:tc>
      </w:tr>
    </w:tbl>
    <w:p w14:paraId="4D657153" w14:textId="6129E432" w:rsidR="00272FF4" w:rsidRPr="00976103" w:rsidRDefault="00272FF4" w:rsidP="00272FF4">
      <w:pPr>
        <w:pStyle w:val="Heading1"/>
        <w:tabs>
          <w:tab w:val="left" w:pos="1276"/>
        </w:tabs>
        <w:spacing w:before="0" w:after="240"/>
        <w:ind w:firstLine="0"/>
        <w:jc w:val="left"/>
        <w:rPr>
          <w:rFonts w:ascii="Times New Roman" w:hAnsi="Times New Roman"/>
        </w:rPr>
      </w:pPr>
      <w:r w:rsidRPr="00976103">
        <w:rPr>
          <w:b w:val="0"/>
        </w:rPr>
        <w:br w:type="page"/>
      </w:r>
      <w:bookmarkStart w:id="10" w:name="_Toc494786344"/>
      <w:r w:rsidRPr="001D5709">
        <w:rPr>
          <w:rFonts w:ascii="Times New Roman" w:hAnsi="Times New Roman"/>
          <w:color w:val="18185F"/>
          <w:sz w:val="24"/>
        </w:rPr>
        <w:lastRenderedPageBreak/>
        <w:t>Tabula 2.b: Vispārējās valdības parāda attīstība 201</w:t>
      </w:r>
      <w:r w:rsidR="00D85FDB">
        <w:rPr>
          <w:rFonts w:ascii="Times New Roman" w:hAnsi="Times New Roman"/>
          <w:color w:val="18185F"/>
          <w:sz w:val="24"/>
          <w:lang w:val="lv-LV"/>
        </w:rPr>
        <w:t>7</w:t>
      </w:r>
      <w:r w:rsidR="00D85FDB">
        <w:rPr>
          <w:rFonts w:ascii="Times New Roman" w:hAnsi="Times New Roman"/>
          <w:color w:val="18185F"/>
          <w:sz w:val="24"/>
        </w:rPr>
        <w:t>.-2018</w:t>
      </w:r>
      <w:r w:rsidRPr="001D5709">
        <w:rPr>
          <w:rFonts w:ascii="Times New Roman" w:hAnsi="Times New Roman"/>
          <w:color w:val="18185F"/>
          <w:sz w:val="24"/>
        </w:rPr>
        <w:t>.gadā</w:t>
      </w:r>
      <w:bookmarkEnd w:id="10"/>
    </w:p>
    <w:tbl>
      <w:tblPr>
        <w:tblStyle w:val="GridTable6Colorful-Accent11"/>
        <w:tblW w:w="9209" w:type="dxa"/>
        <w:jc w:val="center"/>
        <w:tblLayout w:type="fixed"/>
        <w:tblLook w:val="04A0" w:firstRow="1" w:lastRow="0" w:firstColumn="1" w:lastColumn="0" w:noHBand="0" w:noVBand="1"/>
      </w:tblPr>
      <w:tblGrid>
        <w:gridCol w:w="5515"/>
        <w:gridCol w:w="1276"/>
        <w:gridCol w:w="1237"/>
        <w:gridCol w:w="1181"/>
      </w:tblGrid>
      <w:tr w:rsidR="00003E2F" w:rsidRPr="00003E2F" w14:paraId="33BCF3D2" w14:textId="77777777" w:rsidTr="001B0074">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47B95651" w14:textId="467F7717" w:rsidR="00272FF4" w:rsidRPr="00003E2F" w:rsidRDefault="00272FF4" w:rsidP="001B0074">
            <w:pPr>
              <w:spacing w:after="0"/>
              <w:ind w:firstLine="0"/>
              <w:jc w:val="center"/>
              <w:rPr>
                <w:b w:val="0"/>
                <w:bCs w:val="0"/>
                <w:color w:val="auto"/>
                <w:szCs w:val="24"/>
                <w:lang w:eastAsia="lv-LV"/>
              </w:rPr>
            </w:pPr>
          </w:p>
        </w:tc>
        <w:tc>
          <w:tcPr>
            <w:tcW w:w="1276" w:type="dxa"/>
            <w:vAlign w:val="center"/>
            <w:hideMark/>
          </w:tcPr>
          <w:p w14:paraId="2C31411C" w14:textId="77777777" w:rsidR="00272FF4" w:rsidRPr="00003E2F"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auto"/>
                <w:szCs w:val="24"/>
                <w:lang w:eastAsia="lv-LV"/>
              </w:rPr>
            </w:pPr>
            <w:r w:rsidRPr="00003E2F">
              <w:rPr>
                <w:color w:val="auto"/>
                <w:szCs w:val="24"/>
                <w:lang w:eastAsia="lv-LV"/>
              </w:rPr>
              <w:t>EKS kods</w:t>
            </w:r>
          </w:p>
        </w:tc>
        <w:tc>
          <w:tcPr>
            <w:tcW w:w="1237" w:type="dxa"/>
            <w:noWrap/>
            <w:vAlign w:val="center"/>
            <w:hideMark/>
          </w:tcPr>
          <w:p w14:paraId="789BA749" w14:textId="4129068C" w:rsidR="00272FF4" w:rsidRPr="00003E2F"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2017</w:t>
            </w:r>
          </w:p>
        </w:tc>
        <w:tc>
          <w:tcPr>
            <w:tcW w:w="1181" w:type="dxa"/>
            <w:noWrap/>
            <w:vAlign w:val="center"/>
            <w:hideMark/>
          </w:tcPr>
          <w:p w14:paraId="066D8CBD" w14:textId="30A1951D" w:rsidR="00272FF4" w:rsidRPr="00003E2F" w:rsidRDefault="006F3B5B"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2018</w:t>
            </w:r>
          </w:p>
        </w:tc>
      </w:tr>
      <w:tr w:rsidR="00381267" w:rsidRPr="00003E2F" w14:paraId="126205BB" w14:textId="77777777" w:rsidTr="001B007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tcPr>
          <w:p w14:paraId="46F3799A" w14:textId="77777777" w:rsidR="00381267" w:rsidRPr="00003E2F" w:rsidRDefault="00381267" w:rsidP="001B0074">
            <w:pPr>
              <w:spacing w:after="0"/>
              <w:ind w:firstLine="0"/>
              <w:jc w:val="center"/>
              <w:rPr>
                <w:szCs w:val="24"/>
                <w:lang w:eastAsia="lv-LV"/>
              </w:rPr>
            </w:pPr>
          </w:p>
        </w:tc>
        <w:tc>
          <w:tcPr>
            <w:tcW w:w="3694" w:type="dxa"/>
            <w:gridSpan w:val="3"/>
            <w:vAlign w:val="center"/>
          </w:tcPr>
          <w:p w14:paraId="4A6EA94F" w14:textId="2886628D" w:rsidR="00381267" w:rsidRDefault="00381267"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szCs w:val="24"/>
                <w:lang w:eastAsia="lv-LV"/>
              </w:rPr>
            </w:pPr>
            <w:r w:rsidRPr="00003E2F">
              <w:rPr>
                <w:color w:val="auto"/>
                <w:szCs w:val="24"/>
                <w:lang w:eastAsia="lv-LV"/>
              </w:rPr>
              <w:t>% no IKP</w:t>
            </w:r>
          </w:p>
        </w:tc>
      </w:tr>
      <w:tr w:rsidR="00003E2F" w:rsidRPr="00003E2F" w14:paraId="3CA3FB2A" w14:textId="77777777" w:rsidTr="006652F3">
        <w:trPr>
          <w:trHeight w:val="282"/>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2E28BDD"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1. Bruto parāds</w:t>
            </w:r>
          </w:p>
        </w:tc>
        <w:tc>
          <w:tcPr>
            <w:tcW w:w="1276" w:type="dxa"/>
            <w:noWrap/>
            <w:hideMark/>
          </w:tcPr>
          <w:p w14:paraId="781C8F8C"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7ABBEE35" w14:textId="229200D0" w:rsidR="00272FF4" w:rsidRPr="00003E2F" w:rsidRDefault="000B68A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38,7</w:t>
            </w:r>
          </w:p>
        </w:tc>
        <w:tc>
          <w:tcPr>
            <w:tcW w:w="1181" w:type="dxa"/>
            <w:noWrap/>
            <w:vAlign w:val="center"/>
          </w:tcPr>
          <w:p w14:paraId="16AE6D4E" w14:textId="1C54CD61" w:rsidR="00272FF4" w:rsidRPr="00003E2F" w:rsidRDefault="000B68A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37,3</w:t>
            </w:r>
          </w:p>
        </w:tc>
      </w:tr>
      <w:tr w:rsidR="00003E2F" w:rsidRPr="00003E2F" w14:paraId="49B26BAA" w14:textId="77777777" w:rsidTr="006652F3">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9E74C14"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2. Bruto parāda izmaiņas</w:t>
            </w:r>
          </w:p>
        </w:tc>
        <w:tc>
          <w:tcPr>
            <w:tcW w:w="1276" w:type="dxa"/>
            <w:noWrap/>
            <w:hideMark/>
          </w:tcPr>
          <w:p w14:paraId="395E8298"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79C4C746" w14:textId="36628AAD" w:rsidR="00272FF4" w:rsidRPr="00003E2F" w:rsidRDefault="000B68A1"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-1,4</w:t>
            </w:r>
          </w:p>
        </w:tc>
        <w:tc>
          <w:tcPr>
            <w:tcW w:w="1181" w:type="dxa"/>
            <w:noWrap/>
            <w:vAlign w:val="center"/>
          </w:tcPr>
          <w:p w14:paraId="0D1DC244" w14:textId="59E6CA7C" w:rsidR="00272FF4" w:rsidRPr="00003E2F" w:rsidRDefault="000B68A1" w:rsidP="0080588C">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-1,4</w:t>
            </w:r>
          </w:p>
        </w:tc>
      </w:tr>
      <w:tr w:rsidR="00003E2F" w:rsidRPr="00003E2F" w14:paraId="163CE950" w14:textId="77777777" w:rsidTr="00845A13">
        <w:trPr>
          <w:trHeight w:val="254"/>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5CD9451A" w14:textId="77777777" w:rsidR="00272FF4" w:rsidRPr="00003E2F" w:rsidRDefault="00272FF4" w:rsidP="00517C82">
            <w:pPr>
              <w:spacing w:after="0"/>
              <w:ind w:firstLine="0"/>
              <w:jc w:val="center"/>
              <w:rPr>
                <w:bCs w:val="0"/>
                <w:color w:val="auto"/>
                <w:szCs w:val="24"/>
                <w:lang w:eastAsia="lv-LV"/>
              </w:rPr>
            </w:pPr>
            <w:r w:rsidRPr="00003E2F">
              <w:rPr>
                <w:color w:val="auto"/>
                <w:szCs w:val="24"/>
                <w:lang w:eastAsia="lv-LV"/>
              </w:rPr>
              <w:t>Kopējā parāda izmaiņas ietekmējošie faktori</w:t>
            </w:r>
          </w:p>
        </w:tc>
      </w:tr>
      <w:tr w:rsidR="00003E2F" w:rsidRPr="00003E2F" w14:paraId="2CA7AF57" w14:textId="77777777" w:rsidTr="006652F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9CF66FF"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3. Primārā bilance</w:t>
            </w:r>
          </w:p>
        </w:tc>
        <w:tc>
          <w:tcPr>
            <w:tcW w:w="1276" w:type="dxa"/>
            <w:noWrap/>
            <w:hideMark/>
          </w:tcPr>
          <w:p w14:paraId="64AF22A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2DD1F8C0" w14:textId="2F41719B" w:rsidR="00272FF4" w:rsidRPr="00003E2F" w:rsidRDefault="00733301"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0,1</w:t>
            </w:r>
          </w:p>
        </w:tc>
        <w:tc>
          <w:tcPr>
            <w:tcW w:w="1181" w:type="dxa"/>
            <w:noWrap/>
            <w:vAlign w:val="center"/>
          </w:tcPr>
          <w:p w14:paraId="6B40B68A" w14:textId="763E0F22" w:rsidR="00272FF4" w:rsidRPr="00003E2F" w:rsidRDefault="00733301"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-0,1</w:t>
            </w:r>
          </w:p>
        </w:tc>
      </w:tr>
      <w:tr w:rsidR="00003E2F" w:rsidRPr="00003E2F" w14:paraId="34A023D5" w14:textId="77777777" w:rsidTr="006652F3">
        <w:trPr>
          <w:trHeight w:val="26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7FE62F7"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 xml:space="preserve">4. Procentu maksājumi </w:t>
            </w:r>
          </w:p>
        </w:tc>
        <w:tc>
          <w:tcPr>
            <w:tcW w:w="1276" w:type="dxa"/>
            <w:hideMark/>
          </w:tcPr>
          <w:p w14:paraId="352766B6"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EDP D.41</w:t>
            </w:r>
          </w:p>
        </w:tc>
        <w:tc>
          <w:tcPr>
            <w:tcW w:w="1237" w:type="dxa"/>
            <w:noWrap/>
            <w:vAlign w:val="center"/>
          </w:tcPr>
          <w:p w14:paraId="439C2ACF" w14:textId="071F49DC" w:rsidR="00272FF4" w:rsidRPr="00003E2F" w:rsidRDefault="0073330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0,9</w:t>
            </w:r>
          </w:p>
        </w:tc>
        <w:tc>
          <w:tcPr>
            <w:tcW w:w="1181" w:type="dxa"/>
            <w:noWrap/>
            <w:vAlign w:val="center"/>
          </w:tcPr>
          <w:p w14:paraId="5923271B" w14:textId="7B9746C0" w:rsidR="00272FF4" w:rsidRPr="00003E2F" w:rsidRDefault="0073330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0,8</w:t>
            </w:r>
          </w:p>
        </w:tc>
      </w:tr>
      <w:tr w:rsidR="00003E2F" w:rsidRPr="00003E2F" w14:paraId="6D22989F" w14:textId="77777777" w:rsidTr="006652F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E8B60DE" w14:textId="3B8F3296" w:rsidR="00272FF4" w:rsidRPr="00003E2F" w:rsidRDefault="00272FF4" w:rsidP="00103B5C">
            <w:pPr>
              <w:spacing w:after="0"/>
              <w:ind w:firstLine="0"/>
              <w:jc w:val="left"/>
              <w:rPr>
                <w:bCs w:val="0"/>
                <w:color w:val="auto"/>
                <w:szCs w:val="24"/>
                <w:lang w:eastAsia="lv-LV"/>
              </w:rPr>
            </w:pPr>
            <w:r w:rsidRPr="00003E2F">
              <w:rPr>
                <w:color w:val="auto"/>
                <w:szCs w:val="24"/>
                <w:lang w:eastAsia="lv-LV"/>
              </w:rPr>
              <w:t xml:space="preserve">5. Krājumu </w:t>
            </w:r>
            <w:r w:rsidRPr="00B21E59">
              <w:rPr>
                <w:color w:val="auto"/>
                <w:szCs w:val="24"/>
                <w:lang w:eastAsia="lv-LV"/>
              </w:rPr>
              <w:t>izmaiņas</w:t>
            </w:r>
            <w:r w:rsidR="00103B5C" w:rsidRPr="00B21E59">
              <w:rPr>
                <w:color w:val="auto"/>
                <w:szCs w:val="24"/>
                <w:lang w:eastAsia="lv-LV"/>
              </w:rPr>
              <w:t>, t.sk.</w:t>
            </w:r>
          </w:p>
        </w:tc>
        <w:tc>
          <w:tcPr>
            <w:tcW w:w="1276" w:type="dxa"/>
            <w:hideMark/>
          </w:tcPr>
          <w:p w14:paraId="44101138"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377172D4" w14:textId="6B6A9BCD" w:rsidR="00272FF4" w:rsidRPr="00003E2F" w:rsidRDefault="00733301"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-2,3</w:t>
            </w:r>
          </w:p>
        </w:tc>
        <w:tc>
          <w:tcPr>
            <w:tcW w:w="1181" w:type="dxa"/>
            <w:noWrap/>
            <w:vAlign w:val="center"/>
          </w:tcPr>
          <w:p w14:paraId="164EEE8F" w14:textId="3F644799" w:rsidR="00272FF4" w:rsidRPr="00003E2F" w:rsidRDefault="00733301" w:rsidP="0080588C">
            <w:pPr>
              <w:spacing w:after="0"/>
              <w:ind w:firstLine="0"/>
              <w:jc w:val="righ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Pr>
                <w:bCs/>
                <w:color w:val="auto"/>
                <w:szCs w:val="24"/>
                <w:lang w:eastAsia="lv-LV"/>
              </w:rPr>
              <w:t>-2,3</w:t>
            </w:r>
          </w:p>
        </w:tc>
      </w:tr>
      <w:tr w:rsidR="00003E2F" w:rsidRPr="00003E2F" w14:paraId="73A8FFD2" w14:textId="77777777" w:rsidTr="006652F3">
        <w:trPr>
          <w:trHeight w:val="255"/>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63460033" w14:textId="77777777" w:rsidR="00272FF4" w:rsidRPr="00003E2F" w:rsidRDefault="00272FF4" w:rsidP="00272FF4">
            <w:pPr>
              <w:spacing w:after="0"/>
              <w:ind w:firstLine="0"/>
              <w:jc w:val="left"/>
              <w:rPr>
                <w:bCs w:val="0"/>
                <w:color w:val="auto"/>
                <w:szCs w:val="24"/>
                <w:lang w:eastAsia="lv-LV"/>
              </w:rPr>
            </w:pPr>
            <w:r w:rsidRPr="00003E2F">
              <w:rPr>
                <w:color w:val="auto"/>
                <w:szCs w:val="24"/>
                <w:lang w:eastAsia="lv-LV"/>
              </w:rPr>
              <w:t>Valsts parāda netiešā procentu likme</w:t>
            </w:r>
          </w:p>
        </w:tc>
        <w:tc>
          <w:tcPr>
            <w:tcW w:w="1276" w:type="dxa"/>
            <w:noWrap/>
            <w:hideMark/>
          </w:tcPr>
          <w:p w14:paraId="0F8288DC"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1DC91BB8" w14:textId="6CFC802C" w:rsidR="00272FF4" w:rsidRPr="00003E2F" w:rsidRDefault="0073330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2,5</w:t>
            </w:r>
          </w:p>
        </w:tc>
        <w:tc>
          <w:tcPr>
            <w:tcW w:w="1181" w:type="dxa"/>
            <w:noWrap/>
            <w:vAlign w:val="center"/>
          </w:tcPr>
          <w:p w14:paraId="4739135F" w14:textId="0E13B247" w:rsidR="00272FF4" w:rsidRPr="00003E2F" w:rsidRDefault="000B68A1" w:rsidP="00733301">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2,</w:t>
            </w:r>
            <w:r w:rsidR="00733301">
              <w:rPr>
                <w:bCs/>
                <w:color w:val="auto"/>
                <w:szCs w:val="24"/>
                <w:lang w:eastAsia="lv-LV"/>
              </w:rPr>
              <w:t>3</w:t>
            </w:r>
          </w:p>
        </w:tc>
      </w:tr>
      <w:tr w:rsidR="00003E2F" w:rsidRPr="00003E2F" w14:paraId="67C89101" w14:textId="77777777" w:rsidTr="00845A13">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356B131A" w14:textId="77777777" w:rsidR="00272FF4" w:rsidRPr="00003E2F" w:rsidRDefault="00272FF4" w:rsidP="00517C82">
            <w:pPr>
              <w:spacing w:after="0"/>
              <w:ind w:firstLine="0"/>
              <w:jc w:val="center"/>
              <w:rPr>
                <w:bCs w:val="0"/>
                <w:color w:val="auto"/>
                <w:szCs w:val="24"/>
                <w:lang w:eastAsia="lv-LV"/>
              </w:rPr>
            </w:pPr>
            <w:r w:rsidRPr="00003E2F">
              <w:rPr>
                <w:color w:val="auto"/>
                <w:szCs w:val="24"/>
                <w:lang w:eastAsia="lv-LV"/>
              </w:rPr>
              <w:t>Citi mainīgie</w:t>
            </w:r>
          </w:p>
        </w:tc>
      </w:tr>
      <w:tr w:rsidR="00003E2F" w:rsidRPr="00003E2F" w14:paraId="0967493C" w14:textId="77777777" w:rsidTr="007A318D">
        <w:trPr>
          <w:trHeight w:val="249"/>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46FB4EC"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6. Likvīdi finanšu aktīvi</w:t>
            </w:r>
          </w:p>
        </w:tc>
        <w:tc>
          <w:tcPr>
            <w:tcW w:w="1276" w:type="dxa"/>
            <w:noWrap/>
            <w:hideMark/>
          </w:tcPr>
          <w:p w14:paraId="1C7C883F"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70838970" w14:textId="5BBB287E" w:rsidR="00272FF4" w:rsidRPr="00003E2F"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81" w:type="dxa"/>
            <w:noWrap/>
            <w:vAlign w:val="center"/>
          </w:tcPr>
          <w:p w14:paraId="013C8281" w14:textId="70FAAC91" w:rsidR="00272FF4" w:rsidRPr="00003E2F"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003E2F" w:rsidRPr="00003E2F" w14:paraId="0AF39B04" w14:textId="77777777" w:rsidTr="006652F3">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5A714961"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7. Neto finansiālais parāds (7=1-6)</w:t>
            </w:r>
          </w:p>
        </w:tc>
        <w:tc>
          <w:tcPr>
            <w:tcW w:w="1276" w:type="dxa"/>
            <w:noWrap/>
            <w:hideMark/>
          </w:tcPr>
          <w:p w14:paraId="4718F7A0"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3E08E24" w14:textId="51B23B83"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78B9CCD2" w14:textId="021A9AD3"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003E2F" w:rsidRPr="00003E2F" w14:paraId="7592411E" w14:textId="77777777" w:rsidTr="006652F3">
        <w:trPr>
          <w:trHeight w:val="25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3E8E8C58"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8. Parāda amortizācija</w:t>
            </w:r>
          </w:p>
        </w:tc>
        <w:tc>
          <w:tcPr>
            <w:tcW w:w="1276" w:type="dxa"/>
            <w:noWrap/>
            <w:hideMark/>
          </w:tcPr>
          <w:p w14:paraId="7DAAE607" w14:textId="77777777" w:rsidR="00272FF4" w:rsidRPr="00003E2F" w:rsidRDefault="00272FF4" w:rsidP="00272FF4">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047A77C" w14:textId="23822FCA" w:rsidR="00272FF4" w:rsidRPr="00003E2F" w:rsidRDefault="000B68A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3,7</w:t>
            </w:r>
          </w:p>
        </w:tc>
        <w:tc>
          <w:tcPr>
            <w:tcW w:w="1181" w:type="dxa"/>
            <w:noWrap/>
            <w:vAlign w:val="center"/>
          </w:tcPr>
          <w:p w14:paraId="77F10D25" w14:textId="72AD61AB" w:rsidR="00272FF4" w:rsidRPr="00003E2F" w:rsidRDefault="000B68A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2,7</w:t>
            </w:r>
          </w:p>
        </w:tc>
      </w:tr>
      <w:tr w:rsidR="00003E2F" w:rsidRPr="00003E2F" w14:paraId="65DAB55B" w14:textId="77777777" w:rsidTr="006652F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06D925B2"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 xml:space="preserve">9. Ārvalstu valūtā </w:t>
            </w:r>
            <w:proofErr w:type="spellStart"/>
            <w:r w:rsidRPr="00003E2F">
              <w:rPr>
                <w:color w:val="auto"/>
                <w:szCs w:val="24"/>
                <w:lang w:eastAsia="lv-LV"/>
              </w:rPr>
              <w:t>denominētā</w:t>
            </w:r>
            <w:proofErr w:type="spellEnd"/>
            <w:r w:rsidRPr="00003E2F">
              <w:rPr>
                <w:color w:val="auto"/>
                <w:szCs w:val="24"/>
                <w:lang w:eastAsia="lv-LV"/>
              </w:rPr>
              <w:t xml:space="preserve"> parāda īpatsvars</w:t>
            </w:r>
          </w:p>
        </w:tc>
        <w:tc>
          <w:tcPr>
            <w:tcW w:w="1276" w:type="dxa"/>
            <w:noWrap/>
            <w:hideMark/>
          </w:tcPr>
          <w:p w14:paraId="5387D2A3"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1CA8A12A" w14:textId="36FD43C0" w:rsidR="00272FF4" w:rsidRPr="00003E2F" w:rsidRDefault="000B68A1"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11,9</w:t>
            </w:r>
          </w:p>
        </w:tc>
        <w:tc>
          <w:tcPr>
            <w:tcW w:w="1181" w:type="dxa"/>
            <w:noWrap/>
            <w:vAlign w:val="center"/>
          </w:tcPr>
          <w:p w14:paraId="0C3B9BF5" w14:textId="2B0DD081" w:rsidR="00272FF4" w:rsidRPr="00003E2F" w:rsidRDefault="000B68A1"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11,3</w:t>
            </w:r>
          </w:p>
        </w:tc>
      </w:tr>
      <w:tr w:rsidR="00003E2F" w:rsidRPr="00003E2F" w14:paraId="07B1A006" w14:textId="77777777" w:rsidTr="006652F3">
        <w:trPr>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26C5C79"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10. Vidējā dzēšana</w:t>
            </w:r>
          </w:p>
        </w:tc>
        <w:tc>
          <w:tcPr>
            <w:tcW w:w="1276" w:type="dxa"/>
            <w:noWrap/>
            <w:hideMark/>
          </w:tcPr>
          <w:p w14:paraId="62243D76"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356B7DA" w14:textId="0E63D8A5" w:rsidR="00272FF4" w:rsidRPr="00003E2F" w:rsidRDefault="000B68A1" w:rsidP="00103B5C">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7,06 gadi</w:t>
            </w:r>
          </w:p>
        </w:tc>
        <w:tc>
          <w:tcPr>
            <w:tcW w:w="1181" w:type="dxa"/>
            <w:noWrap/>
            <w:vAlign w:val="center"/>
          </w:tcPr>
          <w:p w14:paraId="50D7F3D2" w14:textId="076F63A5" w:rsidR="00272FF4" w:rsidRPr="00003E2F" w:rsidRDefault="00272FF4"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003E2F" w:rsidRPr="00003E2F" w14:paraId="6368FFF2" w14:textId="77777777" w:rsidTr="006652F3">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4454CCC3" w14:textId="77777777" w:rsidR="00272FF4" w:rsidRPr="00003E2F" w:rsidRDefault="00272FF4" w:rsidP="00442C25">
            <w:pPr>
              <w:spacing w:after="0"/>
              <w:ind w:firstLine="0"/>
              <w:jc w:val="left"/>
              <w:rPr>
                <w:bCs w:val="0"/>
                <w:i/>
                <w:iCs/>
                <w:color w:val="auto"/>
                <w:szCs w:val="24"/>
                <w:lang w:eastAsia="lv-LV"/>
              </w:rPr>
            </w:pPr>
            <w:r w:rsidRPr="00003E2F">
              <w:rPr>
                <w:i/>
                <w:iCs/>
                <w:color w:val="auto"/>
                <w:szCs w:val="24"/>
                <w:lang w:eastAsia="lv-LV"/>
              </w:rPr>
              <w:t>Informācijai - aprēķinos izmantotie IKP dati:</w:t>
            </w:r>
          </w:p>
        </w:tc>
        <w:tc>
          <w:tcPr>
            <w:tcW w:w="1276" w:type="dxa"/>
            <w:noWrap/>
            <w:hideMark/>
          </w:tcPr>
          <w:p w14:paraId="044032B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2DE6D3E7" w14:textId="00D663F2"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0B5BFF97" w14:textId="72F6CAFE" w:rsidR="00272FF4" w:rsidRPr="00003E2F" w:rsidRDefault="00272FF4"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003E2F" w:rsidRPr="00003E2F" w14:paraId="31E168F0" w14:textId="77777777" w:rsidTr="006652F3">
        <w:trPr>
          <w:trHeight w:val="23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4E2FDAAD"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 xml:space="preserve">IKP faktiskajās cenās, </w:t>
            </w:r>
            <w:proofErr w:type="spellStart"/>
            <w:r w:rsidRPr="00003E2F">
              <w:rPr>
                <w:color w:val="auto"/>
                <w:szCs w:val="24"/>
                <w:lang w:eastAsia="lv-LV"/>
              </w:rPr>
              <w:t>milj.</w:t>
            </w:r>
            <w:r w:rsidRPr="00003E2F">
              <w:rPr>
                <w:i/>
                <w:color w:val="auto"/>
                <w:szCs w:val="24"/>
                <w:lang w:eastAsia="lv-LV"/>
              </w:rPr>
              <w:t>euro</w:t>
            </w:r>
            <w:proofErr w:type="spellEnd"/>
          </w:p>
        </w:tc>
        <w:tc>
          <w:tcPr>
            <w:tcW w:w="1276" w:type="dxa"/>
            <w:noWrap/>
            <w:hideMark/>
          </w:tcPr>
          <w:p w14:paraId="1CE5110A"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1ACB7F95" w14:textId="18C52AE3" w:rsidR="00272FF4" w:rsidRPr="00003E2F" w:rsidRDefault="0073330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26 676,2</w:t>
            </w:r>
          </w:p>
        </w:tc>
        <w:tc>
          <w:tcPr>
            <w:tcW w:w="1181" w:type="dxa"/>
            <w:noWrap/>
            <w:vAlign w:val="center"/>
          </w:tcPr>
          <w:p w14:paraId="0BEA2D88" w14:textId="04539580" w:rsidR="00272FF4" w:rsidRPr="00003E2F" w:rsidRDefault="0073330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28 359,4</w:t>
            </w:r>
          </w:p>
        </w:tc>
      </w:tr>
    </w:tbl>
    <w:p w14:paraId="2F83914F" w14:textId="77777777" w:rsidR="00272FF4" w:rsidRPr="00976103" w:rsidRDefault="00272FF4" w:rsidP="00272FF4">
      <w:pPr>
        <w:ind w:firstLine="0"/>
        <w:jc w:val="left"/>
        <w:rPr>
          <w:szCs w:val="24"/>
        </w:rPr>
      </w:pPr>
    </w:p>
    <w:p w14:paraId="656A6089" w14:textId="77777777" w:rsidR="00272FF4" w:rsidRPr="00976103" w:rsidRDefault="00272FF4" w:rsidP="00272FF4">
      <w:pPr>
        <w:ind w:firstLine="0"/>
        <w:jc w:val="left"/>
        <w:rPr>
          <w:b/>
          <w:szCs w:val="24"/>
        </w:rPr>
      </w:pPr>
    </w:p>
    <w:p w14:paraId="3D0643A2" w14:textId="77777777" w:rsidR="00272FF4" w:rsidRPr="001D5709" w:rsidRDefault="00272FF4" w:rsidP="00272FF4">
      <w:pPr>
        <w:pStyle w:val="Heading1"/>
        <w:tabs>
          <w:tab w:val="left" w:pos="1276"/>
        </w:tabs>
        <w:spacing w:before="0" w:after="240"/>
        <w:ind w:firstLine="0"/>
        <w:jc w:val="left"/>
        <w:rPr>
          <w:rFonts w:ascii="Times New Roman" w:hAnsi="Times New Roman"/>
          <w:color w:val="18185F"/>
          <w:sz w:val="24"/>
        </w:rPr>
      </w:pPr>
      <w:bookmarkStart w:id="11" w:name="_Toc494786345"/>
      <w:r w:rsidRPr="001D5709">
        <w:rPr>
          <w:rFonts w:ascii="Times New Roman" w:hAnsi="Times New Roman"/>
          <w:color w:val="18185F"/>
          <w:sz w:val="24"/>
        </w:rPr>
        <w:t>Tabula 2.c: Netiešās saistības</w:t>
      </w:r>
      <w:bookmarkEnd w:id="11"/>
    </w:p>
    <w:tbl>
      <w:tblPr>
        <w:tblStyle w:val="GridTable6Colorful-Accent11"/>
        <w:tblW w:w="6024" w:type="dxa"/>
        <w:tblLook w:val="04A0" w:firstRow="1" w:lastRow="0" w:firstColumn="1" w:lastColumn="0" w:noHBand="0" w:noVBand="1"/>
      </w:tblPr>
      <w:tblGrid>
        <w:gridCol w:w="3686"/>
        <w:gridCol w:w="1134"/>
        <w:gridCol w:w="1204"/>
      </w:tblGrid>
      <w:tr w:rsidR="00003E2F" w:rsidRPr="00003E2F" w14:paraId="4B4C5A18" w14:textId="77777777" w:rsidTr="00807C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14:paraId="345D6BDA" w14:textId="77777777" w:rsidR="00272FF4" w:rsidRPr="00003E2F" w:rsidRDefault="00272FF4" w:rsidP="00807CD2">
            <w:pPr>
              <w:spacing w:after="0"/>
              <w:ind w:firstLine="0"/>
              <w:jc w:val="center"/>
              <w:rPr>
                <w:color w:val="auto"/>
                <w:szCs w:val="24"/>
                <w:lang w:eastAsia="lv-LV"/>
              </w:rPr>
            </w:pPr>
            <w:r w:rsidRPr="00003E2F">
              <w:rPr>
                <w:color w:val="auto"/>
                <w:szCs w:val="24"/>
                <w:lang w:eastAsia="lv-LV"/>
              </w:rPr>
              <w:t>% no IKP</w:t>
            </w:r>
          </w:p>
        </w:tc>
        <w:tc>
          <w:tcPr>
            <w:tcW w:w="1134" w:type="dxa"/>
            <w:vMerge w:val="restart"/>
            <w:vAlign w:val="center"/>
            <w:hideMark/>
          </w:tcPr>
          <w:p w14:paraId="7EFF6767" w14:textId="182BC2F9" w:rsidR="00272FF4" w:rsidRPr="00003E2F" w:rsidRDefault="00272FF4" w:rsidP="00807CD2">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201</w:t>
            </w:r>
            <w:r w:rsidR="006F3B5B">
              <w:rPr>
                <w:color w:val="auto"/>
                <w:szCs w:val="24"/>
                <w:lang w:eastAsia="lv-LV"/>
              </w:rPr>
              <w:t>7</w:t>
            </w:r>
          </w:p>
        </w:tc>
        <w:tc>
          <w:tcPr>
            <w:tcW w:w="1204" w:type="dxa"/>
            <w:vMerge w:val="restart"/>
            <w:vAlign w:val="center"/>
            <w:hideMark/>
          </w:tcPr>
          <w:p w14:paraId="272ED920" w14:textId="09CCE9BF" w:rsidR="00272FF4" w:rsidRPr="00003E2F" w:rsidRDefault="00272FF4" w:rsidP="00807CD2">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201</w:t>
            </w:r>
            <w:r w:rsidR="006F3B5B">
              <w:rPr>
                <w:color w:val="auto"/>
                <w:szCs w:val="24"/>
                <w:lang w:eastAsia="lv-LV"/>
              </w:rPr>
              <w:t>8</w:t>
            </w:r>
          </w:p>
        </w:tc>
      </w:tr>
      <w:tr w:rsidR="00003E2F" w:rsidRPr="00003E2F" w14:paraId="61FEBB71" w14:textId="77777777" w:rsidTr="00807CD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86" w:type="dxa"/>
            <w:vMerge/>
            <w:hideMark/>
          </w:tcPr>
          <w:p w14:paraId="4B2930C5" w14:textId="77777777" w:rsidR="00272FF4" w:rsidRPr="00003E2F" w:rsidRDefault="00272FF4" w:rsidP="00272FF4">
            <w:pPr>
              <w:spacing w:after="0"/>
              <w:ind w:firstLine="0"/>
              <w:jc w:val="left"/>
              <w:rPr>
                <w:color w:val="auto"/>
                <w:szCs w:val="24"/>
                <w:lang w:eastAsia="lv-LV"/>
              </w:rPr>
            </w:pPr>
          </w:p>
        </w:tc>
        <w:tc>
          <w:tcPr>
            <w:tcW w:w="1134" w:type="dxa"/>
            <w:vMerge/>
            <w:hideMark/>
          </w:tcPr>
          <w:p w14:paraId="0640DE8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c>
          <w:tcPr>
            <w:tcW w:w="1204" w:type="dxa"/>
            <w:vMerge/>
            <w:hideMark/>
          </w:tcPr>
          <w:p w14:paraId="01A64055"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r>
      <w:tr w:rsidR="00003E2F" w:rsidRPr="00003E2F" w14:paraId="1828B1E0" w14:textId="77777777" w:rsidTr="00807CD2">
        <w:trPr>
          <w:trHeight w:val="330"/>
        </w:trPr>
        <w:tc>
          <w:tcPr>
            <w:cnfStyle w:val="001000000000" w:firstRow="0" w:lastRow="0" w:firstColumn="1" w:lastColumn="0" w:oddVBand="0" w:evenVBand="0" w:oddHBand="0" w:evenHBand="0" w:firstRowFirstColumn="0" w:firstRowLastColumn="0" w:lastRowFirstColumn="0" w:lastRowLastColumn="0"/>
            <w:tcW w:w="3686" w:type="dxa"/>
            <w:hideMark/>
          </w:tcPr>
          <w:p w14:paraId="0469D198" w14:textId="61D1D883" w:rsidR="00272FF4" w:rsidRPr="00807CD2" w:rsidRDefault="00272FF4" w:rsidP="000D407D">
            <w:pPr>
              <w:spacing w:after="0"/>
              <w:ind w:firstLine="0"/>
              <w:jc w:val="left"/>
              <w:rPr>
                <w:b w:val="0"/>
                <w:bCs w:val="0"/>
                <w:color w:val="auto"/>
                <w:szCs w:val="24"/>
                <w:lang w:eastAsia="lv-LV"/>
              </w:rPr>
            </w:pPr>
            <w:r w:rsidRPr="00807CD2">
              <w:rPr>
                <w:b w:val="0"/>
                <w:color w:val="auto"/>
                <w:szCs w:val="24"/>
                <w:lang w:eastAsia="lv-LV"/>
              </w:rPr>
              <w:t xml:space="preserve">Valsts un pašvaldību </w:t>
            </w:r>
            <w:r w:rsidR="000D407D" w:rsidRPr="00807CD2">
              <w:rPr>
                <w:b w:val="0"/>
                <w:color w:val="auto"/>
                <w:szCs w:val="24"/>
                <w:lang w:eastAsia="lv-LV"/>
              </w:rPr>
              <w:t>garantijas</w:t>
            </w:r>
          </w:p>
        </w:tc>
        <w:tc>
          <w:tcPr>
            <w:tcW w:w="1134" w:type="dxa"/>
          </w:tcPr>
          <w:p w14:paraId="6A9A769A" w14:textId="2FCE7355" w:rsidR="00272FF4" w:rsidRPr="00003E2F" w:rsidRDefault="000B68A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1,0</w:t>
            </w:r>
          </w:p>
        </w:tc>
        <w:tc>
          <w:tcPr>
            <w:tcW w:w="1204" w:type="dxa"/>
          </w:tcPr>
          <w:p w14:paraId="42C4EF9A" w14:textId="5A3BE9E0" w:rsidR="00272FF4" w:rsidRPr="00003E2F" w:rsidRDefault="000B68A1"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1,0</w:t>
            </w:r>
          </w:p>
        </w:tc>
      </w:tr>
    </w:tbl>
    <w:p w14:paraId="322B3FD6" w14:textId="77777777" w:rsidR="00272FF4" w:rsidRPr="00976103" w:rsidRDefault="00272FF4" w:rsidP="00272FF4">
      <w:pPr>
        <w:ind w:firstLine="0"/>
        <w:jc w:val="left"/>
        <w:rPr>
          <w:szCs w:val="24"/>
        </w:rPr>
      </w:pPr>
    </w:p>
    <w:p w14:paraId="403CC0CB" w14:textId="77777777" w:rsidR="00272FF4" w:rsidRDefault="00272FF4" w:rsidP="00272FF4">
      <w:pPr>
        <w:pStyle w:val="NoSpacing"/>
        <w:rPr>
          <w:rFonts w:eastAsia="Calibri"/>
        </w:rPr>
      </w:pPr>
      <w:r w:rsidRPr="00976103">
        <w:br w:type="page"/>
      </w:r>
    </w:p>
    <w:p w14:paraId="75BD1398" w14:textId="77777777" w:rsidR="00CB5AC9" w:rsidRPr="00976103" w:rsidRDefault="00DA2011" w:rsidP="00AF5E23">
      <w:pPr>
        <w:pStyle w:val="Heading1"/>
        <w:tabs>
          <w:tab w:val="left" w:pos="1276"/>
        </w:tabs>
        <w:spacing w:before="0" w:after="240"/>
        <w:ind w:left="1134" w:hanging="1134"/>
        <w:rPr>
          <w:rFonts w:ascii="Times New Roman" w:hAnsi="Times New Roman"/>
        </w:rPr>
      </w:pPr>
      <w:bookmarkStart w:id="12" w:name="_Toc494786346"/>
      <w:r w:rsidRPr="001D5709">
        <w:rPr>
          <w:rFonts w:ascii="Times New Roman" w:hAnsi="Times New Roman"/>
          <w:color w:val="18185F"/>
          <w:sz w:val="24"/>
        </w:rPr>
        <w:lastRenderedPageBreak/>
        <w:t>Tabula 3:</w:t>
      </w:r>
      <w:r w:rsidR="00CB5AC9" w:rsidRPr="001D5709">
        <w:rPr>
          <w:rFonts w:ascii="Times New Roman" w:hAnsi="Times New Roman"/>
          <w:color w:val="18185F"/>
          <w:sz w:val="24"/>
        </w:rPr>
        <w:t xml:space="preserve"> Vispārējās valdības izdevumu un ieņēmumu prognozes pie nemainīgas politikas sadalījumā pa galvenajām komponentēm</w:t>
      </w:r>
      <w:bookmarkEnd w:id="12"/>
    </w:p>
    <w:tbl>
      <w:tblPr>
        <w:tblStyle w:val="GridTable6Colorful-Accent11"/>
        <w:tblW w:w="9027" w:type="dxa"/>
        <w:jc w:val="center"/>
        <w:tblLook w:val="04A0" w:firstRow="1" w:lastRow="0" w:firstColumn="1" w:lastColumn="0" w:noHBand="0" w:noVBand="1"/>
      </w:tblPr>
      <w:tblGrid>
        <w:gridCol w:w="5098"/>
        <w:gridCol w:w="1426"/>
        <w:gridCol w:w="1227"/>
        <w:gridCol w:w="1276"/>
      </w:tblGrid>
      <w:tr w:rsidR="00CB5AC9" w:rsidRPr="00976103" w14:paraId="63B0C257" w14:textId="77777777" w:rsidTr="006B28DB">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1A5A4FA"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 </w:t>
            </w:r>
          </w:p>
        </w:tc>
        <w:tc>
          <w:tcPr>
            <w:tcW w:w="1426" w:type="dxa"/>
            <w:vAlign w:val="center"/>
            <w:hideMark/>
          </w:tcPr>
          <w:p w14:paraId="7AB70746" w14:textId="43CBEA7B" w:rsidR="00CB5AC9" w:rsidRPr="006F0B98" w:rsidRDefault="006F0B98" w:rsidP="006B28DB">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6F0B98">
              <w:rPr>
                <w:color w:val="000000"/>
                <w:szCs w:val="24"/>
                <w:lang w:eastAsia="lv-LV"/>
              </w:rPr>
              <w:t xml:space="preserve">EKS </w:t>
            </w:r>
            <w:r w:rsidR="00381267">
              <w:rPr>
                <w:color w:val="000000"/>
                <w:szCs w:val="24"/>
                <w:lang w:eastAsia="lv-LV"/>
              </w:rPr>
              <w:t>k</w:t>
            </w:r>
            <w:r w:rsidRPr="006F0B98">
              <w:rPr>
                <w:color w:val="000000"/>
                <w:szCs w:val="24"/>
                <w:lang w:eastAsia="lv-LV"/>
              </w:rPr>
              <w:t>ods</w:t>
            </w:r>
          </w:p>
        </w:tc>
        <w:tc>
          <w:tcPr>
            <w:tcW w:w="1227" w:type="dxa"/>
            <w:vAlign w:val="center"/>
            <w:hideMark/>
          </w:tcPr>
          <w:p w14:paraId="5A9EFD64" w14:textId="1A42878B" w:rsidR="00CB5AC9" w:rsidRPr="006F0B98" w:rsidRDefault="00D85FDB"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2017</w:t>
            </w:r>
          </w:p>
        </w:tc>
        <w:tc>
          <w:tcPr>
            <w:tcW w:w="1276" w:type="dxa"/>
            <w:vAlign w:val="center"/>
            <w:hideMark/>
          </w:tcPr>
          <w:p w14:paraId="206BD400" w14:textId="6A69A53D" w:rsidR="00CB5AC9" w:rsidRPr="006F0B98" w:rsidRDefault="00D85FDB"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2018</w:t>
            </w:r>
          </w:p>
        </w:tc>
      </w:tr>
      <w:tr w:rsidR="00287764" w:rsidRPr="00976103" w14:paraId="1F8B4E63"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F1C623E" w14:textId="77777777" w:rsidR="00287764" w:rsidRPr="00976103" w:rsidRDefault="00287764" w:rsidP="00CB5AC9">
            <w:pPr>
              <w:spacing w:after="0"/>
              <w:ind w:firstLine="0"/>
              <w:jc w:val="center"/>
              <w:rPr>
                <w:bCs w:val="0"/>
                <w:color w:val="000000"/>
                <w:szCs w:val="24"/>
                <w:lang w:eastAsia="lv-LV"/>
              </w:rPr>
            </w:pPr>
          </w:p>
        </w:tc>
        <w:tc>
          <w:tcPr>
            <w:tcW w:w="1426" w:type="dxa"/>
            <w:hideMark/>
          </w:tcPr>
          <w:p w14:paraId="4EF1A7CF" w14:textId="77777777" w:rsidR="00287764" w:rsidRPr="00976103" w:rsidRDefault="00287764" w:rsidP="00CB5AC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503" w:type="dxa"/>
            <w:gridSpan w:val="2"/>
            <w:hideMark/>
          </w:tcPr>
          <w:p w14:paraId="7AC62BCD" w14:textId="1E389D23" w:rsidR="00287764" w:rsidRPr="00976103" w:rsidRDefault="00287764" w:rsidP="006F0B98">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 no IKP</w:t>
            </w:r>
          </w:p>
        </w:tc>
      </w:tr>
      <w:tr w:rsidR="00CB5AC9" w:rsidRPr="00976103" w14:paraId="5F6D9B22" w14:textId="77777777" w:rsidTr="00AF5E23">
        <w:trPr>
          <w:trHeight w:val="21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3E4AE9A2"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1. Kopējie ieņēmumi pie nemainīgas politikas</w:t>
            </w:r>
          </w:p>
        </w:tc>
        <w:tc>
          <w:tcPr>
            <w:tcW w:w="1426" w:type="dxa"/>
            <w:vAlign w:val="center"/>
            <w:hideMark/>
          </w:tcPr>
          <w:p w14:paraId="5AF1B222" w14:textId="7542B5B4" w:rsidR="00CB5AC9" w:rsidRPr="00976103" w:rsidRDefault="00CB5AC9" w:rsidP="00845A1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TR</w:t>
            </w:r>
          </w:p>
        </w:tc>
        <w:tc>
          <w:tcPr>
            <w:tcW w:w="1227" w:type="dxa"/>
            <w:vAlign w:val="center"/>
          </w:tcPr>
          <w:p w14:paraId="054BAABB" w14:textId="035B5280" w:rsidR="00CB5AC9" w:rsidRPr="00976103" w:rsidRDefault="00B70845"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36,4</w:t>
            </w:r>
          </w:p>
        </w:tc>
        <w:tc>
          <w:tcPr>
            <w:tcW w:w="1276" w:type="dxa"/>
            <w:vAlign w:val="center"/>
          </w:tcPr>
          <w:p w14:paraId="42E17C62" w14:textId="7B9DE7EE" w:rsidR="00CB5AC9" w:rsidRPr="00976103" w:rsidRDefault="00B70845" w:rsidP="00517C82">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36,4</w:t>
            </w:r>
          </w:p>
        </w:tc>
      </w:tr>
      <w:tr w:rsidR="00CB5AC9" w:rsidRPr="00976103" w14:paraId="71B82781"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AE557E6" w14:textId="77777777" w:rsidR="00CB5AC9" w:rsidRPr="00976103" w:rsidRDefault="00CB5AC9" w:rsidP="00CB5AC9">
            <w:pPr>
              <w:spacing w:after="0"/>
              <w:ind w:firstLine="0"/>
              <w:jc w:val="center"/>
              <w:rPr>
                <w:color w:val="000000"/>
                <w:szCs w:val="24"/>
                <w:lang w:eastAsia="lv-LV"/>
              </w:rPr>
            </w:pPr>
            <w:r w:rsidRPr="00976103">
              <w:rPr>
                <w:color w:val="000000"/>
                <w:szCs w:val="24"/>
                <w:lang w:eastAsia="lv-LV"/>
              </w:rPr>
              <w:t>t.sk.</w:t>
            </w:r>
          </w:p>
        </w:tc>
        <w:tc>
          <w:tcPr>
            <w:tcW w:w="1426" w:type="dxa"/>
            <w:vAlign w:val="center"/>
            <w:hideMark/>
          </w:tcPr>
          <w:p w14:paraId="1B69BF4A" w14:textId="1B41B1AE" w:rsidR="00CB5AC9" w:rsidRPr="00976103" w:rsidRDefault="00CB5AC9" w:rsidP="00845A1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42DC3E38" w14:textId="2D4AA31A" w:rsidR="00CB5AC9" w:rsidRPr="00976103" w:rsidRDefault="00CB5AC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76" w:type="dxa"/>
            <w:vAlign w:val="center"/>
          </w:tcPr>
          <w:p w14:paraId="164BB700" w14:textId="145573DD" w:rsidR="00CB5AC9" w:rsidRPr="00976103" w:rsidRDefault="00CB5AC9" w:rsidP="00517C82">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72589F" w:rsidRPr="00976103" w14:paraId="2E1295DB" w14:textId="77777777" w:rsidTr="00AF5E23">
        <w:trPr>
          <w:trHeight w:val="9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0D07C05"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1.1. Ražošanas un importa nodokļi</w:t>
            </w:r>
          </w:p>
        </w:tc>
        <w:tc>
          <w:tcPr>
            <w:tcW w:w="1426" w:type="dxa"/>
            <w:vAlign w:val="center"/>
            <w:hideMark/>
          </w:tcPr>
          <w:p w14:paraId="1932A4E9" w14:textId="424A1A48"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D.2</w:t>
            </w:r>
          </w:p>
        </w:tc>
        <w:tc>
          <w:tcPr>
            <w:tcW w:w="1227" w:type="dxa"/>
            <w:vAlign w:val="center"/>
          </w:tcPr>
          <w:p w14:paraId="46ED30FF" w14:textId="6C7F7EC9"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13,4</w:t>
            </w:r>
          </w:p>
        </w:tc>
        <w:tc>
          <w:tcPr>
            <w:tcW w:w="1276" w:type="dxa"/>
            <w:vAlign w:val="center"/>
          </w:tcPr>
          <w:p w14:paraId="147D82E0" w14:textId="7A407D18"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14,1</w:t>
            </w:r>
          </w:p>
        </w:tc>
      </w:tr>
      <w:tr w:rsidR="0072589F" w:rsidRPr="00976103" w14:paraId="7E71B919" w14:textId="77777777" w:rsidTr="00AF5E23">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1A0BBB2B"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1.2. Ienākuma un mantas kārtējie nodokļi</w:t>
            </w:r>
          </w:p>
        </w:tc>
        <w:tc>
          <w:tcPr>
            <w:tcW w:w="1426" w:type="dxa"/>
            <w:vAlign w:val="center"/>
            <w:hideMark/>
          </w:tcPr>
          <w:p w14:paraId="4F181479" w14:textId="2FDF0D3B"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D.5</w:t>
            </w:r>
          </w:p>
        </w:tc>
        <w:tc>
          <w:tcPr>
            <w:tcW w:w="1227" w:type="dxa"/>
            <w:vAlign w:val="center"/>
          </w:tcPr>
          <w:p w14:paraId="69D6341B" w14:textId="2B5D5B25"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8,5</w:t>
            </w:r>
          </w:p>
        </w:tc>
        <w:tc>
          <w:tcPr>
            <w:tcW w:w="1276" w:type="dxa"/>
            <w:vAlign w:val="center"/>
          </w:tcPr>
          <w:p w14:paraId="5999DAF4" w14:textId="40FE18FB"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7,2</w:t>
            </w:r>
          </w:p>
        </w:tc>
      </w:tr>
      <w:tr w:rsidR="0072589F" w:rsidRPr="00976103" w14:paraId="68EC6706" w14:textId="77777777" w:rsidTr="00AF5E23">
        <w:trPr>
          <w:trHeight w:val="20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BD6FAF3"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1.3. Kapitāla nodokļi</w:t>
            </w:r>
          </w:p>
        </w:tc>
        <w:tc>
          <w:tcPr>
            <w:tcW w:w="1426" w:type="dxa"/>
            <w:vAlign w:val="center"/>
            <w:hideMark/>
          </w:tcPr>
          <w:p w14:paraId="31663AAF" w14:textId="1B0B5871"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D.91</w:t>
            </w:r>
          </w:p>
        </w:tc>
        <w:tc>
          <w:tcPr>
            <w:tcW w:w="1227" w:type="dxa"/>
            <w:vAlign w:val="center"/>
          </w:tcPr>
          <w:p w14:paraId="39E60F89" w14:textId="4151FAB3"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276" w:type="dxa"/>
            <w:vAlign w:val="center"/>
          </w:tcPr>
          <w:p w14:paraId="49EECAF1" w14:textId="5F3A2C6E"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r>
      <w:tr w:rsidR="0072589F" w:rsidRPr="00976103" w14:paraId="307BB78E"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50394B76"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1.4. Sociālās iemaksas</w:t>
            </w:r>
          </w:p>
        </w:tc>
        <w:tc>
          <w:tcPr>
            <w:tcW w:w="1426" w:type="dxa"/>
            <w:vAlign w:val="center"/>
            <w:hideMark/>
          </w:tcPr>
          <w:p w14:paraId="4110D87E" w14:textId="1D4CAFE2"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D.61</w:t>
            </w:r>
          </w:p>
        </w:tc>
        <w:tc>
          <w:tcPr>
            <w:tcW w:w="1227" w:type="dxa"/>
            <w:vAlign w:val="center"/>
          </w:tcPr>
          <w:p w14:paraId="3E4E1F75" w14:textId="503E5D16"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8,8</w:t>
            </w:r>
          </w:p>
        </w:tc>
        <w:tc>
          <w:tcPr>
            <w:tcW w:w="1276" w:type="dxa"/>
            <w:vAlign w:val="center"/>
          </w:tcPr>
          <w:p w14:paraId="5619A27F" w14:textId="40E34258"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9,3</w:t>
            </w:r>
          </w:p>
        </w:tc>
      </w:tr>
      <w:tr w:rsidR="0072589F" w:rsidRPr="00976103" w14:paraId="2C5207D8"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153D9F20"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1.5. Īpašuma ienākumi</w:t>
            </w:r>
          </w:p>
        </w:tc>
        <w:tc>
          <w:tcPr>
            <w:tcW w:w="1426" w:type="dxa"/>
            <w:vAlign w:val="center"/>
            <w:hideMark/>
          </w:tcPr>
          <w:p w14:paraId="780E4E9C" w14:textId="220439DC"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D.4</w:t>
            </w:r>
          </w:p>
        </w:tc>
        <w:tc>
          <w:tcPr>
            <w:tcW w:w="1227" w:type="dxa"/>
            <w:vAlign w:val="center"/>
          </w:tcPr>
          <w:p w14:paraId="57EABB85" w14:textId="140471F7"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c>
          <w:tcPr>
            <w:tcW w:w="1276" w:type="dxa"/>
            <w:vAlign w:val="center"/>
          </w:tcPr>
          <w:p w14:paraId="6328B91A" w14:textId="7E9DCE86"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0,7</w:t>
            </w:r>
          </w:p>
        </w:tc>
      </w:tr>
      <w:tr w:rsidR="0072589F" w:rsidRPr="00976103" w14:paraId="7780EF2A" w14:textId="77777777" w:rsidTr="00AF5E23">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203A470"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1.6. Pārējie ieņēmumi</w:t>
            </w:r>
          </w:p>
        </w:tc>
        <w:tc>
          <w:tcPr>
            <w:tcW w:w="1426" w:type="dxa"/>
            <w:vAlign w:val="center"/>
            <w:hideMark/>
          </w:tcPr>
          <w:p w14:paraId="40C834A7" w14:textId="172C6EB6"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5B98CDF2" w14:textId="57BB83F4"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5,0</w:t>
            </w:r>
          </w:p>
        </w:tc>
        <w:tc>
          <w:tcPr>
            <w:tcW w:w="1276" w:type="dxa"/>
            <w:vAlign w:val="center"/>
          </w:tcPr>
          <w:p w14:paraId="1021B09B" w14:textId="1C8938C4"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5,1</w:t>
            </w:r>
          </w:p>
        </w:tc>
      </w:tr>
      <w:tr w:rsidR="0072589F" w:rsidRPr="00976103" w14:paraId="0D6C26CA" w14:textId="77777777" w:rsidTr="00AF5E23">
        <w:trPr>
          <w:trHeight w:val="22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8641BB1"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Nodokļu slogs (D.2+D.5+D.61+D.91-D.995)</w:t>
            </w:r>
          </w:p>
        </w:tc>
        <w:tc>
          <w:tcPr>
            <w:tcW w:w="1426" w:type="dxa"/>
            <w:vAlign w:val="center"/>
            <w:hideMark/>
          </w:tcPr>
          <w:p w14:paraId="23870B7A" w14:textId="1EA00207"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0ED00750" w14:textId="58EA8CC8"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30,5</w:t>
            </w:r>
          </w:p>
        </w:tc>
        <w:tc>
          <w:tcPr>
            <w:tcW w:w="1276" w:type="dxa"/>
            <w:vAlign w:val="center"/>
          </w:tcPr>
          <w:p w14:paraId="5DB5402F" w14:textId="3D241D11"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30,5</w:t>
            </w:r>
          </w:p>
        </w:tc>
      </w:tr>
      <w:tr w:rsidR="0072589F" w:rsidRPr="00976103" w14:paraId="489E824C" w14:textId="77777777" w:rsidTr="00AF5E2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918D373" w14:textId="77777777" w:rsidR="0072589F" w:rsidRPr="00976103" w:rsidRDefault="0072589F" w:rsidP="0072589F">
            <w:pPr>
              <w:spacing w:after="0"/>
              <w:ind w:firstLine="0"/>
              <w:jc w:val="left"/>
              <w:rPr>
                <w:color w:val="000000"/>
                <w:szCs w:val="24"/>
                <w:lang w:eastAsia="lv-LV"/>
              </w:rPr>
            </w:pPr>
            <w:r w:rsidRPr="00976103">
              <w:rPr>
                <w:color w:val="000000"/>
                <w:szCs w:val="24"/>
                <w:lang w:eastAsia="lv-LV"/>
              </w:rPr>
              <w:t>2. Kopējie izdevumi pie nemainīgas politikas</w:t>
            </w:r>
          </w:p>
        </w:tc>
        <w:tc>
          <w:tcPr>
            <w:tcW w:w="1426" w:type="dxa"/>
            <w:vAlign w:val="center"/>
            <w:hideMark/>
          </w:tcPr>
          <w:p w14:paraId="1874A1DF" w14:textId="7B7A8C13"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TE</w:t>
            </w:r>
          </w:p>
        </w:tc>
        <w:tc>
          <w:tcPr>
            <w:tcW w:w="1227" w:type="dxa"/>
            <w:vAlign w:val="center"/>
          </w:tcPr>
          <w:p w14:paraId="4D72993D" w14:textId="6F9905A6"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37,3</w:t>
            </w:r>
          </w:p>
        </w:tc>
        <w:tc>
          <w:tcPr>
            <w:tcW w:w="1276" w:type="dxa"/>
            <w:vAlign w:val="center"/>
          </w:tcPr>
          <w:p w14:paraId="406D9FF6" w14:textId="649BE51B"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37,2</w:t>
            </w:r>
          </w:p>
        </w:tc>
      </w:tr>
      <w:tr w:rsidR="0072589F" w:rsidRPr="00976103" w14:paraId="09FC3DF8"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3F986F6" w14:textId="77777777" w:rsidR="0072589F" w:rsidRPr="00976103" w:rsidRDefault="0072589F" w:rsidP="0072589F">
            <w:pPr>
              <w:spacing w:after="0"/>
              <w:ind w:firstLine="0"/>
              <w:jc w:val="center"/>
              <w:rPr>
                <w:color w:val="000000"/>
                <w:szCs w:val="24"/>
                <w:lang w:eastAsia="lv-LV"/>
              </w:rPr>
            </w:pPr>
            <w:r w:rsidRPr="00976103">
              <w:rPr>
                <w:color w:val="000000"/>
                <w:szCs w:val="24"/>
                <w:lang w:eastAsia="lv-LV"/>
              </w:rPr>
              <w:t>t.sk.</w:t>
            </w:r>
          </w:p>
        </w:tc>
        <w:tc>
          <w:tcPr>
            <w:tcW w:w="1426" w:type="dxa"/>
            <w:vAlign w:val="center"/>
            <w:hideMark/>
          </w:tcPr>
          <w:p w14:paraId="16BB4DAE" w14:textId="275CA453"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2A9FDC89" w14:textId="04A28014"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76" w:type="dxa"/>
            <w:vAlign w:val="center"/>
          </w:tcPr>
          <w:p w14:paraId="51DC42D1" w14:textId="4764E498" w:rsidR="0072589F" w:rsidRPr="00976103" w:rsidRDefault="0072589F"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72589F" w:rsidRPr="00976103" w14:paraId="0FC82630"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CE2181B"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2.1. Atlīdzība nodarbinātajiem</w:t>
            </w:r>
          </w:p>
        </w:tc>
        <w:tc>
          <w:tcPr>
            <w:tcW w:w="1426" w:type="dxa"/>
            <w:vAlign w:val="center"/>
            <w:hideMark/>
          </w:tcPr>
          <w:p w14:paraId="78C38272" w14:textId="2818BB87"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227" w:type="dxa"/>
            <w:vAlign w:val="center"/>
          </w:tcPr>
          <w:p w14:paraId="7F7049EB" w14:textId="3C3C038D"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10,7</w:t>
            </w:r>
          </w:p>
        </w:tc>
        <w:tc>
          <w:tcPr>
            <w:tcW w:w="1276" w:type="dxa"/>
            <w:vAlign w:val="center"/>
          </w:tcPr>
          <w:p w14:paraId="11D0BBFA" w14:textId="022234D6"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10,5</w:t>
            </w:r>
          </w:p>
        </w:tc>
      </w:tr>
      <w:tr w:rsidR="0072589F" w:rsidRPr="00976103" w14:paraId="0E8C2446"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C6DB40A"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2.2. Starppatēriņš</w:t>
            </w:r>
          </w:p>
        </w:tc>
        <w:tc>
          <w:tcPr>
            <w:tcW w:w="1426" w:type="dxa"/>
            <w:vAlign w:val="center"/>
            <w:hideMark/>
          </w:tcPr>
          <w:p w14:paraId="67A0AABD" w14:textId="57DEE66F"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P.2</w:t>
            </w:r>
          </w:p>
        </w:tc>
        <w:tc>
          <w:tcPr>
            <w:tcW w:w="1227" w:type="dxa"/>
            <w:vAlign w:val="center"/>
          </w:tcPr>
          <w:p w14:paraId="19C2FCF7" w14:textId="688A7B94"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6,4</w:t>
            </w:r>
          </w:p>
        </w:tc>
        <w:tc>
          <w:tcPr>
            <w:tcW w:w="1276" w:type="dxa"/>
            <w:vAlign w:val="center"/>
          </w:tcPr>
          <w:p w14:paraId="686F3D36" w14:textId="63E28A24"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6,1</w:t>
            </w:r>
          </w:p>
        </w:tc>
      </w:tr>
      <w:tr w:rsidR="0072589F" w:rsidRPr="00976103" w14:paraId="75589C10" w14:textId="77777777" w:rsidTr="00AF5E23">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31585B3C" w14:textId="77777777" w:rsidR="0072589F" w:rsidRPr="00976103" w:rsidRDefault="0072589F" w:rsidP="00B07F78">
            <w:pPr>
              <w:spacing w:after="0"/>
              <w:ind w:firstLineChars="100" w:firstLine="240"/>
              <w:jc w:val="left"/>
              <w:rPr>
                <w:color w:val="000000"/>
                <w:szCs w:val="24"/>
                <w:lang w:eastAsia="lv-LV"/>
              </w:rPr>
            </w:pPr>
            <w:r w:rsidRPr="00976103">
              <w:rPr>
                <w:color w:val="000000"/>
                <w:szCs w:val="24"/>
                <w:lang w:eastAsia="lv-LV"/>
              </w:rPr>
              <w:t>2.3. Sociālie maksājumi</w:t>
            </w:r>
          </w:p>
        </w:tc>
        <w:tc>
          <w:tcPr>
            <w:tcW w:w="1426" w:type="dxa"/>
            <w:vAlign w:val="center"/>
            <w:hideMark/>
          </w:tcPr>
          <w:p w14:paraId="25B0E36A" w14:textId="06C86B33" w:rsidR="0072589F" w:rsidRPr="00976103" w:rsidRDefault="00AF5E23"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D.62;</w:t>
            </w:r>
            <w:r w:rsidR="0072589F" w:rsidRPr="00976103">
              <w:rPr>
                <w:color w:val="000000"/>
                <w:szCs w:val="24"/>
                <w:lang w:eastAsia="lv-LV"/>
              </w:rPr>
              <w:t xml:space="preserve"> D.632</w:t>
            </w:r>
          </w:p>
        </w:tc>
        <w:tc>
          <w:tcPr>
            <w:tcW w:w="1227" w:type="dxa"/>
            <w:vAlign w:val="center"/>
          </w:tcPr>
          <w:p w14:paraId="0E113273" w14:textId="50DBFE5A"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11,6</w:t>
            </w:r>
          </w:p>
        </w:tc>
        <w:tc>
          <w:tcPr>
            <w:tcW w:w="1276" w:type="dxa"/>
            <w:vAlign w:val="center"/>
          </w:tcPr>
          <w:p w14:paraId="44C9308E" w14:textId="7CDA79B7"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11,9</w:t>
            </w:r>
          </w:p>
        </w:tc>
      </w:tr>
      <w:tr w:rsidR="0072589F" w:rsidRPr="00976103" w14:paraId="38F5BFA1" w14:textId="77777777" w:rsidTr="00AF5E23">
        <w:trPr>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36801E7" w14:textId="77777777" w:rsidR="0072589F" w:rsidRPr="00976103" w:rsidRDefault="0072589F" w:rsidP="0072589F">
            <w:pPr>
              <w:spacing w:after="0"/>
              <w:ind w:firstLineChars="300" w:firstLine="720"/>
              <w:jc w:val="left"/>
              <w:rPr>
                <w:color w:val="000000"/>
                <w:szCs w:val="24"/>
                <w:lang w:eastAsia="lv-LV"/>
              </w:rPr>
            </w:pPr>
            <w:r w:rsidRPr="00976103">
              <w:rPr>
                <w:color w:val="000000"/>
                <w:szCs w:val="24"/>
                <w:lang w:eastAsia="lv-LV"/>
              </w:rPr>
              <w:t>tai skaitā bezdarbnieku pabalsti</w:t>
            </w:r>
          </w:p>
        </w:tc>
        <w:tc>
          <w:tcPr>
            <w:tcW w:w="1426" w:type="dxa"/>
            <w:vAlign w:val="center"/>
            <w:hideMark/>
          </w:tcPr>
          <w:p w14:paraId="281DF0EF" w14:textId="7F51E449"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1FB0B786" w14:textId="7EDA00FB"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0,4</w:t>
            </w:r>
          </w:p>
        </w:tc>
        <w:tc>
          <w:tcPr>
            <w:tcW w:w="1276" w:type="dxa"/>
            <w:vAlign w:val="center"/>
          </w:tcPr>
          <w:p w14:paraId="597D5A15" w14:textId="26B6BFE6"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0,5</w:t>
            </w:r>
          </w:p>
        </w:tc>
      </w:tr>
      <w:tr w:rsidR="0072589F" w:rsidRPr="00976103" w14:paraId="1234C66B"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6C561D3"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2.4. Procentu izdevumi</w:t>
            </w:r>
          </w:p>
        </w:tc>
        <w:tc>
          <w:tcPr>
            <w:tcW w:w="1426" w:type="dxa"/>
            <w:vAlign w:val="center"/>
            <w:hideMark/>
          </w:tcPr>
          <w:p w14:paraId="1D46A96E" w14:textId="03AFBF55"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D.41</w:t>
            </w:r>
          </w:p>
        </w:tc>
        <w:tc>
          <w:tcPr>
            <w:tcW w:w="1227" w:type="dxa"/>
            <w:vAlign w:val="center"/>
          </w:tcPr>
          <w:p w14:paraId="3ADEA944" w14:textId="5A375522"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c>
          <w:tcPr>
            <w:tcW w:w="1276" w:type="dxa"/>
            <w:vAlign w:val="center"/>
          </w:tcPr>
          <w:p w14:paraId="0B107A69" w14:textId="6281976E"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r>
      <w:tr w:rsidR="0072589F" w:rsidRPr="00976103" w14:paraId="0906B338"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DACBA29"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2.5. Subsīdijas</w:t>
            </w:r>
          </w:p>
        </w:tc>
        <w:tc>
          <w:tcPr>
            <w:tcW w:w="1426" w:type="dxa"/>
            <w:vAlign w:val="center"/>
            <w:hideMark/>
          </w:tcPr>
          <w:p w14:paraId="366E6EB8" w14:textId="084BC845"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D.3</w:t>
            </w:r>
          </w:p>
        </w:tc>
        <w:tc>
          <w:tcPr>
            <w:tcW w:w="1227" w:type="dxa"/>
            <w:vAlign w:val="center"/>
          </w:tcPr>
          <w:p w14:paraId="459A48AF" w14:textId="0D9C1B53"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0,5</w:t>
            </w:r>
          </w:p>
        </w:tc>
        <w:tc>
          <w:tcPr>
            <w:tcW w:w="1276" w:type="dxa"/>
            <w:vAlign w:val="center"/>
          </w:tcPr>
          <w:p w14:paraId="4AE3321F" w14:textId="47262DA9"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0,9</w:t>
            </w:r>
          </w:p>
        </w:tc>
      </w:tr>
      <w:tr w:rsidR="0072589F" w:rsidRPr="00976103" w14:paraId="544EE272" w14:textId="77777777" w:rsidTr="00AF5E23">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1162AA8"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2.6. Bruto kopējā pamatkapitāla veidošana</w:t>
            </w:r>
          </w:p>
        </w:tc>
        <w:tc>
          <w:tcPr>
            <w:tcW w:w="1426" w:type="dxa"/>
            <w:vAlign w:val="center"/>
            <w:hideMark/>
          </w:tcPr>
          <w:p w14:paraId="2A6F5B87" w14:textId="5E4EAEDE"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P.51</w:t>
            </w:r>
          </w:p>
        </w:tc>
        <w:tc>
          <w:tcPr>
            <w:tcW w:w="1227" w:type="dxa"/>
            <w:vAlign w:val="center"/>
          </w:tcPr>
          <w:p w14:paraId="0D17247C" w14:textId="2932F637"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4,4</w:t>
            </w:r>
          </w:p>
        </w:tc>
        <w:tc>
          <w:tcPr>
            <w:tcW w:w="1276" w:type="dxa"/>
            <w:vAlign w:val="center"/>
          </w:tcPr>
          <w:p w14:paraId="4BDF65BD" w14:textId="58D9E215"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4,6</w:t>
            </w:r>
          </w:p>
        </w:tc>
      </w:tr>
      <w:tr w:rsidR="0072589F" w:rsidRPr="00976103" w14:paraId="7AAF8E17" w14:textId="77777777" w:rsidTr="00AF5E23">
        <w:trPr>
          <w:trHeight w:val="21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15200A2"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 xml:space="preserve">2.7. Kapitālo izdevumu </w:t>
            </w:r>
            <w:proofErr w:type="spellStart"/>
            <w:r w:rsidRPr="00976103">
              <w:rPr>
                <w:color w:val="000000"/>
                <w:szCs w:val="24"/>
                <w:lang w:eastAsia="lv-LV"/>
              </w:rPr>
              <w:t>transferti</w:t>
            </w:r>
            <w:proofErr w:type="spellEnd"/>
          </w:p>
        </w:tc>
        <w:tc>
          <w:tcPr>
            <w:tcW w:w="1426" w:type="dxa"/>
            <w:vAlign w:val="center"/>
            <w:hideMark/>
          </w:tcPr>
          <w:p w14:paraId="71EF4328" w14:textId="0B977682" w:rsidR="0072589F" w:rsidRPr="00976103" w:rsidRDefault="0072589F" w:rsidP="0072589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w:t>
            </w:r>
          </w:p>
        </w:tc>
        <w:tc>
          <w:tcPr>
            <w:tcW w:w="1227" w:type="dxa"/>
            <w:vAlign w:val="center"/>
          </w:tcPr>
          <w:p w14:paraId="02F03C90" w14:textId="27001019"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c>
          <w:tcPr>
            <w:tcW w:w="1276" w:type="dxa"/>
            <w:vAlign w:val="center"/>
          </w:tcPr>
          <w:p w14:paraId="55500A7F" w14:textId="1DD7E131" w:rsidR="0072589F" w:rsidRPr="00976103" w:rsidRDefault="00B70845" w:rsidP="0072589F">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72589F" w:rsidRPr="00976103" w14:paraId="25804A1A" w14:textId="77777777" w:rsidTr="00AF5E23">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3BEB0509" w14:textId="77777777" w:rsidR="0072589F" w:rsidRPr="00976103" w:rsidRDefault="0072589F" w:rsidP="0072589F">
            <w:pPr>
              <w:spacing w:after="0"/>
              <w:ind w:firstLineChars="100" w:firstLine="240"/>
              <w:jc w:val="left"/>
              <w:rPr>
                <w:color w:val="000000"/>
                <w:szCs w:val="24"/>
                <w:lang w:eastAsia="lv-LV"/>
              </w:rPr>
            </w:pPr>
            <w:r w:rsidRPr="00976103">
              <w:rPr>
                <w:color w:val="000000"/>
                <w:szCs w:val="24"/>
                <w:lang w:eastAsia="lv-LV"/>
              </w:rPr>
              <w:t>2.8. Pārējie izdevumi</w:t>
            </w:r>
          </w:p>
        </w:tc>
        <w:tc>
          <w:tcPr>
            <w:tcW w:w="1426" w:type="dxa"/>
            <w:hideMark/>
          </w:tcPr>
          <w:p w14:paraId="422D0DB3" w14:textId="77777777" w:rsidR="0072589F" w:rsidRPr="00976103" w:rsidRDefault="0072589F" w:rsidP="0072589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227" w:type="dxa"/>
          </w:tcPr>
          <w:p w14:paraId="5573674A" w14:textId="6DB00CA3"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2,6</w:t>
            </w:r>
          </w:p>
        </w:tc>
        <w:tc>
          <w:tcPr>
            <w:tcW w:w="1276" w:type="dxa"/>
          </w:tcPr>
          <w:p w14:paraId="474E64DD" w14:textId="6E0A22D7" w:rsidR="0072589F" w:rsidRPr="00976103" w:rsidRDefault="00B70845" w:rsidP="0072589F">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2,3</w:t>
            </w:r>
          </w:p>
        </w:tc>
      </w:tr>
    </w:tbl>
    <w:p w14:paraId="45A79CCA" w14:textId="77777777" w:rsidR="00CB5AC9" w:rsidRPr="00976103" w:rsidRDefault="00CB5AC9" w:rsidP="0095691A">
      <w:pPr>
        <w:ind w:firstLine="0"/>
        <w:jc w:val="left"/>
        <w:rPr>
          <w:szCs w:val="24"/>
        </w:rPr>
      </w:pPr>
    </w:p>
    <w:p w14:paraId="4A36C6F3" w14:textId="77777777" w:rsidR="00CD68EC" w:rsidRPr="00976103" w:rsidRDefault="00CB5AC9" w:rsidP="00AF5E23">
      <w:pPr>
        <w:pStyle w:val="Heading1"/>
        <w:tabs>
          <w:tab w:val="left" w:pos="1276"/>
        </w:tabs>
        <w:spacing w:before="0" w:after="240"/>
        <w:ind w:left="1276" w:hanging="1276"/>
        <w:rPr>
          <w:rFonts w:ascii="Times New Roman" w:hAnsi="Times New Roman"/>
        </w:rPr>
      </w:pPr>
      <w:r w:rsidRPr="00976103">
        <w:rPr>
          <w:b w:val="0"/>
        </w:rPr>
        <w:br w:type="page"/>
      </w:r>
      <w:bookmarkStart w:id="13" w:name="_Toc494786347"/>
      <w:r w:rsidRPr="001D5709">
        <w:rPr>
          <w:rFonts w:ascii="Times New Roman" w:hAnsi="Times New Roman"/>
          <w:color w:val="18185F"/>
          <w:sz w:val="24"/>
        </w:rPr>
        <w:lastRenderedPageBreak/>
        <w:t>Tabula 4.a</w:t>
      </w:r>
      <w:r w:rsidR="00DA2011" w:rsidRPr="001D5709">
        <w:rPr>
          <w:rFonts w:ascii="Times New Roman" w:hAnsi="Times New Roman"/>
          <w:color w:val="18185F"/>
          <w:sz w:val="24"/>
        </w:rPr>
        <w:t>:</w:t>
      </w:r>
      <w:r w:rsidRPr="001D5709">
        <w:rPr>
          <w:rFonts w:ascii="Times New Roman" w:hAnsi="Times New Roman"/>
          <w:color w:val="18185F"/>
          <w:sz w:val="24"/>
        </w:rPr>
        <w:t xml:space="preserve"> Vispārējās valdības izdevumu un ieņēmumu mērķi sadalījumā pa galvenajām komponentēm</w:t>
      </w:r>
      <w:bookmarkEnd w:id="13"/>
    </w:p>
    <w:tbl>
      <w:tblPr>
        <w:tblStyle w:val="GridTable6Colorful-Accent11"/>
        <w:tblW w:w="9131" w:type="dxa"/>
        <w:jc w:val="center"/>
        <w:tblLook w:val="04A0" w:firstRow="1" w:lastRow="0" w:firstColumn="1" w:lastColumn="0" w:noHBand="0" w:noVBand="1"/>
      </w:tblPr>
      <w:tblGrid>
        <w:gridCol w:w="4957"/>
        <w:gridCol w:w="1375"/>
        <w:gridCol w:w="1427"/>
        <w:gridCol w:w="1372"/>
      </w:tblGrid>
      <w:tr w:rsidR="00CB5AC9" w:rsidRPr="00976103" w14:paraId="4A4D0F1B" w14:textId="77777777" w:rsidTr="00AF5E23">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327B42C0"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 </w:t>
            </w:r>
          </w:p>
        </w:tc>
        <w:tc>
          <w:tcPr>
            <w:tcW w:w="1375" w:type="dxa"/>
            <w:hideMark/>
          </w:tcPr>
          <w:p w14:paraId="3DBC9DDC" w14:textId="77777777" w:rsidR="00CB5AC9" w:rsidRPr="00AA5420" w:rsidRDefault="00AA5420" w:rsidP="00C6272E">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AA5420">
              <w:rPr>
                <w:color w:val="000000"/>
                <w:szCs w:val="24"/>
                <w:lang w:eastAsia="lv-LV"/>
              </w:rPr>
              <w:t>EKS</w:t>
            </w:r>
            <w:r w:rsidR="00CB5AC9" w:rsidRPr="00AA5420">
              <w:rPr>
                <w:color w:val="000000"/>
                <w:szCs w:val="24"/>
                <w:lang w:eastAsia="lv-LV"/>
              </w:rPr>
              <w:t xml:space="preserve"> </w:t>
            </w:r>
            <w:r w:rsidR="00C6272E" w:rsidRPr="00AA5420">
              <w:rPr>
                <w:color w:val="000000"/>
                <w:szCs w:val="24"/>
                <w:lang w:eastAsia="lv-LV"/>
              </w:rPr>
              <w:t>Kods</w:t>
            </w:r>
            <w:r w:rsidR="00CB5AC9" w:rsidRPr="00AA5420">
              <w:rPr>
                <w:color w:val="000000"/>
                <w:szCs w:val="24"/>
                <w:lang w:eastAsia="lv-LV"/>
              </w:rPr>
              <w:t xml:space="preserve"> </w:t>
            </w:r>
          </w:p>
        </w:tc>
        <w:tc>
          <w:tcPr>
            <w:tcW w:w="1427" w:type="dxa"/>
            <w:vAlign w:val="center"/>
            <w:hideMark/>
          </w:tcPr>
          <w:p w14:paraId="0800E029" w14:textId="0311D69E" w:rsidR="00CB5AC9" w:rsidRPr="00AA5420" w:rsidRDefault="006F3B5B" w:rsidP="00B0772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2017</w:t>
            </w:r>
          </w:p>
        </w:tc>
        <w:tc>
          <w:tcPr>
            <w:tcW w:w="1372" w:type="dxa"/>
            <w:vAlign w:val="center"/>
            <w:hideMark/>
          </w:tcPr>
          <w:p w14:paraId="24A43334" w14:textId="5A5525D0" w:rsidR="00CB5AC9" w:rsidRPr="00AA5420" w:rsidRDefault="00D85FDB" w:rsidP="006F3B5B">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6F3B5B">
              <w:rPr>
                <w:color w:val="000000"/>
                <w:szCs w:val="24"/>
                <w:lang w:eastAsia="lv-LV"/>
              </w:rPr>
              <w:t>8</w:t>
            </w:r>
          </w:p>
        </w:tc>
      </w:tr>
      <w:tr w:rsidR="00C6272E" w:rsidRPr="00976103" w14:paraId="4ECBE069"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09496803" w14:textId="77777777" w:rsidR="00C6272E" w:rsidRPr="00976103" w:rsidRDefault="00C6272E" w:rsidP="00CB5AC9">
            <w:pPr>
              <w:spacing w:after="0"/>
              <w:ind w:firstLine="0"/>
              <w:jc w:val="center"/>
              <w:rPr>
                <w:color w:val="000000"/>
                <w:szCs w:val="24"/>
                <w:lang w:eastAsia="lv-LV"/>
              </w:rPr>
            </w:pPr>
            <w:r w:rsidRPr="00976103">
              <w:rPr>
                <w:color w:val="000000"/>
                <w:szCs w:val="24"/>
                <w:lang w:eastAsia="lv-LV"/>
              </w:rPr>
              <w:t> </w:t>
            </w:r>
          </w:p>
        </w:tc>
        <w:tc>
          <w:tcPr>
            <w:tcW w:w="1375" w:type="dxa"/>
            <w:hideMark/>
          </w:tcPr>
          <w:p w14:paraId="6027EF77" w14:textId="77777777" w:rsidR="00C6272E" w:rsidRPr="00976103" w:rsidRDefault="00C6272E" w:rsidP="00CB5AC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799" w:type="dxa"/>
            <w:gridSpan w:val="2"/>
            <w:vAlign w:val="center"/>
            <w:hideMark/>
          </w:tcPr>
          <w:p w14:paraId="771A80CB" w14:textId="77777777" w:rsidR="00C6272E" w:rsidRPr="00976103" w:rsidRDefault="00C6272E" w:rsidP="0028776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no IKP</w:t>
            </w:r>
          </w:p>
        </w:tc>
      </w:tr>
      <w:tr w:rsidR="00070BC1" w:rsidRPr="00976103" w14:paraId="1CB270C0"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7E6CEEF0" w14:textId="77777777" w:rsidR="00070BC1" w:rsidRPr="00976103" w:rsidRDefault="00070BC1" w:rsidP="00070BC1">
            <w:pPr>
              <w:spacing w:after="0"/>
              <w:ind w:firstLine="0"/>
              <w:jc w:val="left"/>
              <w:rPr>
                <w:color w:val="000000"/>
                <w:szCs w:val="24"/>
                <w:lang w:eastAsia="lv-LV"/>
              </w:rPr>
            </w:pPr>
            <w:r w:rsidRPr="00976103">
              <w:rPr>
                <w:color w:val="000000"/>
                <w:szCs w:val="24"/>
                <w:lang w:eastAsia="lv-LV"/>
              </w:rPr>
              <w:t>1. Ieņēmumu plāna kopsumma</w:t>
            </w:r>
          </w:p>
        </w:tc>
        <w:tc>
          <w:tcPr>
            <w:tcW w:w="1375" w:type="dxa"/>
            <w:vAlign w:val="center"/>
            <w:hideMark/>
          </w:tcPr>
          <w:p w14:paraId="34176260" w14:textId="4CAA165E"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TR</w:t>
            </w:r>
          </w:p>
        </w:tc>
        <w:tc>
          <w:tcPr>
            <w:tcW w:w="1427" w:type="dxa"/>
            <w:vAlign w:val="center"/>
          </w:tcPr>
          <w:p w14:paraId="0025DA04" w14:textId="63E38BA7"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36,4</w:t>
            </w:r>
          </w:p>
        </w:tc>
        <w:tc>
          <w:tcPr>
            <w:tcW w:w="1372" w:type="dxa"/>
            <w:vAlign w:val="center"/>
          </w:tcPr>
          <w:p w14:paraId="47297676" w14:textId="4BC13974"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36,5</w:t>
            </w:r>
          </w:p>
        </w:tc>
      </w:tr>
      <w:tr w:rsidR="00070BC1" w:rsidRPr="00976103" w14:paraId="142642A0"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049C3C7C" w14:textId="77777777" w:rsidR="00070BC1" w:rsidRPr="00976103" w:rsidRDefault="00070BC1" w:rsidP="00070BC1">
            <w:pPr>
              <w:spacing w:after="0"/>
              <w:ind w:firstLine="0"/>
              <w:jc w:val="center"/>
              <w:rPr>
                <w:color w:val="000000"/>
                <w:szCs w:val="24"/>
                <w:lang w:eastAsia="lv-LV"/>
              </w:rPr>
            </w:pPr>
            <w:r w:rsidRPr="00976103">
              <w:rPr>
                <w:color w:val="000000"/>
                <w:szCs w:val="24"/>
                <w:lang w:eastAsia="lv-LV"/>
              </w:rPr>
              <w:t>t.sk.</w:t>
            </w:r>
          </w:p>
        </w:tc>
        <w:tc>
          <w:tcPr>
            <w:tcW w:w="1375" w:type="dxa"/>
            <w:vAlign w:val="center"/>
            <w:hideMark/>
          </w:tcPr>
          <w:p w14:paraId="78C92681" w14:textId="3428F661"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27" w:type="dxa"/>
            <w:vAlign w:val="center"/>
          </w:tcPr>
          <w:p w14:paraId="57D70B50" w14:textId="37B8D7DA" w:rsidR="00070BC1" w:rsidRPr="00070BC1" w:rsidRDefault="00070BC1"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372" w:type="dxa"/>
            <w:vAlign w:val="center"/>
          </w:tcPr>
          <w:p w14:paraId="6FD9DDFE" w14:textId="40E8A2C3" w:rsidR="00070BC1" w:rsidRPr="00070BC1" w:rsidRDefault="00070BC1"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070BC1" w:rsidRPr="00976103" w14:paraId="44EA5B39"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1AD6B697"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1.1. Ražošanas un importa nodokļi</w:t>
            </w:r>
          </w:p>
        </w:tc>
        <w:tc>
          <w:tcPr>
            <w:tcW w:w="1375" w:type="dxa"/>
            <w:vAlign w:val="center"/>
            <w:hideMark/>
          </w:tcPr>
          <w:p w14:paraId="3A2776C1" w14:textId="2280C61A"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D.2</w:t>
            </w:r>
          </w:p>
        </w:tc>
        <w:tc>
          <w:tcPr>
            <w:tcW w:w="1427" w:type="dxa"/>
            <w:vAlign w:val="center"/>
          </w:tcPr>
          <w:p w14:paraId="170390EC" w14:textId="4F88D33A"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13,4</w:t>
            </w:r>
          </w:p>
        </w:tc>
        <w:tc>
          <w:tcPr>
            <w:tcW w:w="1372" w:type="dxa"/>
            <w:vAlign w:val="center"/>
          </w:tcPr>
          <w:p w14:paraId="7EDB7A28" w14:textId="48EC54AA"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14,1</w:t>
            </w:r>
          </w:p>
        </w:tc>
      </w:tr>
      <w:tr w:rsidR="00070BC1" w:rsidRPr="00976103" w14:paraId="5475051A"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6DBA7BF0"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1.2. Ienākuma un mantas kārtējie nodokļi</w:t>
            </w:r>
          </w:p>
        </w:tc>
        <w:tc>
          <w:tcPr>
            <w:tcW w:w="1375" w:type="dxa"/>
            <w:vAlign w:val="center"/>
            <w:hideMark/>
          </w:tcPr>
          <w:p w14:paraId="2631850C" w14:textId="413C8546"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D.5</w:t>
            </w:r>
          </w:p>
        </w:tc>
        <w:tc>
          <w:tcPr>
            <w:tcW w:w="1427" w:type="dxa"/>
            <w:vAlign w:val="center"/>
          </w:tcPr>
          <w:p w14:paraId="54C9F5B3" w14:textId="6A843BB1"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8,5</w:t>
            </w:r>
          </w:p>
        </w:tc>
        <w:tc>
          <w:tcPr>
            <w:tcW w:w="1372" w:type="dxa"/>
            <w:vAlign w:val="center"/>
          </w:tcPr>
          <w:p w14:paraId="62E3B3C9" w14:textId="5C49C5E5"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7,2</w:t>
            </w:r>
          </w:p>
        </w:tc>
      </w:tr>
      <w:tr w:rsidR="00070BC1" w:rsidRPr="00976103" w14:paraId="0910AF35"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2851A38B"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1.3. Kapitāla nodokļi</w:t>
            </w:r>
          </w:p>
        </w:tc>
        <w:tc>
          <w:tcPr>
            <w:tcW w:w="1375" w:type="dxa"/>
            <w:vAlign w:val="center"/>
            <w:hideMark/>
          </w:tcPr>
          <w:p w14:paraId="5EFBD0F4" w14:textId="49D1A040"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D.91</w:t>
            </w:r>
          </w:p>
        </w:tc>
        <w:tc>
          <w:tcPr>
            <w:tcW w:w="1427" w:type="dxa"/>
            <w:vAlign w:val="center"/>
          </w:tcPr>
          <w:p w14:paraId="7D8C0916" w14:textId="200A64A1"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c>
          <w:tcPr>
            <w:tcW w:w="1372" w:type="dxa"/>
            <w:vAlign w:val="center"/>
          </w:tcPr>
          <w:p w14:paraId="00459924" w14:textId="7FAC1B6D"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0,0</w:t>
            </w:r>
          </w:p>
        </w:tc>
      </w:tr>
      <w:tr w:rsidR="00070BC1" w:rsidRPr="00976103" w14:paraId="3E06EA1B"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601E2F6A"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1.4. Sociālās iemaksas</w:t>
            </w:r>
          </w:p>
        </w:tc>
        <w:tc>
          <w:tcPr>
            <w:tcW w:w="1375" w:type="dxa"/>
            <w:vAlign w:val="center"/>
            <w:hideMark/>
          </w:tcPr>
          <w:p w14:paraId="010DCF57" w14:textId="09FD9E94"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D.61</w:t>
            </w:r>
          </w:p>
        </w:tc>
        <w:tc>
          <w:tcPr>
            <w:tcW w:w="1427" w:type="dxa"/>
            <w:vAlign w:val="center"/>
          </w:tcPr>
          <w:p w14:paraId="09D7FEFF" w14:textId="297DD4F0"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8,8</w:t>
            </w:r>
          </w:p>
        </w:tc>
        <w:tc>
          <w:tcPr>
            <w:tcW w:w="1372" w:type="dxa"/>
            <w:vAlign w:val="center"/>
          </w:tcPr>
          <w:p w14:paraId="3E5E2D91" w14:textId="64CD0DAD"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9,6</w:t>
            </w:r>
          </w:p>
        </w:tc>
      </w:tr>
      <w:tr w:rsidR="00070BC1" w:rsidRPr="00976103" w14:paraId="726D7847"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2A4FE879"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1.5. Īpašuma ienākumi</w:t>
            </w:r>
          </w:p>
        </w:tc>
        <w:tc>
          <w:tcPr>
            <w:tcW w:w="1375" w:type="dxa"/>
            <w:vAlign w:val="center"/>
            <w:hideMark/>
          </w:tcPr>
          <w:p w14:paraId="56963B8E" w14:textId="61B959BF"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D.4</w:t>
            </w:r>
          </w:p>
        </w:tc>
        <w:tc>
          <w:tcPr>
            <w:tcW w:w="1427" w:type="dxa"/>
            <w:vAlign w:val="center"/>
          </w:tcPr>
          <w:p w14:paraId="5C778901" w14:textId="7F5BC92F"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c>
          <w:tcPr>
            <w:tcW w:w="1372" w:type="dxa"/>
            <w:vAlign w:val="center"/>
          </w:tcPr>
          <w:p w14:paraId="70CFE412" w14:textId="213C0430"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0,6</w:t>
            </w:r>
          </w:p>
        </w:tc>
      </w:tr>
      <w:tr w:rsidR="00070BC1" w:rsidRPr="00976103" w14:paraId="789532F0" w14:textId="77777777" w:rsidTr="00AF5E2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6CAC31CD"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1.6. Pārējie ieņēmumi</w:t>
            </w:r>
          </w:p>
        </w:tc>
        <w:tc>
          <w:tcPr>
            <w:tcW w:w="1375" w:type="dxa"/>
            <w:vAlign w:val="center"/>
            <w:hideMark/>
          </w:tcPr>
          <w:p w14:paraId="24FF88F9" w14:textId="1EB4E741"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427" w:type="dxa"/>
            <w:vAlign w:val="center"/>
          </w:tcPr>
          <w:p w14:paraId="7A3689E7" w14:textId="30585432"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5,0</w:t>
            </w:r>
          </w:p>
        </w:tc>
        <w:tc>
          <w:tcPr>
            <w:tcW w:w="1372" w:type="dxa"/>
            <w:vAlign w:val="center"/>
          </w:tcPr>
          <w:p w14:paraId="19554DC5" w14:textId="2D097A5F"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4,9</w:t>
            </w:r>
          </w:p>
        </w:tc>
      </w:tr>
      <w:tr w:rsidR="00070BC1" w:rsidRPr="00976103" w14:paraId="4A192079" w14:textId="77777777" w:rsidTr="00AF5E23">
        <w:trPr>
          <w:trHeight w:val="335"/>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0ED0201F"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Nodokļu slogs (D.2+D.5+D.61+D.91-D.995)</w:t>
            </w:r>
          </w:p>
        </w:tc>
        <w:tc>
          <w:tcPr>
            <w:tcW w:w="1375" w:type="dxa"/>
            <w:vAlign w:val="center"/>
            <w:hideMark/>
          </w:tcPr>
          <w:p w14:paraId="616CED59" w14:textId="1D186D8D"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27" w:type="dxa"/>
            <w:vAlign w:val="center"/>
          </w:tcPr>
          <w:p w14:paraId="2ADA4FFE" w14:textId="2B49D59E"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30,5</w:t>
            </w:r>
          </w:p>
        </w:tc>
        <w:tc>
          <w:tcPr>
            <w:tcW w:w="1372" w:type="dxa"/>
            <w:vAlign w:val="center"/>
          </w:tcPr>
          <w:p w14:paraId="143B82E4" w14:textId="4E5D24DA"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30,8</w:t>
            </w:r>
          </w:p>
        </w:tc>
      </w:tr>
      <w:tr w:rsidR="00070BC1" w:rsidRPr="00976103" w14:paraId="0AFF3A05"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40FF8BE9" w14:textId="77777777" w:rsidR="00070BC1" w:rsidRPr="00976103" w:rsidRDefault="00070BC1" w:rsidP="00070BC1">
            <w:pPr>
              <w:spacing w:after="0"/>
              <w:ind w:firstLine="0"/>
              <w:jc w:val="left"/>
              <w:rPr>
                <w:color w:val="000000"/>
                <w:szCs w:val="24"/>
                <w:lang w:eastAsia="lv-LV"/>
              </w:rPr>
            </w:pPr>
            <w:r w:rsidRPr="00976103">
              <w:rPr>
                <w:color w:val="000000"/>
                <w:szCs w:val="24"/>
                <w:lang w:eastAsia="lv-LV"/>
              </w:rPr>
              <w:t>2. Izdevumu plāna kopsumma</w:t>
            </w:r>
          </w:p>
        </w:tc>
        <w:tc>
          <w:tcPr>
            <w:tcW w:w="1375" w:type="dxa"/>
            <w:vAlign w:val="center"/>
            <w:hideMark/>
          </w:tcPr>
          <w:p w14:paraId="26A74E33" w14:textId="6350CF6E" w:rsidR="00070BC1" w:rsidRPr="00976103" w:rsidRDefault="00B70845"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TE</w:t>
            </w:r>
          </w:p>
        </w:tc>
        <w:tc>
          <w:tcPr>
            <w:tcW w:w="1427" w:type="dxa"/>
            <w:vAlign w:val="center"/>
          </w:tcPr>
          <w:p w14:paraId="7B6FCB39" w14:textId="049355F0"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37,3</w:t>
            </w:r>
          </w:p>
        </w:tc>
        <w:tc>
          <w:tcPr>
            <w:tcW w:w="1372" w:type="dxa"/>
            <w:vAlign w:val="center"/>
          </w:tcPr>
          <w:p w14:paraId="0AD43B9A" w14:textId="3B63E0C7"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37,5</w:t>
            </w:r>
          </w:p>
        </w:tc>
      </w:tr>
      <w:tr w:rsidR="00070BC1" w:rsidRPr="00976103" w14:paraId="62739C63"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7C6198B2" w14:textId="77777777" w:rsidR="00070BC1" w:rsidRPr="00976103" w:rsidRDefault="00070BC1" w:rsidP="00070BC1">
            <w:pPr>
              <w:spacing w:after="0"/>
              <w:ind w:firstLine="0"/>
              <w:jc w:val="center"/>
              <w:rPr>
                <w:color w:val="000000"/>
                <w:szCs w:val="24"/>
                <w:lang w:eastAsia="lv-LV"/>
              </w:rPr>
            </w:pPr>
            <w:r w:rsidRPr="00976103">
              <w:rPr>
                <w:color w:val="000000"/>
                <w:szCs w:val="24"/>
                <w:lang w:eastAsia="lv-LV"/>
              </w:rPr>
              <w:t>t.sk.</w:t>
            </w:r>
          </w:p>
        </w:tc>
        <w:tc>
          <w:tcPr>
            <w:tcW w:w="1375" w:type="dxa"/>
            <w:vAlign w:val="center"/>
            <w:hideMark/>
          </w:tcPr>
          <w:p w14:paraId="472BDE6C" w14:textId="30313675"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27" w:type="dxa"/>
            <w:vAlign w:val="center"/>
          </w:tcPr>
          <w:p w14:paraId="7900B584" w14:textId="193B8150" w:rsidR="00070BC1" w:rsidRPr="00070BC1" w:rsidRDefault="00070BC1"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372" w:type="dxa"/>
            <w:vAlign w:val="center"/>
          </w:tcPr>
          <w:p w14:paraId="2B407274" w14:textId="64C29E30" w:rsidR="00070BC1" w:rsidRPr="00070BC1" w:rsidRDefault="00070BC1"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070BC1" w:rsidRPr="00976103" w14:paraId="48C97E5A"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0843706A"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2.1. Atlīdzība nodarbinātajiem</w:t>
            </w:r>
          </w:p>
        </w:tc>
        <w:tc>
          <w:tcPr>
            <w:tcW w:w="1375" w:type="dxa"/>
            <w:vAlign w:val="center"/>
            <w:hideMark/>
          </w:tcPr>
          <w:p w14:paraId="1E3C3BF2" w14:textId="6B02FF4B"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427" w:type="dxa"/>
            <w:vAlign w:val="center"/>
          </w:tcPr>
          <w:p w14:paraId="07D4778D" w14:textId="51CEBAB2"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10,7</w:t>
            </w:r>
          </w:p>
        </w:tc>
        <w:tc>
          <w:tcPr>
            <w:tcW w:w="1372" w:type="dxa"/>
            <w:vAlign w:val="center"/>
          </w:tcPr>
          <w:p w14:paraId="7CFB1E62" w14:textId="66E4E0E2"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10,5</w:t>
            </w:r>
          </w:p>
        </w:tc>
      </w:tr>
      <w:tr w:rsidR="00070BC1" w:rsidRPr="00976103" w14:paraId="4EC9A185"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75011A22"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2.2. Starppatēriņš</w:t>
            </w:r>
          </w:p>
        </w:tc>
        <w:tc>
          <w:tcPr>
            <w:tcW w:w="1375" w:type="dxa"/>
            <w:vAlign w:val="center"/>
            <w:hideMark/>
          </w:tcPr>
          <w:p w14:paraId="46548994" w14:textId="6D08C373"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P.2</w:t>
            </w:r>
          </w:p>
        </w:tc>
        <w:tc>
          <w:tcPr>
            <w:tcW w:w="1427" w:type="dxa"/>
            <w:vAlign w:val="center"/>
          </w:tcPr>
          <w:p w14:paraId="342EDD17" w14:textId="3296AAC8"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6,4</w:t>
            </w:r>
          </w:p>
        </w:tc>
        <w:tc>
          <w:tcPr>
            <w:tcW w:w="1372" w:type="dxa"/>
            <w:vAlign w:val="center"/>
          </w:tcPr>
          <w:p w14:paraId="04E48B88" w14:textId="334F6042"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6,2</w:t>
            </w:r>
          </w:p>
        </w:tc>
      </w:tr>
      <w:tr w:rsidR="00070BC1" w:rsidRPr="00976103" w14:paraId="34E36634" w14:textId="77777777" w:rsidTr="00AF5E23">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28463F3D" w14:textId="77777777" w:rsidR="00070BC1" w:rsidRPr="00976103" w:rsidRDefault="00070BC1" w:rsidP="00AF5E23">
            <w:pPr>
              <w:spacing w:after="0"/>
              <w:ind w:firstLineChars="100" w:firstLine="240"/>
              <w:jc w:val="left"/>
              <w:rPr>
                <w:color w:val="000000"/>
                <w:szCs w:val="24"/>
                <w:lang w:eastAsia="lv-LV"/>
              </w:rPr>
            </w:pPr>
            <w:r w:rsidRPr="00976103">
              <w:rPr>
                <w:color w:val="000000"/>
                <w:szCs w:val="24"/>
                <w:lang w:eastAsia="lv-LV"/>
              </w:rPr>
              <w:t>2.3. Sociālie maksājumi</w:t>
            </w:r>
          </w:p>
        </w:tc>
        <w:tc>
          <w:tcPr>
            <w:tcW w:w="1375" w:type="dxa"/>
            <w:vAlign w:val="center"/>
            <w:hideMark/>
          </w:tcPr>
          <w:p w14:paraId="29F4CB6C" w14:textId="4A4EAAC4" w:rsidR="00070BC1" w:rsidRPr="00976103" w:rsidRDefault="00AF5E23"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 xml:space="preserve">D.62; </w:t>
            </w:r>
            <w:r w:rsidR="00070BC1" w:rsidRPr="00976103">
              <w:rPr>
                <w:color w:val="000000"/>
                <w:szCs w:val="24"/>
                <w:lang w:eastAsia="lv-LV"/>
              </w:rPr>
              <w:t>D.632</w:t>
            </w:r>
          </w:p>
        </w:tc>
        <w:tc>
          <w:tcPr>
            <w:tcW w:w="1427" w:type="dxa"/>
            <w:vAlign w:val="center"/>
          </w:tcPr>
          <w:p w14:paraId="2F2CB3EB" w14:textId="04C2EC49"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11,6</w:t>
            </w:r>
          </w:p>
        </w:tc>
        <w:tc>
          <w:tcPr>
            <w:tcW w:w="1372" w:type="dxa"/>
            <w:vAlign w:val="center"/>
          </w:tcPr>
          <w:p w14:paraId="60FF155C" w14:textId="7AB87E56"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12,0</w:t>
            </w:r>
          </w:p>
        </w:tc>
      </w:tr>
      <w:tr w:rsidR="00070BC1" w:rsidRPr="00976103" w14:paraId="3F61BFA6" w14:textId="77777777" w:rsidTr="00AF5E23">
        <w:trPr>
          <w:trHeight w:val="36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12D4B56E" w14:textId="77777777" w:rsidR="00070BC1" w:rsidRPr="00976103" w:rsidRDefault="00070BC1" w:rsidP="00070BC1">
            <w:pPr>
              <w:spacing w:after="0"/>
              <w:ind w:firstLineChars="300" w:firstLine="720"/>
              <w:jc w:val="left"/>
              <w:rPr>
                <w:color w:val="000000"/>
                <w:szCs w:val="24"/>
                <w:lang w:eastAsia="lv-LV"/>
              </w:rPr>
            </w:pPr>
            <w:r w:rsidRPr="00976103">
              <w:rPr>
                <w:color w:val="000000"/>
                <w:szCs w:val="24"/>
                <w:lang w:eastAsia="lv-LV"/>
              </w:rPr>
              <w:t>tai skaitā bezdarbnieku pabalsti</w:t>
            </w:r>
          </w:p>
        </w:tc>
        <w:tc>
          <w:tcPr>
            <w:tcW w:w="1375" w:type="dxa"/>
            <w:vAlign w:val="center"/>
            <w:hideMark/>
          </w:tcPr>
          <w:p w14:paraId="0540FCF4" w14:textId="7FDC9A8D"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427" w:type="dxa"/>
            <w:vAlign w:val="center"/>
          </w:tcPr>
          <w:p w14:paraId="2934D4C3" w14:textId="11518B7C"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0,4</w:t>
            </w:r>
          </w:p>
        </w:tc>
        <w:tc>
          <w:tcPr>
            <w:tcW w:w="1372" w:type="dxa"/>
            <w:vAlign w:val="center"/>
          </w:tcPr>
          <w:p w14:paraId="6AD3188D" w14:textId="512CCC55"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0,5</w:t>
            </w:r>
          </w:p>
        </w:tc>
      </w:tr>
      <w:tr w:rsidR="00070BC1" w:rsidRPr="00976103" w14:paraId="18EB5179"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240228D6"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2.4. Procentu izdevumi</w:t>
            </w:r>
          </w:p>
        </w:tc>
        <w:tc>
          <w:tcPr>
            <w:tcW w:w="1375" w:type="dxa"/>
            <w:vAlign w:val="center"/>
            <w:hideMark/>
          </w:tcPr>
          <w:p w14:paraId="01E551F1" w14:textId="4D22173F"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D.41</w:t>
            </w:r>
          </w:p>
        </w:tc>
        <w:tc>
          <w:tcPr>
            <w:tcW w:w="1427" w:type="dxa"/>
            <w:vAlign w:val="center"/>
          </w:tcPr>
          <w:p w14:paraId="558546DE" w14:textId="483F01DA"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0,9</w:t>
            </w:r>
          </w:p>
        </w:tc>
        <w:tc>
          <w:tcPr>
            <w:tcW w:w="1372" w:type="dxa"/>
            <w:vAlign w:val="center"/>
          </w:tcPr>
          <w:p w14:paraId="74FC94F4" w14:textId="34A28D72"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0,8</w:t>
            </w:r>
          </w:p>
        </w:tc>
      </w:tr>
      <w:tr w:rsidR="00070BC1" w:rsidRPr="00976103" w14:paraId="17A00CED"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16A15A1D"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2.5. Subsīdijas</w:t>
            </w:r>
          </w:p>
        </w:tc>
        <w:tc>
          <w:tcPr>
            <w:tcW w:w="1375" w:type="dxa"/>
            <w:vAlign w:val="center"/>
            <w:hideMark/>
          </w:tcPr>
          <w:p w14:paraId="470AC521" w14:textId="2FE2A7D3"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D.3</w:t>
            </w:r>
          </w:p>
        </w:tc>
        <w:tc>
          <w:tcPr>
            <w:tcW w:w="1427" w:type="dxa"/>
            <w:vAlign w:val="center"/>
          </w:tcPr>
          <w:p w14:paraId="03395E7B" w14:textId="16816FA2"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0,5</w:t>
            </w:r>
          </w:p>
        </w:tc>
        <w:tc>
          <w:tcPr>
            <w:tcW w:w="1372" w:type="dxa"/>
            <w:vAlign w:val="center"/>
          </w:tcPr>
          <w:p w14:paraId="4AEA3FD8" w14:textId="6C656988"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1,0</w:t>
            </w:r>
          </w:p>
        </w:tc>
      </w:tr>
      <w:tr w:rsidR="00070BC1" w:rsidRPr="00976103" w14:paraId="15855964" w14:textId="77777777" w:rsidTr="00AF5E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721CA734"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2.6. Bruto kopējā pamatkapitāla veidošana</w:t>
            </w:r>
          </w:p>
        </w:tc>
        <w:tc>
          <w:tcPr>
            <w:tcW w:w="1375" w:type="dxa"/>
            <w:vAlign w:val="center"/>
            <w:hideMark/>
          </w:tcPr>
          <w:p w14:paraId="50475E31" w14:textId="254D1E9F"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P.51</w:t>
            </w:r>
          </w:p>
        </w:tc>
        <w:tc>
          <w:tcPr>
            <w:tcW w:w="1427" w:type="dxa"/>
            <w:vAlign w:val="center"/>
          </w:tcPr>
          <w:p w14:paraId="5CF551A5" w14:textId="73A61FFB"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4,4</w:t>
            </w:r>
          </w:p>
        </w:tc>
        <w:tc>
          <w:tcPr>
            <w:tcW w:w="1372" w:type="dxa"/>
            <w:vAlign w:val="center"/>
          </w:tcPr>
          <w:p w14:paraId="4A4A0A99" w14:textId="29FCCDCD"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4,5</w:t>
            </w:r>
          </w:p>
        </w:tc>
      </w:tr>
      <w:tr w:rsidR="00070BC1" w:rsidRPr="00976103" w14:paraId="5135F003" w14:textId="77777777" w:rsidTr="00AF5E23">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37C30195"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 xml:space="preserve">2.7. Kapitālo izdevumu </w:t>
            </w:r>
            <w:proofErr w:type="spellStart"/>
            <w:r w:rsidRPr="00976103">
              <w:rPr>
                <w:color w:val="000000"/>
                <w:szCs w:val="24"/>
                <w:lang w:eastAsia="lv-LV"/>
              </w:rPr>
              <w:t>transferti</w:t>
            </w:r>
            <w:proofErr w:type="spellEnd"/>
          </w:p>
        </w:tc>
        <w:tc>
          <w:tcPr>
            <w:tcW w:w="1375" w:type="dxa"/>
            <w:vAlign w:val="center"/>
            <w:hideMark/>
          </w:tcPr>
          <w:p w14:paraId="4F208A11" w14:textId="1A9C92DB" w:rsidR="00070BC1" w:rsidRPr="00976103" w:rsidRDefault="00070BC1" w:rsidP="00070BC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w:t>
            </w:r>
          </w:p>
        </w:tc>
        <w:tc>
          <w:tcPr>
            <w:tcW w:w="1427" w:type="dxa"/>
            <w:vAlign w:val="center"/>
          </w:tcPr>
          <w:p w14:paraId="2E5D9F52" w14:textId="0507327E"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c>
          <w:tcPr>
            <w:tcW w:w="1372" w:type="dxa"/>
            <w:vAlign w:val="center"/>
          </w:tcPr>
          <w:p w14:paraId="58B5CAE7" w14:textId="6D65190F" w:rsidR="00070BC1" w:rsidRPr="00070BC1" w:rsidRDefault="00B70845" w:rsidP="00070BC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0,1</w:t>
            </w:r>
          </w:p>
        </w:tc>
      </w:tr>
      <w:tr w:rsidR="00070BC1" w:rsidRPr="00976103" w14:paraId="5AA0A4D1" w14:textId="77777777" w:rsidTr="00AF5E2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957" w:type="dxa"/>
            <w:hideMark/>
          </w:tcPr>
          <w:p w14:paraId="1D4572BE" w14:textId="77777777" w:rsidR="00070BC1" w:rsidRPr="00976103" w:rsidRDefault="00070BC1" w:rsidP="00070BC1">
            <w:pPr>
              <w:spacing w:after="0"/>
              <w:ind w:firstLineChars="100" w:firstLine="240"/>
              <w:jc w:val="left"/>
              <w:rPr>
                <w:color w:val="000000"/>
                <w:szCs w:val="24"/>
                <w:lang w:eastAsia="lv-LV"/>
              </w:rPr>
            </w:pPr>
            <w:r w:rsidRPr="00976103">
              <w:rPr>
                <w:color w:val="000000"/>
                <w:szCs w:val="24"/>
                <w:lang w:eastAsia="lv-LV"/>
              </w:rPr>
              <w:t>2.8. Pārējie izdevumi</w:t>
            </w:r>
          </w:p>
        </w:tc>
        <w:tc>
          <w:tcPr>
            <w:tcW w:w="1375" w:type="dxa"/>
            <w:hideMark/>
          </w:tcPr>
          <w:p w14:paraId="0C4F99B9" w14:textId="77777777" w:rsidR="00070BC1" w:rsidRPr="00976103" w:rsidRDefault="00070BC1" w:rsidP="00070BC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427" w:type="dxa"/>
            <w:vAlign w:val="center"/>
          </w:tcPr>
          <w:p w14:paraId="64C9189C" w14:textId="015EF187"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2,6</w:t>
            </w:r>
          </w:p>
        </w:tc>
        <w:tc>
          <w:tcPr>
            <w:tcW w:w="1372" w:type="dxa"/>
            <w:vAlign w:val="center"/>
          </w:tcPr>
          <w:p w14:paraId="11C200AD" w14:textId="2F86CD2F" w:rsidR="00070BC1" w:rsidRPr="00070BC1" w:rsidRDefault="00B70845" w:rsidP="00070BC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2,5</w:t>
            </w:r>
          </w:p>
        </w:tc>
      </w:tr>
    </w:tbl>
    <w:p w14:paraId="5FDFDA10" w14:textId="77777777" w:rsidR="00C6272E" w:rsidRPr="00976103" w:rsidRDefault="00C6272E" w:rsidP="0095691A">
      <w:pPr>
        <w:ind w:firstLine="0"/>
        <w:jc w:val="left"/>
        <w:rPr>
          <w:szCs w:val="24"/>
        </w:rPr>
      </w:pPr>
    </w:p>
    <w:p w14:paraId="29BD867C" w14:textId="3F21802A" w:rsidR="00CD68EC" w:rsidRPr="00976103" w:rsidRDefault="00C6272E" w:rsidP="00070BC1">
      <w:pPr>
        <w:pStyle w:val="Heading1"/>
        <w:tabs>
          <w:tab w:val="left" w:pos="1276"/>
        </w:tabs>
        <w:spacing w:before="0" w:after="240"/>
        <w:ind w:left="1276" w:hanging="1276"/>
        <w:jc w:val="left"/>
        <w:rPr>
          <w:rFonts w:ascii="Times New Roman" w:hAnsi="Times New Roman"/>
        </w:rPr>
      </w:pPr>
      <w:r w:rsidRPr="00976103">
        <w:rPr>
          <w:b w:val="0"/>
        </w:rPr>
        <w:br w:type="page"/>
      </w:r>
    </w:p>
    <w:p w14:paraId="2D223F90" w14:textId="77777777" w:rsidR="00F322FE" w:rsidRDefault="00F322FE" w:rsidP="0095691A">
      <w:pPr>
        <w:ind w:firstLine="0"/>
        <w:jc w:val="left"/>
        <w:rPr>
          <w:szCs w:val="24"/>
        </w:rPr>
      </w:pPr>
    </w:p>
    <w:p w14:paraId="15ED3E03" w14:textId="77777777" w:rsidR="00F322FE" w:rsidRPr="001D5709" w:rsidRDefault="00F322FE" w:rsidP="00375924">
      <w:pPr>
        <w:pStyle w:val="Heading1"/>
        <w:tabs>
          <w:tab w:val="left" w:pos="1276"/>
        </w:tabs>
        <w:spacing w:before="0" w:after="240"/>
        <w:ind w:left="1276" w:hanging="1276"/>
        <w:jc w:val="left"/>
        <w:rPr>
          <w:rFonts w:ascii="Times New Roman" w:hAnsi="Times New Roman"/>
          <w:color w:val="18185F"/>
          <w:sz w:val="24"/>
        </w:rPr>
      </w:pPr>
      <w:bookmarkStart w:id="14" w:name="_Toc494786348"/>
      <w:r w:rsidRPr="001D5709">
        <w:rPr>
          <w:rFonts w:ascii="Times New Roman" w:hAnsi="Times New Roman"/>
          <w:color w:val="18185F"/>
          <w:sz w:val="24"/>
        </w:rPr>
        <w:t>Tabula 4.b: Izdevumi, kas tiek izslēgti no izdevumu kritērija</w:t>
      </w:r>
      <w:bookmarkEnd w:id="14"/>
    </w:p>
    <w:tbl>
      <w:tblPr>
        <w:tblStyle w:val="GridTable3-Accent11"/>
        <w:tblW w:w="9036" w:type="dxa"/>
        <w:jc w:val="center"/>
        <w:tblLayout w:type="fixed"/>
        <w:tblLook w:val="0000" w:firstRow="0" w:lastRow="0" w:firstColumn="0" w:lastColumn="0" w:noHBand="0" w:noVBand="0"/>
      </w:tblPr>
      <w:tblGrid>
        <w:gridCol w:w="4531"/>
        <w:gridCol w:w="851"/>
        <w:gridCol w:w="1279"/>
        <w:gridCol w:w="816"/>
        <w:gridCol w:w="850"/>
        <w:gridCol w:w="709"/>
      </w:tblGrid>
      <w:tr w:rsidR="00F322FE" w:rsidRPr="00F322FE" w14:paraId="45EE5980" w14:textId="77777777" w:rsidTr="00E77A8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FFFFFF" w:themeFill="background1"/>
          </w:tcPr>
          <w:p w14:paraId="4970A7E2" w14:textId="77777777" w:rsidR="00F322FE" w:rsidRPr="00003E2F" w:rsidRDefault="00F322FE" w:rsidP="00003E2F">
            <w:pPr>
              <w:spacing w:after="0"/>
              <w:ind w:firstLine="0"/>
              <w:jc w:val="left"/>
              <w:rPr>
                <w:szCs w:val="24"/>
                <w:lang w:eastAsia="lv-LV"/>
              </w:rPr>
            </w:pPr>
          </w:p>
        </w:tc>
        <w:tc>
          <w:tcPr>
            <w:tcW w:w="851" w:type="dxa"/>
            <w:shd w:val="clear" w:color="auto" w:fill="FFFFFF" w:themeFill="background1"/>
            <w:vAlign w:val="center"/>
          </w:tcPr>
          <w:p w14:paraId="01E5606F" w14:textId="77777777" w:rsidR="00F322FE" w:rsidRPr="00F322FE" w:rsidRDefault="00F322FE" w:rsidP="00287764">
            <w:pPr>
              <w:pStyle w:val="tabteksts"/>
              <w:jc w:val="center"/>
              <w:cnfStyle w:val="000000100000" w:firstRow="0" w:lastRow="0" w:firstColumn="0" w:lastColumn="0" w:oddVBand="0" w:evenVBand="0" w:oddHBand="1" w:evenHBand="0" w:firstRowFirstColumn="0" w:firstRowLastColumn="0" w:lastRowFirstColumn="0" w:lastRowLastColumn="0"/>
              <w:rPr>
                <w:b/>
                <w:sz w:val="24"/>
              </w:rPr>
            </w:pPr>
            <w:r>
              <w:rPr>
                <w:b/>
                <w:sz w:val="24"/>
              </w:rPr>
              <w:t>EKS Kods</w:t>
            </w:r>
          </w:p>
        </w:tc>
        <w:tc>
          <w:tcPr>
            <w:cnfStyle w:val="000010000000" w:firstRow="0" w:lastRow="0" w:firstColumn="0" w:lastColumn="0" w:oddVBand="1" w:evenVBand="0" w:oddHBand="0" w:evenHBand="0" w:firstRowFirstColumn="0" w:firstRowLastColumn="0" w:lastRowFirstColumn="0" w:lastRowLastColumn="0"/>
            <w:tcW w:w="1279" w:type="dxa"/>
            <w:shd w:val="clear" w:color="auto" w:fill="FFFFFF" w:themeFill="background1"/>
            <w:vAlign w:val="center"/>
          </w:tcPr>
          <w:p w14:paraId="57B13D84" w14:textId="75715FC5" w:rsidR="00F322FE" w:rsidRPr="00F322FE" w:rsidRDefault="006F3B5B" w:rsidP="00287764">
            <w:pPr>
              <w:pStyle w:val="tabteksts"/>
              <w:jc w:val="center"/>
              <w:rPr>
                <w:b/>
                <w:sz w:val="24"/>
              </w:rPr>
            </w:pPr>
            <w:r>
              <w:rPr>
                <w:b/>
                <w:sz w:val="24"/>
              </w:rPr>
              <w:t>2016</w:t>
            </w:r>
          </w:p>
        </w:tc>
        <w:tc>
          <w:tcPr>
            <w:tcW w:w="816" w:type="dxa"/>
            <w:shd w:val="clear" w:color="auto" w:fill="FFFFFF" w:themeFill="background1"/>
            <w:vAlign w:val="center"/>
          </w:tcPr>
          <w:p w14:paraId="4591DDD4" w14:textId="173257E8" w:rsidR="00F322FE" w:rsidRPr="00F322FE" w:rsidRDefault="006F3B5B" w:rsidP="00287764">
            <w:pPr>
              <w:pStyle w:val="tabteksts"/>
              <w:jc w:val="center"/>
              <w:cnfStyle w:val="000000100000" w:firstRow="0" w:lastRow="0" w:firstColumn="0" w:lastColumn="0" w:oddVBand="0" w:evenVBand="0" w:oddHBand="1" w:evenHBand="0" w:firstRowFirstColumn="0" w:firstRowLastColumn="0" w:lastRowFirstColumn="0" w:lastRowLastColumn="0"/>
              <w:rPr>
                <w:b/>
                <w:sz w:val="24"/>
              </w:rPr>
            </w:pPr>
            <w:r>
              <w:rPr>
                <w:b/>
                <w:sz w:val="24"/>
              </w:rPr>
              <w:t>2016</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07F7D593" w14:textId="0AE110DE" w:rsidR="00F322FE" w:rsidRPr="00F322FE" w:rsidRDefault="006F3B5B" w:rsidP="00287764">
            <w:pPr>
              <w:pStyle w:val="tabteksts"/>
              <w:jc w:val="center"/>
              <w:rPr>
                <w:b/>
                <w:sz w:val="24"/>
              </w:rPr>
            </w:pPr>
            <w:r>
              <w:rPr>
                <w:b/>
                <w:sz w:val="24"/>
              </w:rPr>
              <w:t>2017</w:t>
            </w:r>
          </w:p>
        </w:tc>
        <w:tc>
          <w:tcPr>
            <w:tcW w:w="709" w:type="dxa"/>
            <w:shd w:val="clear" w:color="auto" w:fill="FFFFFF" w:themeFill="background1"/>
            <w:vAlign w:val="center"/>
          </w:tcPr>
          <w:p w14:paraId="49C92DC9" w14:textId="094CC4AB" w:rsidR="00F322FE" w:rsidRPr="00F322FE" w:rsidRDefault="00F322FE" w:rsidP="002F0C44">
            <w:pPr>
              <w:pStyle w:val="tabteksts"/>
              <w:jc w:val="center"/>
              <w:cnfStyle w:val="000000100000" w:firstRow="0" w:lastRow="0" w:firstColumn="0" w:lastColumn="0" w:oddVBand="0" w:evenVBand="0" w:oddHBand="1" w:evenHBand="0" w:firstRowFirstColumn="0" w:firstRowLastColumn="0" w:lastRowFirstColumn="0" w:lastRowLastColumn="0"/>
              <w:rPr>
                <w:b/>
                <w:sz w:val="24"/>
              </w:rPr>
            </w:pPr>
            <w:r w:rsidRPr="00F322FE">
              <w:rPr>
                <w:b/>
                <w:sz w:val="24"/>
              </w:rPr>
              <w:t>201</w:t>
            </w:r>
            <w:r w:rsidR="006F3B5B">
              <w:rPr>
                <w:b/>
                <w:sz w:val="24"/>
              </w:rPr>
              <w:t>8</w:t>
            </w:r>
          </w:p>
        </w:tc>
      </w:tr>
      <w:tr w:rsidR="00F322FE" w:rsidRPr="00F322FE" w14:paraId="7767B5F2" w14:textId="77777777" w:rsidTr="00E77A83">
        <w:trPr>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DBE5F1"/>
          </w:tcPr>
          <w:p w14:paraId="63EC6967" w14:textId="77777777" w:rsidR="00F322FE" w:rsidRPr="00003E2F" w:rsidRDefault="00F322FE" w:rsidP="00003E2F">
            <w:pPr>
              <w:spacing w:after="0"/>
              <w:ind w:firstLine="0"/>
              <w:jc w:val="left"/>
              <w:rPr>
                <w:szCs w:val="24"/>
                <w:lang w:eastAsia="lv-LV"/>
              </w:rPr>
            </w:pPr>
          </w:p>
        </w:tc>
        <w:tc>
          <w:tcPr>
            <w:tcW w:w="851" w:type="dxa"/>
            <w:shd w:val="clear" w:color="auto" w:fill="DBE5F1"/>
          </w:tcPr>
          <w:p w14:paraId="7F946F74" w14:textId="77777777" w:rsidR="00F322FE" w:rsidRPr="00F322FE" w:rsidRDefault="00F322FE" w:rsidP="00F322FE">
            <w:pPr>
              <w:pStyle w:val="tabteksts"/>
              <w:cnfStyle w:val="000000000000" w:firstRow="0" w:lastRow="0" w:firstColumn="0" w:lastColumn="0" w:oddVBand="0" w:evenVBand="0" w:oddHBand="0" w:evenHBand="0" w:firstRowFirstColumn="0" w:firstRowLastColumn="0" w:lastRowFirstColumn="0" w:lastRowLastColumn="0"/>
              <w:rPr>
                <w:noProof/>
                <w:sz w:val="24"/>
              </w:rPr>
            </w:pPr>
          </w:p>
        </w:tc>
        <w:tc>
          <w:tcPr>
            <w:cnfStyle w:val="000010000000" w:firstRow="0" w:lastRow="0" w:firstColumn="0" w:lastColumn="0" w:oddVBand="1" w:evenVBand="0" w:oddHBand="0" w:evenHBand="0" w:firstRowFirstColumn="0" w:firstRowLastColumn="0" w:lastRowFirstColumn="0" w:lastRowLastColumn="0"/>
            <w:tcW w:w="1279" w:type="dxa"/>
            <w:shd w:val="clear" w:color="auto" w:fill="DBE5F1"/>
          </w:tcPr>
          <w:p w14:paraId="7C84A993" w14:textId="77777777" w:rsidR="00F322FE" w:rsidRPr="00F322FE" w:rsidRDefault="002E37C1" w:rsidP="00AF5E23">
            <w:pPr>
              <w:pStyle w:val="tabteksts"/>
              <w:jc w:val="center"/>
              <w:rPr>
                <w:noProof/>
                <w:sz w:val="24"/>
              </w:rPr>
            </w:pPr>
            <w:r>
              <w:rPr>
                <w:noProof/>
                <w:sz w:val="24"/>
              </w:rPr>
              <w:t xml:space="preserve">milj. </w:t>
            </w:r>
            <w:r w:rsidRPr="00B07724">
              <w:rPr>
                <w:i/>
                <w:noProof/>
                <w:sz w:val="24"/>
              </w:rPr>
              <w:t>euro</w:t>
            </w:r>
          </w:p>
        </w:tc>
        <w:tc>
          <w:tcPr>
            <w:tcW w:w="2375" w:type="dxa"/>
            <w:gridSpan w:val="3"/>
            <w:shd w:val="clear" w:color="auto" w:fill="DBE5F1"/>
          </w:tcPr>
          <w:p w14:paraId="086A7719" w14:textId="77777777" w:rsidR="00F322FE" w:rsidRPr="00F322FE" w:rsidRDefault="00F322FE" w:rsidP="00F322FE">
            <w:pPr>
              <w:pStyle w:val="tabteksts"/>
              <w:jc w:val="center"/>
              <w:cnfStyle w:val="000000000000" w:firstRow="0" w:lastRow="0" w:firstColumn="0" w:lastColumn="0" w:oddVBand="0" w:evenVBand="0" w:oddHBand="0" w:evenHBand="0" w:firstRowFirstColumn="0" w:firstRowLastColumn="0" w:lastRowFirstColumn="0" w:lastRowLastColumn="0"/>
              <w:rPr>
                <w:sz w:val="24"/>
              </w:rPr>
            </w:pPr>
            <w:r w:rsidRPr="00F322FE">
              <w:rPr>
                <w:sz w:val="24"/>
              </w:rPr>
              <w:t>% no IKP</w:t>
            </w:r>
          </w:p>
        </w:tc>
      </w:tr>
      <w:tr w:rsidR="00E77A83" w:rsidRPr="00F322FE" w14:paraId="4878CA98" w14:textId="77777777" w:rsidTr="00E77A8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FFFFFF" w:themeFill="background1"/>
          </w:tcPr>
          <w:p w14:paraId="60BC0A23" w14:textId="77777777" w:rsidR="00E77A83" w:rsidRPr="00003E2F" w:rsidRDefault="00E77A83" w:rsidP="00E77A83">
            <w:pPr>
              <w:spacing w:after="0"/>
              <w:ind w:firstLine="0"/>
              <w:rPr>
                <w:b/>
                <w:szCs w:val="24"/>
                <w:lang w:eastAsia="lv-LV"/>
              </w:rPr>
            </w:pPr>
            <w:r w:rsidRPr="00003E2F">
              <w:rPr>
                <w:b/>
                <w:szCs w:val="24"/>
                <w:lang w:eastAsia="lv-LV"/>
              </w:rPr>
              <w:t>1. Izdevumi ārvalstu finanšu palīdzības projektiem,  kas atbilst saņemtajiem ārvalstu finanšu palīdzības ieņēmumiem</w:t>
            </w:r>
          </w:p>
        </w:tc>
        <w:tc>
          <w:tcPr>
            <w:tcW w:w="851" w:type="dxa"/>
            <w:shd w:val="clear" w:color="auto" w:fill="FFFFFF" w:themeFill="background1"/>
          </w:tcPr>
          <w:p w14:paraId="28DDB90F" w14:textId="77777777" w:rsidR="00E77A83" w:rsidRPr="00F322FE" w:rsidRDefault="00E77A83"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9" w:type="dxa"/>
            <w:shd w:val="clear" w:color="auto" w:fill="FFFFFF" w:themeFill="background1"/>
            <w:vAlign w:val="center"/>
          </w:tcPr>
          <w:p w14:paraId="05548C52" w14:textId="4AE98986" w:rsidR="00E77A83" w:rsidRPr="00E77A83" w:rsidRDefault="00534211" w:rsidP="00E77A83">
            <w:pPr>
              <w:spacing w:after="0"/>
              <w:ind w:firstLine="0"/>
              <w:jc w:val="right"/>
              <w:rPr>
                <w:szCs w:val="24"/>
              </w:rPr>
            </w:pPr>
            <w:r>
              <w:rPr>
                <w:szCs w:val="24"/>
              </w:rPr>
              <w:t>504,7</w:t>
            </w:r>
          </w:p>
        </w:tc>
        <w:tc>
          <w:tcPr>
            <w:tcW w:w="816" w:type="dxa"/>
            <w:shd w:val="clear" w:color="auto" w:fill="FFFFFF" w:themeFill="background1"/>
            <w:vAlign w:val="center"/>
          </w:tcPr>
          <w:p w14:paraId="1797EB40" w14:textId="3CC14485" w:rsidR="00E77A83" w:rsidRPr="00E77A83" w:rsidRDefault="00534211" w:rsidP="00E77A83">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Pr>
                <w:szCs w:val="24"/>
              </w:rPr>
              <w:t>1,5</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3A28B856" w14:textId="2CE619C9" w:rsidR="00E77A83" w:rsidRPr="00E77A83" w:rsidRDefault="00534211" w:rsidP="00E77A83">
            <w:pPr>
              <w:spacing w:after="0"/>
              <w:ind w:firstLine="0"/>
              <w:jc w:val="right"/>
              <w:rPr>
                <w:szCs w:val="24"/>
              </w:rPr>
            </w:pPr>
            <w:r>
              <w:rPr>
                <w:szCs w:val="24"/>
              </w:rPr>
              <w:t>1,6</w:t>
            </w:r>
          </w:p>
        </w:tc>
        <w:tc>
          <w:tcPr>
            <w:tcW w:w="709" w:type="dxa"/>
            <w:shd w:val="clear" w:color="auto" w:fill="FFFFFF" w:themeFill="background1"/>
            <w:vAlign w:val="center"/>
          </w:tcPr>
          <w:p w14:paraId="47349D06" w14:textId="4A3C6EF5" w:rsidR="00E77A83" w:rsidRPr="00E77A83" w:rsidRDefault="00534211" w:rsidP="00E77A83">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Pr>
                <w:szCs w:val="24"/>
              </w:rPr>
              <w:t>1,6</w:t>
            </w:r>
          </w:p>
        </w:tc>
      </w:tr>
      <w:tr w:rsidR="00E77A83" w:rsidRPr="00F322FE" w14:paraId="09AA655B" w14:textId="77777777" w:rsidTr="00E77A83">
        <w:trPr>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DBE5F1"/>
          </w:tcPr>
          <w:p w14:paraId="5D00F3C5" w14:textId="77777777" w:rsidR="00E77A83" w:rsidRPr="00003E2F" w:rsidRDefault="00E77A83" w:rsidP="00E77A83">
            <w:pPr>
              <w:spacing w:after="0"/>
              <w:ind w:firstLine="0"/>
              <w:rPr>
                <w:b/>
                <w:szCs w:val="24"/>
                <w:lang w:eastAsia="lv-LV"/>
              </w:rPr>
            </w:pPr>
            <w:r w:rsidRPr="00003E2F">
              <w:rPr>
                <w:b/>
                <w:szCs w:val="24"/>
                <w:lang w:eastAsia="lv-LV"/>
              </w:rPr>
              <w:t>2. Cikliskie izdevumi bezdarbnieku pabalstiem</w:t>
            </w:r>
          </w:p>
        </w:tc>
        <w:tc>
          <w:tcPr>
            <w:tcW w:w="851" w:type="dxa"/>
            <w:shd w:val="clear" w:color="auto" w:fill="DBE5F1"/>
          </w:tcPr>
          <w:p w14:paraId="0894C282" w14:textId="77777777" w:rsidR="00E77A83" w:rsidRPr="00F322FE" w:rsidRDefault="00E77A83" w:rsidP="00E77A83">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9" w:type="dxa"/>
            <w:shd w:val="clear" w:color="auto" w:fill="DBE5F1"/>
            <w:vAlign w:val="center"/>
          </w:tcPr>
          <w:p w14:paraId="4DF6A4F5" w14:textId="25D2037F" w:rsidR="00E77A83" w:rsidRPr="00E77A83" w:rsidRDefault="00534211" w:rsidP="00E77A83">
            <w:pPr>
              <w:pStyle w:val="tabteksts"/>
              <w:jc w:val="right"/>
              <w:rPr>
                <w:snapToGrid w:val="0"/>
                <w:sz w:val="24"/>
                <w:szCs w:val="24"/>
              </w:rPr>
            </w:pPr>
            <w:r>
              <w:rPr>
                <w:snapToGrid w:val="0"/>
                <w:sz w:val="24"/>
                <w:szCs w:val="24"/>
              </w:rPr>
              <w:t>-7,5</w:t>
            </w:r>
          </w:p>
        </w:tc>
        <w:tc>
          <w:tcPr>
            <w:tcW w:w="816" w:type="dxa"/>
            <w:shd w:val="clear" w:color="auto" w:fill="DBE5F1"/>
            <w:vAlign w:val="center"/>
          </w:tcPr>
          <w:p w14:paraId="0A231988" w14:textId="6BDFC8BE" w:rsidR="00E77A83" w:rsidRPr="00E77A83" w:rsidRDefault="00534211" w:rsidP="00E77A83">
            <w:pPr>
              <w:pStyle w:val="tabteksts"/>
              <w:jc w:val="right"/>
              <w:cnfStyle w:val="000000000000" w:firstRow="0" w:lastRow="0" w:firstColumn="0" w:lastColumn="0" w:oddVBand="0" w:evenVBand="0" w:oddHBand="0" w:evenHBand="0" w:firstRowFirstColumn="0" w:firstRowLastColumn="0" w:lastRowFirstColumn="0" w:lastRowLastColumn="0"/>
              <w:rPr>
                <w:snapToGrid w:val="0"/>
                <w:sz w:val="24"/>
                <w:szCs w:val="24"/>
              </w:rPr>
            </w:pPr>
            <w:r>
              <w:rPr>
                <w:snapToGrid w:val="0"/>
                <w:sz w:val="24"/>
                <w:szCs w:val="24"/>
              </w:rPr>
              <w:t>0,0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vAlign w:val="center"/>
          </w:tcPr>
          <w:p w14:paraId="7F9737AA" w14:textId="23DB2CAF" w:rsidR="00E77A83" w:rsidRPr="00E77A83" w:rsidRDefault="00534211" w:rsidP="00E77A83">
            <w:pPr>
              <w:pStyle w:val="tabteksts"/>
              <w:jc w:val="right"/>
              <w:rPr>
                <w:snapToGrid w:val="0"/>
                <w:sz w:val="24"/>
                <w:szCs w:val="24"/>
              </w:rPr>
            </w:pPr>
            <w:r>
              <w:rPr>
                <w:snapToGrid w:val="0"/>
                <w:sz w:val="24"/>
                <w:szCs w:val="24"/>
              </w:rPr>
              <w:t>0,0</w:t>
            </w:r>
          </w:p>
        </w:tc>
        <w:tc>
          <w:tcPr>
            <w:tcW w:w="709" w:type="dxa"/>
            <w:shd w:val="clear" w:color="auto" w:fill="DBE5F1"/>
            <w:vAlign w:val="center"/>
          </w:tcPr>
          <w:p w14:paraId="673F7CFA" w14:textId="656EC2AF" w:rsidR="00E77A83" w:rsidRPr="00E77A83" w:rsidRDefault="00534211" w:rsidP="00E77A83">
            <w:pPr>
              <w:pStyle w:val="tabteksts"/>
              <w:jc w:val="right"/>
              <w:cnfStyle w:val="000000000000" w:firstRow="0" w:lastRow="0" w:firstColumn="0" w:lastColumn="0" w:oddVBand="0" w:evenVBand="0" w:oddHBand="0" w:evenHBand="0" w:firstRowFirstColumn="0" w:firstRowLastColumn="0" w:lastRowFirstColumn="0" w:lastRowLastColumn="0"/>
              <w:rPr>
                <w:snapToGrid w:val="0"/>
                <w:sz w:val="24"/>
                <w:szCs w:val="24"/>
              </w:rPr>
            </w:pPr>
            <w:r>
              <w:rPr>
                <w:snapToGrid w:val="0"/>
                <w:sz w:val="24"/>
                <w:szCs w:val="24"/>
              </w:rPr>
              <w:t>0,0</w:t>
            </w:r>
          </w:p>
        </w:tc>
      </w:tr>
      <w:tr w:rsidR="00E77A83" w:rsidRPr="00F322FE" w14:paraId="201C495A" w14:textId="77777777" w:rsidTr="00E77A8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FFFFFF" w:themeFill="background1"/>
          </w:tcPr>
          <w:p w14:paraId="68FF0210" w14:textId="77777777" w:rsidR="00E77A83" w:rsidRPr="00003E2F" w:rsidRDefault="00E77A83" w:rsidP="00E77A83">
            <w:pPr>
              <w:spacing w:after="0"/>
              <w:ind w:firstLine="0"/>
              <w:rPr>
                <w:b/>
                <w:szCs w:val="24"/>
                <w:lang w:eastAsia="lv-LV"/>
              </w:rPr>
            </w:pPr>
            <w:r w:rsidRPr="00003E2F">
              <w:rPr>
                <w:b/>
                <w:szCs w:val="24"/>
                <w:lang w:eastAsia="lv-LV"/>
              </w:rPr>
              <w:t xml:space="preserve">3. </w:t>
            </w:r>
            <w:proofErr w:type="spellStart"/>
            <w:r w:rsidRPr="00003E2F">
              <w:rPr>
                <w:b/>
                <w:szCs w:val="24"/>
                <w:lang w:eastAsia="lv-LV"/>
              </w:rPr>
              <w:t>Diskrecionāri</w:t>
            </w:r>
            <w:proofErr w:type="spellEnd"/>
            <w:r w:rsidRPr="00003E2F">
              <w:rPr>
                <w:b/>
                <w:szCs w:val="24"/>
                <w:lang w:eastAsia="lv-LV"/>
              </w:rPr>
              <w:t xml:space="preserve"> ieņēmumu pasākumi</w:t>
            </w:r>
          </w:p>
        </w:tc>
        <w:tc>
          <w:tcPr>
            <w:tcW w:w="851" w:type="dxa"/>
            <w:shd w:val="clear" w:color="auto" w:fill="FFFFFF" w:themeFill="background1"/>
          </w:tcPr>
          <w:p w14:paraId="19FF0DE3" w14:textId="77777777" w:rsidR="00E77A83" w:rsidRPr="00F322FE" w:rsidRDefault="00E77A83"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9" w:type="dxa"/>
            <w:shd w:val="clear" w:color="auto" w:fill="FFFFFF" w:themeFill="background1"/>
            <w:vAlign w:val="center"/>
          </w:tcPr>
          <w:p w14:paraId="68C46A6B" w14:textId="18CD5F8E" w:rsidR="00E77A83" w:rsidRPr="00E77A83" w:rsidRDefault="00534211" w:rsidP="00E77A83">
            <w:pPr>
              <w:spacing w:after="0"/>
              <w:ind w:firstLine="0"/>
              <w:jc w:val="right"/>
              <w:rPr>
                <w:szCs w:val="24"/>
              </w:rPr>
            </w:pPr>
            <w:r>
              <w:rPr>
                <w:szCs w:val="24"/>
              </w:rPr>
              <w:t>222,2</w:t>
            </w:r>
          </w:p>
        </w:tc>
        <w:tc>
          <w:tcPr>
            <w:tcW w:w="816" w:type="dxa"/>
            <w:shd w:val="clear" w:color="auto" w:fill="FFFFFF" w:themeFill="background1"/>
            <w:vAlign w:val="center"/>
          </w:tcPr>
          <w:p w14:paraId="52338A79" w14:textId="02CF7A57" w:rsidR="00E77A83" w:rsidRPr="00E77A83" w:rsidRDefault="00534211" w:rsidP="00E77A83">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Pr>
                <w:szCs w:val="24"/>
              </w:rPr>
              <w:t>0,1</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1E542A9C" w14:textId="2D30EB4E" w:rsidR="00E77A83" w:rsidRPr="00E77A83" w:rsidRDefault="00534211" w:rsidP="00E77A83">
            <w:pPr>
              <w:spacing w:after="0"/>
              <w:ind w:firstLine="0"/>
              <w:jc w:val="right"/>
              <w:rPr>
                <w:szCs w:val="24"/>
              </w:rPr>
            </w:pPr>
            <w:r>
              <w:rPr>
                <w:szCs w:val="24"/>
              </w:rPr>
              <w:t>0,4</w:t>
            </w:r>
          </w:p>
        </w:tc>
        <w:tc>
          <w:tcPr>
            <w:tcW w:w="709" w:type="dxa"/>
            <w:shd w:val="clear" w:color="auto" w:fill="FFFFFF" w:themeFill="background1"/>
            <w:vAlign w:val="center"/>
          </w:tcPr>
          <w:p w14:paraId="1DF376AB" w14:textId="7D73EE8A" w:rsidR="00E77A83" w:rsidRPr="00E77A83" w:rsidRDefault="00534211" w:rsidP="00E77A83">
            <w:pPr>
              <w:spacing w:after="0"/>
              <w:ind w:firstLine="0"/>
              <w:jc w:val="right"/>
              <w:cnfStyle w:val="000000100000" w:firstRow="0" w:lastRow="0" w:firstColumn="0" w:lastColumn="0" w:oddVBand="0" w:evenVBand="0" w:oddHBand="1" w:evenHBand="0" w:firstRowFirstColumn="0" w:firstRowLastColumn="0" w:lastRowFirstColumn="0" w:lastRowLastColumn="0"/>
              <w:rPr>
                <w:szCs w:val="24"/>
              </w:rPr>
            </w:pPr>
            <w:r>
              <w:rPr>
                <w:szCs w:val="24"/>
              </w:rPr>
              <w:t>0,2</w:t>
            </w:r>
          </w:p>
        </w:tc>
      </w:tr>
      <w:tr w:rsidR="00E77A83" w:rsidRPr="00F322FE" w14:paraId="7CB94551" w14:textId="77777777" w:rsidTr="00E77A83">
        <w:trPr>
          <w:jc w:val="center"/>
        </w:trPr>
        <w:tc>
          <w:tcPr>
            <w:cnfStyle w:val="000010000000" w:firstRow="0" w:lastRow="0" w:firstColumn="0" w:lastColumn="0" w:oddVBand="1" w:evenVBand="0" w:oddHBand="0" w:evenHBand="0" w:firstRowFirstColumn="0" w:firstRowLastColumn="0" w:lastRowFirstColumn="0" w:lastRowLastColumn="0"/>
            <w:tcW w:w="4531" w:type="dxa"/>
            <w:shd w:val="clear" w:color="auto" w:fill="DBE5F1"/>
          </w:tcPr>
          <w:p w14:paraId="7836C341" w14:textId="77777777" w:rsidR="00E77A83" w:rsidRPr="00003E2F" w:rsidRDefault="00E77A83" w:rsidP="00E77A83">
            <w:pPr>
              <w:spacing w:after="0"/>
              <w:ind w:firstLine="0"/>
              <w:rPr>
                <w:b/>
                <w:szCs w:val="24"/>
                <w:lang w:eastAsia="lv-LV"/>
              </w:rPr>
            </w:pPr>
            <w:r w:rsidRPr="00003E2F">
              <w:rPr>
                <w:b/>
                <w:szCs w:val="24"/>
                <w:lang w:eastAsia="lv-LV"/>
              </w:rPr>
              <w:t>4. Ieņēmumu palielinājums, kas apstiprināts ar likumu</w:t>
            </w:r>
          </w:p>
        </w:tc>
        <w:tc>
          <w:tcPr>
            <w:tcW w:w="851" w:type="dxa"/>
            <w:shd w:val="clear" w:color="auto" w:fill="DBE5F1"/>
          </w:tcPr>
          <w:p w14:paraId="67ED9257" w14:textId="77777777" w:rsidR="00E77A83" w:rsidRPr="00F322FE" w:rsidRDefault="00E77A83" w:rsidP="00E77A83">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1279" w:type="dxa"/>
            <w:shd w:val="clear" w:color="auto" w:fill="DBE5F1"/>
          </w:tcPr>
          <w:p w14:paraId="20140C04" w14:textId="77777777" w:rsidR="00E77A83" w:rsidRPr="00F322FE" w:rsidRDefault="00E77A83" w:rsidP="00E77A83">
            <w:pPr>
              <w:pStyle w:val="tabteksts"/>
              <w:rPr>
                <w:snapToGrid w:val="0"/>
                <w:sz w:val="24"/>
              </w:rPr>
            </w:pPr>
          </w:p>
        </w:tc>
        <w:tc>
          <w:tcPr>
            <w:tcW w:w="816" w:type="dxa"/>
            <w:shd w:val="clear" w:color="auto" w:fill="DBE5F1"/>
          </w:tcPr>
          <w:p w14:paraId="3C1DCB52" w14:textId="77777777" w:rsidR="00E77A83" w:rsidRPr="00F322FE" w:rsidRDefault="00E77A83" w:rsidP="00E77A83">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tcPr>
          <w:p w14:paraId="5E0DE8C5" w14:textId="77777777" w:rsidR="00E77A83" w:rsidRPr="00F322FE" w:rsidRDefault="00E77A83" w:rsidP="00E77A83">
            <w:pPr>
              <w:pStyle w:val="tabteksts"/>
              <w:rPr>
                <w:snapToGrid w:val="0"/>
                <w:sz w:val="24"/>
              </w:rPr>
            </w:pPr>
          </w:p>
        </w:tc>
        <w:tc>
          <w:tcPr>
            <w:tcW w:w="709" w:type="dxa"/>
            <w:shd w:val="clear" w:color="auto" w:fill="DBE5F1"/>
          </w:tcPr>
          <w:p w14:paraId="56A7C18E" w14:textId="77777777" w:rsidR="00E77A83" w:rsidRPr="00F322FE" w:rsidRDefault="00E77A83" w:rsidP="00E77A83">
            <w:pPr>
              <w:pStyle w:val="tabteksts"/>
              <w:cnfStyle w:val="000000000000" w:firstRow="0" w:lastRow="0" w:firstColumn="0" w:lastColumn="0" w:oddVBand="0" w:evenVBand="0" w:oddHBand="0" w:evenHBand="0" w:firstRowFirstColumn="0" w:firstRowLastColumn="0" w:lastRowFirstColumn="0" w:lastRowLastColumn="0"/>
              <w:rPr>
                <w:snapToGrid w:val="0"/>
                <w:sz w:val="24"/>
              </w:rPr>
            </w:pPr>
          </w:p>
        </w:tc>
      </w:tr>
    </w:tbl>
    <w:p w14:paraId="5201AC20" w14:textId="5A53563B" w:rsidR="004D377A" w:rsidRDefault="004D377A" w:rsidP="00E77A83">
      <w:pPr>
        <w:ind w:firstLine="0"/>
        <w:rPr>
          <w:lang w:val="x-none" w:eastAsia="x-none"/>
        </w:rPr>
      </w:pPr>
    </w:p>
    <w:p w14:paraId="4A1FF890" w14:textId="77777777" w:rsidR="00E77A83" w:rsidRPr="004D377A" w:rsidRDefault="00E77A83" w:rsidP="00E77A83">
      <w:pPr>
        <w:ind w:firstLine="0"/>
        <w:rPr>
          <w:lang w:val="x-none" w:eastAsia="x-none"/>
        </w:rPr>
      </w:pPr>
    </w:p>
    <w:p w14:paraId="34E91EF2" w14:textId="1AFAD515" w:rsidR="004D377A" w:rsidRDefault="002F0C44" w:rsidP="002F0C44">
      <w:pPr>
        <w:pStyle w:val="Heading1"/>
        <w:tabs>
          <w:tab w:val="left" w:pos="1276"/>
        </w:tabs>
        <w:spacing w:before="0" w:after="240"/>
        <w:ind w:left="1276" w:hanging="1276"/>
        <w:jc w:val="left"/>
        <w:rPr>
          <w:rFonts w:ascii="Times New Roman" w:hAnsi="Times New Roman"/>
          <w:color w:val="18185F"/>
          <w:sz w:val="24"/>
          <w:lang w:val="lv-LV"/>
        </w:rPr>
      </w:pPr>
      <w:bookmarkStart w:id="15" w:name="_Toc494786349"/>
      <w:r>
        <w:rPr>
          <w:rFonts w:ascii="Times New Roman" w:hAnsi="Times New Roman"/>
          <w:color w:val="18185F"/>
          <w:sz w:val="24"/>
          <w:lang w:val="lv-LV"/>
        </w:rPr>
        <w:t xml:space="preserve">Tabula </w:t>
      </w:r>
      <w:r w:rsidR="004D377A">
        <w:rPr>
          <w:rFonts w:ascii="Times New Roman" w:hAnsi="Times New Roman"/>
          <w:color w:val="18185F"/>
          <w:sz w:val="24"/>
          <w:lang w:val="lv-LV"/>
        </w:rPr>
        <w:t>4.c Vispārējās valdības izdevu</w:t>
      </w:r>
      <w:r w:rsidR="00524163">
        <w:rPr>
          <w:rFonts w:ascii="Times New Roman" w:hAnsi="Times New Roman"/>
          <w:color w:val="18185F"/>
          <w:sz w:val="24"/>
          <w:lang w:val="lv-LV"/>
        </w:rPr>
        <w:t>mi</w:t>
      </w:r>
      <w:r w:rsidR="004D377A">
        <w:rPr>
          <w:rFonts w:ascii="Times New Roman" w:hAnsi="Times New Roman"/>
          <w:color w:val="18185F"/>
          <w:sz w:val="24"/>
          <w:lang w:val="lv-LV"/>
        </w:rPr>
        <w:t xml:space="preserve"> </w:t>
      </w:r>
      <w:r w:rsidR="00D27E4E" w:rsidRPr="00AA5591">
        <w:rPr>
          <w:rFonts w:ascii="Times New Roman" w:hAnsi="Times New Roman"/>
          <w:color w:val="18185F"/>
          <w:sz w:val="24"/>
        </w:rPr>
        <w:t>funkciju sadalījumā</w:t>
      </w:r>
      <w:bookmarkEnd w:id="15"/>
    </w:p>
    <w:p w14:paraId="0006C104" w14:textId="25352882" w:rsidR="00AA5591" w:rsidRPr="00AA5591" w:rsidRDefault="00AA5591" w:rsidP="00AA5591">
      <w:pPr>
        <w:pStyle w:val="Heading1"/>
        <w:tabs>
          <w:tab w:val="left" w:pos="1276"/>
        </w:tabs>
        <w:spacing w:before="0" w:after="240"/>
        <w:ind w:left="1276" w:hanging="1276"/>
        <w:jc w:val="left"/>
        <w:rPr>
          <w:rFonts w:ascii="Times New Roman" w:hAnsi="Times New Roman"/>
          <w:color w:val="18185F"/>
          <w:sz w:val="24"/>
        </w:rPr>
      </w:pPr>
      <w:bookmarkStart w:id="16" w:name="_Toc494786350"/>
      <w:r w:rsidRPr="00AA5591">
        <w:rPr>
          <w:rFonts w:ascii="Times New Roman" w:hAnsi="Times New Roman"/>
          <w:color w:val="18185F"/>
          <w:sz w:val="24"/>
        </w:rPr>
        <w:t>4.c.i) Vispārējās valdības izdevumi izglītībai, veselības aprūpei un nodarbinātībai</w:t>
      </w:r>
      <w:bookmarkEnd w:id="16"/>
    </w:p>
    <w:tbl>
      <w:tblPr>
        <w:tblStyle w:val="GridTable6Colorful-Accent11"/>
        <w:tblW w:w="9072" w:type="dxa"/>
        <w:jc w:val="center"/>
        <w:tblLook w:val="04A0" w:firstRow="1" w:lastRow="0" w:firstColumn="1" w:lastColumn="0" w:noHBand="0" w:noVBand="1"/>
      </w:tblPr>
      <w:tblGrid>
        <w:gridCol w:w="1724"/>
        <w:gridCol w:w="960"/>
        <w:gridCol w:w="2764"/>
        <w:gridCol w:w="905"/>
        <w:gridCol w:w="2719"/>
      </w:tblGrid>
      <w:tr w:rsidR="00AA5591" w:rsidRPr="00AA5591" w14:paraId="730BFDF4" w14:textId="77777777" w:rsidTr="004D377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6E68B2FD" w14:textId="1EC81900" w:rsidR="00AA5591" w:rsidRPr="00AA5591" w:rsidRDefault="00AA5591" w:rsidP="00AA5591">
            <w:pPr>
              <w:spacing w:after="0"/>
              <w:ind w:firstLine="0"/>
              <w:jc w:val="center"/>
              <w:rPr>
                <w:color w:val="auto"/>
                <w:szCs w:val="22"/>
                <w:lang w:eastAsia="lv-LV"/>
              </w:rPr>
            </w:pPr>
          </w:p>
        </w:tc>
        <w:tc>
          <w:tcPr>
            <w:tcW w:w="3941" w:type="dxa"/>
            <w:gridSpan w:val="2"/>
            <w:vAlign w:val="center"/>
            <w:hideMark/>
          </w:tcPr>
          <w:p w14:paraId="54239748" w14:textId="09A18E53" w:rsidR="00AA5591" w:rsidRPr="00AA5591" w:rsidRDefault="00D85FDB"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2017</w:t>
            </w:r>
          </w:p>
        </w:tc>
        <w:tc>
          <w:tcPr>
            <w:tcW w:w="3828" w:type="dxa"/>
            <w:gridSpan w:val="2"/>
            <w:vAlign w:val="center"/>
            <w:hideMark/>
          </w:tcPr>
          <w:p w14:paraId="746F75ED" w14:textId="3F785C66" w:rsidR="00AA5591" w:rsidRPr="00AA5591" w:rsidRDefault="00D85FDB"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2018</w:t>
            </w:r>
          </w:p>
        </w:tc>
      </w:tr>
      <w:tr w:rsidR="00AA5591" w:rsidRPr="00AA5591" w14:paraId="028A3053" w14:textId="77777777" w:rsidTr="004D377A">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2E1A7965" w14:textId="7D73C806" w:rsidR="00AA5591" w:rsidRPr="00AA5591" w:rsidRDefault="00AA5591" w:rsidP="00AA5591">
            <w:pPr>
              <w:spacing w:after="0"/>
              <w:ind w:firstLine="0"/>
              <w:jc w:val="center"/>
              <w:rPr>
                <w:color w:val="auto"/>
                <w:szCs w:val="22"/>
                <w:lang w:eastAsia="lv-LV"/>
              </w:rPr>
            </w:pPr>
          </w:p>
        </w:tc>
        <w:tc>
          <w:tcPr>
            <w:tcW w:w="1001" w:type="dxa"/>
            <w:vAlign w:val="center"/>
            <w:hideMark/>
          </w:tcPr>
          <w:p w14:paraId="1F1713FF" w14:textId="5C0E22BF"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 xml:space="preserve">% </w:t>
            </w:r>
            <w:r w:rsidR="00D27E4E">
              <w:rPr>
                <w:color w:val="auto"/>
                <w:szCs w:val="22"/>
                <w:lang w:eastAsia="lv-LV"/>
              </w:rPr>
              <w:t xml:space="preserve">no </w:t>
            </w:r>
            <w:r w:rsidRPr="00AA5591">
              <w:rPr>
                <w:color w:val="auto"/>
                <w:szCs w:val="22"/>
                <w:lang w:eastAsia="lv-LV"/>
              </w:rPr>
              <w:t>IKP</w:t>
            </w:r>
          </w:p>
        </w:tc>
        <w:tc>
          <w:tcPr>
            <w:tcW w:w="2940" w:type="dxa"/>
            <w:vAlign w:val="center"/>
            <w:hideMark/>
          </w:tcPr>
          <w:p w14:paraId="5366E57E" w14:textId="266A6475"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vispārējās valdības izdevumi</w:t>
            </w:r>
            <w:r w:rsidR="00D27E4E">
              <w:rPr>
                <w:color w:val="auto"/>
                <w:szCs w:val="22"/>
                <w:lang w:eastAsia="lv-LV"/>
              </w:rPr>
              <w:t>, %</w:t>
            </w:r>
          </w:p>
        </w:tc>
        <w:tc>
          <w:tcPr>
            <w:tcW w:w="938" w:type="dxa"/>
            <w:vAlign w:val="center"/>
            <w:hideMark/>
          </w:tcPr>
          <w:p w14:paraId="2D7EF408" w14:textId="42694879"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 xml:space="preserve">% </w:t>
            </w:r>
            <w:r w:rsidR="00D27E4E">
              <w:rPr>
                <w:color w:val="auto"/>
                <w:szCs w:val="22"/>
                <w:lang w:eastAsia="lv-LV"/>
              </w:rPr>
              <w:t xml:space="preserve">no </w:t>
            </w:r>
            <w:r w:rsidRPr="00AA5591">
              <w:rPr>
                <w:color w:val="auto"/>
                <w:szCs w:val="22"/>
                <w:lang w:eastAsia="lv-LV"/>
              </w:rPr>
              <w:t>IKP</w:t>
            </w:r>
          </w:p>
        </w:tc>
        <w:tc>
          <w:tcPr>
            <w:tcW w:w="2890" w:type="dxa"/>
            <w:vAlign w:val="center"/>
            <w:hideMark/>
          </w:tcPr>
          <w:p w14:paraId="7A64A7E7" w14:textId="45EA23B9" w:rsidR="00AA5591" w:rsidRPr="00AA5591"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2"/>
                <w:lang w:eastAsia="lv-LV"/>
              </w:rPr>
            </w:pPr>
            <w:r w:rsidRPr="00AA5591">
              <w:rPr>
                <w:color w:val="auto"/>
                <w:szCs w:val="22"/>
                <w:lang w:eastAsia="lv-LV"/>
              </w:rPr>
              <w:t>vispārējās valdības izdevumi</w:t>
            </w:r>
            <w:r w:rsidR="00D27E4E">
              <w:rPr>
                <w:color w:val="auto"/>
                <w:szCs w:val="22"/>
                <w:lang w:eastAsia="lv-LV"/>
              </w:rPr>
              <w:t>, %</w:t>
            </w:r>
          </w:p>
        </w:tc>
      </w:tr>
      <w:tr w:rsidR="00AA5591" w:rsidRPr="00AA5591" w14:paraId="3D006A58" w14:textId="77777777" w:rsidTr="007A318D">
        <w:trPr>
          <w:trHeight w:val="36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0A6C86BE" w14:textId="77777777" w:rsidR="00AA5591" w:rsidRPr="00AA5591" w:rsidRDefault="00AA5591" w:rsidP="00AA5591">
            <w:pPr>
              <w:spacing w:after="0"/>
              <w:ind w:firstLine="0"/>
              <w:jc w:val="left"/>
              <w:rPr>
                <w:color w:val="auto"/>
                <w:szCs w:val="22"/>
                <w:lang w:eastAsia="lv-LV"/>
              </w:rPr>
            </w:pPr>
            <w:r w:rsidRPr="00AA5591">
              <w:rPr>
                <w:color w:val="auto"/>
                <w:szCs w:val="22"/>
                <w:lang w:eastAsia="lv-LV"/>
              </w:rPr>
              <w:t>Izglītība</w:t>
            </w:r>
          </w:p>
        </w:tc>
        <w:tc>
          <w:tcPr>
            <w:tcW w:w="1001" w:type="dxa"/>
            <w:vAlign w:val="center"/>
          </w:tcPr>
          <w:p w14:paraId="60E24515" w14:textId="3D40FF50"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5,8</w:t>
            </w:r>
          </w:p>
        </w:tc>
        <w:tc>
          <w:tcPr>
            <w:tcW w:w="2940" w:type="dxa"/>
            <w:vAlign w:val="center"/>
          </w:tcPr>
          <w:p w14:paraId="63811F2E" w14:textId="2F351D2D"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13,6</w:t>
            </w:r>
          </w:p>
        </w:tc>
        <w:tc>
          <w:tcPr>
            <w:tcW w:w="938" w:type="dxa"/>
            <w:vAlign w:val="center"/>
          </w:tcPr>
          <w:p w14:paraId="6B962357" w14:textId="2BF3F73D"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5,6</w:t>
            </w:r>
          </w:p>
        </w:tc>
        <w:tc>
          <w:tcPr>
            <w:tcW w:w="2890" w:type="dxa"/>
            <w:vAlign w:val="center"/>
          </w:tcPr>
          <w:p w14:paraId="79D6B591" w14:textId="1D2DA7DF"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12,9</w:t>
            </w:r>
          </w:p>
        </w:tc>
      </w:tr>
      <w:tr w:rsidR="00AA5591" w:rsidRPr="00AA5591" w14:paraId="360249CB" w14:textId="77777777" w:rsidTr="007A318D">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53FC96BF" w14:textId="77777777" w:rsidR="00AA5591" w:rsidRPr="00AA5591" w:rsidRDefault="00AA5591" w:rsidP="00AA5591">
            <w:pPr>
              <w:spacing w:after="0"/>
              <w:ind w:firstLine="0"/>
              <w:jc w:val="left"/>
              <w:rPr>
                <w:color w:val="auto"/>
                <w:szCs w:val="22"/>
                <w:lang w:eastAsia="lv-LV"/>
              </w:rPr>
            </w:pPr>
            <w:r w:rsidRPr="00AA5591">
              <w:rPr>
                <w:color w:val="auto"/>
                <w:szCs w:val="22"/>
                <w:lang w:eastAsia="lv-LV"/>
              </w:rPr>
              <w:t>Veselība</w:t>
            </w:r>
          </w:p>
        </w:tc>
        <w:tc>
          <w:tcPr>
            <w:tcW w:w="1001" w:type="dxa"/>
            <w:vAlign w:val="center"/>
          </w:tcPr>
          <w:p w14:paraId="78EF896F" w14:textId="41B9FF57"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3,7</w:t>
            </w:r>
          </w:p>
        </w:tc>
        <w:tc>
          <w:tcPr>
            <w:tcW w:w="2940" w:type="dxa"/>
            <w:vAlign w:val="center"/>
          </w:tcPr>
          <w:p w14:paraId="18786C40" w14:textId="74B45748"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9,9</w:t>
            </w:r>
          </w:p>
        </w:tc>
        <w:tc>
          <w:tcPr>
            <w:tcW w:w="938" w:type="dxa"/>
            <w:vAlign w:val="center"/>
          </w:tcPr>
          <w:p w14:paraId="5EDD8FB7" w14:textId="12442B89"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4,2</w:t>
            </w:r>
          </w:p>
        </w:tc>
        <w:tc>
          <w:tcPr>
            <w:tcW w:w="2890" w:type="dxa"/>
            <w:vAlign w:val="center"/>
          </w:tcPr>
          <w:p w14:paraId="74DF4FB8" w14:textId="582B35A2"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2"/>
                <w:lang w:eastAsia="lv-LV"/>
              </w:rPr>
            </w:pPr>
            <w:r>
              <w:rPr>
                <w:color w:val="auto"/>
                <w:szCs w:val="22"/>
                <w:lang w:eastAsia="lv-LV"/>
              </w:rPr>
              <w:t>11,2</w:t>
            </w:r>
          </w:p>
        </w:tc>
      </w:tr>
      <w:tr w:rsidR="00AA5591" w:rsidRPr="00AA5591" w14:paraId="152E76E8" w14:textId="77777777" w:rsidTr="007A318D">
        <w:trPr>
          <w:trHeight w:val="360"/>
          <w:jc w:val="center"/>
        </w:trPr>
        <w:tc>
          <w:tcPr>
            <w:cnfStyle w:val="001000000000" w:firstRow="0" w:lastRow="0" w:firstColumn="1" w:lastColumn="0" w:oddVBand="0" w:evenVBand="0" w:oddHBand="0" w:evenHBand="0" w:firstRowFirstColumn="0" w:firstRowLastColumn="0" w:lastRowFirstColumn="0" w:lastRowLastColumn="0"/>
            <w:tcW w:w="1303" w:type="dxa"/>
            <w:vAlign w:val="center"/>
            <w:hideMark/>
          </w:tcPr>
          <w:p w14:paraId="10D5C5A5" w14:textId="77777777" w:rsidR="00AA5591" w:rsidRPr="00AA5591" w:rsidRDefault="00AA5591" w:rsidP="00AA5591">
            <w:pPr>
              <w:spacing w:after="0"/>
              <w:ind w:firstLine="0"/>
              <w:jc w:val="left"/>
              <w:rPr>
                <w:color w:val="auto"/>
                <w:szCs w:val="22"/>
                <w:lang w:eastAsia="lv-LV"/>
              </w:rPr>
            </w:pPr>
            <w:r w:rsidRPr="00AA5591">
              <w:rPr>
                <w:color w:val="auto"/>
                <w:szCs w:val="22"/>
                <w:lang w:eastAsia="lv-LV"/>
              </w:rPr>
              <w:t>Nodarbinātība</w:t>
            </w:r>
          </w:p>
        </w:tc>
        <w:tc>
          <w:tcPr>
            <w:tcW w:w="1001" w:type="dxa"/>
            <w:vAlign w:val="center"/>
          </w:tcPr>
          <w:p w14:paraId="0A040DDE" w14:textId="294C242E"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0,2</w:t>
            </w:r>
          </w:p>
        </w:tc>
        <w:tc>
          <w:tcPr>
            <w:tcW w:w="2940" w:type="dxa"/>
            <w:vAlign w:val="center"/>
          </w:tcPr>
          <w:p w14:paraId="5894B339" w14:textId="1E444F6D"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0,5</w:t>
            </w:r>
          </w:p>
        </w:tc>
        <w:tc>
          <w:tcPr>
            <w:tcW w:w="938" w:type="dxa"/>
            <w:vAlign w:val="center"/>
          </w:tcPr>
          <w:p w14:paraId="5BAC66AD" w14:textId="3723FE60"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0,2</w:t>
            </w:r>
          </w:p>
        </w:tc>
        <w:tc>
          <w:tcPr>
            <w:tcW w:w="2890" w:type="dxa"/>
            <w:vAlign w:val="center"/>
          </w:tcPr>
          <w:p w14:paraId="7FEBD3EF" w14:textId="17091FA8"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0,4</w:t>
            </w:r>
          </w:p>
        </w:tc>
      </w:tr>
    </w:tbl>
    <w:p w14:paraId="124FB437" w14:textId="685DDB90" w:rsidR="00B95048" w:rsidRPr="00B95048" w:rsidRDefault="00B95048" w:rsidP="00B95048">
      <w:pPr>
        <w:rPr>
          <w:lang w:val="x-none" w:eastAsia="x-none"/>
        </w:rPr>
      </w:pPr>
    </w:p>
    <w:p w14:paraId="74265D22" w14:textId="035FD7C0" w:rsidR="00AA5591" w:rsidRPr="00AA5591" w:rsidRDefault="00AA5591" w:rsidP="00150E39">
      <w:pPr>
        <w:pStyle w:val="Heading1"/>
        <w:tabs>
          <w:tab w:val="left" w:pos="1276"/>
        </w:tabs>
        <w:spacing w:before="0" w:after="240"/>
        <w:ind w:firstLine="0"/>
        <w:jc w:val="left"/>
        <w:rPr>
          <w:rFonts w:ascii="Times New Roman" w:hAnsi="Times New Roman"/>
          <w:color w:val="18185F"/>
          <w:sz w:val="24"/>
        </w:rPr>
      </w:pPr>
      <w:bookmarkStart w:id="17" w:name="_Toc494786351"/>
      <w:r w:rsidRPr="00AA5591">
        <w:rPr>
          <w:rFonts w:ascii="Times New Roman" w:hAnsi="Times New Roman"/>
          <w:color w:val="18185F"/>
          <w:sz w:val="24"/>
        </w:rPr>
        <w:t>4.c.ii) Vispārējās valdības izdevumi funkciju sadalījumā</w:t>
      </w:r>
      <w:bookmarkEnd w:id="17"/>
    </w:p>
    <w:tbl>
      <w:tblPr>
        <w:tblStyle w:val="GridTable6Colorful-Accent11"/>
        <w:tblW w:w="7933" w:type="dxa"/>
        <w:jc w:val="center"/>
        <w:tblLayout w:type="fixed"/>
        <w:tblLook w:val="04A0" w:firstRow="1" w:lastRow="0" w:firstColumn="1" w:lastColumn="0" w:noHBand="0" w:noVBand="1"/>
      </w:tblPr>
      <w:tblGrid>
        <w:gridCol w:w="4253"/>
        <w:gridCol w:w="1149"/>
        <w:gridCol w:w="1256"/>
        <w:gridCol w:w="1275"/>
      </w:tblGrid>
      <w:tr w:rsidR="00AA5591" w:rsidRPr="00AA5591" w14:paraId="6DF93E2C" w14:textId="77777777" w:rsidTr="00D27E4E">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3FCEBC7E" w14:textId="25BD594E" w:rsidR="00AA5591" w:rsidRPr="00AA5591" w:rsidRDefault="00AA5591" w:rsidP="00AA5591">
            <w:pPr>
              <w:spacing w:after="0"/>
              <w:ind w:firstLine="0"/>
              <w:jc w:val="center"/>
              <w:rPr>
                <w:color w:val="auto"/>
                <w:szCs w:val="24"/>
                <w:lang w:eastAsia="lv-LV"/>
              </w:rPr>
            </w:pPr>
          </w:p>
        </w:tc>
        <w:tc>
          <w:tcPr>
            <w:tcW w:w="1149" w:type="dxa"/>
            <w:vAlign w:val="center"/>
            <w:hideMark/>
          </w:tcPr>
          <w:p w14:paraId="26352A1E" w14:textId="5D6618A2" w:rsidR="00AA5591" w:rsidRPr="00AA5591" w:rsidRDefault="00AA5591"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AA5591">
              <w:rPr>
                <w:color w:val="auto"/>
                <w:szCs w:val="24"/>
              </w:rPr>
              <w:t>COFOG kods</w:t>
            </w:r>
          </w:p>
        </w:tc>
        <w:tc>
          <w:tcPr>
            <w:tcW w:w="1256" w:type="dxa"/>
            <w:vAlign w:val="center"/>
            <w:hideMark/>
          </w:tcPr>
          <w:p w14:paraId="609D96B1" w14:textId="315066A6" w:rsidR="00AA5591" w:rsidRPr="00AA5591" w:rsidRDefault="00D85FDB"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Pr>
                <w:bCs w:val="0"/>
                <w:color w:val="auto"/>
                <w:szCs w:val="24"/>
              </w:rPr>
              <w:t>2017</w:t>
            </w:r>
          </w:p>
        </w:tc>
        <w:tc>
          <w:tcPr>
            <w:tcW w:w="1275" w:type="dxa"/>
            <w:vAlign w:val="center"/>
            <w:hideMark/>
          </w:tcPr>
          <w:p w14:paraId="18AADD51" w14:textId="2EF36EF4" w:rsidR="00AA5591" w:rsidRPr="00AA5591" w:rsidRDefault="00D85FDB"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auto"/>
                <w:szCs w:val="24"/>
              </w:rPr>
            </w:pPr>
            <w:r>
              <w:rPr>
                <w:bCs w:val="0"/>
                <w:color w:val="auto"/>
                <w:szCs w:val="24"/>
              </w:rPr>
              <w:t>2018</w:t>
            </w:r>
          </w:p>
        </w:tc>
      </w:tr>
      <w:tr w:rsidR="00AF5E23" w:rsidRPr="00AA5591" w14:paraId="20A67699" w14:textId="77777777" w:rsidTr="00533AB8">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0DD2FE58" w14:textId="2EE40077" w:rsidR="00AF5E23" w:rsidRPr="00AA5591" w:rsidRDefault="00AF5E23" w:rsidP="00AA5591">
            <w:pPr>
              <w:spacing w:after="0"/>
              <w:jc w:val="center"/>
              <w:rPr>
                <w:b w:val="0"/>
                <w:bCs w:val="0"/>
                <w:color w:val="auto"/>
                <w:szCs w:val="24"/>
              </w:rPr>
            </w:pPr>
          </w:p>
        </w:tc>
        <w:tc>
          <w:tcPr>
            <w:tcW w:w="1149" w:type="dxa"/>
            <w:vAlign w:val="center"/>
            <w:hideMark/>
          </w:tcPr>
          <w:p w14:paraId="70D0A4C5" w14:textId="7BF2A600" w:rsidR="00AF5E23" w:rsidRPr="00AA5591" w:rsidRDefault="00AF5E23" w:rsidP="00AA5591">
            <w:pPr>
              <w:spacing w:after="0"/>
              <w:jc w:val="center"/>
              <w:cnfStyle w:val="000000100000" w:firstRow="0" w:lastRow="0" w:firstColumn="0" w:lastColumn="0" w:oddVBand="0" w:evenVBand="0" w:oddHBand="1" w:evenHBand="0" w:firstRowFirstColumn="0" w:firstRowLastColumn="0" w:lastRowFirstColumn="0" w:lastRowLastColumn="0"/>
              <w:rPr>
                <w:color w:val="auto"/>
                <w:szCs w:val="24"/>
              </w:rPr>
            </w:pPr>
          </w:p>
        </w:tc>
        <w:tc>
          <w:tcPr>
            <w:tcW w:w="2531" w:type="dxa"/>
            <w:gridSpan w:val="2"/>
            <w:vAlign w:val="center"/>
            <w:hideMark/>
          </w:tcPr>
          <w:p w14:paraId="3E6E1849" w14:textId="014305BE" w:rsidR="00AF5E23" w:rsidRPr="00AA5591" w:rsidRDefault="00AF5E23" w:rsidP="00AF5E2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 xml:space="preserve">% </w:t>
            </w:r>
            <w:r>
              <w:rPr>
                <w:color w:val="auto"/>
                <w:szCs w:val="24"/>
              </w:rPr>
              <w:t>no IKP</w:t>
            </w:r>
          </w:p>
        </w:tc>
      </w:tr>
      <w:tr w:rsidR="00AA5591" w:rsidRPr="00AA5591" w14:paraId="3412AAFB" w14:textId="77777777" w:rsidTr="007A318D">
        <w:trPr>
          <w:trHeight w:val="26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2D208966" w14:textId="77777777" w:rsidR="00AA5591" w:rsidRPr="00AA5591" w:rsidRDefault="00AA5591" w:rsidP="00AA5591">
            <w:pPr>
              <w:spacing w:after="0"/>
              <w:ind w:firstLine="0"/>
              <w:jc w:val="left"/>
              <w:rPr>
                <w:color w:val="auto"/>
                <w:szCs w:val="24"/>
              </w:rPr>
            </w:pPr>
            <w:r w:rsidRPr="00AA5591">
              <w:rPr>
                <w:color w:val="auto"/>
                <w:szCs w:val="24"/>
              </w:rPr>
              <w:t>1. Vispārējie sabiedriskie pakalpojumi</w:t>
            </w:r>
          </w:p>
        </w:tc>
        <w:tc>
          <w:tcPr>
            <w:tcW w:w="1149" w:type="dxa"/>
            <w:vAlign w:val="center"/>
            <w:hideMark/>
          </w:tcPr>
          <w:p w14:paraId="4B4C7790"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1</w:t>
            </w:r>
          </w:p>
        </w:tc>
        <w:tc>
          <w:tcPr>
            <w:tcW w:w="1256" w:type="dxa"/>
            <w:vAlign w:val="center"/>
          </w:tcPr>
          <w:p w14:paraId="4F93AAE0" w14:textId="3D2BE9F5"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5,0</w:t>
            </w:r>
          </w:p>
        </w:tc>
        <w:tc>
          <w:tcPr>
            <w:tcW w:w="1275" w:type="dxa"/>
            <w:vAlign w:val="center"/>
          </w:tcPr>
          <w:p w14:paraId="6F0F2BDD" w14:textId="4430A93E" w:rsidR="00AA5591" w:rsidRPr="00AA5591" w:rsidRDefault="001553F1" w:rsidP="008260F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4,9</w:t>
            </w:r>
          </w:p>
        </w:tc>
      </w:tr>
      <w:tr w:rsidR="00AA5591" w:rsidRPr="00AA5591" w14:paraId="36CF1D31" w14:textId="77777777" w:rsidTr="007A318D">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4B363606" w14:textId="77777777" w:rsidR="00AA5591" w:rsidRPr="00AA5591" w:rsidRDefault="00AA5591" w:rsidP="00AA5591">
            <w:pPr>
              <w:spacing w:after="0"/>
              <w:ind w:firstLine="0"/>
              <w:jc w:val="left"/>
              <w:rPr>
                <w:color w:val="auto"/>
                <w:szCs w:val="24"/>
              </w:rPr>
            </w:pPr>
            <w:r w:rsidRPr="00AA5591">
              <w:rPr>
                <w:color w:val="auto"/>
                <w:szCs w:val="24"/>
              </w:rPr>
              <w:t>2. Aizsardzība</w:t>
            </w:r>
          </w:p>
        </w:tc>
        <w:tc>
          <w:tcPr>
            <w:tcW w:w="1149" w:type="dxa"/>
            <w:vAlign w:val="center"/>
            <w:hideMark/>
          </w:tcPr>
          <w:p w14:paraId="59FA34F5"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2</w:t>
            </w:r>
          </w:p>
        </w:tc>
        <w:tc>
          <w:tcPr>
            <w:tcW w:w="1256" w:type="dxa"/>
            <w:vAlign w:val="center"/>
          </w:tcPr>
          <w:p w14:paraId="6ECE80AE" w14:textId="74B8915F"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1,8</w:t>
            </w:r>
          </w:p>
        </w:tc>
        <w:tc>
          <w:tcPr>
            <w:tcW w:w="1275" w:type="dxa"/>
            <w:vAlign w:val="center"/>
          </w:tcPr>
          <w:p w14:paraId="032B7FB6" w14:textId="406550B3"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2,0</w:t>
            </w:r>
          </w:p>
        </w:tc>
      </w:tr>
      <w:tr w:rsidR="00AA5591" w:rsidRPr="00AA5591" w14:paraId="13C89A9C" w14:textId="77777777" w:rsidTr="007A318D">
        <w:trPr>
          <w:trHeight w:val="23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429FC3DC" w14:textId="77777777" w:rsidR="00AA5591" w:rsidRPr="00AA5591" w:rsidRDefault="00AA5591" w:rsidP="00AA5591">
            <w:pPr>
              <w:spacing w:after="0"/>
              <w:ind w:firstLine="0"/>
              <w:jc w:val="left"/>
              <w:rPr>
                <w:color w:val="auto"/>
                <w:szCs w:val="24"/>
              </w:rPr>
            </w:pPr>
            <w:r w:rsidRPr="00AA5591">
              <w:rPr>
                <w:color w:val="auto"/>
                <w:szCs w:val="24"/>
              </w:rPr>
              <w:t>3. Sabiedriskā kārtība un drošība</w:t>
            </w:r>
          </w:p>
        </w:tc>
        <w:tc>
          <w:tcPr>
            <w:tcW w:w="1149" w:type="dxa"/>
            <w:vAlign w:val="center"/>
            <w:hideMark/>
          </w:tcPr>
          <w:p w14:paraId="05AC847E"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3</w:t>
            </w:r>
          </w:p>
        </w:tc>
        <w:tc>
          <w:tcPr>
            <w:tcW w:w="1256" w:type="dxa"/>
            <w:vAlign w:val="center"/>
          </w:tcPr>
          <w:p w14:paraId="4663862D" w14:textId="7A9505E8"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2,0</w:t>
            </w:r>
          </w:p>
        </w:tc>
        <w:tc>
          <w:tcPr>
            <w:tcW w:w="1275" w:type="dxa"/>
            <w:vAlign w:val="center"/>
          </w:tcPr>
          <w:p w14:paraId="731F5339" w14:textId="09A732D6"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1,9</w:t>
            </w:r>
          </w:p>
        </w:tc>
      </w:tr>
      <w:tr w:rsidR="00AA5591" w:rsidRPr="00AA5591" w14:paraId="3ED147F7" w14:textId="77777777" w:rsidTr="007A318D">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11E0118A" w14:textId="77777777" w:rsidR="00AA5591" w:rsidRPr="00AA5591" w:rsidRDefault="00AA5591" w:rsidP="00AA5591">
            <w:pPr>
              <w:spacing w:after="0"/>
              <w:ind w:firstLine="0"/>
              <w:jc w:val="left"/>
              <w:rPr>
                <w:color w:val="auto"/>
                <w:szCs w:val="24"/>
              </w:rPr>
            </w:pPr>
            <w:r w:rsidRPr="00AA5591">
              <w:rPr>
                <w:color w:val="auto"/>
                <w:szCs w:val="24"/>
              </w:rPr>
              <w:t>4. Ekonomiskā darbība</w:t>
            </w:r>
          </w:p>
        </w:tc>
        <w:tc>
          <w:tcPr>
            <w:tcW w:w="1149" w:type="dxa"/>
            <w:vAlign w:val="center"/>
            <w:hideMark/>
          </w:tcPr>
          <w:p w14:paraId="116C4E18"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4</w:t>
            </w:r>
          </w:p>
        </w:tc>
        <w:tc>
          <w:tcPr>
            <w:tcW w:w="1256" w:type="dxa"/>
            <w:vAlign w:val="center"/>
          </w:tcPr>
          <w:p w14:paraId="02FCA92B" w14:textId="2C7EABA4"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4,1</w:t>
            </w:r>
          </w:p>
        </w:tc>
        <w:tc>
          <w:tcPr>
            <w:tcW w:w="1275" w:type="dxa"/>
            <w:vAlign w:val="center"/>
          </w:tcPr>
          <w:p w14:paraId="31F27DCF" w14:textId="22606616"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3,9</w:t>
            </w:r>
          </w:p>
        </w:tc>
      </w:tr>
      <w:tr w:rsidR="00AA5591" w:rsidRPr="00AA5591" w14:paraId="18D6FD8D" w14:textId="77777777" w:rsidTr="007A318D">
        <w:trPr>
          <w:trHeight w:val="193"/>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7DC2B06F" w14:textId="77777777" w:rsidR="00AA5591" w:rsidRPr="00AA5591" w:rsidRDefault="00AA5591" w:rsidP="00AA5591">
            <w:pPr>
              <w:spacing w:after="0"/>
              <w:ind w:firstLine="0"/>
              <w:jc w:val="left"/>
              <w:rPr>
                <w:color w:val="auto"/>
                <w:szCs w:val="24"/>
              </w:rPr>
            </w:pPr>
            <w:r w:rsidRPr="00AA5591">
              <w:rPr>
                <w:color w:val="auto"/>
                <w:szCs w:val="24"/>
              </w:rPr>
              <w:t>5. Vides aizsardzība</w:t>
            </w:r>
          </w:p>
        </w:tc>
        <w:tc>
          <w:tcPr>
            <w:tcW w:w="1149" w:type="dxa"/>
            <w:vAlign w:val="center"/>
            <w:hideMark/>
          </w:tcPr>
          <w:p w14:paraId="23EE201A"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5</w:t>
            </w:r>
          </w:p>
        </w:tc>
        <w:tc>
          <w:tcPr>
            <w:tcW w:w="1256" w:type="dxa"/>
            <w:vAlign w:val="center"/>
          </w:tcPr>
          <w:p w14:paraId="01525B9E" w14:textId="7D87E244"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0,7</w:t>
            </w:r>
          </w:p>
        </w:tc>
        <w:tc>
          <w:tcPr>
            <w:tcW w:w="1275" w:type="dxa"/>
            <w:vAlign w:val="center"/>
          </w:tcPr>
          <w:p w14:paraId="4F916B87" w14:textId="1755AE19"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0,6</w:t>
            </w:r>
          </w:p>
        </w:tc>
      </w:tr>
      <w:tr w:rsidR="00AA5591" w:rsidRPr="00AA5591" w14:paraId="3284FD94" w14:textId="77777777" w:rsidTr="007A318D">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0AC9D18F" w14:textId="77777777" w:rsidR="00AA5591" w:rsidRPr="00AA5591" w:rsidRDefault="00AA5591" w:rsidP="00AA5591">
            <w:pPr>
              <w:spacing w:after="0"/>
              <w:ind w:firstLine="0"/>
              <w:jc w:val="left"/>
              <w:rPr>
                <w:color w:val="auto"/>
                <w:szCs w:val="24"/>
              </w:rPr>
            </w:pPr>
            <w:r w:rsidRPr="00AA5591">
              <w:rPr>
                <w:color w:val="auto"/>
                <w:szCs w:val="24"/>
              </w:rPr>
              <w:t>6. Mājoklis un komunālā saimniecība</w:t>
            </w:r>
          </w:p>
        </w:tc>
        <w:tc>
          <w:tcPr>
            <w:tcW w:w="1149" w:type="dxa"/>
            <w:vAlign w:val="center"/>
            <w:hideMark/>
          </w:tcPr>
          <w:p w14:paraId="6DB84271"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6</w:t>
            </w:r>
          </w:p>
        </w:tc>
        <w:tc>
          <w:tcPr>
            <w:tcW w:w="1256" w:type="dxa"/>
            <w:vAlign w:val="center"/>
          </w:tcPr>
          <w:p w14:paraId="50D9CDFA" w14:textId="6DC7A898"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0,9</w:t>
            </w:r>
          </w:p>
        </w:tc>
        <w:tc>
          <w:tcPr>
            <w:tcW w:w="1275" w:type="dxa"/>
            <w:vAlign w:val="center"/>
          </w:tcPr>
          <w:p w14:paraId="4EBFE36F" w14:textId="21348283"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0,9</w:t>
            </w:r>
          </w:p>
        </w:tc>
      </w:tr>
      <w:tr w:rsidR="00AA5591" w:rsidRPr="00AA5591" w14:paraId="41773CD1" w14:textId="77777777" w:rsidTr="007A318D">
        <w:trPr>
          <w:trHeight w:val="259"/>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3300F1F4" w14:textId="77777777" w:rsidR="00AA5591" w:rsidRPr="00AA5591" w:rsidRDefault="00AA5591" w:rsidP="00AA5591">
            <w:pPr>
              <w:spacing w:after="0"/>
              <w:ind w:firstLine="0"/>
              <w:jc w:val="left"/>
              <w:rPr>
                <w:color w:val="auto"/>
                <w:szCs w:val="24"/>
              </w:rPr>
            </w:pPr>
            <w:r w:rsidRPr="00AA5591">
              <w:rPr>
                <w:color w:val="auto"/>
                <w:szCs w:val="24"/>
              </w:rPr>
              <w:t>7. Veselība</w:t>
            </w:r>
          </w:p>
        </w:tc>
        <w:tc>
          <w:tcPr>
            <w:tcW w:w="1149" w:type="dxa"/>
            <w:vAlign w:val="center"/>
            <w:hideMark/>
          </w:tcPr>
          <w:p w14:paraId="5ECC579A"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7</w:t>
            </w:r>
          </w:p>
        </w:tc>
        <w:tc>
          <w:tcPr>
            <w:tcW w:w="1256" w:type="dxa"/>
            <w:vAlign w:val="center"/>
          </w:tcPr>
          <w:p w14:paraId="6049AA47" w14:textId="6103DA3B"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3,7</w:t>
            </w:r>
          </w:p>
        </w:tc>
        <w:tc>
          <w:tcPr>
            <w:tcW w:w="1275" w:type="dxa"/>
            <w:vAlign w:val="center"/>
          </w:tcPr>
          <w:p w14:paraId="05163EE3" w14:textId="6D554866"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4,2</w:t>
            </w:r>
          </w:p>
        </w:tc>
      </w:tr>
      <w:tr w:rsidR="00AA5591" w:rsidRPr="00AA5591" w14:paraId="76C9A289" w14:textId="77777777" w:rsidTr="007A318D">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1664FA2A" w14:textId="77777777" w:rsidR="00AA5591" w:rsidRPr="00AA5591" w:rsidRDefault="00AA5591" w:rsidP="00AA5591">
            <w:pPr>
              <w:spacing w:after="0"/>
              <w:ind w:firstLine="0"/>
              <w:jc w:val="left"/>
              <w:rPr>
                <w:color w:val="auto"/>
                <w:szCs w:val="24"/>
              </w:rPr>
            </w:pPr>
            <w:r w:rsidRPr="00AA5591">
              <w:rPr>
                <w:color w:val="auto"/>
                <w:szCs w:val="24"/>
              </w:rPr>
              <w:t>8. Atpūta, kultūra un reliģija</w:t>
            </w:r>
          </w:p>
        </w:tc>
        <w:tc>
          <w:tcPr>
            <w:tcW w:w="1149" w:type="dxa"/>
            <w:vAlign w:val="center"/>
            <w:hideMark/>
          </w:tcPr>
          <w:p w14:paraId="6E100643"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8</w:t>
            </w:r>
          </w:p>
        </w:tc>
        <w:tc>
          <w:tcPr>
            <w:tcW w:w="1256" w:type="dxa"/>
            <w:vAlign w:val="center"/>
          </w:tcPr>
          <w:p w14:paraId="77CD38EA" w14:textId="09D52247"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1,6</w:t>
            </w:r>
          </w:p>
        </w:tc>
        <w:tc>
          <w:tcPr>
            <w:tcW w:w="1275" w:type="dxa"/>
            <w:vAlign w:val="center"/>
          </w:tcPr>
          <w:p w14:paraId="170D5D86" w14:textId="1621E992"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1,5</w:t>
            </w:r>
          </w:p>
        </w:tc>
      </w:tr>
      <w:tr w:rsidR="00AA5591" w:rsidRPr="00AA5591" w14:paraId="49D75B81" w14:textId="77777777" w:rsidTr="007A318D">
        <w:trPr>
          <w:trHeight w:val="25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306D5F33" w14:textId="77777777" w:rsidR="00AA5591" w:rsidRPr="00AA5591" w:rsidRDefault="00AA5591" w:rsidP="00AA5591">
            <w:pPr>
              <w:spacing w:after="0"/>
              <w:ind w:firstLine="0"/>
              <w:jc w:val="left"/>
              <w:rPr>
                <w:color w:val="auto"/>
                <w:szCs w:val="24"/>
              </w:rPr>
            </w:pPr>
            <w:r w:rsidRPr="00AA5591">
              <w:rPr>
                <w:color w:val="auto"/>
                <w:szCs w:val="24"/>
              </w:rPr>
              <w:t>9. Izglītība</w:t>
            </w:r>
          </w:p>
        </w:tc>
        <w:tc>
          <w:tcPr>
            <w:tcW w:w="1149" w:type="dxa"/>
            <w:vAlign w:val="center"/>
            <w:hideMark/>
          </w:tcPr>
          <w:p w14:paraId="22AAC02B" w14:textId="77777777"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9</w:t>
            </w:r>
          </w:p>
        </w:tc>
        <w:tc>
          <w:tcPr>
            <w:tcW w:w="1256" w:type="dxa"/>
            <w:vAlign w:val="center"/>
          </w:tcPr>
          <w:p w14:paraId="0B9AE9E5" w14:textId="26527B18"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5,8</w:t>
            </w:r>
          </w:p>
        </w:tc>
        <w:tc>
          <w:tcPr>
            <w:tcW w:w="1275" w:type="dxa"/>
            <w:vAlign w:val="center"/>
          </w:tcPr>
          <w:p w14:paraId="510BB97A" w14:textId="416274EA"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5,6</w:t>
            </w:r>
          </w:p>
        </w:tc>
      </w:tr>
      <w:tr w:rsidR="00AA5591" w:rsidRPr="00AA5591" w14:paraId="2FAC6436" w14:textId="77777777" w:rsidTr="007A318D">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65DE4A10" w14:textId="77777777" w:rsidR="00AA5591" w:rsidRPr="00AA5591" w:rsidRDefault="00AA5591" w:rsidP="00AA5591">
            <w:pPr>
              <w:spacing w:after="0"/>
              <w:ind w:firstLine="0"/>
              <w:jc w:val="left"/>
              <w:rPr>
                <w:color w:val="auto"/>
                <w:szCs w:val="24"/>
              </w:rPr>
            </w:pPr>
            <w:r w:rsidRPr="00AA5591">
              <w:rPr>
                <w:color w:val="auto"/>
                <w:szCs w:val="24"/>
              </w:rPr>
              <w:t>10. Sociālā aizsardzība</w:t>
            </w:r>
          </w:p>
        </w:tc>
        <w:tc>
          <w:tcPr>
            <w:tcW w:w="1149" w:type="dxa"/>
            <w:vAlign w:val="center"/>
            <w:hideMark/>
          </w:tcPr>
          <w:p w14:paraId="058F232A" w14:textId="77777777" w:rsidR="00AA5591" w:rsidRPr="00AA5591" w:rsidRDefault="00AA5591"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AA5591">
              <w:rPr>
                <w:color w:val="auto"/>
                <w:szCs w:val="24"/>
              </w:rPr>
              <w:t>10</w:t>
            </w:r>
          </w:p>
        </w:tc>
        <w:tc>
          <w:tcPr>
            <w:tcW w:w="1256" w:type="dxa"/>
            <w:vAlign w:val="center"/>
          </w:tcPr>
          <w:p w14:paraId="5F44C192" w14:textId="1E1FEF02"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11,6</w:t>
            </w:r>
          </w:p>
        </w:tc>
        <w:tc>
          <w:tcPr>
            <w:tcW w:w="1275" w:type="dxa"/>
            <w:vAlign w:val="center"/>
          </w:tcPr>
          <w:p w14:paraId="6BC2EA88" w14:textId="5DEA074A" w:rsidR="00AA5591" w:rsidRPr="00AA5591" w:rsidRDefault="001553F1" w:rsidP="00AA5591">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12,0</w:t>
            </w:r>
          </w:p>
        </w:tc>
      </w:tr>
      <w:tr w:rsidR="00AA5591" w:rsidRPr="00AA5591" w14:paraId="15AFC6A1" w14:textId="77777777" w:rsidTr="007A318D">
        <w:trPr>
          <w:trHeight w:val="207"/>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038D2863" w14:textId="77777777" w:rsidR="00AA5591" w:rsidRPr="00AA5591" w:rsidRDefault="00AA5591" w:rsidP="00AA5591">
            <w:pPr>
              <w:spacing w:after="0"/>
              <w:ind w:firstLine="0"/>
              <w:jc w:val="left"/>
              <w:rPr>
                <w:color w:val="auto"/>
                <w:szCs w:val="24"/>
              </w:rPr>
            </w:pPr>
            <w:r w:rsidRPr="00AA5591">
              <w:rPr>
                <w:color w:val="auto"/>
                <w:szCs w:val="24"/>
              </w:rPr>
              <w:t>11. Kopējie izdevumi</w:t>
            </w:r>
          </w:p>
        </w:tc>
        <w:tc>
          <w:tcPr>
            <w:tcW w:w="1149" w:type="dxa"/>
            <w:vAlign w:val="center"/>
            <w:hideMark/>
          </w:tcPr>
          <w:p w14:paraId="6499F928" w14:textId="256BFC22" w:rsidR="00AA5591" w:rsidRPr="00AA5591" w:rsidRDefault="00AA5591" w:rsidP="001B007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AA5591">
              <w:rPr>
                <w:color w:val="auto"/>
                <w:szCs w:val="24"/>
              </w:rPr>
              <w:t>TE</w:t>
            </w:r>
          </w:p>
        </w:tc>
        <w:tc>
          <w:tcPr>
            <w:tcW w:w="1256" w:type="dxa"/>
            <w:vAlign w:val="center"/>
          </w:tcPr>
          <w:p w14:paraId="01F87037" w14:textId="6A1AC1B9" w:rsidR="00AA5591" w:rsidRPr="00AA5591" w:rsidRDefault="001553F1" w:rsidP="00AA5591">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37,3</w:t>
            </w:r>
          </w:p>
        </w:tc>
        <w:tc>
          <w:tcPr>
            <w:tcW w:w="1275" w:type="dxa"/>
            <w:vAlign w:val="center"/>
          </w:tcPr>
          <w:p w14:paraId="32F5AB0C" w14:textId="2F14B5DC" w:rsidR="00AA5591" w:rsidRPr="00AA5591" w:rsidRDefault="001553F1" w:rsidP="008260F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37,5</w:t>
            </w:r>
          </w:p>
        </w:tc>
      </w:tr>
    </w:tbl>
    <w:p w14:paraId="06D84D16" w14:textId="1363BBBF" w:rsidR="005C0B54" w:rsidRDefault="00AA5591">
      <w:pPr>
        <w:spacing w:after="0"/>
        <w:ind w:firstLine="0"/>
        <w:jc w:val="left"/>
        <w:rPr>
          <w:rFonts w:ascii="Cambria" w:hAnsi="Cambria"/>
          <w:bCs/>
          <w:color w:val="365F91"/>
          <w:sz w:val="20"/>
          <w:szCs w:val="28"/>
          <w:lang w:val="x-none" w:eastAsia="x-none"/>
        </w:rPr>
      </w:pPr>
      <w:r>
        <w:rPr>
          <w:b/>
        </w:rPr>
        <w:t xml:space="preserve"> </w:t>
      </w:r>
      <w:r w:rsidR="005C0B54">
        <w:rPr>
          <w:b/>
        </w:rPr>
        <w:br w:type="page"/>
      </w:r>
    </w:p>
    <w:p w14:paraId="7DAEF2A7" w14:textId="77777777" w:rsidR="002A677B" w:rsidRPr="00026A81" w:rsidRDefault="002A677B" w:rsidP="0037618B">
      <w:pPr>
        <w:spacing w:after="0" w:line="276" w:lineRule="auto"/>
        <w:ind w:firstLine="0"/>
        <w:rPr>
          <w:rFonts w:eastAsia="Calibri"/>
          <w:szCs w:val="24"/>
        </w:rPr>
      </w:pPr>
      <w:r w:rsidRPr="00026A81">
        <w:rPr>
          <w:rFonts w:eastAsia="Calibri"/>
          <w:szCs w:val="24"/>
        </w:rPr>
        <w:lastRenderedPageBreak/>
        <w:t>2018.gada valsts budžeta projekts sagatavots ievērojot šādus pamatprincipus:</w:t>
      </w:r>
    </w:p>
    <w:p w14:paraId="3B9FE1BC" w14:textId="03D6792B" w:rsidR="002A677B" w:rsidRPr="00CE0D44" w:rsidRDefault="002A677B" w:rsidP="00CF5F3A">
      <w:pPr>
        <w:pStyle w:val="ListParagraph"/>
        <w:numPr>
          <w:ilvl w:val="0"/>
          <w:numId w:val="3"/>
        </w:numPr>
        <w:spacing w:after="0"/>
        <w:ind w:left="567"/>
        <w:contextualSpacing w:val="0"/>
        <w:jc w:val="both"/>
        <w:rPr>
          <w:rFonts w:ascii="Times New Roman" w:hAnsi="Times New Roman"/>
          <w:color w:val="1F497D"/>
          <w:sz w:val="24"/>
        </w:rPr>
      </w:pPr>
      <w:r w:rsidRPr="00CE0D44">
        <w:rPr>
          <w:rFonts w:ascii="Times New Roman" w:hAnsi="Times New Roman"/>
          <w:sz w:val="24"/>
          <w:szCs w:val="24"/>
          <w:u w:val="single"/>
          <w:shd w:val="clear" w:color="auto" w:fill="FFFFFF"/>
        </w:rPr>
        <w:t xml:space="preserve">Prioritārie </w:t>
      </w:r>
      <w:r w:rsidRPr="00CE0D44">
        <w:rPr>
          <w:rFonts w:ascii="Times New Roman" w:hAnsi="Times New Roman"/>
          <w:sz w:val="24"/>
          <w:szCs w:val="24"/>
          <w:u w:val="single"/>
          <w:shd w:val="clear" w:color="auto" w:fill="FFFFFF"/>
          <w:lang w:val="lv-LV"/>
        </w:rPr>
        <w:t>virzieni</w:t>
      </w:r>
      <w:r w:rsidRPr="00CE0D44">
        <w:rPr>
          <w:rFonts w:ascii="Times New Roman" w:hAnsi="Times New Roman"/>
          <w:sz w:val="24"/>
          <w:szCs w:val="24"/>
          <w:u w:val="single"/>
          <w:shd w:val="clear" w:color="auto" w:fill="FFFFFF"/>
        </w:rPr>
        <w:t xml:space="preserve"> – </w:t>
      </w:r>
      <w:r w:rsidRPr="00CE0D44">
        <w:rPr>
          <w:rFonts w:ascii="Times New Roman" w:hAnsi="Times New Roman"/>
          <w:sz w:val="24"/>
          <w:szCs w:val="24"/>
          <w:u w:val="single"/>
          <w:shd w:val="clear" w:color="auto" w:fill="FFFFFF"/>
          <w:lang w:val="lv-LV"/>
        </w:rPr>
        <w:t xml:space="preserve">valsts </w:t>
      </w:r>
      <w:r w:rsidRPr="00CE0D44">
        <w:rPr>
          <w:rFonts w:ascii="Times New Roman" w:hAnsi="Times New Roman"/>
          <w:sz w:val="24"/>
          <w:szCs w:val="24"/>
          <w:u w:val="single"/>
          <w:shd w:val="clear" w:color="auto" w:fill="FFFFFF"/>
        </w:rPr>
        <w:t>aizsardzība, veselība, demogrāfija un autoceļu uzturēšanai</w:t>
      </w:r>
      <w:r w:rsidRPr="00CE0D44">
        <w:rPr>
          <w:rFonts w:ascii="Times New Roman" w:hAnsi="Times New Roman"/>
          <w:sz w:val="24"/>
          <w:szCs w:val="24"/>
          <w:u w:val="single"/>
        </w:rPr>
        <w:t xml:space="preserve">. </w:t>
      </w:r>
      <w:r w:rsidRPr="00CE0D44">
        <w:rPr>
          <w:rFonts w:ascii="Times New Roman" w:hAnsi="Times New Roman"/>
          <w:sz w:val="24"/>
          <w:szCs w:val="24"/>
        </w:rPr>
        <w:t>Valdība 2018.gada valsts budžeta izstrādes ietvaros lēma kā prioritā</w:t>
      </w:r>
      <w:r w:rsidRPr="00CE0D44">
        <w:rPr>
          <w:rFonts w:ascii="Times New Roman" w:hAnsi="Times New Roman"/>
          <w:sz w:val="24"/>
          <w:szCs w:val="24"/>
          <w:lang w:val="lv-LV"/>
        </w:rPr>
        <w:t>tes</w:t>
      </w:r>
      <w:r w:rsidRPr="00CE0D44">
        <w:rPr>
          <w:rFonts w:ascii="Times New Roman" w:hAnsi="Times New Roman"/>
          <w:sz w:val="24"/>
          <w:szCs w:val="24"/>
        </w:rPr>
        <w:t xml:space="preserve"> definēt </w:t>
      </w:r>
      <w:r w:rsidRPr="00CE0D44">
        <w:rPr>
          <w:rFonts w:ascii="Times New Roman" w:hAnsi="Times New Roman"/>
          <w:sz w:val="24"/>
          <w:szCs w:val="24"/>
          <w:u w:val="single"/>
          <w:shd w:val="clear" w:color="auto" w:fill="FFFFFF"/>
          <w:lang w:val="lv-LV"/>
        </w:rPr>
        <w:t xml:space="preserve">valsts </w:t>
      </w:r>
      <w:r w:rsidRPr="00CE0D44">
        <w:rPr>
          <w:rFonts w:ascii="Times New Roman" w:hAnsi="Times New Roman"/>
          <w:sz w:val="24"/>
          <w:szCs w:val="24"/>
          <w:u w:val="single"/>
          <w:shd w:val="clear" w:color="auto" w:fill="FFFFFF"/>
        </w:rPr>
        <w:t>aizsardzību, veselības apr</w:t>
      </w:r>
      <w:r w:rsidRPr="00CE0D44">
        <w:rPr>
          <w:rFonts w:ascii="Times New Roman" w:hAnsi="Times New Roman"/>
          <w:sz w:val="24"/>
          <w:szCs w:val="24"/>
          <w:u w:val="single"/>
          <w:shd w:val="clear" w:color="auto" w:fill="FFFFFF"/>
          <w:lang w:val="lv-LV"/>
        </w:rPr>
        <w:t>ūpi</w:t>
      </w:r>
      <w:r w:rsidRPr="00CE0D44">
        <w:rPr>
          <w:rFonts w:ascii="Times New Roman" w:hAnsi="Times New Roman"/>
          <w:sz w:val="24"/>
          <w:szCs w:val="24"/>
          <w:u w:val="single"/>
          <w:shd w:val="clear" w:color="auto" w:fill="FFFFFF"/>
        </w:rPr>
        <w:t>, demogrāfijas</w:t>
      </w:r>
      <w:r w:rsidRPr="00CE0D44">
        <w:rPr>
          <w:rFonts w:ascii="Times New Roman" w:hAnsi="Times New Roman"/>
          <w:sz w:val="24"/>
          <w:szCs w:val="24"/>
          <w:u w:val="single"/>
          <w:shd w:val="clear" w:color="auto" w:fill="FFFFFF"/>
          <w:lang w:val="lv-LV"/>
        </w:rPr>
        <w:t xml:space="preserve"> veicināšanu</w:t>
      </w:r>
      <w:r w:rsidR="0037618B">
        <w:rPr>
          <w:rFonts w:ascii="Times New Roman" w:hAnsi="Times New Roman"/>
          <w:sz w:val="24"/>
          <w:szCs w:val="24"/>
          <w:u w:val="single"/>
          <w:shd w:val="clear" w:color="auto" w:fill="FFFFFF"/>
        </w:rPr>
        <w:t xml:space="preserve"> un autoceļu uzturēšanu</w:t>
      </w:r>
      <w:r w:rsidRPr="00CE0D44">
        <w:rPr>
          <w:rFonts w:ascii="Times New Roman" w:hAnsi="Times New Roman"/>
          <w:sz w:val="24"/>
          <w:szCs w:val="24"/>
          <w:shd w:val="clear" w:color="auto" w:fill="FFFFFF"/>
        </w:rPr>
        <w:t xml:space="preserve">. Lēmums par būtisku </w:t>
      </w:r>
      <w:r w:rsidRPr="00CE0D44">
        <w:rPr>
          <w:rFonts w:ascii="Times New Roman" w:hAnsi="Times New Roman"/>
          <w:b/>
          <w:sz w:val="24"/>
          <w:szCs w:val="24"/>
          <w:shd w:val="clear" w:color="auto" w:fill="FFFFFF"/>
        </w:rPr>
        <w:t>aizsardzības finansējuma kāpināšanu</w:t>
      </w:r>
      <w:r w:rsidRPr="00CE0D44">
        <w:rPr>
          <w:rFonts w:ascii="Times New Roman" w:hAnsi="Times New Roman"/>
          <w:sz w:val="24"/>
          <w:szCs w:val="24"/>
          <w:shd w:val="clear" w:color="auto" w:fill="FFFFFF"/>
        </w:rPr>
        <w:t xml:space="preserve"> tika </w:t>
      </w:r>
      <w:r w:rsidRPr="00CE0D44">
        <w:rPr>
          <w:rFonts w:ascii="Times New Roman" w:hAnsi="Times New Roman"/>
          <w:sz w:val="24"/>
          <w:szCs w:val="24"/>
        </w:rPr>
        <w:t>pieņemts jau iepriekšēj</w:t>
      </w:r>
      <w:r w:rsidRPr="00CE0D44">
        <w:rPr>
          <w:rFonts w:ascii="Times New Roman" w:hAnsi="Times New Roman"/>
          <w:sz w:val="24"/>
          <w:szCs w:val="24"/>
          <w:lang w:val="lv-LV"/>
        </w:rPr>
        <w:t>os</w:t>
      </w:r>
      <w:r w:rsidRPr="00CE0D44">
        <w:rPr>
          <w:rFonts w:ascii="Times New Roman" w:hAnsi="Times New Roman"/>
          <w:sz w:val="24"/>
          <w:szCs w:val="24"/>
        </w:rPr>
        <w:t xml:space="preserve"> </w:t>
      </w:r>
      <w:r w:rsidRPr="00CE0D44">
        <w:rPr>
          <w:rFonts w:ascii="Times New Roman" w:hAnsi="Times New Roman"/>
          <w:sz w:val="24"/>
          <w:szCs w:val="24"/>
          <w:lang w:val="lv-LV"/>
        </w:rPr>
        <w:t xml:space="preserve">divos </w:t>
      </w:r>
      <w:r w:rsidR="0037618B">
        <w:rPr>
          <w:rFonts w:ascii="Times New Roman" w:hAnsi="Times New Roman"/>
          <w:sz w:val="24"/>
          <w:szCs w:val="24"/>
          <w:lang w:val="lv-LV"/>
        </w:rPr>
        <w:t>VTBIL</w:t>
      </w:r>
      <w:r w:rsidRPr="00CE0D44">
        <w:rPr>
          <w:rFonts w:ascii="Times New Roman" w:hAnsi="Times New Roman"/>
          <w:sz w:val="24"/>
          <w:szCs w:val="24"/>
        </w:rPr>
        <w:t>, ietverot ne tikai ārējās, bet arī iekšējās drošības stiprināšanu. Savukārt atlikušo prioritāšu – veselību</w:t>
      </w:r>
      <w:r w:rsidRPr="00CE0D44">
        <w:rPr>
          <w:rFonts w:ascii="Times New Roman" w:hAnsi="Times New Roman"/>
          <w:sz w:val="24"/>
          <w:szCs w:val="24"/>
          <w:lang w:val="lv-LV"/>
        </w:rPr>
        <w:t>, demogrāfiju</w:t>
      </w:r>
      <w:r w:rsidRPr="00CE0D44">
        <w:rPr>
          <w:rFonts w:ascii="Times New Roman" w:hAnsi="Times New Roman"/>
          <w:sz w:val="24"/>
          <w:szCs w:val="24"/>
        </w:rPr>
        <w:t xml:space="preserve"> un autoce</w:t>
      </w:r>
      <w:r w:rsidRPr="00CE0D44">
        <w:rPr>
          <w:rFonts w:ascii="Times New Roman" w:hAnsi="Times New Roman"/>
          <w:sz w:val="24"/>
          <w:szCs w:val="24"/>
          <w:lang w:val="lv-LV"/>
        </w:rPr>
        <w:t>ļu uzturēšanu</w:t>
      </w:r>
      <w:r w:rsidRPr="00CE0D44">
        <w:rPr>
          <w:rFonts w:ascii="Times New Roman" w:hAnsi="Times New Roman"/>
          <w:sz w:val="24"/>
          <w:szCs w:val="24"/>
        </w:rPr>
        <w:t xml:space="preserve"> –  </w:t>
      </w:r>
      <w:r w:rsidRPr="00CE0D44">
        <w:rPr>
          <w:rFonts w:ascii="Times New Roman" w:hAnsi="Times New Roman"/>
          <w:sz w:val="24"/>
          <w:szCs w:val="24"/>
          <w:lang w:val="lv-LV"/>
        </w:rPr>
        <w:t>iekļaušana</w:t>
      </w:r>
      <w:r w:rsidRPr="00CE0D44">
        <w:rPr>
          <w:rFonts w:ascii="Times New Roman" w:hAnsi="Times New Roman"/>
          <w:sz w:val="24"/>
          <w:szCs w:val="24"/>
        </w:rPr>
        <w:t xml:space="preserve"> valdības prioritāšu saraksta augšgalā izriet n</w:t>
      </w:r>
      <w:r w:rsidR="0037618B">
        <w:rPr>
          <w:rFonts w:ascii="Times New Roman" w:hAnsi="Times New Roman"/>
          <w:sz w:val="24"/>
          <w:szCs w:val="24"/>
        </w:rPr>
        <w:t>o apstākļa, ka šajās būtiskajās</w:t>
      </w:r>
      <w:r w:rsidRPr="00CE0D44">
        <w:rPr>
          <w:rFonts w:ascii="Times New Roman" w:hAnsi="Times New Roman"/>
          <w:sz w:val="24"/>
          <w:szCs w:val="24"/>
        </w:rPr>
        <w:t xml:space="preserve"> nozarēs, kas ir tautsaimniecības sekmīgas attīstības stūrakmeņi, jau vairāku gadu gaitā ir akumulējušas problēmas. </w:t>
      </w:r>
      <w:r w:rsidRPr="00694BB7">
        <w:rPr>
          <w:rFonts w:ascii="Times New Roman" w:hAnsi="Times New Roman"/>
          <w:b/>
          <w:sz w:val="24"/>
          <w:szCs w:val="24"/>
        </w:rPr>
        <w:t>Veselības nozare</w:t>
      </w:r>
      <w:r w:rsidRPr="00694BB7">
        <w:rPr>
          <w:rFonts w:ascii="Times New Roman" w:hAnsi="Times New Roman"/>
          <w:sz w:val="24"/>
          <w:szCs w:val="24"/>
        </w:rPr>
        <w:t xml:space="preserve"> ilgstoši ir funkcionējusi pārāk </w:t>
      </w:r>
      <w:r w:rsidRPr="00694BB7">
        <w:rPr>
          <w:rFonts w:ascii="Times New Roman" w:eastAsia="Calibri" w:hAnsi="Times New Roman"/>
          <w:sz w:val="24"/>
        </w:rPr>
        <w:t xml:space="preserve">zema publiskā finansējuma apstākļos, kas savukārt ir nozīmīgi palielinājis pacientu </w:t>
      </w:r>
      <w:proofErr w:type="spellStart"/>
      <w:r w:rsidRPr="00694BB7">
        <w:rPr>
          <w:rFonts w:ascii="Times New Roman" w:eastAsia="Calibri" w:hAnsi="Times New Roman"/>
          <w:sz w:val="24"/>
        </w:rPr>
        <w:t>līdzmaksājumus</w:t>
      </w:r>
      <w:proofErr w:type="spellEnd"/>
      <w:r w:rsidRPr="00694BB7">
        <w:rPr>
          <w:rFonts w:ascii="Times New Roman" w:eastAsia="Calibri" w:hAnsi="Times New Roman"/>
          <w:sz w:val="24"/>
        </w:rPr>
        <w:t>, būtiski kavējot lielas daļas pacientu veselības vajadzību apmierināšanu</w:t>
      </w:r>
      <w:r w:rsidRPr="00694BB7">
        <w:rPr>
          <w:rFonts w:ascii="Times New Roman" w:hAnsi="Times New Roman"/>
          <w:sz w:val="24"/>
          <w:szCs w:val="24"/>
        </w:rPr>
        <w:t xml:space="preserve">. Finansējuma pieaugumu ir paredzēts risināt, palielinot </w:t>
      </w:r>
      <w:r w:rsidR="0037618B" w:rsidRPr="00694BB7">
        <w:rPr>
          <w:rFonts w:ascii="Times New Roman" w:hAnsi="Times New Roman"/>
          <w:sz w:val="24"/>
          <w:szCs w:val="24"/>
          <w:lang w:val="lv-LV"/>
        </w:rPr>
        <w:t>VSAOI</w:t>
      </w:r>
      <w:r w:rsidRPr="00694BB7">
        <w:rPr>
          <w:rFonts w:ascii="Times New Roman" w:hAnsi="Times New Roman"/>
          <w:sz w:val="24"/>
          <w:szCs w:val="24"/>
        </w:rPr>
        <w:t xml:space="preserve"> likmi par vienu procenta punktu un tā novirzīšana veselībai un izmatojot atļauju no </w:t>
      </w:r>
      <w:r w:rsidR="0037618B" w:rsidRPr="00694BB7">
        <w:rPr>
          <w:rFonts w:ascii="Times New Roman" w:hAnsi="Times New Roman"/>
          <w:sz w:val="24"/>
          <w:szCs w:val="24"/>
          <w:lang w:val="lv-LV"/>
        </w:rPr>
        <w:t>EK</w:t>
      </w:r>
      <w:r w:rsidRPr="00694BB7">
        <w:rPr>
          <w:rFonts w:ascii="Times New Roman" w:hAnsi="Times New Roman"/>
          <w:sz w:val="24"/>
          <w:szCs w:val="24"/>
        </w:rPr>
        <w:t xml:space="preserve"> izmantot </w:t>
      </w:r>
      <w:r w:rsidR="0037618B" w:rsidRPr="00694BB7">
        <w:rPr>
          <w:rFonts w:ascii="Times New Roman" w:hAnsi="Times New Roman"/>
          <w:sz w:val="24"/>
          <w:szCs w:val="24"/>
          <w:lang w:val="lv-LV"/>
        </w:rPr>
        <w:t>SIP</w:t>
      </w:r>
      <w:r w:rsidRPr="00694BB7">
        <w:rPr>
          <w:rFonts w:ascii="Times New Roman" w:hAnsi="Times New Roman"/>
          <w:sz w:val="24"/>
          <w:szCs w:val="24"/>
        </w:rPr>
        <w:t xml:space="preserve"> elastības mehānismu attiecībā uz strukturālajām reformām.</w:t>
      </w:r>
      <w:r w:rsidRPr="00CE0D44">
        <w:rPr>
          <w:rFonts w:ascii="Times New Roman" w:hAnsi="Times New Roman"/>
          <w:sz w:val="24"/>
          <w:szCs w:val="24"/>
        </w:rPr>
        <w:t xml:space="preserve"> Jāatzīmē, ka </w:t>
      </w:r>
      <w:r w:rsidR="0037618B">
        <w:rPr>
          <w:rFonts w:ascii="Times New Roman" w:hAnsi="Times New Roman"/>
          <w:sz w:val="24"/>
          <w:szCs w:val="24"/>
          <w:lang w:val="lv-LV"/>
        </w:rPr>
        <w:t>VSAOI</w:t>
      </w:r>
      <w:r w:rsidRPr="00CE0D44">
        <w:rPr>
          <w:rFonts w:ascii="Times New Roman" w:hAnsi="Times New Roman"/>
          <w:sz w:val="24"/>
          <w:szCs w:val="24"/>
        </w:rPr>
        <w:t xml:space="preserve"> likmes palielināšana nodrošina stabilu papildus finansējumu veselības nozarei, bet strukturālo reformu a</w:t>
      </w:r>
      <w:r w:rsidR="0037618B">
        <w:rPr>
          <w:rFonts w:ascii="Times New Roman" w:hAnsi="Times New Roman"/>
          <w:sz w:val="24"/>
          <w:szCs w:val="24"/>
        </w:rPr>
        <w:t>tkāpe darbojas tikai līdz 2019.</w:t>
      </w:r>
      <w:r w:rsidRPr="00CE0D44">
        <w:rPr>
          <w:rFonts w:ascii="Times New Roman" w:hAnsi="Times New Roman"/>
          <w:sz w:val="24"/>
          <w:szCs w:val="24"/>
        </w:rPr>
        <w:t>gada</w:t>
      </w:r>
      <w:r w:rsidR="0037618B">
        <w:rPr>
          <w:rFonts w:ascii="Times New Roman" w:hAnsi="Times New Roman"/>
          <w:sz w:val="24"/>
          <w:szCs w:val="24"/>
          <w:lang w:val="lv-LV"/>
        </w:rPr>
        <w:t>m</w:t>
      </w:r>
      <w:r w:rsidRPr="00CE0D44">
        <w:rPr>
          <w:rFonts w:ascii="Times New Roman" w:hAnsi="Times New Roman"/>
          <w:sz w:val="24"/>
          <w:szCs w:val="24"/>
        </w:rPr>
        <w:t xml:space="preserve">. </w:t>
      </w:r>
      <w:r w:rsidRPr="00CE0D44">
        <w:rPr>
          <w:rFonts w:ascii="Times New Roman" w:hAnsi="Times New Roman"/>
          <w:sz w:val="24"/>
          <w:szCs w:val="24"/>
          <w:lang w:val="lv-LV"/>
        </w:rPr>
        <w:t xml:space="preserve">Aktuālais </w:t>
      </w:r>
      <w:r w:rsidR="0037618B">
        <w:rPr>
          <w:rFonts w:ascii="Times New Roman" w:hAnsi="Times New Roman"/>
          <w:sz w:val="24"/>
          <w:szCs w:val="24"/>
          <w:lang w:val="lv-LV"/>
        </w:rPr>
        <w:t>VTBIL</w:t>
      </w:r>
      <w:r w:rsidR="0037618B">
        <w:rPr>
          <w:rFonts w:ascii="Times New Roman" w:hAnsi="Times New Roman"/>
          <w:sz w:val="24"/>
          <w:szCs w:val="24"/>
        </w:rPr>
        <w:t xml:space="preserve"> paredz, ka 2020.</w:t>
      </w:r>
      <w:r w:rsidRPr="00CE0D44">
        <w:rPr>
          <w:rFonts w:ascii="Times New Roman" w:hAnsi="Times New Roman"/>
          <w:sz w:val="24"/>
          <w:szCs w:val="24"/>
        </w:rPr>
        <w:t>gadā strukturālo reformu atkāpes finansējuma zudums tiek kompensēts pilnā apmē</w:t>
      </w:r>
      <w:r w:rsidR="0037618B">
        <w:rPr>
          <w:rFonts w:ascii="Times New Roman" w:hAnsi="Times New Roman"/>
          <w:sz w:val="24"/>
          <w:szCs w:val="24"/>
        </w:rPr>
        <w:t>rā, piešķirot no 2020.</w:t>
      </w:r>
      <w:r w:rsidRPr="00CE0D44">
        <w:rPr>
          <w:rFonts w:ascii="Times New Roman" w:hAnsi="Times New Roman"/>
          <w:sz w:val="24"/>
          <w:szCs w:val="24"/>
        </w:rPr>
        <w:t xml:space="preserve">gada fiskālās telpas 144 </w:t>
      </w:r>
      <w:r w:rsidR="0037618B">
        <w:rPr>
          <w:rFonts w:ascii="Times New Roman" w:hAnsi="Times New Roman"/>
          <w:sz w:val="24"/>
          <w:szCs w:val="24"/>
          <w:lang w:val="lv-LV"/>
        </w:rPr>
        <w:t>milj.</w:t>
      </w:r>
      <w:r w:rsidRPr="00CE0D44">
        <w:rPr>
          <w:rFonts w:ascii="Times New Roman" w:hAnsi="Times New Roman"/>
          <w:sz w:val="24"/>
          <w:szCs w:val="24"/>
        </w:rPr>
        <w:t xml:space="preserve"> </w:t>
      </w:r>
      <w:proofErr w:type="spellStart"/>
      <w:r w:rsidR="0037618B">
        <w:rPr>
          <w:rFonts w:ascii="Times New Roman" w:hAnsi="Times New Roman"/>
          <w:i/>
          <w:sz w:val="24"/>
          <w:szCs w:val="24"/>
          <w:lang w:val="lv-LV"/>
        </w:rPr>
        <w:t>euro</w:t>
      </w:r>
      <w:proofErr w:type="spellEnd"/>
      <w:r w:rsidRPr="00CE0D44">
        <w:rPr>
          <w:rFonts w:ascii="Times New Roman" w:hAnsi="Times New Roman"/>
          <w:sz w:val="24"/>
          <w:szCs w:val="24"/>
        </w:rPr>
        <w:t xml:space="preserve"> veselības nozarei. Tādejādi tiek nodrošināts stabils finansējuma pieaugums veselības nozarei. </w:t>
      </w:r>
    </w:p>
    <w:p w14:paraId="7FA3C6E1" w14:textId="09B7F08E" w:rsidR="002A677B" w:rsidRDefault="002A677B" w:rsidP="00CF5F3A">
      <w:pPr>
        <w:pStyle w:val="ListParagraph"/>
        <w:spacing w:after="60"/>
        <w:ind w:left="567"/>
        <w:jc w:val="both"/>
        <w:rPr>
          <w:rFonts w:ascii="Times New Roman" w:hAnsi="Times New Roman"/>
          <w:sz w:val="24"/>
          <w:szCs w:val="24"/>
        </w:rPr>
      </w:pPr>
      <w:r w:rsidRPr="00CE0D44">
        <w:rPr>
          <w:rFonts w:ascii="Times New Roman" w:hAnsi="Times New Roman"/>
          <w:sz w:val="24"/>
          <w:szCs w:val="24"/>
        </w:rPr>
        <w:t>Lai nodrošinātu ilgtspējīgu ekonomikas izaugsmi virs 3% no IKP, nepieciešams nodrošināt trīs faktorus – bruto pamatkapitāla pieaugumu, produktivitātes pieaugumu un darbaspēka pieaugumu. Pirmais faktors</w:t>
      </w:r>
      <w:r w:rsidR="0037618B">
        <w:rPr>
          <w:rFonts w:ascii="Times New Roman" w:hAnsi="Times New Roman"/>
          <w:sz w:val="24"/>
          <w:szCs w:val="24"/>
        </w:rPr>
        <w:t xml:space="preserve"> ir lielā mērā stabils. Latvijā</w:t>
      </w:r>
      <w:r w:rsidRPr="00CE0D44">
        <w:rPr>
          <w:rFonts w:ascii="Times New Roman" w:hAnsi="Times New Roman"/>
          <w:sz w:val="24"/>
          <w:szCs w:val="24"/>
        </w:rPr>
        <w:t xml:space="preserve"> darbaspēka pieaugums arī nav prognozējams, jo pensionēšanās vecuma palielināšana vienīgi kompensē iedzīvotāju skaita samazināšanos. Tāpēc līdzās produktivitātes kāpināšanai, kas vidējā termiņā ir galvenais faktors potenciālā IKP izaugsmes nodrošināšanā, svarīgi ir arī īstenot politiku, kas nodrošinātu darbaspēka pieaugumu. Šajā ziņā būtiski ir radīt ekonomiski labvēlīgus apstākļus ģimeņu skaita ar trīs un vairāk bērniem pieaugumam. </w:t>
      </w:r>
      <w:r w:rsidRPr="00CE0D44">
        <w:rPr>
          <w:rFonts w:ascii="Times New Roman" w:hAnsi="Times New Roman"/>
          <w:b/>
          <w:sz w:val="24"/>
          <w:szCs w:val="24"/>
        </w:rPr>
        <w:t xml:space="preserve">Tāpēc šī gada </w:t>
      </w:r>
      <w:r>
        <w:rPr>
          <w:rFonts w:ascii="Times New Roman" w:hAnsi="Times New Roman"/>
          <w:b/>
          <w:sz w:val="24"/>
          <w:szCs w:val="24"/>
          <w:lang w:val="lv-LV"/>
        </w:rPr>
        <w:t>budžetā</w:t>
      </w:r>
      <w:r w:rsidRPr="00CE0D44">
        <w:rPr>
          <w:rFonts w:ascii="Times New Roman" w:hAnsi="Times New Roman"/>
          <w:b/>
          <w:sz w:val="24"/>
          <w:szCs w:val="24"/>
        </w:rPr>
        <w:t xml:space="preserve"> ir piešķirts būtisks finansējuma pieaugums demogrāfijas pasākumiem</w:t>
      </w:r>
      <w:r w:rsidR="0037618B">
        <w:rPr>
          <w:rFonts w:ascii="Times New Roman" w:hAnsi="Times New Roman"/>
          <w:sz w:val="24"/>
          <w:szCs w:val="24"/>
        </w:rPr>
        <w:t xml:space="preserve"> – 2018.</w:t>
      </w:r>
      <w:r w:rsidRPr="00CE0D44">
        <w:rPr>
          <w:rFonts w:ascii="Times New Roman" w:hAnsi="Times New Roman"/>
          <w:sz w:val="24"/>
          <w:szCs w:val="24"/>
        </w:rPr>
        <w:t xml:space="preserve">gadā piešķirts papildus finansējums 28 </w:t>
      </w:r>
      <w:r w:rsidR="0037618B">
        <w:rPr>
          <w:rFonts w:ascii="Times New Roman" w:hAnsi="Times New Roman"/>
          <w:sz w:val="24"/>
          <w:szCs w:val="24"/>
          <w:lang w:val="lv-LV"/>
        </w:rPr>
        <w:t>milj.</w:t>
      </w:r>
      <w:r w:rsidRPr="00CE0D44">
        <w:rPr>
          <w:rFonts w:ascii="Times New Roman" w:hAnsi="Times New Roman"/>
          <w:sz w:val="24"/>
          <w:szCs w:val="24"/>
        </w:rPr>
        <w:t xml:space="preserve"> </w:t>
      </w:r>
      <w:proofErr w:type="spellStart"/>
      <w:r w:rsidR="0037618B">
        <w:rPr>
          <w:rFonts w:ascii="Times New Roman" w:hAnsi="Times New Roman"/>
          <w:i/>
          <w:sz w:val="24"/>
          <w:szCs w:val="24"/>
          <w:lang w:val="lv-LV"/>
        </w:rPr>
        <w:t>euro</w:t>
      </w:r>
      <w:proofErr w:type="spellEnd"/>
      <w:r w:rsidRPr="00CE0D44">
        <w:rPr>
          <w:rFonts w:ascii="Times New Roman" w:hAnsi="Times New Roman"/>
          <w:sz w:val="24"/>
          <w:szCs w:val="24"/>
        </w:rPr>
        <w:t xml:space="preserve"> ar bāzes efektu uz turpmākajiem</w:t>
      </w:r>
      <w:r>
        <w:rPr>
          <w:rFonts w:ascii="Times New Roman" w:hAnsi="Times New Roman"/>
          <w:sz w:val="24"/>
          <w:szCs w:val="24"/>
          <w:lang w:val="lv-LV"/>
        </w:rPr>
        <w:t xml:space="preserve"> gadiem</w:t>
      </w:r>
      <w:r w:rsidRPr="00CE0D44">
        <w:rPr>
          <w:rFonts w:ascii="Times New Roman" w:hAnsi="Times New Roman"/>
          <w:sz w:val="24"/>
          <w:szCs w:val="24"/>
        </w:rPr>
        <w:t xml:space="preserve">. Pamatā papildus finansējumu plānots novirzīt pabalstu palielināšanai par </w:t>
      </w:r>
      <w:r w:rsidR="0037618B">
        <w:rPr>
          <w:rFonts w:ascii="Times New Roman" w:hAnsi="Times New Roman"/>
          <w:sz w:val="24"/>
          <w:szCs w:val="24"/>
        </w:rPr>
        <w:t>trešo bērnu un vairāk bērniem.</w:t>
      </w:r>
    </w:p>
    <w:p w14:paraId="4911A0EC" w14:textId="44C59D4A" w:rsidR="002A677B" w:rsidRPr="000A1A6C" w:rsidRDefault="002A677B" w:rsidP="00CF5F3A">
      <w:pPr>
        <w:pStyle w:val="ListParagraph"/>
        <w:spacing w:after="60"/>
        <w:ind w:left="567"/>
        <w:jc w:val="both"/>
        <w:rPr>
          <w:rFonts w:ascii="Times New Roman" w:hAnsi="Times New Roman"/>
          <w:sz w:val="24"/>
          <w:szCs w:val="24"/>
        </w:rPr>
      </w:pPr>
      <w:r w:rsidRPr="005E6FEB">
        <w:rPr>
          <w:rFonts w:ascii="Times New Roman" w:hAnsi="Times New Roman"/>
          <w:b/>
          <w:sz w:val="24"/>
          <w:szCs w:val="24"/>
        </w:rPr>
        <w:t>Finansējums Latvijas autoceļu remontam un uzturēšanai</w:t>
      </w:r>
      <w:r w:rsidRPr="005E6FEB">
        <w:rPr>
          <w:rFonts w:ascii="Times New Roman" w:hAnsi="Times New Roman"/>
          <w:sz w:val="24"/>
          <w:szCs w:val="24"/>
        </w:rPr>
        <w:t xml:space="preserve"> ir bijis relatīvi zems, salīdzinot ar Baltijas kaimiņvalstīm un būtiskāko finansējuma daļu veido ES struktūrfondu finansējums. Turpmākajos gados ES struktūrfondu finansējums būtiski samazināsies, jo ceļu nozare ir faktiski jau apguvusi ceļu nozarei piešķirto finansējumu. Šie apstākļi šogad jo īpaši asi ir aktualizējuši jautājumu par valsts budžeta finansējumu ceļu nozarei, liekot aktualizēt jautājumu par degvielas akcīzes nodokļa sasaistīšanu ar ceļu nozares finansējumu, kā arī likumā “Par autoceļiem” iestrādāt normas, kas nodrošinātu stabilu un prognozējamu valsts budžeta finansējuma pieaugumu. Pašlaik jautājums sistēmiski vēl nav atrisināts un turpmākajos gados plānotas diskusijas par optimālo mehānismu, tai skaitā potenciālo autoceļu fonda kā speciālā budžeta atjaunošanu. Kā vidēja termiņa risinājumu </w:t>
      </w:r>
      <w:r>
        <w:rPr>
          <w:rFonts w:ascii="Times New Roman" w:hAnsi="Times New Roman"/>
          <w:sz w:val="24"/>
          <w:szCs w:val="24"/>
          <w:lang w:val="lv-LV"/>
        </w:rPr>
        <w:t xml:space="preserve">aktuālais </w:t>
      </w:r>
      <w:r w:rsidR="0037618B">
        <w:rPr>
          <w:rFonts w:ascii="Times New Roman" w:hAnsi="Times New Roman"/>
          <w:sz w:val="24"/>
          <w:szCs w:val="24"/>
          <w:lang w:val="lv-LV"/>
        </w:rPr>
        <w:t>VTBIL</w:t>
      </w:r>
      <w:r w:rsidRPr="005E6FEB">
        <w:rPr>
          <w:rFonts w:ascii="Times New Roman" w:hAnsi="Times New Roman"/>
          <w:sz w:val="24"/>
          <w:szCs w:val="24"/>
        </w:rPr>
        <w:t xml:space="preserve"> paredz finansējuma pieaugumu autoceļu uzturēšanai par 26 </w:t>
      </w:r>
      <w:r w:rsidR="0037618B">
        <w:rPr>
          <w:rFonts w:ascii="Times New Roman" w:hAnsi="Times New Roman"/>
          <w:sz w:val="24"/>
          <w:szCs w:val="24"/>
          <w:lang w:val="lv-LV"/>
        </w:rPr>
        <w:t>milj.</w:t>
      </w:r>
      <w:r w:rsidRPr="005E6FEB">
        <w:rPr>
          <w:rFonts w:ascii="Times New Roman" w:hAnsi="Times New Roman"/>
          <w:sz w:val="24"/>
          <w:szCs w:val="24"/>
        </w:rPr>
        <w:t xml:space="preserve"> </w:t>
      </w:r>
      <w:proofErr w:type="spellStart"/>
      <w:r w:rsidR="0037618B">
        <w:rPr>
          <w:rFonts w:ascii="Times New Roman" w:hAnsi="Times New Roman"/>
          <w:i/>
          <w:sz w:val="24"/>
          <w:szCs w:val="24"/>
          <w:lang w:val="lv-LV"/>
        </w:rPr>
        <w:t>euro</w:t>
      </w:r>
      <w:proofErr w:type="spellEnd"/>
      <w:r w:rsidRPr="005E6FEB">
        <w:rPr>
          <w:rFonts w:ascii="Times New Roman" w:hAnsi="Times New Roman"/>
          <w:sz w:val="24"/>
          <w:szCs w:val="24"/>
        </w:rPr>
        <w:t xml:space="preserve"> 2018.</w:t>
      </w:r>
      <w:r>
        <w:rPr>
          <w:rFonts w:ascii="Times New Roman" w:hAnsi="Times New Roman"/>
          <w:sz w:val="24"/>
          <w:szCs w:val="24"/>
          <w:lang w:val="lv-LV"/>
        </w:rPr>
        <w:t>gadā</w:t>
      </w:r>
      <w:r w:rsidR="0037618B">
        <w:rPr>
          <w:rFonts w:ascii="Times New Roman" w:hAnsi="Times New Roman"/>
          <w:sz w:val="24"/>
          <w:szCs w:val="24"/>
        </w:rPr>
        <w:t xml:space="preserve"> ar bāzes efektu uz 2019.</w:t>
      </w:r>
      <w:r w:rsidRPr="005E6FEB">
        <w:rPr>
          <w:rFonts w:ascii="Times New Roman" w:hAnsi="Times New Roman"/>
          <w:sz w:val="24"/>
          <w:szCs w:val="24"/>
        </w:rPr>
        <w:t xml:space="preserve">gadu </w:t>
      </w:r>
      <w:r w:rsidRPr="005E6FEB">
        <w:rPr>
          <w:rFonts w:ascii="Times New Roman" w:hAnsi="Times New Roman"/>
          <w:sz w:val="24"/>
          <w:szCs w:val="24"/>
        </w:rPr>
        <w:lastRenderedPageBreak/>
        <w:t xml:space="preserve">un vēl par 11 </w:t>
      </w:r>
      <w:r w:rsidR="0037618B">
        <w:rPr>
          <w:rFonts w:ascii="Times New Roman" w:hAnsi="Times New Roman"/>
          <w:sz w:val="24"/>
          <w:szCs w:val="24"/>
          <w:lang w:val="lv-LV"/>
        </w:rPr>
        <w:t>milj.</w:t>
      </w:r>
      <w:r w:rsidRPr="005E6FEB">
        <w:rPr>
          <w:rFonts w:ascii="Times New Roman" w:hAnsi="Times New Roman"/>
          <w:sz w:val="24"/>
          <w:szCs w:val="24"/>
        </w:rPr>
        <w:t xml:space="preserve"> </w:t>
      </w:r>
      <w:proofErr w:type="spellStart"/>
      <w:r w:rsidR="0037618B">
        <w:rPr>
          <w:rFonts w:ascii="Times New Roman" w:hAnsi="Times New Roman"/>
          <w:i/>
          <w:sz w:val="24"/>
          <w:szCs w:val="24"/>
          <w:lang w:val="lv-LV"/>
        </w:rPr>
        <w:t>euro</w:t>
      </w:r>
      <w:proofErr w:type="spellEnd"/>
      <w:r w:rsidR="0037618B">
        <w:rPr>
          <w:rFonts w:ascii="Times New Roman" w:hAnsi="Times New Roman"/>
          <w:sz w:val="24"/>
          <w:szCs w:val="24"/>
        </w:rPr>
        <w:t xml:space="preserve"> 2020.</w:t>
      </w:r>
      <w:r w:rsidRPr="005E6FEB">
        <w:rPr>
          <w:rFonts w:ascii="Times New Roman" w:hAnsi="Times New Roman"/>
          <w:sz w:val="24"/>
          <w:szCs w:val="24"/>
        </w:rPr>
        <w:t xml:space="preserve">gadā un tas ir nozīmīgākais finansējuma pieaugums šai nozarei pēdējo gadu laikā. Šis finansējuma pieaugums apjoma ziņā ir salīdzināms ar ieņēmumu pieaugumu no nodokļu reformas paketē pieņemto akcīzes nodokļa degvielai palielināšanu un konceptuāli iezīmē saiti starp jauniem politikas pasākumiem degvielas akcīzei un </w:t>
      </w:r>
      <w:r w:rsidR="0037618B">
        <w:rPr>
          <w:rFonts w:ascii="Times New Roman" w:hAnsi="Times New Roman"/>
          <w:sz w:val="24"/>
          <w:szCs w:val="24"/>
        </w:rPr>
        <w:t>izdevumu dinamiku ceļu nozarei.</w:t>
      </w:r>
      <w:r w:rsidRPr="005E6FEB">
        <w:rPr>
          <w:rFonts w:ascii="Times New Roman" w:hAnsi="Times New Roman"/>
          <w:sz w:val="24"/>
          <w:szCs w:val="24"/>
        </w:rPr>
        <w:t xml:space="preserve"> Kopā ar plānoto ES struktūrfondu 6% rezerves atbrīvošanu ceļu nozarei, tiek lēsts, ka šie pasākumi ļaus nodrošināt ceļu remontu un uzturēšanas darbu apjomus līdzšinējā apjomā.</w:t>
      </w:r>
      <w:r w:rsidRPr="0025127B">
        <w:rPr>
          <w:rFonts w:ascii="Times New Roman" w:hAnsi="Times New Roman"/>
          <w:sz w:val="24"/>
          <w:szCs w:val="24"/>
        </w:rPr>
        <w:t xml:space="preserve"> </w:t>
      </w:r>
    </w:p>
    <w:p w14:paraId="445748E3" w14:textId="37704217" w:rsidR="002A677B" w:rsidRPr="00A100B4" w:rsidRDefault="002A677B" w:rsidP="00CF5F3A">
      <w:pPr>
        <w:pStyle w:val="ListParagraph"/>
        <w:numPr>
          <w:ilvl w:val="0"/>
          <w:numId w:val="3"/>
        </w:numPr>
        <w:spacing w:after="60"/>
        <w:ind w:left="567"/>
        <w:jc w:val="both"/>
        <w:rPr>
          <w:rFonts w:ascii="Times New Roman" w:eastAsia="Calibri" w:hAnsi="Times New Roman"/>
          <w:sz w:val="24"/>
          <w:szCs w:val="24"/>
        </w:rPr>
      </w:pPr>
      <w:r w:rsidRPr="00A100B4">
        <w:rPr>
          <w:rFonts w:ascii="Times New Roman" w:hAnsi="Times New Roman"/>
          <w:bCs/>
          <w:sz w:val="24"/>
          <w:szCs w:val="24"/>
          <w:u w:val="single"/>
          <w:shd w:val="clear" w:color="auto" w:fill="FFFFFF"/>
        </w:rPr>
        <w:t>Valsts budžeta bāzes izdevumu pārskatīšana.</w:t>
      </w:r>
      <w:r w:rsidRPr="00A100B4">
        <w:rPr>
          <w:rFonts w:ascii="Times New Roman" w:hAnsi="Times New Roman"/>
          <w:bCs/>
          <w:sz w:val="24"/>
          <w:szCs w:val="24"/>
          <w:shd w:val="clear" w:color="auto" w:fill="FFFFFF"/>
          <w:lang w:val="lv-LV"/>
        </w:rPr>
        <w:t xml:space="preserve"> 2018.gadam izdevumu pārskatīšanas rezultātā iegūtie resursi veido 81,1 milj. </w:t>
      </w:r>
      <w:proofErr w:type="spellStart"/>
      <w:r w:rsidRPr="0037618B">
        <w:rPr>
          <w:rFonts w:ascii="Times New Roman" w:hAnsi="Times New Roman"/>
          <w:bCs/>
          <w:i/>
          <w:sz w:val="24"/>
          <w:szCs w:val="24"/>
          <w:shd w:val="clear" w:color="auto" w:fill="FFFFFF"/>
          <w:lang w:val="lv-LV"/>
        </w:rPr>
        <w:t>euro</w:t>
      </w:r>
      <w:proofErr w:type="spellEnd"/>
      <w:r w:rsidRPr="00A100B4">
        <w:rPr>
          <w:rFonts w:ascii="Times New Roman" w:hAnsi="Times New Roman"/>
          <w:bCs/>
          <w:sz w:val="24"/>
          <w:szCs w:val="24"/>
          <w:shd w:val="clear" w:color="auto" w:fill="FFFFFF"/>
          <w:lang w:val="lv-LV"/>
        </w:rPr>
        <w:t xml:space="preserve">, kas pēc pielietojuma veida tika sadalīti attiecīgi 28,6 milj. </w:t>
      </w:r>
      <w:proofErr w:type="spellStart"/>
      <w:r w:rsidRPr="0037618B">
        <w:rPr>
          <w:rFonts w:ascii="Times New Roman" w:hAnsi="Times New Roman"/>
          <w:bCs/>
          <w:i/>
          <w:sz w:val="24"/>
          <w:szCs w:val="24"/>
          <w:shd w:val="clear" w:color="auto" w:fill="FFFFFF"/>
          <w:lang w:val="lv-LV"/>
        </w:rPr>
        <w:t>euro</w:t>
      </w:r>
      <w:proofErr w:type="spellEnd"/>
      <w:r w:rsidR="0037618B">
        <w:rPr>
          <w:rFonts w:ascii="Times New Roman" w:hAnsi="Times New Roman"/>
          <w:bCs/>
          <w:sz w:val="24"/>
          <w:szCs w:val="24"/>
          <w:shd w:val="clear" w:color="auto" w:fill="FFFFFF"/>
          <w:lang w:val="lv-LV"/>
        </w:rPr>
        <w:t xml:space="preserve"> kopējām prioritātēm un </w:t>
      </w:r>
      <w:r w:rsidRPr="00A100B4">
        <w:rPr>
          <w:rFonts w:ascii="Times New Roman" w:hAnsi="Times New Roman"/>
          <w:bCs/>
          <w:sz w:val="24"/>
          <w:szCs w:val="24"/>
          <w:shd w:val="clear" w:color="auto" w:fill="FFFFFF"/>
          <w:lang w:val="lv-LV"/>
        </w:rPr>
        <w:t xml:space="preserve">52,5 milj. </w:t>
      </w:r>
      <w:proofErr w:type="spellStart"/>
      <w:r w:rsidRPr="0037618B">
        <w:rPr>
          <w:rFonts w:ascii="Times New Roman" w:hAnsi="Times New Roman"/>
          <w:bCs/>
          <w:i/>
          <w:sz w:val="24"/>
          <w:szCs w:val="24"/>
          <w:shd w:val="clear" w:color="auto" w:fill="FFFFFF"/>
          <w:lang w:val="lv-LV"/>
        </w:rPr>
        <w:t>euro</w:t>
      </w:r>
      <w:proofErr w:type="spellEnd"/>
      <w:r w:rsidRPr="00A100B4">
        <w:rPr>
          <w:rFonts w:ascii="Times New Roman" w:hAnsi="Times New Roman"/>
          <w:bCs/>
          <w:sz w:val="24"/>
          <w:szCs w:val="24"/>
          <w:shd w:val="clear" w:color="auto" w:fill="FFFFFF"/>
          <w:lang w:val="lv-LV"/>
        </w:rPr>
        <w:t xml:space="preserve"> tika novirzīti kā iekšējie resursi pašu nozaru prioritāšu finansēšanai. </w:t>
      </w:r>
      <w:r w:rsidRPr="00A100B4">
        <w:rPr>
          <w:rFonts w:ascii="Times New Roman" w:eastAsia="Calibri" w:hAnsi="Times New Roman"/>
          <w:color w:val="000000"/>
          <w:sz w:val="24"/>
          <w:szCs w:val="24"/>
        </w:rPr>
        <w:t>Valsts budžeta izdevumu pārskatīšana turpmāk ir iedibināts kā pastāvīgs un sistemātisks process, ko nosaka grozījumi Likumā par budžetu un finanšu vadību, kas stājās spēkā 2016.gada 1.janvārī.</w:t>
      </w:r>
      <w:r w:rsidRPr="00A100B4">
        <w:rPr>
          <w:rFonts w:ascii="Times New Roman" w:hAnsi="Times New Roman"/>
          <w:bCs/>
          <w:sz w:val="24"/>
          <w:szCs w:val="24"/>
          <w:shd w:val="clear" w:color="auto" w:fill="FFFFFF"/>
          <w:lang w:val="lv-LV"/>
        </w:rPr>
        <w:t xml:space="preserve"> </w:t>
      </w:r>
    </w:p>
    <w:p w14:paraId="63940D6C" w14:textId="2318C3EF" w:rsidR="002A677B" w:rsidRPr="00AF5E94" w:rsidRDefault="002A677B" w:rsidP="00CF5F3A">
      <w:pPr>
        <w:pStyle w:val="ListParagraph"/>
        <w:numPr>
          <w:ilvl w:val="0"/>
          <w:numId w:val="3"/>
        </w:numPr>
        <w:spacing w:after="60"/>
        <w:ind w:left="567"/>
        <w:jc w:val="both"/>
        <w:rPr>
          <w:rFonts w:ascii="Times New Roman" w:hAnsi="Times New Roman"/>
          <w:bCs/>
          <w:sz w:val="24"/>
          <w:szCs w:val="24"/>
          <w:shd w:val="clear" w:color="auto" w:fill="FFFFFF"/>
        </w:rPr>
      </w:pPr>
      <w:r w:rsidRPr="00AF5E94">
        <w:rPr>
          <w:rFonts w:ascii="Times New Roman" w:hAnsi="Times New Roman"/>
          <w:bCs/>
          <w:sz w:val="24"/>
          <w:szCs w:val="24"/>
          <w:u w:val="single"/>
          <w:shd w:val="clear" w:color="auto" w:fill="FFFFFF"/>
        </w:rPr>
        <w:t xml:space="preserve">Nodokļu </w:t>
      </w:r>
      <w:proofErr w:type="spellStart"/>
      <w:r w:rsidRPr="00AF5E94">
        <w:rPr>
          <w:rFonts w:ascii="Times New Roman" w:hAnsi="Times New Roman"/>
          <w:bCs/>
          <w:sz w:val="24"/>
          <w:szCs w:val="24"/>
          <w:u w:val="single"/>
          <w:shd w:val="clear" w:color="auto" w:fill="FFFFFF"/>
        </w:rPr>
        <w:t>iekasējamības</w:t>
      </w:r>
      <w:proofErr w:type="spellEnd"/>
      <w:r w:rsidRPr="00AF5E94">
        <w:rPr>
          <w:rFonts w:ascii="Times New Roman" w:hAnsi="Times New Roman"/>
          <w:bCs/>
          <w:sz w:val="24"/>
          <w:szCs w:val="24"/>
          <w:u w:val="single"/>
          <w:shd w:val="clear" w:color="auto" w:fill="FFFFFF"/>
        </w:rPr>
        <w:t xml:space="preserve"> palielināšana, virzoties uz nodokļu ieņēmumu apjomu pret </w:t>
      </w:r>
      <w:r w:rsidR="0037618B">
        <w:rPr>
          <w:rFonts w:ascii="Times New Roman" w:hAnsi="Times New Roman"/>
          <w:bCs/>
          <w:sz w:val="24"/>
          <w:szCs w:val="24"/>
          <w:u w:val="single"/>
          <w:shd w:val="clear" w:color="auto" w:fill="FFFFFF"/>
          <w:lang w:val="lv-LV"/>
        </w:rPr>
        <w:t>IKP</w:t>
      </w:r>
      <w:r w:rsidRPr="00AF5E94">
        <w:rPr>
          <w:rFonts w:ascii="Times New Roman" w:hAnsi="Times New Roman"/>
          <w:bCs/>
          <w:sz w:val="24"/>
          <w:szCs w:val="24"/>
          <w:u w:val="single"/>
          <w:shd w:val="clear" w:color="auto" w:fill="FFFFFF"/>
        </w:rPr>
        <w:t xml:space="preserve"> 1/3 apmērā.</w:t>
      </w:r>
      <w:r w:rsidRPr="00AF5E94">
        <w:rPr>
          <w:rFonts w:ascii="Times New Roman" w:hAnsi="Times New Roman"/>
          <w:bCs/>
          <w:sz w:val="24"/>
          <w:szCs w:val="24"/>
          <w:shd w:val="clear" w:color="auto" w:fill="FFFFFF"/>
        </w:rPr>
        <w:t xml:space="preserve"> Latvija tradicionāli ir valsts ar relatīvi zemu nodokļu slogu, kas ir arī viens no zemākajiem rādītājiem ES. Iepriekšējos </w:t>
      </w:r>
      <w:r w:rsidR="0037618B">
        <w:rPr>
          <w:rFonts w:ascii="Times New Roman" w:hAnsi="Times New Roman"/>
          <w:bCs/>
          <w:sz w:val="24"/>
          <w:szCs w:val="24"/>
          <w:shd w:val="clear" w:color="auto" w:fill="FFFFFF"/>
          <w:lang w:val="lv-LV"/>
        </w:rPr>
        <w:t>VTBIL</w:t>
      </w:r>
      <w:r w:rsidRPr="00AF5E94">
        <w:rPr>
          <w:rFonts w:ascii="Times New Roman" w:hAnsi="Times New Roman"/>
          <w:bCs/>
          <w:sz w:val="24"/>
          <w:szCs w:val="24"/>
          <w:shd w:val="clear" w:color="auto" w:fill="FFFFFF"/>
        </w:rPr>
        <w:t xml:space="preserve"> kā prioritāte tika izvirzīta nodokļu ieņēmumu palielināšana ar mērķi sasniegt 1/3 no IKP. Arī šajā </w:t>
      </w:r>
      <w:r w:rsidR="0037618B">
        <w:rPr>
          <w:rFonts w:ascii="Times New Roman" w:hAnsi="Times New Roman"/>
          <w:bCs/>
          <w:sz w:val="24"/>
          <w:szCs w:val="24"/>
          <w:shd w:val="clear" w:color="auto" w:fill="FFFFFF"/>
          <w:lang w:val="lv-LV"/>
        </w:rPr>
        <w:t>VTBIL</w:t>
      </w:r>
      <w:r w:rsidRPr="00AF5E94">
        <w:rPr>
          <w:rFonts w:ascii="Times New Roman" w:hAnsi="Times New Roman"/>
          <w:bCs/>
          <w:sz w:val="24"/>
          <w:szCs w:val="24"/>
          <w:shd w:val="clear" w:color="auto" w:fill="FFFFFF"/>
        </w:rPr>
        <w:t xml:space="preserve"> šis mērķis tiek saglabāts, tomēr akcenti ir savādāki. Šogad tika pieņemta vērienīga nodokļu reformas pakete, kuras mērķis ir nodrošināt ekonomikas izrāvienu un kas ietver pasākumus, kuru tiešais efekts ir ieņēmumu samazinājums vidējā termiņā – to nosaka gan IIN likmes samazināšana, gan UIN avansa maksājumu atcelšana. Šie pasākumi bija nepieciešami, lai uzlabotu uzņēmējdarbības vidi, samazinot darbaspēka izmaksas un sekmējot uzņēmumu bilanču uzlabošanu. Tādā nozīmē fiskālās politikas mērķis - sekmēt izaugsmi un kāpināt nodokļu ieņēmumus pret IKP - ir zināmā mērā pretrunīgi un aktuālajā </w:t>
      </w:r>
      <w:r w:rsidR="0037618B">
        <w:rPr>
          <w:rFonts w:ascii="Times New Roman" w:hAnsi="Times New Roman"/>
          <w:bCs/>
          <w:sz w:val="24"/>
          <w:szCs w:val="24"/>
          <w:shd w:val="clear" w:color="auto" w:fill="FFFFFF"/>
          <w:lang w:val="lv-LV"/>
        </w:rPr>
        <w:t>VTBIL</w:t>
      </w:r>
      <w:r w:rsidRPr="00AF5E94">
        <w:rPr>
          <w:rFonts w:ascii="Times New Roman" w:hAnsi="Times New Roman"/>
          <w:bCs/>
          <w:sz w:val="24"/>
          <w:szCs w:val="24"/>
          <w:shd w:val="clear" w:color="auto" w:fill="FFFFFF"/>
        </w:rPr>
        <w:t xml:space="preserve"> ir atrasts politiski pieņemams balanss starp šiem mērķiem. Pieņemtā nodokļu reformas pakete šajā ziņā ir labvēlīgāka ieņēmumu pret IKP nodrošināšanā, nekā sākotnējā reformas versija, kas primāri izvirzīja ekonomikas stimulēšanas mērķi. Pašlaik vairāk kā iepriekšējos gados tiek atzīts, ka svarīgi ir nodrošināt reālo ieņēmumu pieaugumu, lai finansētu valsts vajadzības, nevis primāri koncentrēties uz ieņēmumu attiecību pret IKP. Ja valsts ar politikas pasākumiem nodrošina ilgtermiņā straujāku reālā IKP pieaugumu, kas veicina proporcionāli lielākus reālos ieņēmumus, tad ieņēmumu attiecība pret IKP nav primāri noteicošā. Līdz ar to šis prioritārais attīstības virziens netiek atcelts, bet priekšplānā netiek i</w:t>
      </w:r>
      <w:r w:rsidR="0037618B">
        <w:rPr>
          <w:rFonts w:ascii="Times New Roman" w:hAnsi="Times New Roman"/>
          <w:bCs/>
          <w:sz w:val="24"/>
          <w:szCs w:val="24"/>
          <w:shd w:val="clear" w:color="auto" w:fill="FFFFFF"/>
        </w:rPr>
        <w:t xml:space="preserve">zvirzīts jautājums par to, cik </w:t>
      </w:r>
      <w:r w:rsidRPr="00AF5E94">
        <w:rPr>
          <w:rFonts w:ascii="Times New Roman" w:hAnsi="Times New Roman"/>
          <w:bCs/>
          <w:sz w:val="24"/>
          <w:szCs w:val="24"/>
          <w:shd w:val="clear" w:color="auto" w:fill="FFFFFF"/>
        </w:rPr>
        <w:t>ātri šī attiecība konverģē uz 1/3, bet gan primāri svarīgs ir jau</w:t>
      </w:r>
      <w:r w:rsidR="0037618B">
        <w:rPr>
          <w:rFonts w:ascii="Times New Roman" w:hAnsi="Times New Roman"/>
          <w:bCs/>
          <w:sz w:val="24"/>
          <w:szCs w:val="24"/>
          <w:shd w:val="clear" w:color="auto" w:fill="FFFFFF"/>
        </w:rPr>
        <w:t>tājums par ekonomikas izaugsmi.</w:t>
      </w:r>
    </w:p>
    <w:p w14:paraId="41D3C3B9" w14:textId="5BB48FD9" w:rsidR="002A677B" w:rsidRPr="004D7C4E" w:rsidRDefault="002A677B" w:rsidP="00CF5F3A">
      <w:pPr>
        <w:pStyle w:val="ListParagraph"/>
        <w:numPr>
          <w:ilvl w:val="0"/>
          <w:numId w:val="3"/>
        </w:numPr>
        <w:spacing w:after="60"/>
        <w:ind w:left="567"/>
        <w:jc w:val="both"/>
        <w:rPr>
          <w:rFonts w:ascii="Times New Roman" w:eastAsia="Calibri" w:hAnsi="Times New Roman"/>
          <w:sz w:val="24"/>
          <w:szCs w:val="24"/>
          <w:lang w:val="lv-LV" w:eastAsia="en-US"/>
        </w:rPr>
      </w:pPr>
      <w:r w:rsidRPr="00491992">
        <w:rPr>
          <w:rFonts w:ascii="Times New Roman" w:eastAsia="Calibri" w:hAnsi="Times New Roman"/>
          <w:sz w:val="24"/>
          <w:szCs w:val="24"/>
          <w:u w:val="single"/>
          <w:lang w:val="lv-LV" w:eastAsia="en-US"/>
        </w:rPr>
        <w:t>Iedzīvotāju ienākumu nevienlīdzības mazināšana</w:t>
      </w:r>
      <w:r w:rsidRPr="00491992">
        <w:rPr>
          <w:rFonts w:ascii="Times New Roman" w:eastAsia="Calibri" w:hAnsi="Times New Roman"/>
          <w:sz w:val="24"/>
          <w:szCs w:val="24"/>
          <w:lang w:val="lv-LV" w:eastAsia="en-US"/>
        </w:rPr>
        <w:t xml:space="preserve">. Iepriekšējos </w:t>
      </w:r>
      <w:r w:rsidR="0037618B">
        <w:rPr>
          <w:rFonts w:ascii="Times New Roman" w:eastAsia="Calibri" w:hAnsi="Times New Roman"/>
          <w:sz w:val="24"/>
          <w:szCs w:val="24"/>
          <w:lang w:val="lv-LV" w:eastAsia="en-US"/>
        </w:rPr>
        <w:t>VTBIL</w:t>
      </w:r>
      <w:r w:rsidRPr="004D7C4E">
        <w:rPr>
          <w:rFonts w:ascii="Times New Roman" w:eastAsia="Calibri" w:hAnsi="Times New Roman"/>
          <w:sz w:val="24"/>
          <w:szCs w:val="24"/>
          <w:lang w:val="lv-LV" w:eastAsia="en-US"/>
        </w:rPr>
        <w:t xml:space="preserve"> tika iestrādātas vairākas būtiskas normas iedzīvotāju ienākumu nevienlīdzības mazināšanai, proti, IIN neapliekamā minimuma palielināšana, IIN atvieglojumu palielināšana par apgādībā esošajām personām, valsts sociālā atbalsta sistēmas pilnveidošana, atbalsta shēma mājsaimniecībām ar zemiem ienākumiem, lai kompensētu izdevumu kāpumu elektroenerģijai sakarā ar starta tarifa atcelšanu elektroenerģijas tirgus atvēršanas dēļ, minimālās algas palielināšana, kā arī ieviests diferencētais neapliekamais minimums. </w:t>
      </w:r>
    </w:p>
    <w:p w14:paraId="740861BA" w14:textId="2709043A" w:rsidR="002A677B" w:rsidRPr="004D7C4E" w:rsidRDefault="002A677B" w:rsidP="00CF5F3A">
      <w:pPr>
        <w:pStyle w:val="ListParagraph"/>
        <w:spacing w:after="60"/>
        <w:ind w:left="567"/>
        <w:jc w:val="both"/>
        <w:rPr>
          <w:rFonts w:ascii="Times New Roman" w:eastAsia="Calibri" w:hAnsi="Times New Roman"/>
          <w:sz w:val="24"/>
          <w:szCs w:val="24"/>
          <w:highlight w:val="yellow"/>
        </w:rPr>
      </w:pPr>
      <w:r w:rsidRPr="004D7C4E">
        <w:rPr>
          <w:rFonts w:ascii="Times New Roman" w:eastAsia="Calibri" w:hAnsi="Times New Roman"/>
          <w:sz w:val="24"/>
          <w:szCs w:val="24"/>
          <w:lang w:val="lv-LV" w:eastAsia="en-US"/>
        </w:rPr>
        <w:t xml:space="preserve">Aktuālais </w:t>
      </w:r>
      <w:r>
        <w:rPr>
          <w:rFonts w:ascii="Times New Roman" w:eastAsia="Calibri" w:hAnsi="Times New Roman"/>
          <w:sz w:val="24"/>
          <w:szCs w:val="24"/>
          <w:lang w:val="lv-LV" w:eastAsia="en-US"/>
        </w:rPr>
        <w:t>budžeta likums</w:t>
      </w:r>
      <w:r w:rsidRPr="004D7C4E">
        <w:rPr>
          <w:rFonts w:ascii="Times New Roman" w:eastAsia="Calibri" w:hAnsi="Times New Roman"/>
          <w:sz w:val="24"/>
          <w:szCs w:val="24"/>
          <w:lang w:val="lv-LV" w:eastAsia="en-US"/>
        </w:rPr>
        <w:t xml:space="preserve"> paredz iesāktās</w:t>
      </w:r>
      <w:r>
        <w:rPr>
          <w:rFonts w:ascii="Times New Roman" w:eastAsia="Calibri" w:hAnsi="Times New Roman"/>
          <w:sz w:val="24"/>
          <w:szCs w:val="24"/>
          <w:lang w:val="lv-LV" w:eastAsia="en-US"/>
        </w:rPr>
        <w:t xml:space="preserve"> valdības politikas turpināšanu un lielāko daļu valdības un Saeimas apstiprināto nodok</w:t>
      </w:r>
      <w:r w:rsidR="0037618B">
        <w:rPr>
          <w:rFonts w:ascii="Times New Roman" w:eastAsia="Calibri" w:hAnsi="Times New Roman"/>
          <w:sz w:val="24"/>
          <w:szCs w:val="24"/>
          <w:lang w:val="lv-LV" w:eastAsia="en-US"/>
        </w:rPr>
        <w:t>ļu reformas pasākumu īstenošanu</w:t>
      </w:r>
      <w:r>
        <w:rPr>
          <w:rFonts w:ascii="Times New Roman" w:eastAsia="Calibri" w:hAnsi="Times New Roman"/>
          <w:sz w:val="24"/>
          <w:szCs w:val="24"/>
          <w:lang w:val="lv-LV" w:eastAsia="en-US"/>
        </w:rPr>
        <w:t xml:space="preserve"> jau no 2018.gada -</w:t>
      </w:r>
      <w:r w:rsidRPr="004D7C4E">
        <w:rPr>
          <w:rFonts w:ascii="Times New Roman" w:eastAsia="Calibri" w:hAnsi="Times New Roman"/>
          <w:sz w:val="24"/>
          <w:szCs w:val="24"/>
          <w:lang w:val="lv-LV" w:eastAsia="en-US"/>
        </w:rPr>
        <w:t xml:space="preserve"> palielinot minimālo algu 2018.gadā no 380 līdz 430 </w:t>
      </w:r>
      <w:proofErr w:type="spellStart"/>
      <w:r w:rsidRPr="0037618B">
        <w:rPr>
          <w:rFonts w:ascii="Times New Roman" w:eastAsia="Calibri" w:hAnsi="Times New Roman"/>
          <w:i/>
          <w:sz w:val="24"/>
          <w:szCs w:val="24"/>
          <w:lang w:val="lv-LV" w:eastAsia="en-US"/>
        </w:rPr>
        <w:t>euro</w:t>
      </w:r>
      <w:proofErr w:type="spellEnd"/>
      <w:r w:rsidRPr="004D7C4E">
        <w:rPr>
          <w:rFonts w:ascii="Times New Roman" w:eastAsia="Calibri" w:hAnsi="Times New Roman"/>
          <w:sz w:val="24"/>
          <w:szCs w:val="24"/>
          <w:lang w:val="lv-LV" w:eastAsia="en-US"/>
        </w:rPr>
        <w:t xml:space="preserve">, būtiski paaugstinot </w:t>
      </w:r>
      <w:r w:rsidRPr="004D7C4E">
        <w:rPr>
          <w:rFonts w:ascii="Times New Roman" w:eastAsia="Calibri" w:hAnsi="Times New Roman"/>
          <w:sz w:val="24"/>
          <w:szCs w:val="24"/>
          <w:lang w:val="lv-LV" w:eastAsia="en-US"/>
        </w:rPr>
        <w:lastRenderedPageBreak/>
        <w:t xml:space="preserve">ar </w:t>
      </w:r>
      <w:r w:rsidR="0037618B">
        <w:rPr>
          <w:rFonts w:ascii="Times New Roman" w:eastAsia="Calibri" w:hAnsi="Times New Roman"/>
          <w:sz w:val="24"/>
          <w:szCs w:val="24"/>
          <w:lang w:val="lv-LV" w:eastAsia="en-US"/>
        </w:rPr>
        <w:t>IIN</w:t>
      </w:r>
      <w:r w:rsidRPr="004D7C4E">
        <w:rPr>
          <w:rFonts w:ascii="Times New Roman" w:eastAsia="Calibri" w:hAnsi="Times New Roman"/>
          <w:sz w:val="24"/>
          <w:szCs w:val="24"/>
          <w:lang w:val="lv-LV" w:eastAsia="en-US"/>
        </w:rPr>
        <w:t xml:space="preserve"> neapliekamo diferencēto minimumu (atsakoties no diferencētā neapliekamā minimuma piemērošanas rezumējošā kārtība, un katru mēnesi piemērojot to pilnā apmērā jau taksācijas gada laikā): 2018.gadā atkarībā no ienākuma līmeņa tas svārstīsies no 0 līdz 200 </w:t>
      </w:r>
      <w:proofErr w:type="spellStart"/>
      <w:r w:rsidRPr="00FC1737">
        <w:rPr>
          <w:rFonts w:ascii="Times New Roman" w:eastAsia="Calibri" w:hAnsi="Times New Roman"/>
          <w:i/>
          <w:sz w:val="24"/>
          <w:szCs w:val="24"/>
          <w:lang w:val="lv-LV" w:eastAsia="en-US"/>
        </w:rPr>
        <w:t>euro</w:t>
      </w:r>
      <w:proofErr w:type="spellEnd"/>
      <w:r w:rsidRPr="004D7C4E">
        <w:rPr>
          <w:rFonts w:ascii="Times New Roman" w:eastAsia="Calibri" w:hAnsi="Times New Roman"/>
          <w:sz w:val="24"/>
          <w:szCs w:val="24"/>
          <w:lang w:val="lv-LV" w:eastAsia="en-US"/>
        </w:rPr>
        <w:t xml:space="preserve"> mēnesī, 2019.gadā – no 0 līdz 230 </w:t>
      </w:r>
      <w:proofErr w:type="spellStart"/>
      <w:r w:rsidRPr="00FC1737">
        <w:rPr>
          <w:rFonts w:ascii="Times New Roman" w:eastAsia="Calibri" w:hAnsi="Times New Roman"/>
          <w:i/>
          <w:sz w:val="24"/>
          <w:szCs w:val="24"/>
          <w:lang w:val="lv-LV" w:eastAsia="en-US"/>
        </w:rPr>
        <w:t>euro</w:t>
      </w:r>
      <w:proofErr w:type="spellEnd"/>
      <w:r w:rsidRPr="004D7C4E">
        <w:rPr>
          <w:rFonts w:ascii="Times New Roman" w:eastAsia="Calibri" w:hAnsi="Times New Roman"/>
          <w:sz w:val="24"/>
          <w:szCs w:val="24"/>
          <w:lang w:val="lv-LV" w:eastAsia="en-US"/>
        </w:rPr>
        <w:t xml:space="preserve"> mēnesī un 2020.gadā - no 0 līdz 250 </w:t>
      </w:r>
      <w:proofErr w:type="spellStart"/>
      <w:r w:rsidRPr="00FC1737">
        <w:rPr>
          <w:rFonts w:ascii="Times New Roman" w:eastAsia="Calibri" w:hAnsi="Times New Roman"/>
          <w:i/>
          <w:sz w:val="24"/>
          <w:szCs w:val="24"/>
          <w:lang w:val="lv-LV" w:eastAsia="en-US"/>
        </w:rPr>
        <w:t>euro</w:t>
      </w:r>
      <w:proofErr w:type="spellEnd"/>
      <w:r w:rsidRPr="004D7C4E">
        <w:rPr>
          <w:rFonts w:ascii="Times New Roman" w:eastAsia="Calibri" w:hAnsi="Times New Roman"/>
          <w:sz w:val="24"/>
          <w:szCs w:val="24"/>
          <w:lang w:val="lv-LV" w:eastAsia="en-US"/>
        </w:rPr>
        <w:t xml:space="preserve"> mēnesī, nodrošinot elektroenerģijas obligātā iepirkuma komponentes samazināšanu, kā arī virkni pasākumu demogrāfijas </w:t>
      </w:r>
      <w:proofErr w:type="spellStart"/>
      <w:r w:rsidRPr="004D7C4E">
        <w:rPr>
          <w:rFonts w:ascii="Times New Roman" w:eastAsia="Calibri" w:hAnsi="Times New Roman"/>
          <w:sz w:val="24"/>
          <w:szCs w:val="24"/>
          <w:lang w:val="lv-LV" w:eastAsia="en-US"/>
        </w:rPr>
        <w:t>problēmjautājumu</w:t>
      </w:r>
      <w:proofErr w:type="spellEnd"/>
      <w:r w:rsidRPr="004D7C4E">
        <w:rPr>
          <w:rFonts w:ascii="Times New Roman" w:eastAsia="Calibri" w:hAnsi="Times New Roman"/>
          <w:sz w:val="24"/>
          <w:szCs w:val="24"/>
          <w:lang w:val="lv-LV" w:eastAsia="en-US"/>
        </w:rPr>
        <w:t xml:space="preserve"> risināšanai. Tomēr nozīmīgākais politikas instruments ienākumu nevienlīdzības mazināšanai ir progresīvā </w:t>
      </w:r>
      <w:r w:rsidR="00FC1737">
        <w:rPr>
          <w:rFonts w:ascii="Times New Roman" w:eastAsia="Calibri" w:hAnsi="Times New Roman"/>
          <w:sz w:val="24"/>
          <w:szCs w:val="24"/>
          <w:lang w:val="lv-LV" w:eastAsia="en-US"/>
        </w:rPr>
        <w:t>IIN</w:t>
      </w:r>
      <w:r w:rsidRPr="004D7C4E">
        <w:rPr>
          <w:rFonts w:ascii="Times New Roman" w:eastAsia="Calibri" w:hAnsi="Times New Roman"/>
          <w:sz w:val="24"/>
          <w:szCs w:val="24"/>
          <w:lang w:val="lv-LV" w:eastAsia="en-US"/>
        </w:rPr>
        <w:t xml:space="preserve"> likmes ieviešana, samazinot IIN no 23% uz 20% gada ienākumiem līdz 20 000 </w:t>
      </w:r>
      <w:proofErr w:type="spellStart"/>
      <w:r w:rsidR="00FC1737">
        <w:rPr>
          <w:rFonts w:ascii="Times New Roman" w:eastAsia="Calibri" w:hAnsi="Times New Roman"/>
          <w:i/>
          <w:sz w:val="24"/>
          <w:szCs w:val="24"/>
          <w:lang w:val="lv-LV" w:eastAsia="en-US"/>
        </w:rPr>
        <w:t>euro</w:t>
      </w:r>
      <w:proofErr w:type="spellEnd"/>
      <w:r w:rsidRPr="004D7C4E">
        <w:rPr>
          <w:rFonts w:ascii="Times New Roman" w:eastAsia="Calibri" w:hAnsi="Times New Roman"/>
          <w:sz w:val="24"/>
          <w:szCs w:val="24"/>
          <w:lang w:val="lv-LV" w:eastAsia="en-US"/>
        </w:rPr>
        <w:t xml:space="preserve">. </w:t>
      </w:r>
      <w:r w:rsidRPr="009D5F6F">
        <w:rPr>
          <w:rFonts w:ascii="Times New Roman" w:eastAsia="Calibri" w:hAnsi="Times New Roman"/>
          <w:sz w:val="24"/>
          <w:szCs w:val="24"/>
          <w:lang w:val="lv-LV" w:eastAsia="en-US"/>
        </w:rPr>
        <w:t>Minēto pasākumu rezultātā tiek prognozēts, ka ienākumu nevienlīdzības rādītāji uzlabosies (skatīt sadaļu “Valdības lēmumu ietekme no konkrētiem budžeta ieņēmumu un izdevumu pasākumiem”).</w:t>
      </w:r>
    </w:p>
    <w:p w14:paraId="7A54D85A" w14:textId="7DD8B544" w:rsidR="00B65C08" w:rsidRPr="006B49CA" w:rsidRDefault="00F2548B" w:rsidP="00222993">
      <w:pPr>
        <w:pStyle w:val="ListParagraph"/>
        <w:numPr>
          <w:ilvl w:val="0"/>
          <w:numId w:val="3"/>
        </w:numPr>
        <w:spacing w:after="60"/>
        <w:ind w:left="851"/>
        <w:jc w:val="both"/>
        <w:rPr>
          <w:rFonts w:ascii="Times New Roman" w:eastAsia="Calibri" w:hAnsi="Times New Roman"/>
          <w:sz w:val="24"/>
          <w:szCs w:val="24"/>
        </w:rPr>
      </w:pPr>
      <w:r w:rsidRPr="00976103">
        <w:br w:type="page"/>
      </w:r>
    </w:p>
    <w:p w14:paraId="23FCFC8B" w14:textId="77777777" w:rsidR="00B65C08" w:rsidRDefault="00B65C08" w:rsidP="00B65C08">
      <w:pPr>
        <w:spacing w:after="60"/>
        <w:ind w:firstLine="0"/>
        <w:rPr>
          <w:rFonts w:eastAsia="Calibri"/>
          <w:sz w:val="23"/>
          <w:szCs w:val="23"/>
        </w:rPr>
        <w:sectPr w:rsidR="00B65C08" w:rsidSect="00AA720B">
          <w:headerReference w:type="first" r:id="rId52"/>
          <w:pgSz w:w="11906" w:h="16838"/>
          <w:pgMar w:top="1418" w:right="1134" w:bottom="1418" w:left="1701" w:header="567" w:footer="737" w:gutter="0"/>
          <w:pgNumType w:start="4"/>
          <w:cols w:space="708"/>
          <w:titlePg/>
          <w:docGrid w:linePitch="360"/>
        </w:sectPr>
      </w:pPr>
    </w:p>
    <w:p w14:paraId="3B71201C" w14:textId="324552DD" w:rsidR="00514698" w:rsidRPr="00685A33" w:rsidRDefault="00D243AB" w:rsidP="00B65C08">
      <w:pPr>
        <w:pStyle w:val="Heading1"/>
        <w:tabs>
          <w:tab w:val="left" w:pos="1276"/>
        </w:tabs>
        <w:spacing w:before="0" w:after="240"/>
        <w:ind w:left="1276" w:hanging="1276"/>
        <w:jc w:val="left"/>
        <w:rPr>
          <w:rFonts w:ascii="Times New Roman" w:hAnsi="Times New Roman"/>
          <w:color w:val="18185F"/>
          <w:sz w:val="24"/>
        </w:rPr>
      </w:pPr>
      <w:bookmarkStart w:id="18" w:name="_Toc494786352"/>
      <w:r w:rsidRPr="00685A33">
        <w:rPr>
          <w:rFonts w:ascii="Times New Roman" w:hAnsi="Times New Roman"/>
          <w:color w:val="18185F"/>
          <w:sz w:val="24"/>
        </w:rPr>
        <w:lastRenderedPageBreak/>
        <w:t>Tabula 5</w:t>
      </w:r>
      <w:r w:rsidRPr="00685A33">
        <w:rPr>
          <w:rFonts w:ascii="Times New Roman" w:hAnsi="Times New Roman"/>
          <w:color w:val="18185F"/>
          <w:sz w:val="24"/>
          <w:lang w:val="lv-LV"/>
        </w:rPr>
        <w:t>:</w:t>
      </w:r>
      <w:r w:rsidR="00514698" w:rsidRPr="00685A33">
        <w:rPr>
          <w:rFonts w:ascii="Times New Roman" w:hAnsi="Times New Roman"/>
          <w:color w:val="18185F"/>
          <w:sz w:val="24"/>
        </w:rPr>
        <w:t xml:space="preserve">  </w:t>
      </w:r>
      <w:proofErr w:type="spellStart"/>
      <w:r w:rsidR="00514698" w:rsidRPr="00685A33">
        <w:rPr>
          <w:rFonts w:ascii="Times New Roman" w:hAnsi="Times New Roman"/>
          <w:color w:val="18185F"/>
          <w:sz w:val="24"/>
        </w:rPr>
        <w:t>Diskrecionāro</w:t>
      </w:r>
      <w:proofErr w:type="spellEnd"/>
      <w:r w:rsidR="00514698" w:rsidRPr="00685A33">
        <w:rPr>
          <w:rFonts w:ascii="Times New Roman" w:hAnsi="Times New Roman"/>
          <w:color w:val="18185F"/>
          <w:sz w:val="24"/>
        </w:rPr>
        <w:t xml:space="preserve"> pasākumu apraksts, kas iekļauti budžeta projektā</w:t>
      </w:r>
      <w:bookmarkEnd w:id="18"/>
    </w:p>
    <w:p w14:paraId="74F84A76" w14:textId="3E296EB6" w:rsidR="008F7818" w:rsidRDefault="00B65C08" w:rsidP="00685A33">
      <w:pPr>
        <w:pStyle w:val="Heading1"/>
        <w:tabs>
          <w:tab w:val="left" w:pos="1276"/>
        </w:tabs>
        <w:spacing w:before="0" w:after="240"/>
        <w:ind w:left="1276" w:hanging="1276"/>
        <w:jc w:val="left"/>
        <w:rPr>
          <w:rFonts w:ascii="Times New Roman" w:hAnsi="Times New Roman"/>
          <w:color w:val="18185F"/>
          <w:sz w:val="24"/>
          <w:lang w:val="lv-LV"/>
        </w:rPr>
      </w:pPr>
      <w:bookmarkStart w:id="19" w:name="_Toc430608615"/>
      <w:bookmarkStart w:id="20" w:name="_Toc494786353"/>
      <w:r w:rsidRPr="00685A33">
        <w:rPr>
          <w:rFonts w:ascii="Times New Roman" w:hAnsi="Times New Roman"/>
          <w:color w:val="18185F"/>
          <w:sz w:val="24"/>
        </w:rPr>
        <w:t>5.a</w:t>
      </w:r>
      <w:r w:rsidR="00514698" w:rsidRPr="00685A33">
        <w:rPr>
          <w:rFonts w:ascii="Times New Roman" w:hAnsi="Times New Roman"/>
          <w:color w:val="18185F"/>
          <w:sz w:val="24"/>
          <w:lang w:val="lv-LV"/>
        </w:rPr>
        <w:t>.i)</w:t>
      </w:r>
      <w:r w:rsidRPr="00685A33">
        <w:rPr>
          <w:rFonts w:ascii="Times New Roman" w:hAnsi="Times New Roman"/>
          <w:color w:val="18185F"/>
          <w:sz w:val="24"/>
        </w:rPr>
        <w:t xml:space="preserve"> </w:t>
      </w:r>
      <w:proofErr w:type="spellStart"/>
      <w:r w:rsidR="009815BB" w:rsidRPr="00685A33">
        <w:rPr>
          <w:rFonts w:ascii="Times New Roman" w:hAnsi="Times New Roman"/>
          <w:color w:val="18185F"/>
          <w:sz w:val="24"/>
        </w:rPr>
        <w:t>Diskrecionārie</w:t>
      </w:r>
      <w:proofErr w:type="spellEnd"/>
      <w:r w:rsidR="009815BB" w:rsidRPr="00685A33">
        <w:rPr>
          <w:rFonts w:ascii="Times New Roman" w:hAnsi="Times New Roman"/>
          <w:color w:val="18185F"/>
          <w:sz w:val="24"/>
        </w:rPr>
        <w:t xml:space="preserve"> </w:t>
      </w:r>
      <w:r w:rsidR="00514698" w:rsidRPr="00685A33">
        <w:rPr>
          <w:rFonts w:ascii="Times New Roman" w:hAnsi="Times New Roman"/>
          <w:color w:val="18185F"/>
          <w:sz w:val="24"/>
          <w:lang w:val="lv-LV"/>
        </w:rPr>
        <w:t xml:space="preserve">ieņēmumu </w:t>
      </w:r>
      <w:r w:rsidR="009815BB" w:rsidRPr="00685A33">
        <w:rPr>
          <w:rFonts w:ascii="Times New Roman" w:hAnsi="Times New Roman"/>
          <w:color w:val="18185F"/>
          <w:sz w:val="24"/>
        </w:rPr>
        <w:t xml:space="preserve">pasākumi </w:t>
      </w:r>
      <w:r w:rsidR="00E34DDA" w:rsidRPr="00685A33">
        <w:rPr>
          <w:rFonts w:ascii="Times New Roman" w:hAnsi="Times New Roman"/>
          <w:color w:val="18185F"/>
          <w:sz w:val="24"/>
        </w:rPr>
        <w:t>visp</w:t>
      </w:r>
      <w:r w:rsidR="00E34DDA" w:rsidRPr="00685A33">
        <w:rPr>
          <w:rFonts w:ascii="Times New Roman" w:hAnsi="Times New Roman"/>
          <w:color w:val="18185F"/>
          <w:sz w:val="24"/>
          <w:lang w:val="lv-LV"/>
        </w:rPr>
        <w:t>ārējās valdības budžetā</w:t>
      </w:r>
      <w:bookmarkEnd w:id="19"/>
      <w:bookmarkEnd w:id="20"/>
    </w:p>
    <w:tbl>
      <w:tblPr>
        <w:tblStyle w:val="GridTable6Colorful-Accent11"/>
        <w:tblW w:w="15304" w:type="dxa"/>
        <w:tblLook w:val="04A0" w:firstRow="1" w:lastRow="0" w:firstColumn="1" w:lastColumn="0" w:noHBand="0" w:noVBand="1"/>
      </w:tblPr>
      <w:tblGrid>
        <w:gridCol w:w="3681"/>
        <w:gridCol w:w="4655"/>
        <w:gridCol w:w="1061"/>
        <w:gridCol w:w="760"/>
        <w:gridCol w:w="1105"/>
        <w:gridCol w:w="1916"/>
        <w:gridCol w:w="709"/>
        <w:gridCol w:w="709"/>
        <w:gridCol w:w="708"/>
      </w:tblGrid>
      <w:tr w:rsidR="00BC2493" w:rsidRPr="00BC2493" w14:paraId="1F65BC2A" w14:textId="77777777" w:rsidTr="00C926D2">
        <w:trPr>
          <w:cnfStyle w:val="100000000000" w:firstRow="1" w:lastRow="0" w:firstColumn="0" w:lastColumn="0" w:oddVBand="0" w:evenVBand="0" w:oddHBand="0"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hideMark/>
          </w:tcPr>
          <w:p w14:paraId="2C317777" w14:textId="77777777" w:rsidR="00BC2493" w:rsidRPr="00BC2493" w:rsidRDefault="00BC2493" w:rsidP="00BC2493">
            <w:pPr>
              <w:spacing w:after="0"/>
              <w:ind w:firstLine="0"/>
              <w:jc w:val="center"/>
              <w:rPr>
                <w:color w:val="auto"/>
                <w:sz w:val="20"/>
                <w:lang w:eastAsia="lv-LV"/>
              </w:rPr>
            </w:pPr>
            <w:r w:rsidRPr="00BC2493">
              <w:rPr>
                <w:color w:val="auto"/>
                <w:sz w:val="20"/>
                <w:lang w:eastAsia="lv-LV"/>
              </w:rPr>
              <w:t>Pasākumu saraksts</w:t>
            </w:r>
          </w:p>
        </w:tc>
        <w:tc>
          <w:tcPr>
            <w:tcW w:w="4655" w:type="dxa"/>
            <w:vMerge w:val="restart"/>
            <w:vAlign w:val="center"/>
            <w:hideMark/>
          </w:tcPr>
          <w:p w14:paraId="00C0C968" w14:textId="11DAF8E0" w:rsidR="00BC2493" w:rsidRPr="00BC2493" w:rsidRDefault="00BC2493" w:rsidP="00BC249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Detalizēts apraksts</w:t>
            </w:r>
          </w:p>
        </w:tc>
        <w:tc>
          <w:tcPr>
            <w:tcW w:w="1061" w:type="dxa"/>
            <w:vMerge w:val="restart"/>
            <w:vAlign w:val="center"/>
            <w:hideMark/>
          </w:tcPr>
          <w:p w14:paraId="7EFB5599" w14:textId="77777777" w:rsidR="00BC2493" w:rsidRPr="00BC2493" w:rsidRDefault="00BC2493" w:rsidP="00BC249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Nodokļu veids</w:t>
            </w:r>
          </w:p>
        </w:tc>
        <w:tc>
          <w:tcPr>
            <w:tcW w:w="760" w:type="dxa"/>
            <w:vMerge w:val="restart"/>
            <w:vAlign w:val="center"/>
            <w:hideMark/>
          </w:tcPr>
          <w:p w14:paraId="0B0FBEFB" w14:textId="77777777" w:rsidR="00BC2493" w:rsidRPr="00BC2493" w:rsidRDefault="00BC2493" w:rsidP="00BC249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ESA kods</w:t>
            </w:r>
          </w:p>
        </w:tc>
        <w:tc>
          <w:tcPr>
            <w:tcW w:w="1105" w:type="dxa"/>
            <w:vMerge w:val="restart"/>
            <w:vAlign w:val="center"/>
            <w:hideMark/>
          </w:tcPr>
          <w:p w14:paraId="761E4D84" w14:textId="77777777" w:rsidR="00BC2493" w:rsidRPr="00BC2493" w:rsidRDefault="00BC2493" w:rsidP="00BC249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Uzskaites princips</w:t>
            </w:r>
          </w:p>
        </w:tc>
        <w:tc>
          <w:tcPr>
            <w:tcW w:w="1916" w:type="dxa"/>
            <w:vMerge w:val="restart"/>
            <w:vAlign w:val="center"/>
            <w:hideMark/>
          </w:tcPr>
          <w:p w14:paraId="0390B2D9" w14:textId="77777777" w:rsidR="00BC2493" w:rsidRPr="00BC2493" w:rsidRDefault="00BC2493" w:rsidP="00BC249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Pieņemšanas statuss</w:t>
            </w:r>
          </w:p>
        </w:tc>
        <w:tc>
          <w:tcPr>
            <w:tcW w:w="2126" w:type="dxa"/>
            <w:gridSpan w:val="3"/>
            <w:noWrap/>
            <w:vAlign w:val="center"/>
            <w:hideMark/>
          </w:tcPr>
          <w:p w14:paraId="6129E5E7" w14:textId="77777777" w:rsidR="00BC2493" w:rsidRPr="00BC2493" w:rsidRDefault="00BC2493" w:rsidP="00BC249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Ietekme uz budžetu</w:t>
            </w:r>
          </w:p>
        </w:tc>
      </w:tr>
      <w:tr w:rsidR="00BC2493" w:rsidRPr="00BC2493" w14:paraId="46A8B4FF" w14:textId="77777777" w:rsidTr="00C926D2">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3681" w:type="dxa"/>
            <w:vMerge/>
            <w:vAlign w:val="center"/>
            <w:hideMark/>
          </w:tcPr>
          <w:p w14:paraId="1CF06AA8" w14:textId="77777777" w:rsidR="00BC2493" w:rsidRPr="00BC2493" w:rsidRDefault="00BC2493" w:rsidP="00BC2493">
            <w:pPr>
              <w:spacing w:after="0"/>
              <w:ind w:firstLine="0"/>
              <w:jc w:val="center"/>
              <w:rPr>
                <w:color w:val="auto"/>
                <w:sz w:val="20"/>
                <w:lang w:eastAsia="lv-LV"/>
              </w:rPr>
            </w:pPr>
          </w:p>
        </w:tc>
        <w:tc>
          <w:tcPr>
            <w:tcW w:w="4655" w:type="dxa"/>
            <w:vMerge/>
            <w:vAlign w:val="center"/>
            <w:hideMark/>
          </w:tcPr>
          <w:p w14:paraId="4E3868E0" w14:textId="77777777" w:rsidR="00BC2493" w:rsidRPr="00BC2493" w:rsidRDefault="00BC2493" w:rsidP="00BC249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061" w:type="dxa"/>
            <w:vMerge/>
            <w:vAlign w:val="center"/>
            <w:hideMark/>
          </w:tcPr>
          <w:p w14:paraId="651C3BE7" w14:textId="77777777" w:rsidR="00BC2493" w:rsidRPr="00BC2493" w:rsidRDefault="00BC2493" w:rsidP="00BC249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760" w:type="dxa"/>
            <w:vMerge/>
            <w:vAlign w:val="center"/>
            <w:hideMark/>
          </w:tcPr>
          <w:p w14:paraId="073307A8" w14:textId="77777777" w:rsidR="00BC2493" w:rsidRPr="00BC2493" w:rsidRDefault="00BC2493" w:rsidP="00BC249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105" w:type="dxa"/>
            <w:vMerge/>
            <w:vAlign w:val="center"/>
            <w:hideMark/>
          </w:tcPr>
          <w:p w14:paraId="4BB95960" w14:textId="77777777" w:rsidR="00BC2493" w:rsidRPr="00BC2493" w:rsidRDefault="00BC2493" w:rsidP="00BC249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916" w:type="dxa"/>
            <w:vMerge/>
            <w:vAlign w:val="center"/>
            <w:hideMark/>
          </w:tcPr>
          <w:p w14:paraId="20A68B33" w14:textId="77777777" w:rsidR="00BC2493" w:rsidRPr="00BC2493" w:rsidRDefault="00BC2493" w:rsidP="00BC249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709" w:type="dxa"/>
            <w:vAlign w:val="center"/>
            <w:hideMark/>
          </w:tcPr>
          <w:p w14:paraId="3036D668" w14:textId="77777777" w:rsidR="00BC2493" w:rsidRPr="00BC2493" w:rsidRDefault="00BC2493" w:rsidP="00BC249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BC2493">
              <w:rPr>
                <w:b/>
                <w:bCs/>
                <w:color w:val="auto"/>
                <w:sz w:val="20"/>
                <w:lang w:eastAsia="lv-LV"/>
              </w:rPr>
              <w:t>2018</w:t>
            </w:r>
          </w:p>
        </w:tc>
        <w:tc>
          <w:tcPr>
            <w:tcW w:w="709" w:type="dxa"/>
            <w:vAlign w:val="center"/>
            <w:hideMark/>
          </w:tcPr>
          <w:p w14:paraId="42CC1412" w14:textId="77777777" w:rsidR="00BC2493" w:rsidRPr="00BC2493" w:rsidRDefault="00BC2493" w:rsidP="00BC249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BC2493">
              <w:rPr>
                <w:b/>
                <w:bCs/>
                <w:color w:val="auto"/>
                <w:sz w:val="20"/>
                <w:lang w:eastAsia="lv-LV"/>
              </w:rPr>
              <w:t>2019</w:t>
            </w:r>
          </w:p>
        </w:tc>
        <w:tc>
          <w:tcPr>
            <w:tcW w:w="708" w:type="dxa"/>
            <w:vAlign w:val="center"/>
            <w:hideMark/>
          </w:tcPr>
          <w:p w14:paraId="2A2ACA89" w14:textId="77777777" w:rsidR="00BC2493" w:rsidRPr="00BC2493" w:rsidRDefault="00BC2493" w:rsidP="00BC2493">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BC2493">
              <w:rPr>
                <w:b/>
                <w:bCs/>
                <w:color w:val="auto"/>
                <w:sz w:val="20"/>
                <w:lang w:eastAsia="lv-LV"/>
              </w:rPr>
              <w:t>2020</w:t>
            </w:r>
          </w:p>
        </w:tc>
      </w:tr>
      <w:tr w:rsidR="00BC2493" w:rsidRPr="00BC2493" w14:paraId="19B25EF6" w14:textId="77777777" w:rsidTr="00C926D2">
        <w:trPr>
          <w:trHeight w:val="146"/>
        </w:trPr>
        <w:tc>
          <w:tcPr>
            <w:cnfStyle w:val="001000000000" w:firstRow="0" w:lastRow="0" w:firstColumn="1" w:lastColumn="0" w:oddVBand="0" w:evenVBand="0" w:oddHBand="0" w:evenHBand="0" w:firstRowFirstColumn="0" w:firstRowLastColumn="0" w:lastRowFirstColumn="0" w:lastRowLastColumn="0"/>
            <w:tcW w:w="3681" w:type="dxa"/>
            <w:vMerge/>
            <w:vAlign w:val="center"/>
            <w:hideMark/>
          </w:tcPr>
          <w:p w14:paraId="51348290" w14:textId="77777777" w:rsidR="00BC2493" w:rsidRPr="00BC2493" w:rsidRDefault="00BC2493" w:rsidP="00BC2493">
            <w:pPr>
              <w:spacing w:after="0"/>
              <w:ind w:firstLine="0"/>
              <w:jc w:val="center"/>
              <w:rPr>
                <w:color w:val="auto"/>
                <w:sz w:val="20"/>
                <w:lang w:eastAsia="lv-LV"/>
              </w:rPr>
            </w:pPr>
          </w:p>
        </w:tc>
        <w:tc>
          <w:tcPr>
            <w:tcW w:w="4655" w:type="dxa"/>
            <w:vMerge/>
            <w:vAlign w:val="center"/>
            <w:hideMark/>
          </w:tcPr>
          <w:p w14:paraId="6681A5AD" w14:textId="77777777" w:rsidR="00BC2493" w:rsidRPr="00BC2493" w:rsidRDefault="00BC2493" w:rsidP="00BC2493">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061" w:type="dxa"/>
            <w:vMerge/>
            <w:vAlign w:val="center"/>
            <w:hideMark/>
          </w:tcPr>
          <w:p w14:paraId="16BDD61C" w14:textId="77777777" w:rsidR="00BC2493" w:rsidRPr="00BC2493" w:rsidRDefault="00BC2493" w:rsidP="00BC2493">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760" w:type="dxa"/>
            <w:vMerge/>
            <w:vAlign w:val="center"/>
            <w:hideMark/>
          </w:tcPr>
          <w:p w14:paraId="0BCBB81B" w14:textId="77777777" w:rsidR="00BC2493" w:rsidRPr="00BC2493" w:rsidRDefault="00BC2493" w:rsidP="00BC2493">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105" w:type="dxa"/>
            <w:vMerge/>
            <w:vAlign w:val="center"/>
            <w:hideMark/>
          </w:tcPr>
          <w:p w14:paraId="2162A5AC" w14:textId="77777777" w:rsidR="00BC2493" w:rsidRPr="00BC2493" w:rsidRDefault="00BC2493" w:rsidP="00BC2493">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916" w:type="dxa"/>
            <w:vMerge/>
            <w:vAlign w:val="center"/>
            <w:hideMark/>
          </w:tcPr>
          <w:p w14:paraId="607A845C" w14:textId="77777777" w:rsidR="00BC2493" w:rsidRPr="00BC2493" w:rsidRDefault="00BC2493" w:rsidP="00BC2493">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126" w:type="dxa"/>
            <w:gridSpan w:val="3"/>
            <w:vAlign w:val="center"/>
            <w:hideMark/>
          </w:tcPr>
          <w:p w14:paraId="5734A532" w14:textId="77777777" w:rsidR="00BC2493" w:rsidRPr="00BC2493" w:rsidRDefault="00BC2493" w:rsidP="00BC2493">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BC2493">
              <w:rPr>
                <w:b/>
                <w:bCs/>
                <w:color w:val="auto"/>
                <w:sz w:val="20"/>
                <w:lang w:eastAsia="lv-LV"/>
              </w:rPr>
              <w:t>% IKP</w:t>
            </w:r>
          </w:p>
        </w:tc>
      </w:tr>
      <w:tr w:rsidR="00BC2493" w:rsidRPr="00BC2493" w14:paraId="747846FE" w14:textId="77777777" w:rsidTr="00C926D2">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0008984" w14:textId="77777777" w:rsidR="00BC2493" w:rsidRPr="00BC2493" w:rsidRDefault="00BC2493" w:rsidP="00BC2493">
            <w:pPr>
              <w:spacing w:after="0"/>
              <w:ind w:firstLine="0"/>
              <w:rPr>
                <w:b w:val="0"/>
                <w:color w:val="auto"/>
                <w:sz w:val="20"/>
                <w:lang w:eastAsia="lv-LV"/>
              </w:rPr>
            </w:pPr>
            <w:r w:rsidRPr="00BC2493">
              <w:rPr>
                <w:b w:val="0"/>
                <w:color w:val="auto"/>
                <w:sz w:val="20"/>
                <w:lang w:eastAsia="lv-LV"/>
              </w:rPr>
              <w:t>PVN samazinātā likme 5% apmērā Latvijai raksturīgajiem dārzeņiem, augļiem un ogām</w:t>
            </w:r>
          </w:p>
        </w:tc>
        <w:tc>
          <w:tcPr>
            <w:tcW w:w="4655" w:type="dxa"/>
            <w:vAlign w:val="center"/>
            <w:hideMark/>
          </w:tcPr>
          <w:p w14:paraId="3FA85AA7" w14:textId="77777777" w:rsidR="00BC2493" w:rsidRPr="00BC2493" w:rsidRDefault="00BC2493" w:rsidP="00BC2493">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PVN samazinātā likme 5% apmērā Latvijai raksturīgajiem dārzeņiem, augļiem un ogām ar 01.01.2018.</w:t>
            </w:r>
          </w:p>
        </w:tc>
        <w:tc>
          <w:tcPr>
            <w:tcW w:w="1061" w:type="dxa"/>
            <w:vAlign w:val="center"/>
            <w:hideMark/>
          </w:tcPr>
          <w:p w14:paraId="38AAA05F" w14:textId="77777777" w:rsidR="00BC2493" w:rsidRPr="00BC2493" w:rsidRDefault="00BC2493" w:rsidP="00BC249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PVN</w:t>
            </w:r>
          </w:p>
        </w:tc>
        <w:tc>
          <w:tcPr>
            <w:tcW w:w="760" w:type="dxa"/>
            <w:noWrap/>
            <w:vAlign w:val="center"/>
            <w:hideMark/>
          </w:tcPr>
          <w:p w14:paraId="04D71EFA" w14:textId="77777777" w:rsidR="00BC2493" w:rsidRPr="00BC2493" w:rsidRDefault="00BC2493" w:rsidP="00BC249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D.2</w:t>
            </w:r>
          </w:p>
        </w:tc>
        <w:tc>
          <w:tcPr>
            <w:tcW w:w="1105" w:type="dxa"/>
            <w:vAlign w:val="center"/>
            <w:hideMark/>
          </w:tcPr>
          <w:p w14:paraId="4BCC14B7" w14:textId="3914F45E" w:rsidR="00BC2493" w:rsidRPr="00BC2493" w:rsidRDefault="00C926D2" w:rsidP="00BC249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U</w:t>
            </w:r>
            <w:r w:rsidR="00BC2493" w:rsidRPr="00BC2493">
              <w:rPr>
                <w:color w:val="auto"/>
                <w:sz w:val="20"/>
                <w:lang w:eastAsia="lv-LV"/>
              </w:rPr>
              <w:t>zkrājuma</w:t>
            </w:r>
          </w:p>
        </w:tc>
        <w:tc>
          <w:tcPr>
            <w:tcW w:w="1916" w:type="dxa"/>
            <w:vAlign w:val="center"/>
            <w:hideMark/>
          </w:tcPr>
          <w:p w14:paraId="6F439DA6" w14:textId="33D8EF1F" w:rsidR="00BC2493" w:rsidRPr="00BC2493" w:rsidRDefault="00174C27" w:rsidP="00174C2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Apstiprināts valdībā</w:t>
            </w:r>
          </w:p>
        </w:tc>
        <w:tc>
          <w:tcPr>
            <w:tcW w:w="709" w:type="dxa"/>
            <w:noWrap/>
            <w:vAlign w:val="center"/>
            <w:hideMark/>
          </w:tcPr>
          <w:p w14:paraId="1003DC19" w14:textId="29F277EC" w:rsidR="00BC2493" w:rsidRPr="00BC2493" w:rsidRDefault="00BC2493" w:rsidP="00BC249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-0,02</w:t>
            </w:r>
          </w:p>
        </w:tc>
        <w:tc>
          <w:tcPr>
            <w:tcW w:w="709" w:type="dxa"/>
            <w:noWrap/>
            <w:vAlign w:val="center"/>
            <w:hideMark/>
          </w:tcPr>
          <w:p w14:paraId="7F1F690B" w14:textId="089D2536" w:rsidR="00BC2493" w:rsidRPr="00BC2493" w:rsidRDefault="00BC2493" w:rsidP="00BC249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c>
          <w:tcPr>
            <w:tcW w:w="708" w:type="dxa"/>
            <w:noWrap/>
            <w:vAlign w:val="center"/>
            <w:hideMark/>
          </w:tcPr>
          <w:p w14:paraId="730DD383" w14:textId="21A89A5C" w:rsidR="00BC2493" w:rsidRPr="00BC2493" w:rsidRDefault="00BC2493" w:rsidP="00BC2493">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r>
      <w:tr w:rsidR="00C926D2" w:rsidRPr="00BC2493" w14:paraId="3402313A" w14:textId="77777777" w:rsidTr="00C926D2">
        <w:trPr>
          <w:trHeight w:val="214"/>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hideMark/>
          </w:tcPr>
          <w:p w14:paraId="45486899" w14:textId="77777777" w:rsidR="00C926D2" w:rsidRPr="00BC2493" w:rsidRDefault="00C926D2" w:rsidP="00C926D2">
            <w:pPr>
              <w:spacing w:after="0"/>
              <w:ind w:firstLine="0"/>
              <w:rPr>
                <w:b w:val="0"/>
                <w:color w:val="auto"/>
                <w:sz w:val="20"/>
                <w:lang w:eastAsia="lv-LV"/>
              </w:rPr>
            </w:pPr>
            <w:r w:rsidRPr="00BC2493">
              <w:rPr>
                <w:b w:val="0"/>
                <w:color w:val="auto"/>
                <w:sz w:val="20"/>
                <w:lang w:eastAsia="lv-LV"/>
              </w:rPr>
              <w:t>Risinājumu izstrādāšana čeku loterijas organizēšanai</w:t>
            </w:r>
          </w:p>
        </w:tc>
        <w:tc>
          <w:tcPr>
            <w:tcW w:w="4655" w:type="dxa"/>
            <w:vMerge w:val="restart"/>
            <w:vAlign w:val="center"/>
            <w:hideMark/>
          </w:tcPr>
          <w:p w14:paraId="05E185D6" w14:textId="77777777" w:rsidR="00C926D2" w:rsidRPr="00BC2493" w:rsidRDefault="00C926D2" w:rsidP="00C926D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Risinājumu izstrādāšana čeku loterijas organizēšanai ar 01.01.2019.</w:t>
            </w:r>
          </w:p>
        </w:tc>
        <w:tc>
          <w:tcPr>
            <w:tcW w:w="1061" w:type="dxa"/>
            <w:vAlign w:val="center"/>
            <w:hideMark/>
          </w:tcPr>
          <w:p w14:paraId="37D80476" w14:textId="77777777"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PVN</w:t>
            </w:r>
          </w:p>
        </w:tc>
        <w:tc>
          <w:tcPr>
            <w:tcW w:w="760" w:type="dxa"/>
            <w:noWrap/>
            <w:vAlign w:val="center"/>
            <w:hideMark/>
          </w:tcPr>
          <w:p w14:paraId="752FF2AA" w14:textId="77777777"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D.2</w:t>
            </w:r>
          </w:p>
        </w:tc>
        <w:tc>
          <w:tcPr>
            <w:tcW w:w="1105" w:type="dxa"/>
            <w:vAlign w:val="center"/>
            <w:hideMark/>
          </w:tcPr>
          <w:p w14:paraId="4B7D4EC1" w14:textId="34FC35B7"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21432AA4" w14:textId="691671B8"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28C797F7" w14:textId="584BA51B"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c>
          <w:tcPr>
            <w:tcW w:w="709" w:type="dxa"/>
            <w:noWrap/>
            <w:vAlign w:val="center"/>
            <w:hideMark/>
          </w:tcPr>
          <w:p w14:paraId="0C1DB607" w14:textId="4138AAE4"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0,01</w:t>
            </w:r>
          </w:p>
        </w:tc>
        <w:tc>
          <w:tcPr>
            <w:tcW w:w="708" w:type="dxa"/>
            <w:noWrap/>
            <w:vAlign w:val="center"/>
            <w:hideMark/>
          </w:tcPr>
          <w:p w14:paraId="6ADCCF1B" w14:textId="5CBD1572"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r>
      <w:tr w:rsidR="00C926D2" w:rsidRPr="00BC2493" w14:paraId="591ACF69" w14:textId="77777777" w:rsidTr="00C926D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81" w:type="dxa"/>
            <w:vMerge/>
            <w:vAlign w:val="center"/>
            <w:hideMark/>
          </w:tcPr>
          <w:p w14:paraId="53273FA2" w14:textId="77777777" w:rsidR="00C926D2" w:rsidRPr="00BC2493" w:rsidRDefault="00C926D2" w:rsidP="00C926D2">
            <w:pPr>
              <w:spacing w:after="0"/>
              <w:ind w:firstLine="0"/>
              <w:rPr>
                <w:b w:val="0"/>
                <w:color w:val="auto"/>
                <w:sz w:val="20"/>
                <w:lang w:eastAsia="lv-LV"/>
              </w:rPr>
            </w:pPr>
          </w:p>
        </w:tc>
        <w:tc>
          <w:tcPr>
            <w:tcW w:w="4655" w:type="dxa"/>
            <w:vMerge/>
            <w:vAlign w:val="center"/>
            <w:hideMark/>
          </w:tcPr>
          <w:p w14:paraId="23C10138" w14:textId="77777777" w:rsidR="00C926D2" w:rsidRPr="00BC2493" w:rsidRDefault="00C926D2" w:rsidP="00C926D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061" w:type="dxa"/>
            <w:vAlign w:val="center"/>
            <w:hideMark/>
          </w:tcPr>
          <w:p w14:paraId="3E58933E" w14:textId="77777777"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IIN</w:t>
            </w:r>
          </w:p>
        </w:tc>
        <w:tc>
          <w:tcPr>
            <w:tcW w:w="760" w:type="dxa"/>
            <w:vAlign w:val="center"/>
            <w:hideMark/>
          </w:tcPr>
          <w:p w14:paraId="67157974" w14:textId="77777777"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D.5</w:t>
            </w:r>
          </w:p>
        </w:tc>
        <w:tc>
          <w:tcPr>
            <w:tcW w:w="1105" w:type="dxa"/>
            <w:vAlign w:val="center"/>
            <w:hideMark/>
          </w:tcPr>
          <w:p w14:paraId="3DE13F5E" w14:textId="4A7BEF83"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0548C607" w14:textId="5E0667EE"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53E1BBF4" w14:textId="0BD1637C"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c>
          <w:tcPr>
            <w:tcW w:w="709" w:type="dxa"/>
            <w:noWrap/>
            <w:vAlign w:val="center"/>
            <w:hideMark/>
          </w:tcPr>
          <w:p w14:paraId="15F46F70" w14:textId="31272657"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c>
          <w:tcPr>
            <w:tcW w:w="708" w:type="dxa"/>
            <w:noWrap/>
            <w:vAlign w:val="center"/>
            <w:hideMark/>
          </w:tcPr>
          <w:p w14:paraId="5D63CF76" w14:textId="477ECE40"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r>
      <w:tr w:rsidR="00C926D2" w:rsidRPr="00BC2493" w14:paraId="6D149034" w14:textId="77777777" w:rsidTr="00C926D2">
        <w:trPr>
          <w:trHeight w:val="306"/>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hideMark/>
          </w:tcPr>
          <w:p w14:paraId="61DF8F98" w14:textId="48993D98" w:rsidR="00C926D2" w:rsidRPr="00BC2493" w:rsidRDefault="00C926D2" w:rsidP="009A761D">
            <w:pPr>
              <w:spacing w:after="0"/>
              <w:ind w:firstLine="0"/>
              <w:rPr>
                <w:b w:val="0"/>
                <w:color w:val="auto"/>
                <w:sz w:val="20"/>
                <w:lang w:eastAsia="lv-LV"/>
              </w:rPr>
            </w:pPr>
            <w:r w:rsidRPr="00BC2493">
              <w:rPr>
                <w:b w:val="0"/>
                <w:color w:val="auto"/>
                <w:sz w:val="20"/>
                <w:lang w:eastAsia="lv-LV"/>
              </w:rPr>
              <w:t xml:space="preserve">Minimālās dividendēs izmaksājamās peļņas daļas </w:t>
            </w:r>
            <w:r w:rsidR="009A761D">
              <w:rPr>
                <w:b w:val="0"/>
                <w:color w:val="auto"/>
                <w:sz w:val="20"/>
                <w:lang w:eastAsia="lv-LV"/>
              </w:rPr>
              <w:t>palielināšana 2019.gadā (par 2018.gada peļņu)</w:t>
            </w:r>
          </w:p>
        </w:tc>
        <w:tc>
          <w:tcPr>
            <w:tcW w:w="4655" w:type="dxa"/>
            <w:vMerge w:val="restart"/>
            <w:vAlign w:val="center"/>
            <w:hideMark/>
          </w:tcPr>
          <w:p w14:paraId="58949CD3" w14:textId="77777777" w:rsidR="00C926D2" w:rsidRPr="00BC2493" w:rsidRDefault="00C926D2" w:rsidP="00C926D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Minimālās dividendēs izmaksājamās peļņas daļas noteikšana līdz 85% kapitālsabiedrībām, kurās visas kapitāla daļas tieši vai pastarpināti pieder valstij</w:t>
            </w:r>
          </w:p>
        </w:tc>
        <w:tc>
          <w:tcPr>
            <w:tcW w:w="1061" w:type="dxa"/>
            <w:vAlign w:val="center"/>
            <w:hideMark/>
          </w:tcPr>
          <w:p w14:paraId="585125FD" w14:textId="143C8B55"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roofErr w:type="spellStart"/>
            <w:r w:rsidRPr="00BC2493">
              <w:rPr>
                <w:color w:val="auto"/>
                <w:sz w:val="20"/>
                <w:lang w:eastAsia="lv-LV"/>
              </w:rPr>
              <w:t>Nenodokļi</w:t>
            </w:r>
            <w:proofErr w:type="spellEnd"/>
          </w:p>
        </w:tc>
        <w:tc>
          <w:tcPr>
            <w:tcW w:w="760" w:type="dxa"/>
            <w:vAlign w:val="center"/>
            <w:hideMark/>
          </w:tcPr>
          <w:p w14:paraId="3C2B44DC" w14:textId="77777777"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D.421</w:t>
            </w:r>
          </w:p>
        </w:tc>
        <w:tc>
          <w:tcPr>
            <w:tcW w:w="1105" w:type="dxa"/>
            <w:vAlign w:val="center"/>
            <w:hideMark/>
          </w:tcPr>
          <w:p w14:paraId="62FD7F9D" w14:textId="16D90203"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3215A61E" w14:textId="19F13A24"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03929EF3" w14:textId="1235C068"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c>
          <w:tcPr>
            <w:tcW w:w="709" w:type="dxa"/>
            <w:noWrap/>
            <w:vAlign w:val="center"/>
            <w:hideMark/>
          </w:tcPr>
          <w:p w14:paraId="2AE87FC9" w14:textId="1A17508D"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0,01</w:t>
            </w:r>
          </w:p>
        </w:tc>
        <w:tc>
          <w:tcPr>
            <w:tcW w:w="708" w:type="dxa"/>
            <w:noWrap/>
            <w:vAlign w:val="center"/>
            <w:hideMark/>
          </w:tcPr>
          <w:p w14:paraId="347AFBA4" w14:textId="023D6926"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r>
      <w:tr w:rsidR="00C926D2" w:rsidRPr="00BC2493" w14:paraId="29C71D64" w14:textId="77777777" w:rsidTr="00C926D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681" w:type="dxa"/>
            <w:vMerge/>
            <w:vAlign w:val="center"/>
            <w:hideMark/>
          </w:tcPr>
          <w:p w14:paraId="48ECFB9F" w14:textId="77777777" w:rsidR="00C926D2" w:rsidRPr="00BC2493" w:rsidRDefault="00C926D2" w:rsidP="00C926D2">
            <w:pPr>
              <w:spacing w:after="0"/>
              <w:ind w:firstLine="0"/>
              <w:rPr>
                <w:b w:val="0"/>
                <w:color w:val="auto"/>
                <w:sz w:val="20"/>
                <w:lang w:eastAsia="lv-LV"/>
              </w:rPr>
            </w:pPr>
          </w:p>
        </w:tc>
        <w:tc>
          <w:tcPr>
            <w:tcW w:w="4655" w:type="dxa"/>
            <w:vMerge/>
            <w:vAlign w:val="center"/>
            <w:hideMark/>
          </w:tcPr>
          <w:p w14:paraId="467DEFC8" w14:textId="77777777" w:rsidR="00C926D2" w:rsidRPr="00BC2493" w:rsidRDefault="00C926D2" w:rsidP="00C926D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061" w:type="dxa"/>
            <w:vAlign w:val="center"/>
            <w:hideMark/>
          </w:tcPr>
          <w:p w14:paraId="6864B082" w14:textId="77777777"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UIN</w:t>
            </w:r>
          </w:p>
        </w:tc>
        <w:tc>
          <w:tcPr>
            <w:tcW w:w="760" w:type="dxa"/>
            <w:vAlign w:val="center"/>
            <w:hideMark/>
          </w:tcPr>
          <w:p w14:paraId="79D457CB" w14:textId="77777777"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D.5</w:t>
            </w:r>
          </w:p>
        </w:tc>
        <w:tc>
          <w:tcPr>
            <w:tcW w:w="1105" w:type="dxa"/>
            <w:vAlign w:val="center"/>
            <w:hideMark/>
          </w:tcPr>
          <w:p w14:paraId="62390E84" w14:textId="07C02879"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41EEBCE3" w14:textId="5EA5426D"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7ED12F9F" w14:textId="342C3777"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c>
          <w:tcPr>
            <w:tcW w:w="709" w:type="dxa"/>
            <w:noWrap/>
            <w:vAlign w:val="center"/>
            <w:hideMark/>
          </w:tcPr>
          <w:p w14:paraId="3A1CDAD4" w14:textId="2575F3BC"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c>
          <w:tcPr>
            <w:tcW w:w="708" w:type="dxa"/>
            <w:noWrap/>
            <w:vAlign w:val="center"/>
            <w:hideMark/>
          </w:tcPr>
          <w:p w14:paraId="0003B86F" w14:textId="0413A353"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r>
      <w:tr w:rsidR="00C926D2" w:rsidRPr="00BC2493" w14:paraId="13EFD06B" w14:textId="77777777" w:rsidTr="00C926D2">
        <w:trPr>
          <w:trHeight w:val="302"/>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0E63AD41" w14:textId="77777777" w:rsidR="00C926D2" w:rsidRPr="00BC2493" w:rsidRDefault="00C926D2" w:rsidP="00C926D2">
            <w:pPr>
              <w:spacing w:after="0"/>
              <w:ind w:firstLine="0"/>
              <w:rPr>
                <w:b w:val="0"/>
                <w:color w:val="auto"/>
                <w:sz w:val="20"/>
                <w:lang w:eastAsia="lv-LV"/>
              </w:rPr>
            </w:pPr>
            <w:r w:rsidRPr="00BC2493">
              <w:rPr>
                <w:b w:val="0"/>
                <w:color w:val="auto"/>
                <w:sz w:val="20"/>
                <w:lang w:eastAsia="lv-LV"/>
              </w:rPr>
              <w:t xml:space="preserve">Pārējo pamatbudžeta </w:t>
            </w:r>
            <w:proofErr w:type="spellStart"/>
            <w:r w:rsidRPr="00BC2493">
              <w:rPr>
                <w:b w:val="0"/>
                <w:color w:val="auto"/>
                <w:sz w:val="20"/>
                <w:lang w:eastAsia="lv-LV"/>
              </w:rPr>
              <w:t>nenodokļu</w:t>
            </w:r>
            <w:proofErr w:type="spellEnd"/>
            <w:r w:rsidRPr="00BC2493">
              <w:rPr>
                <w:b w:val="0"/>
                <w:color w:val="auto"/>
                <w:sz w:val="20"/>
                <w:lang w:eastAsia="lv-LV"/>
              </w:rPr>
              <w:t xml:space="preserve"> ieņēmumu prognožu palielināšana </w:t>
            </w:r>
          </w:p>
        </w:tc>
        <w:tc>
          <w:tcPr>
            <w:tcW w:w="4655" w:type="dxa"/>
            <w:vAlign w:val="center"/>
            <w:hideMark/>
          </w:tcPr>
          <w:p w14:paraId="20FA45E5" w14:textId="77777777" w:rsidR="00C926D2" w:rsidRPr="00BC2493" w:rsidRDefault="00C926D2" w:rsidP="00C926D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 xml:space="preserve">Pārējo pamatbudžeta </w:t>
            </w:r>
            <w:proofErr w:type="spellStart"/>
            <w:r w:rsidRPr="00BC2493">
              <w:rPr>
                <w:color w:val="auto"/>
                <w:sz w:val="20"/>
                <w:lang w:eastAsia="lv-LV"/>
              </w:rPr>
              <w:t>nenodokļu</w:t>
            </w:r>
            <w:proofErr w:type="spellEnd"/>
            <w:r w:rsidRPr="00BC2493">
              <w:rPr>
                <w:color w:val="auto"/>
                <w:sz w:val="20"/>
                <w:lang w:eastAsia="lv-LV"/>
              </w:rPr>
              <w:t xml:space="preserve"> ieņēmumu prognožu palielināšana </w:t>
            </w:r>
          </w:p>
        </w:tc>
        <w:tc>
          <w:tcPr>
            <w:tcW w:w="1061" w:type="dxa"/>
            <w:vAlign w:val="center"/>
            <w:hideMark/>
          </w:tcPr>
          <w:p w14:paraId="3C582D45" w14:textId="71BA05AE"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roofErr w:type="spellStart"/>
            <w:r w:rsidRPr="00BC2493">
              <w:rPr>
                <w:color w:val="auto"/>
                <w:sz w:val="20"/>
                <w:lang w:eastAsia="lv-LV"/>
              </w:rPr>
              <w:t>Nenodokļi</w:t>
            </w:r>
            <w:proofErr w:type="spellEnd"/>
          </w:p>
        </w:tc>
        <w:tc>
          <w:tcPr>
            <w:tcW w:w="760" w:type="dxa"/>
            <w:vAlign w:val="center"/>
            <w:hideMark/>
          </w:tcPr>
          <w:p w14:paraId="1DCD8A0F" w14:textId="0878E132"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105" w:type="dxa"/>
            <w:vAlign w:val="center"/>
            <w:hideMark/>
          </w:tcPr>
          <w:p w14:paraId="71361AB1" w14:textId="52FD4C84"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43AAEFD0" w14:textId="5B43274E"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0FBECD9D" w14:textId="0F2506C9"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0,01</w:t>
            </w:r>
          </w:p>
        </w:tc>
        <w:tc>
          <w:tcPr>
            <w:tcW w:w="709" w:type="dxa"/>
            <w:noWrap/>
            <w:vAlign w:val="center"/>
            <w:hideMark/>
          </w:tcPr>
          <w:p w14:paraId="25E2CBB7" w14:textId="178E5936"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0,01</w:t>
            </w:r>
          </w:p>
        </w:tc>
        <w:tc>
          <w:tcPr>
            <w:tcW w:w="708" w:type="dxa"/>
            <w:noWrap/>
            <w:vAlign w:val="center"/>
            <w:hideMark/>
          </w:tcPr>
          <w:p w14:paraId="08ADF07E" w14:textId="73E56C3F"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r>
      <w:tr w:rsidR="00C926D2" w:rsidRPr="00BC2493" w14:paraId="5BBD4819" w14:textId="77777777" w:rsidTr="00C926D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21B46A6" w14:textId="77777777" w:rsidR="00C926D2" w:rsidRPr="00BC2493" w:rsidRDefault="00C926D2" w:rsidP="00C926D2">
            <w:pPr>
              <w:spacing w:after="0"/>
              <w:ind w:firstLine="0"/>
              <w:rPr>
                <w:b w:val="0"/>
                <w:color w:val="auto"/>
                <w:sz w:val="20"/>
                <w:lang w:eastAsia="lv-LV"/>
              </w:rPr>
            </w:pPr>
            <w:r w:rsidRPr="00BC2493">
              <w:rPr>
                <w:b w:val="0"/>
                <w:color w:val="auto"/>
                <w:sz w:val="20"/>
                <w:lang w:eastAsia="lv-LV"/>
              </w:rPr>
              <w:t xml:space="preserve">Grozījumi "Par </w:t>
            </w:r>
            <w:proofErr w:type="spellStart"/>
            <w:r w:rsidRPr="00BC2493">
              <w:rPr>
                <w:b w:val="0"/>
                <w:color w:val="auto"/>
                <w:sz w:val="20"/>
                <w:lang w:eastAsia="lv-LV"/>
              </w:rPr>
              <w:t>Iekšlietu</w:t>
            </w:r>
            <w:proofErr w:type="spellEnd"/>
            <w:r w:rsidRPr="00BC2493">
              <w:rPr>
                <w:b w:val="0"/>
                <w:color w:val="auto"/>
                <w:sz w:val="20"/>
                <w:lang w:eastAsia="lv-LV"/>
              </w:rPr>
              <w:t xml:space="preserve"> ministrijas ilgtermiņa saistībām ceļu satiksmes pārkāpumu fiksēšanas tehnisko līdzekļu (</w:t>
            </w:r>
            <w:proofErr w:type="spellStart"/>
            <w:r w:rsidRPr="00BC2493">
              <w:rPr>
                <w:b w:val="0"/>
                <w:color w:val="auto"/>
                <w:sz w:val="20"/>
                <w:lang w:eastAsia="lv-LV"/>
              </w:rPr>
              <w:t>fotoradaru</w:t>
            </w:r>
            <w:proofErr w:type="spellEnd"/>
            <w:r w:rsidRPr="00BC2493">
              <w:rPr>
                <w:b w:val="0"/>
                <w:color w:val="auto"/>
                <w:sz w:val="20"/>
                <w:lang w:eastAsia="lv-LV"/>
              </w:rPr>
              <w:t xml:space="preserve">) darbības nodrošināšanai" </w:t>
            </w:r>
          </w:p>
        </w:tc>
        <w:tc>
          <w:tcPr>
            <w:tcW w:w="4655" w:type="dxa"/>
            <w:vAlign w:val="center"/>
            <w:hideMark/>
          </w:tcPr>
          <w:p w14:paraId="1B724DD6" w14:textId="77777777" w:rsidR="00C926D2" w:rsidRPr="00BC2493" w:rsidRDefault="00C926D2" w:rsidP="00C926D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Ieņēmumu palielināšana no naudas sodiem, ko uzliek Valsts policija par pārkāpumiem ceļu satiksmē, kas fiksēti ar komersanta tehniskajiem līdzekļiem</w:t>
            </w:r>
          </w:p>
        </w:tc>
        <w:tc>
          <w:tcPr>
            <w:tcW w:w="1061" w:type="dxa"/>
            <w:vAlign w:val="center"/>
            <w:hideMark/>
          </w:tcPr>
          <w:p w14:paraId="0B20C437" w14:textId="2063EDBE"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roofErr w:type="spellStart"/>
            <w:r w:rsidRPr="00BC2493">
              <w:rPr>
                <w:color w:val="auto"/>
                <w:sz w:val="20"/>
                <w:lang w:eastAsia="lv-LV"/>
              </w:rPr>
              <w:t>Nenodokļi</w:t>
            </w:r>
            <w:proofErr w:type="spellEnd"/>
          </w:p>
        </w:tc>
        <w:tc>
          <w:tcPr>
            <w:tcW w:w="760" w:type="dxa"/>
            <w:vAlign w:val="center"/>
            <w:hideMark/>
          </w:tcPr>
          <w:p w14:paraId="031431AC" w14:textId="502EB298"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D.751</w:t>
            </w:r>
          </w:p>
        </w:tc>
        <w:tc>
          <w:tcPr>
            <w:tcW w:w="1105" w:type="dxa"/>
            <w:vAlign w:val="center"/>
            <w:hideMark/>
          </w:tcPr>
          <w:p w14:paraId="38C25619" w14:textId="2B3BEE2E"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126DC2EC" w14:textId="6C09D080"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17DB86F1" w14:textId="75A166FB"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0,02</w:t>
            </w:r>
          </w:p>
        </w:tc>
        <w:tc>
          <w:tcPr>
            <w:tcW w:w="709" w:type="dxa"/>
            <w:noWrap/>
            <w:vAlign w:val="center"/>
            <w:hideMark/>
          </w:tcPr>
          <w:p w14:paraId="5BD48FA9" w14:textId="04988CC4"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0,01</w:t>
            </w:r>
          </w:p>
        </w:tc>
        <w:tc>
          <w:tcPr>
            <w:tcW w:w="708" w:type="dxa"/>
            <w:noWrap/>
            <w:vAlign w:val="center"/>
            <w:hideMark/>
          </w:tcPr>
          <w:p w14:paraId="04982482" w14:textId="25750CCF"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r>
      <w:tr w:rsidR="00C926D2" w:rsidRPr="00BC2493" w14:paraId="17BBB504" w14:textId="77777777" w:rsidTr="009A761D">
        <w:trPr>
          <w:trHeight w:val="16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8228277" w14:textId="31198BFF" w:rsidR="00C926D2" w:rsidRPr="00BC2493" w:rsidRDefault="009A761D" w:rsidP="009A761D">
            <w:pPr>
              <w:spacing w:after="0"/>
              <w:ind w:firstLine="0"/>
              <w:rPr>
                <w:b w:val="0"/>
                <w:color w:val="auto"/>
                <w:sz w:val="20"/>
                <w:lang w:eastAsia="lv-LV"/>
              </w:rPr>
            </w:pPr>
            <w:r>
              <w:rPr>
                <w:b w:val="0"/>
                <w:color w:val="auto"/>
                <w:sz w:val="20"/>
                <w:lang w:eastAsia="lv-LV"/>
              </w:rPr>
              <w:t>Latvijas Bankas maksājuma precizēšana</w:t>
            </w:r>
            <w:r w:rsidR="00C926D2" w:rsidRPr="00BC2493">
              <w:rPr>
                <w:b w:val="0"/>
                <w:color w:val="auto"/>
                <w:sz w:val="20"/>
                <w:lang w:eastAsia="lv-LV"/>
              </w:rPr>
              <w:t xml:space="preserve"> </w:t>
            </w:r>
          </w:p>
        </w:tc>
        <w:tc>
          <w:tcPr>
            <w:tcW w:w="4655" w:type="dxa"/>
            <w:vAlign w:val="center"/>
            <w:hideMark/>
          </w:tcPr>
          <w:p w14:paraId="5EF40FBB" w14:textId="60761EC6" w:rsidR="00C926D2" w:rsidRPr="009A761D" w:rsidRDefault="009A761D" w:rsidP="00C926D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A761D">
              <w:rPr>
                <w:color w:val="auto"/>
                <w:sz w:val="20"/>
                <w:lang w:eastAsia="lv-LV"/>
              </w:rPr>
              <w:t>Latvijas Bankas maksājuma precizēšana</w:t>
            </w:r>
          </w:p>
        </w:tc>
        <w:tc>
          <w:tcPr>
            <w:tcW w:w="1061" w:type="dxa"/>
            <w:vAlign w:val="center"/>
            <w:hideMark/>
          </w:tcPr>
          <w:p w14:paraId="540C668E" w14:textId="208908F4"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roofErr w:type="spellStart"/>
            <w:r w:rsidRPr="00BC2493">
              <w:rPr>
                <w:color w:val="auto"/>
                <w:sz w:val="20"/>
                <w:lang w:eastAsia="lv-LV"/>
              </w:rPr>
              <w:t>Nenodokļi</w:t>
            </w:r>
            <w:proofErr w:type="spellEnd"/>
          </w:p>
        </w:tc>
        <w:tc>
          <w:tcPr>
            <w:tcW w:w="760" w:type="dxa"/>
            <w:vAlign w:val="center"/>
            <w:hideMark/>
          </w:tcPr>
          <w:p w14:paraId="7AC72575" w14:textId="733F9880"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D.421</w:t>
            </w:r>
          </w:p>
        </w:tc>
        <w:tc>
          <w:tcPr>
            <w:tcW w:w="1105" w:type="dxa"/>
            <w:vAlign w:val="center"/>
            <w:hideMark/>
          </w:tcPr>
          <w:p w14:paraId="44F4EB78" w14:textId="1F043C67"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02FA3F14" w14:textId="7C672E5D"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555285A1" w14:textId="62D1DE9D"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0,03</w:t>
            </w:r>
          </w:p>
        </w:tc>
        <w:tc>
          <w:tcPr>
            <w:tcW w:w="709" w:type="dxa"/>
            <w:noWrap/>
            <w:vAlign w:val="center"/>
            <w:hideMark/>
          </w:tcPr>
          <w:p w14:paraId="59DD6780" w14:textId="468C39AE"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c>
          <w:tcPr>
            <w:tcW w:w="708" w:type="dxa"/>
            <w:noWrap/>
            <w:vAlign w:val="center"/>
            <w:hideMark/>
          </w:tcPr>
          <w:p w14:paraId="1DD88D91" w14:textId="78559083"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r>
      <w:tr w:rsidR="00C926D2" w:rsidRPr="00BC2493" w14:paraId="3675588B" w14:textId="77777777" w:rsidTr="00C926D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hideMark/>
          </w:tcPr>
          <w:p w14:paraId="171C1CEB" w14:textId="77777777" w:rsidR="00C926D2" w:rsidRPr="00BC2493" w:rsidRDefault="00C926D2" w:rsidP="00C926D2">
            <w:pPr>
              <w:spacing w:after="0"/>
              <w:ind w:firstLine="0"/>
              <w:rPr>
                <w:b w:val="0"/>
                <w:color w:val="auto"/>
                <w:sz w:val="20"/>
                <w:lang w:eastAsia="lv-LV"/>
              </w:rPr>
            </w:pPr>
            <w:r w:rsidRPr="00BC2493">
              <w:rPr>
                <w:b w:val="0"/>
                <w:color w:val="auto"/>
                <w:sz w:val="20"/>
                <w:lang w:eastAsia="lv-LV"/>
              </w:rPr>
              <w:t xml:space="preserve">Ieņēmumu no dividendēm palielināšana, saistībā ar  AS "Latvijas valsts meži" maksājumu palielināšanu </w:t>
            </w:r>
          </w:p>
        </w:tc>
        <w:tc>
          <w:tcPr>
            <w:tcW w:w="4655" w:type="dxa"/>
            <w:vMerge w:val="restart"/>
            <w:vAlign w:val="center"/>
            <w:hideMark/>
          </w:tcPr>
          <w:p w14:paraId="2C8E1B45" w14:textId="77777777" w:rsidR="00C926D2" w:rsidRPr="00BC2493" w:rsidRDefault="00C926D2" w:rsidP="00C926D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 xml:space="preserve">Ieņēmumu no dividendēm palielināšana, saistībā ar  AS "Latvijas valsts meži" maksājumu palielināšanu </w:t>
            </w:r>
          </w:p>
        </w:tc>
        <w:tc>
          <w:tcPr>
            <w:tcW w:w="1061" w:type="dxa"/>
            <w:vAlign w:val="center"/>
            <w:hideMark/>
          </w:tcPr>
          <w:p w14:paraId="62B8ECDF" w14:textId="7DE40628"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roofErr w:type="spellStart"/>
            <w:r w:rsidRPr="00BC2493">
              <w:rPr>
                <w:color w:val="auto"/>
                <w:sz w:val="20"/>
                <w:lang w:eastAsia="lv-LV"/>
              </w:rPr>
              <w:t>Nenodokļi</w:t>
            </w:r>
            <w:proofErr w:type="spellEnd"/>
          </w:p>
        </w:tc>
        <w:tc>
          <w:tcPr>
            <w:tcW w:w="760" w:type="dxa"/>
            <w:vAlign w:val="center"/>
            <w:hideMark/>
          </w:tcPr>
          <w:p w14:paraId="6B6419CD" w14:textId="7B4D71AA"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D.421</w:t>
            </w:r>
          </w:p>
        </w:tc>
        <w:tc>
          <w:tcPr>
            <w:tcW w:w="1105" w:type="dxa"/>
            <w:vAlign w:val="center"/>
            <w:hideMark/>
          </w:tcPr>
          <w:p w14:paraId="7A3EB1CC" w14:textId="60E18F8D"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5237E7B4" w14:textId="1C41312F"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45C0C353" w14:textId="5C734900"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0,02</w:t>
            </w:r>
          </w:p>
        </w:tc>
        <w:tc>
          <w:tcPr>
            <w:tcW w:w="709" w:type="dxa"/>
            <w:noWrap/>
            <w:vAlign w:val="center"/>
            <w:hideMark/>
          </w:tcPr>
          <w:p w14:paraId="0F122651" w14:textId="584C75C5"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-0,01</w:t>
            </w:r>
          </w:p>
        </w:tc>
        <w:tc>
          <w:tcPr>
            <w:tcW w:w="708" w:type="dxa"/>
            <w:noWrap/>
            <w:vAlign w:val="center"/>
            <w:hideMark/>
          </w:tcPr>
          <w:p w14:paraId="465498C3" w14:textId="0AF39EC2"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r>
      <w:tr w:rsidR="00C926D2" w:rsidRPr="00BC2493" w14:paraId="1125085E" w14:textId="77777777" w:rsidTr="00C926D2">
        <w:trPr>
          <w:trHeight w:val="236"/>
        </w:trPr>
        <w:tc>
          <w:tcPr>
            <w:cnfStyle w:val="001000000000" w:firstRow="0" w:lastRow="0" w:firstColumn="1" w:lastColumn="0" w:oddVBand="0" w:evenVBand="0" w:oddHBand="0" w:evenHBand="0" w:firstRowFirstColumn="0" w:firstRowLastColumn="0" w:lastRowFirstColumn="0" w:lastRowLastColumn="0"/>
            <w:tcW w:w="3681" w:type="dxa"/>
            <w:vMerge/>
            <w:vAlign w:val="center"/>
            <w:hideMark/>
          </w:tcPr>
          <w:p w14:paraId="4ED28EF5" w14:textId="77777777" w:rsidR="00C926D2" w:rsidRPr="00BC2493" w:rsidRDefault="00C926D2" w:rsidP="00C926D2">
            <w:pPr>
              <w:spacing w:after="0"/>
              <w:ind w:firstLine="0"/>
              <w:rPr>
                <w:b w:val="0"/>
                <w:color w:val="auto"/>
                <w:sz w:val="20"/>
                <w:lang w:eastAsia="lv-LV"/>
              </w:rPr>
            </w:pPr>
          </w:p>
        </w:tc>
        <w:tc>
          <w:tcPr>
            <w:tcW w:w="4655" w:type="dxa"/>
            <w:vMerge/>
            <w:vAlign w:val="center"/>
            <w:hideMark/>
          </w:tcPr>
          <w:p w14:paraId="7EC32B43" w14:textId="77777777" w:rsidR="00C926D2" w:rsidRPr="00BC2493" w:rsidRDefault="00C926D2" w:rsidP="00C926D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061" w:type="dxa"/>
            <w:vAlign w:val="center"/>
            <w:hideMark/>
          </w:tcPr>
          <w:p w14:paraId="205F9683" w14:textId="77777777"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UIN</w:t>
            </w:r>
          </w:p>
        </w:tc>
        <w:tc>
          <w:tcPr>
            <w:tcW w:w="760" w:type="dxa"/>
            <w:vAlign w:val="center"/>
            <w:hideMark/>
          </w:tcPr>
          <w:p w14:paraId="0E1DEC18" w14:textId="7FFF9C20"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D.5</w:t>
            </w:r>
          </w:p>
        </w:tc>
        <w:tc>
          <w:tcPr>
            <w:tcW w:w="1105" w:type="dxa"/>
            <w:vAlign w:val="center"/>
            <w:hideMark/>
          </w:tcPr>
          <w:p w14:paraId="2CF719A7" w14:textId="4BCB6823"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1E9FF9B5" w14:textId="411A7829"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7A3B46A7" w14:textId="66956F71"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c>
          <w:tcPr>
            <w:tcW w:w="709" w:type="dxa"/>
            <w:noWrap/>
            <w:vAlign w:val="center"/>
            <w:hideMark/>
          </w:tcPr>
          <w:p w14:paraId="4F1273D2" w14:textId="042A47D5"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c>
          <w:tcPr>
            <w:tcW w:w="708" w:type="dxa"/>
            <w:noWrap/>
            <w:vAlign w:val="center"/>
            <w:hideMark/>
          </w:tcPr>
          <w:p w14:paraId="11F22292" w14:textId="455A2E1F"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r>
      <w:tr w:rsidR="00C926D2" w:rsidRPr="00BC2493" w14:paraId="41C35E19" w14:textId="77777777" w:rsidTr="00C926D2">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hideMark/>
          </w:tcPr>
          <w:p w14:paraId="54BEC302" w14:textId="77777777" w:rsidR="00C926D2" w:rsidRPr="00BC2493" w:rsidRDefault="00C926D2" w:rsidP="00C926D2">
            <w:pPr>
              <w:spacing w:after="0"/>
              <w:ind w:firstLine="0"/>
              <w:rPr>
                <w:b w:val="0"/>
                <w:color w:val="auto"/>
                <w:sz w:val="20"/>
                <w:lang w:eastAsia="lv-LV"/>
              </w:rPr>
            </w:pPr>
            <w:r w:rsidRPr="00BC2493">
              <w:rPr>
                <w:b w:val="0"/>
                <w:color w:val="auto"/>
                <w:sz w:val="20"/>
                <w:lang w:eastAsia="lv-LV"/>
              </w:rPr>
              <w:t>Ieņēmumu no dividendēm precizēšana</w:t>
            </w:r>
          </w:p>
        </w:tc>
        <w:tc>
          <w:tcPr>
            <w:tcW w:w="4655" w:type="dxa"/>
            <w:vMerge w:val="restart"/>
            <w:vAlign w:val="center"/>
            <w:hideMark/>
          </w:tcPr>
          <w:p w14:paraId="354BFACB" w14:textId="77777777" w:rsidR="00C926D2" w:rsidRPr="00BC2493" w:rsidRDefault="00C926D2" w:rsidP="00C926D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Ieņēmumu izmaiņas no AS "Latvenergo" dividendēm, saskaņā ar konceptuālo ziņojumu "Kompleksi pasākumi elektroenerģijas tirgus attīstībai"</w:t>
            </w:r>
          </w:p>
        </w:tc>
        <w:tc>
          <w:tcPr>
            <w:tcW w:w="1061" w:type="dxa"/>
            <w:vAlign w:val="center"/>
            <w:hideMark/>
          </w:tcPr>
          <w:p w14:paraId="3EE11A22" w14:textId="6A110185"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roofErr w:type="spellStart"/>
            <w:r w:rsidRPr="00BC2493">
              <w:rPr>
                <w:color w:val="auto"/>
                <w:sz w:val="20"/>
                <w:lang w:eastAsia="lv-LV"/>
              </w:rPr>
              <w:t>Nenodokļi</w:t>
            </w:r>
            <w:proofErr w:type="spellEnd"/>
          </w:p>
        </w:tc>
        <w:tc>
          <w:tcPr>
            <w:tcW w:w="760" w:type="dxa"/>
            <w:vAlign w:val="center"/>
            <w:hideMark/>
          </w:tcPr>
          <w:p w14:paraId="5CB462C4" w14:textId="24285415"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D.421</w:t>
            </w:r>
          </w:p>
        </w:tc>
        <w:tc>
          <w:tcPr>
            <w:tcW w:w="1105" w:type="dxa"/>
            <w:vAlign w:val="center"/>
            <w:hideMark/>
          </w:tcPr>
          <w:p w14:paraId="0F3DDFEF" w14:textId="65B0658B"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53C4886C" w14:textId="70E775B4"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35B284B5" w14:textId="444B7A39"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-0,10</w:t>
            </w:r>
          </w:p>
        </w:tc>
        <w:tc>
          <w:tcPr>
            <w:tcW w:w="709" w:type="dxa"/>
            <w:noWrap/>
            <w:vAlign w:val="center"/>
            <w:hideMark/>
          </w:tcPr>
          <w:p w14:paraId="1C99D5B1" w14:textId="148713F7"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0,10</w:t>
            </w:r>
          </w:p>
        </w:tc>
        <w:tc>
          <w:tcPr>
            <w:tcW w:w="708" w:type="dxa"/>
            <w:noWrap/>
            <w:vAlign w:val="center"/>
            <w:hideMark/>
          </w:tcPr>
          <w:p w14:paraId="54A7BB25" w14:textId="7744926F"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0,31</w:t>
            </w:r>
          </w:p>
        </w:tc>
      </w:tr>
      <w:tr w:rsidR="00C926D2" w:rsidRPr="00BC2493" w14:paraId="3F0E2A10" w14:textId="77777777" w:rsidTr="00C926D2">
        <w:trPr>
          <w:trHeight w:val="387"/>
        </w:trPr>
        <w:tc>
          <w:tcPr>
            <w:cnfStyle w:val="001000000000" w:firstRow="0" w:lastRow="0" w:firstColumn="1" w:lastColumn="0" w:oddVBand="0" w:evenVBand="0" w:oddHBand="0" w:evenHBand="0" w:firstRowFirstColumn="0" w:firstRowLastColumn="0" w:lastRowFirstColumn="0" w:lastRowLastColumn="0"/>
            <w:tcW w:w="3681" w:type="dxa"/>
            <w:vMerge/>
            <w:vAlign w:val="center"/>
            <w:hideMark/>
          </w:tcPr>
          <w:p w14:paraId="7EFDAEE2" w14:textId="77777777" w:rsidR="00C926D2" w:rsidRPr="00BC2493" w:rsidRDefault="00C926D2" w:rsidP="00C926D2">
            <w:pPr>
              <w:spacing w:after="0"/>
              <w:ind w:firstLine="0"/>
              <w:rPr>
                <w:b w:val="0"/>
                <w:color w:val="auto"/>
                <w:sz w:val="20"/>
                <w:lang w:eastAsia="lv-LV"/>
              </w:rPr>
            </w:pPr>
          </w:p>
        </w:tc>
        <w:tc>
          <w:tcPr>
            <w:tcW w:w="4655" w:type="dxa"/>
            <w:vMerge/>
            <w:vAlign w:val="center"/>
            <w:hideMark/>
          </w:tcPr>
          <w:p w14:paraId="652B1114" w14:textId="77777777" w:rsidR="00C926D2" w:rsidRPr="00BC2493" w:rsidRDefault="00C926D2" w:rsidP="00C926D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061" w:type="dxa"/>
            <w:vAlign w:val="center"/>
            <w:hideMark/>
          </w:tcPr>
          <w:p w14:paraId="403B2B92" w14:textId="77777777"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UIN</w:t>
            </w:r>
          </w:p>
        </w:tc>
        <w:tc>
          <w:tcPr>
            <w:tcW w:w="760" w:type="dxa"/>
            <w:vAlign w:val="center"/>
            <w:hideMark/>
          </w:tcPr>
          <w:p w14:paraId="39034AD1" w14:textId="3A2E5E01"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D.5</w:t>
            </w:r>
          </w:p>
        </w:tc>
        <w:tc>
          <w:tcPr>
            <w:tcW w:w="1105" w:type="dxa"/>
            <w:vAlign w:val="center"/>
            <w:hideMark/>
          </w:tcPr>
          <w:p w14:paraId="4E5A1867" w14:textId="6456CB1C"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71671782" w14:textId="3614B513"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1AFDCC3E" w14:textId="6D5AF6B0"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c>
          <w:tcPr>
            <w:tcW w:w="709" w:type="dxa"/>
            <w:noWrap/>
            <w:vAlign w:val="center"/>
            <w:hideMark/>
          </w:tcPr>
          <w:p w14:paraId="15911D4D" w14:textId="1991D01C"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c>
          <w:tcPr>
            <w:tcW w:w="708" w:type="dxa"/>
            <w:noWrap/>
            <w:vAlign w:val="center"/>
            <w:hideMark/>
          </w:tcPr>
          <w:p w14:paraId="7B1DBDFA" w14:textId="28C26373"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0,08</w:t>
            </w:r>
          </w:p>
        </w:tc>
      </w:tr>
      <w:tr w:rsidR="00C926D2" w:rsidRPr="00BC2493" w14:paraId="13EE0BF4" w14:textId="77777777" w:rsidTr="00C926D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1D708699" w14:textId="72791EDD" w:rsidR="00C926D2" w:rsidRPr="00BC2493" w:rsidRDefault="00C926D2" w:rsidP="00C926D2">
            <w:pPr>
              <w:spacing w:after="0"/>
              <w:ind w:firstLine="0"/>
              <w:rPr>
                <w:b w:val="0"/>
                <w:color w:val="auto"/>
                <w:sz w:val="20"/>
                <w:lang w:eastAsia="lv-LV"/>
              </w:rPr>
            </w:pPr>
            <w:r w:rsidRPr="00BC2493">
              <w:rPr>
                <w:b w:val="0"/>
                <w:color w:val="auto"/>
                <w:sz w:val="20"/>
                <w:lang w:eastAsia="lv-LV"/>
              </w:rPr>
              <w:t xml:space="preserve">Palielināt prognozētos PVN ieņēmumus par noteiktu pasažieru kategoriju ar braukšanas maksas atvieglojumiem pārvadāšanu sabiedriskajā transportā </w:t>
            </w:r>
          </w:p>
        </w:tc>
        <w:tc>
          <w:tcPr>
            <w:tcW w:w="4655" w:type="dxa"/>
            <w:vAlign w:val="center"/>
            <w:hideMark/>
          </w:tcPr>
          <w:p w14:paraId="00E86CCF" w14:textId="7CF4531A" w:rsidR="00C926D2" w:rsidRPr="00BC2493" w:rsidRDefault="00C926D2" w:rsidP="00C926D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 xml:space="preserve">Palielināt prognozētos PVN ieņēmumus par noteiktu pasažieru kategoriju ar braukšanas maksas atvieglojumiem pārvadāšanu sabiedriskajā transportā </w:t>
            </w:r>
          </w:p>
        </w:tc>
        <w:tc>
          <w:tcPr>
            <w:tcW w:w="1061" w:type="dxa"/>
            <w:vAlign w:val="center"/>
            <w:hideMark/>
          </w:tcPr>
          <w:p w14:paraId="6FA2F0C7" w14:textId="28948EBB"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PVN</w:t>
            </w:r>
          </w:p>
        </w:tc>
        <w:tc>
          <w:tcPr>
            <w:tcW w:w="760" w:type="dxa"/>
            <w:vAlign w:val="center"/>
            <w:hideMark/>
          </w:tcPr>
          <w:p w14:paraId="58FBE93F" w14:textId="4B746A78"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D.2</w:t>
            </w:r>
          </w:p>
        </w:tc>
        <w:tc>
          <w:tcPr>
            <w:tcW w:w="1105" w:type="dxa"/>
            <w:vAlign w:val="center"/>
            <w:hideMark/>
          </w:tcPr>
          <w:p w14:paraId="532FEAEE" w14:textId="4B134C5A"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hideMark/>
          </w:tcPr>
          <w:p w14:paraId="70548C84" w14:textId="0AF34253" w:rsidR="00C926D2" w:rsidRPr="00BC2493"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56680">
              <w:rPr>
                <w:color w:val="auto"/>
                <w:sz w:val="20"/>
                <w:lang w:eastAsia="lv-LV"/>
              </w:rPr>
              <w:t>Apstiprināts valdībā</w:t>
            </w:r>
          </w:p>
        </w:tc>
        <w:tc>
          <w:tcPr>
            <w:tcW w:w="709" w:type="dxa"/>
            <w:noWrap/>
            <w:vAlign w:val="center"/>
            <w:hideMark/>
          </w:tcPr>
          <w:p w14:paraId="769F9EE8" w14:textId="22E76A97"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0,01</w:t>
            </w:r>
          </w:p>
        </w:tc>
        <w:tc>
          <w:tcPr>
            <w:tcW w:w="709" w:type="dxa"/>
            <w:noWrap/>
            <w:vAlign w:val="center"/>
            <w:hideMark/>
          </w:tcPr>
          <w:p w14:paraId="64A02D54" w14:textId="6CC3F862"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c>
          <w:tcPr>
            <w:tcW w:w="708" w:type="dxa"/>
            <w:noWrap/>
            <w:vAlign w:val="center"/>
            <w:hideMark/>
          </w:tcPr>
          <w:p w14:paraId="6FF7E3E0" w14:textId="7E4EAEED" w:rsidR="00C926D2" w:rsidRPr="00BC2493"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BC2493">
              <w:rPr>
                <w:color w:val="auto"/>
                <w:sz w:val="20"/>
                <w:lang w:eastAsia="lv-LV"/>
              </w:rPr>
              <w:t>0,00</w:t>
            </w:r>
          </w:p>
        </w:tc>
      </w:tr>
      <w:tr w:rsidR="00C926D2" w:rsidRPr="00BC2493" w14:paraId="44E83159" w14:textId="77777777" w:rsidTr="00C926D2">
        <w:trPr>
          <w:trHeight w:val="92"/>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6A6D76D" w14:textId="1923B450" w:rsidR="00C926D2" w:rsidRPr="00BC2493" w:rsidRDefault="00C926D2" w:rsidP="00C926D2">
            <w:pPr>
              <w:spacing w:after="0"/>
              <w:ind w:firstLine="0"/>
              <w:rPr>
                <w:b w:val="0"/>
                <w:color w:val="auto"/>
                <w:sz w:val="20"/>
                <w:lang w:eastAsia="lv-LV"/>
              </w:rPr>
            </w:pPr>
            <w:r w:rsidRPr="00BC2493">
              <w:rPr>
                <w:b w:val="0"/>
                <w:color w:val="auto"/>
                <w:sz w:val="20"/>
                <w:lang w:eastAsia="lv-LV"/>
              </w:rPr>
              <w:t>Pārējie pasākumi kopā</w:t>
            </w:r>
          </w:p>
        </w:tc>
        <w:tc>
          <w:tcPr>
            <w:tcW w:w="4655" w:type="dxa"/>
            <w:vAlign w:val="center"/>
          </w:tcPr>
          <w:p w14:paraId="49A3171C" w14:textId="77777777" w:rsidR="00C926D2" w:rsidRPr="00BC2493" w:rsidRDefault="00C926D2" w:rsidP="00C926D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061" w:type="dxa"/>
            <w:vAlign w:val="center"/>
          </w:tcPr>
          <w:p w14:paraId="10BA74F3" w14:textId="77777777"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60" w:type="dxa"/>
            <w:vAlign w:val="center"/>
          </w:tcPr>
          <w:p w14:paraId="5C2557B5" w14:textId="77777777"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105" w:type="dxa"/>
            <w:vAlign w:val="center"/>
          </w:tcPr>
          <w:p w14:paraId="1FA294E5" w14:textId="44DE1F3B"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E5B0F">
              <w:rPr>
                <w:color w:val="auto"/>
                <w:sz w:val="20"/>
                <w:lang w:eastAsia="lv-LV"/>
              </w:rPr>
              <w:t>Uzkrājuma</w:t>
            </w:r>
          </w:p>
        </w:tc>
        <w:tc>
          <w:tcPr>
            <w:tcW w:w="1916" w:type="dxa"/>
            <w:vAlign w:val="center"/>
          </w:tcPr>
          <w:p w14:paraId="3B36DC60" w14:textId="2D84EB79" w:rsidR="00C926D2" w:rsidRPr="00BC2493"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tcPr>
          <w:p w14:paraId="42B117C8" w14:textId="52C9F6F7"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0,02</w:t>
            </w:r>
          </w:p>
        </w:tc>
        <w:tc>
          <w:tcPr>
            <w:tcW w:w="709" w:type="dxa"/>
            <w:noWrap/>
            <w:vAlign w:val="center"/>
          </w:tcPr>
          <w:p w14:paraId="1EEA2362" w14:textId="7F524995"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c>
          <w:tcPr>
            <w:tcW w:w="708" w:type="dxa"/>
            <w:noWrap/>
            <w:vAlign w:val="center"/>
          </w:tcPr>
          <w:p w14:paraId="175C2445" w14:textId="027C5720" w:rsidR="00C926D2" w:rsidRPr="00BC2493"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BC2493">
              <w:rPr>
                <w:color w:val="auto"/>
                <w:sz w:val="20"/>
                <w:lang w:eastAsia="lv-LV"/>
              </w:rPr>
              <w:t>0,00</w:t>
            </w:r>
          </w:p>
        </w:tc>
      </w:tr>
      <w:tr w:rsidR="00174C27" w:rsidRPr="00BC2493" w14:paraId="434FF0E4" w14:textId="77777777" w:rsidTr="00174C27">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3178" w:type="dxa"/>
            <w:gridSpan w:val="6"/>
            <w:noWrap/>
            <w:vAlign w:val="center"/>
            <w:hideMark/>
          </w:tcPr>
          <w:p w14:paraId="0C93E5A7" w14:textId="7195E2A1" w:rsidR="00174C27" w:rsidRPr="00BC2493" w:rsidRDefault="00174C27" w:rsidP="00174C27">
            <w:pPr>
              <w:spacing w:after="0"/>
              <w:ind w:firstLine="0"/>
              <w:jc w:val="right"/>
              <w:rPr>
                <w:color w:val="auto"/>
                <w:sz w:val="20"/>
                <w:lang w:eastAsia="lv-LV"/>
              </w:rPr>
            </w:pPr>
            <w:r>
              <w:rPr>
                <w:color w:val="auto"/>
                <w:sz w:val="20"/>
                <w:lang w:eastAsia="lv-LV"/>
              </w:rPr>
              <w:t>Kopā</w:t>
            </w:r>
          </w:p>
        </w:tc>
        <w:tc>
          <w:tcPr>
            <w:tcW w:w="709" w:type="dxa"/>
            <w:noWrap/>
            <w:vAlign w:val="center"/>
            <w:hideMark/>
          </w:tcPr>
          <w:p w14:paraId="20DDF317" w14:textId="17659EED" w:rsidR="00174C27" w:rsidRPr="00BC2493" w:rsidRDefault="00174C27" w:rsidP="00174C27">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BC2493">
              <w:rPr>
                <w:b/>
                <w:bCs/>
                <w:color w:val="auto"/>
                <w:sz w:val="20"/>
                <w:lang w:eastAsia="lv-LV"/>
              </w:rPr>
              <w:t>-0,02</w:t>
            </w:r>
          </w:p>
        </w:tc>
        <w:tc>
          <w:tcPr>
            <w:tcW w:w="709" w:type="dxa"/>
            <w:noWrap/>
            <w:vAlign w:val="center"/>
            <w:hideMark/>
          </w:tcPr>
          <w:p w14:paraId="7DC36E67" w14:textId="571C8C85" w:rsidR="00174C27" w:rsidRPr="00BC2493" w:rsidRDefault="00174C27" w:rsidP="00174C27">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BC2493">
              <w:rPr>
                <w:b/>
                <w:bCs/>
                <w:color w:val="auto"/>
                <w:sz w:val="20"/>
                <w:lang w:eastAsia="lv-LV"/>
              </w:rPr>
              <w:t>0,13</w:t>
            </w:r>
          </w:p>
        </w:tc>
        <w:tc>
          <w:tcPr>
            <w:tcW w:w="708" w:type="dxa"/>
            <w:noWrap/>
            <w:vAlign w:val="center"/>
            <w:hideMark/>
          </w:tcPr>
          <w:p w14:paraId="4D6F5656" w14:textId="6DDDCDBE" w:rsidR="00174C27" w:rsidRPr="00BC2493" w:rsidRDefault="00174C27" w:rsidP="00174C27">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BC2493">
              <w:rPr>
                <w:b/>
                <w:bCs/>
                <w:color w:val="auto"/>
                <w:sz w:val="20"/>
                <w:lang w:eastAsia="lv-LV"/>
              </w:rPr>
              <w:t>0,39</w:t>
            </w:r>
          </w:p>
        </w:tc>
      </w:tr>
    </w:tbl>
    <w:p w14:paraId="52541C3F" w14:textId="6E608C38" w:rsidR="009B2593" w:rsidRDefault="009B2593">
      <w:pPr>
        <w:spacing w:after="0"/>
        <w:ind w:firstLine="0"/>
        <w:jc w:val="left"/>
        <w:rPr>
          <w:b/>
          <w:bCs/>
          <w:color w:val="18185F"/>
          <w:szCs w:val="28"/>
          <w:lang w:eastAsia="x-none"/>
        </w:rPr>
      </w:pPr>
      <w:bookmarkStart w:id="21" w:name="_Toc430608616"/>
    </w:p>
    <w:p w14:paraId="2C19F5A2" w14:textId="73D1CA8B" w:rsidR="00514698" w:rsidRPr="00CA695A" w:rsidRDefault="00514698" w:rsidP="00514698">
      <w:pPr>
        <w:pStyle w:val="Heading1"/>
        <w:tabs>
          <w:tab w:val="left" w:pos="1276"/>
        </w:tabs>
        <w:spacing w:before="0" w:after="240"/>
        <w:ind w:left="1276" w:hanging="1276"/>
        <w:jc w:val="left"/>
        <w:rPr>
          <w:rFonts w:ascii="Times New Roman" w:hAnsi="Times New Roman"/>
          <w:color w:val="18185F"/>
          <w:sz w:val="24"/>
          <w:lang w:val="lv-LV"/>
        </w:rPr>
      </w:pPr>
      <w:bookmarkStart w:id="22" w:name="_Toc494786354"/>
      <w:r w:rsidRPr="00685A33">
        <w:rPr>
          <w:rFonts w:ascii="Times New Roman" w:hAnsi="Times New Roman"/>
          <w:color w:val="18185F"/>
          <w:sz w:val="24"/>
          <w:lang w:val="lv-LV"/>
        </w:rPr>
        <w:lastRenderedPageBreak/>
        <w:t xml:space="preserve">5.a.ii) </w:t>
      </w:r>
      <w:proofErr w:type="spellStart"/>
      <w:r w:rsidRPr="00685A33">
        <w:rPr>
          <w:rFonts w:ascii="Times New Roman" w:hAnsi="Times New Roman"/>
          <w:color w:val="18185F"/>
          <w:sz w:val="24"/>
        </w:rPr>
        <w:t>Diskrecionārie</w:t>
      </w:r>
      <w:proofErr w:type="spellEnd"/>
      <w:r w:rsidRPr="00685A33">
        <w:rPr>
          <w:rFonts w:ascii="Times New Roman" w:hAnsi="Times New Roman"/>
          <w:color w:val="18185F"/>
          <w:sz w:val="24"/>
        </w:rPr>
        <w:t xml:space="preserve"> </w:t>
      </w:r>
      <w:r w:rsidRPr="00685A33">
        <w:rPr>
          <w:rFonts w:ascii="Times New Roman" w:hAnsi="Times New Roman"/>
          <w:color w:val="18185F"/>
          <w:sz w:val="24"/>
          <w:lang w:val="lv-LV"/>
        </w:rPr>
        <w:t xml:space="preserve">izdevumu </w:t>
      </w:r>
      <w:r w:rsidRPr="00685A33">
        <w:rPr>
          <w:rFonts w:ascii="Times New Roman" w:hAnsi="Times New Roman"/>
          <w:color w:val="18185F"/>
          <w:sz w:val="24"/>
        </w:rPr>
        <w:t xml:space="preserve">pasākumi </w:t>
      </w:r>
      <w:r w:rsidR="00CA695A" w:rsidRPr="00685A33">
        <w:rPr>
          <w:rFonts w:ascii="Times New Roman" w:hAnsi="Times New Roman"/>
          <w:color w:val="18185F"/>
          <w:sz w:val="24"/>
          <w:lang w:val="lv-LV"/>
        </w:rPr>
        <w:t>vispārējās valdības budžetā</w:t>
      </w:r>
      <w:bookmarkEnd w:id="21"/>
      <w:bookmarkEnd w:id="22"/>
    </w:p>
    <w:tbl>
      <w:tblPr>
        <w:tblStyle w:val="GridTable6Colorful-Accent11"/>
        <w:tblpPr w:leftFromText="180" w:rightFromText="180" w:vertAnchor="text" w:tblpXSpec="center" w:tblpY="1"/>
        <w:tblW w:w="14596" w:type="dxa"/>
        <w:tblLook w:val="04A0" w:firstRow="1" w:lastRow="0" w:firstColumn="1" w:lastColumn="0" w:noHBand="0" w:noVBand="1"/>
      </w:tblPr>
      <w:tblGrid>
        <w:gridCol w:w="7650"/>
        <w:gridCol w:w="979"/>
        <w:gridCol w:w="1572"/>
        <w:gridCol w:w="1843"/>
        <w:gridCol w:w="851"/>
        <w:gridCol w:w="850"/>
        <w:gridCol w:w="851"/>
      </w:tblGrid>
      <w:tr w:rsidR="00A74DD4" w:rsidRPr="00EE09CC" w14:paraId="6DF5F658" w14:textId="77777777" w:rsidTr="007B72E9">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7650" w:type="dxa"/>
            <w:vMerge w:val="restart"/>
            <w:vAlign w:val="center"/>
            <w:hideMark/>
          </w:tcPr>
          <w:p w14:paraId="3E3D7D99" w14:textId="06CCDA6A" w:rsidR="00A74DD4" w:rsidRPr="00A74DD4" w:rsidRDefault="00A74DD4" w:rsidP="006A3C92">
            <w:pPr>
              <w:spacing w:after="0"/>
              <w:ind w:firstLine="0"/>
              <w:jc w:val="center"/>
              <w:rPr>
                <w:color w:val="auto"/>
                <w:sz w:val="20"/>
                <w:lang w:eastAsia="lv-LV"/>
              </w:rPr>
            </w:pPr>
            <w:r w:rsidRPr="00A74DD4">
              <w:rPr>
                <w:color w:val="auto"/>
                <w:sz w:val="20"/>
                <w:lang w:eastAsia="lv-LV"/>
              </w:rPr>
              <w:t>Pasākumu saraksts</w:t>
            </w:r>
          </w:p>
        </w:tc>
        <w:tc>
          <w:tcPr>
            <w:tcW w:w="979" w:type="dxa"/>
            <w:vMerge w:val="restart"/>
            <w:vAlign w:val="center"/>
            <w:hideMark/>
          </w:tcPr>
          <w:p w14:paraId="4C16FDD7" w14:textId="30250E60" w:rsidR="00A74DD4" w:rsidRPr="00A74DD4" w:rsidRDefault="00A74DD4" w:rsidP="006A3C9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74DD4">
              <w:rPr>
                <w:color w:val="auto"/>
                <w:sz w:val="20"/>
                <w:lang w:eastAsia="lv-LV"/>
              </w:rPr>
              <w:t>EKS kods</w:t>
            </w:r>
          </w:p>
        </w:tc>
        <w:tc>
          <w:tcPr>
            <w:tcW w:w="1572" w:type="dxa"/>
            <w:vMerge w:val="restart"/>
            <w:vAlign w:val="center"/>
            <w:hideMark/>
          </w:tcPr>
          <w:p w14:paraId="2914F09B" w14:textId="2E583927" w:rsidR="00A74DD4" w:rsidRPr="00A74DD4" w:rsidRDefault="00A74DD4" w:rsidP="006A3C9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74DD4">
              <w:rPr>
                <w:color w:val="auto"/>
                <w:sz w:val="20"/>
                <w:lang w:eastAsia="lv-LV"/>
              </w:rPr>
              <w:t>Uzskaites princips</w:t>
            </w:r>
          </w:p>
        </w:tc>
        <w:tc>
          <w:tcPr>
            <w:tcW w:w="1843" w:type="dxa"/>
            <w:vMerge w:val="restart"/>
            <w:vAlign w:val="center"/>
            <w:hideMark/>
          </w:tcPr>
          <w:p w14:paraId="235F396F" w14:textId="421C5ABA" w:rsidR="00A74DD4" w:rsidRPr="00A74DD4" w:rsidRDefault="00A74DD4" w:rsidP="006A3C9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74DD4">
              <w:rPr>
                <w:color w:val="auto"/>
                <w:sz w:val="20"/>
                <w:lang w:eastAsia="lv-LV"/>
              </w:rPr>
              <w:t>Pieņemšanas statuss</w:t>
            </w:r>
          </w:p>
        </w:tc>
        <w:tc>
          <w:tcPr>
            <w:tcW w:w="2552" w:type="dxa"/>
            <w:gridSpan w:val="3"/>
            <w:noWrap/>
            <w:vAlign w:val="center"/>
            <w:hideMark/>
          </w:tcPr>
          <w:p w14:paraId="172B29F9" w14:textId="0345D379" w:rsidR="00A74DD4" w:rsidRPr="00A74DD4" w:rsidRDefault="00A74DD4" w:rsidP="006A3C92">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74DD4">
              <w:rPr>
                <w:color w:val="auto"/>
                <w:sz w:val="20"/>
                <w:lang w:eastAsia="lv-LV"/>
              </w:rPr>
              <w:t>Ietekme uz budžetu</w:t>
            </w:r>
          </w:p>
        </w:tc>
      </w:tr>
      <w:tr w:rsidR="00A74DD4" w:rsidRPr="00EE09CC" w14:paraId="08B6CA2B" w14:textId="77777777" w:rsidTr="007B72E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7650" w:type="dxa"/>
            <w:vMerge/>
            <w:hideMark/>
          </w:tcPr>
          <w:p w14:paraId="0FF8735A" w14:textId="77777777" w:rsidR="00A74DD4" w:rsidRPr="00A74DD4" w:rsidRDefault="00A74DD4" w:rsidP="001F7141">
            <w:pPr>
              <w:spacing w:after="0"/>
              <w:ind w:firstLine="0"/>
              <w:jc w:val="center"/>
              <w:rPr>
                <w:color w:val="auto"/>
                <w:sz w:val="20"/>
                <w:lang w:eastAsia="lv-LV"/>
              </w:rPr>
            </w:pPr>
          </w:p>
        </w:tc>
        <w:tc>
          <w:tcPr>
            <w:tcW w:w="979" w:type="dxa"/>
            <w:vMerge/>
            <w:hideMark/>
          </w:tcPr>
          <w:p w14:paraId="19517470" w14:textId="77777777" w:rsidR="00A74DD4" w:rsidRPr="00A74DD4" w:rsidRDefault="00A74DD4" w:rsidP="001F7141">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572" w:type="dxa"/>
            <w:vMerge/>
            <w:hideMark/>
          </w:tcPr>
          <w:p w14:paraId="64ECA3C2" w14:textId="77777777" w:rsidR="00A74DD4" w:rsidRPr="00A74DD4" w:rsidRDefault="00A74DD4" w:rsidP="001F7141">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843" w:type="dxa"/>
            <w:vMerge/>
            <w:vAlign w:val="center"/>
            <w:hideMark/>
          </w:tcPr>
          <w:p w14:paraId="655336B8" w14:textId="77777777" w:rsidR="00A74DD4" w:rsidRPr="00A74DD4" w:rsidRDefault="00A74DD4"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851" w:type="dxa"/>
            <w:noWrap/>
            <w:vAlign w:val="center"/>
            <w:hideMark/>
          </w:tcPr>
          <w:p w14:paraId="025C58B4" w14:textId="2123C0F7" w:rsidR="00A74DD4" w:rsidRPr="00A74DD4" w:rsidRDefault="00A74DD4"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A74DD4">
              <w:rPr>
                <w:b/>
                <w:bCs/>
                <w:color w:val="auto"/>
                <w:sz w:val="20"/>
                <w:lang w:eastAsia="lv-LV"/>
              </w:rPr>
              <w:t>2018</w:t>
            </w:r>
          </w:p>
        </w:tc>
        <w:tc>
          <w:tcPr>
            <w:tcW w:w="850" w:type="dxa"/>
            <w:noWrap/>
            <w:vAlign w:val="center"/>
            <w:hideMark/>
          </w:tcPr>
          <w:p w14:paraId="2BC39F66" w14:textId="56535043" w:rsidR="00A74DD4" w:rsidRPr="00A74DD4" w:rsidRDefault="00A74DD4"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A74DD4">
              <w:rPr>
                <w:b/>
                <w:bCs/>
                <w:color w:val="auto"/>
                <w:sz w:val="20"/>
                <w:lang w:eastAsia="lv-LV"/>
              </w:rPr>
              <w:t>2019</w:t>
            </w:r>
          </w:p>
        </w:tc>
        <w:tc>
          <w:tcPr>
            <w:tcW w:w="851" w:type="dxa"/>
            <w:noWrap/>
            <w:vAlign w:val="center"/>
            <w:hideMark/>
          </w:tcPr>
          <w:p w14:paraId="0AC6D3C4" w14:textId="4B517BAA" w:rsidR="00A74DD4" w:rsidRPr="00A74DD4" w:rsidRDefault="00A74DD4"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A74DD4">
              <w:rPr>
                <w:b/>
                <w:bCs/>
                <w:color w:val="auto"/>
                <w:sz w:val="20"/>
                <w:lang w:eastAsia="lv-LV"/>
              </w:rPr>
              <w:t>2020</w:t>
            </w:r>
          </w:p>
        </w:tc>
      </w:tr>
      <w:tr w:rsidR="00A74DD4" w:rsidRPr="00EE09CC" w14:paraId="2375954D" w14:textId="77777777" w:rsidTr="007B72E9">
        <w:trPr>
          <w:trHeight w:val="225"/>
        </w:trPr>
        <w:tc>
          <w:tcPr>
            <w:cnfStyle w:val="001000000000" w:firstRow="0" w:lastRow="0" w:firstColumn="1" w:lastColumn="0" w:oddVBand="0" w:evenVBand="0" w:oddHBand="0" w:evenHBand="0" w:firstRowFirstColumn="0" w:firstRowLastColumn="0" w:lastRowFirstColumn="0" w:lastRowLastColumn="0"/>
            <w:tcW w:w="7650" w:type="dxa"/>
            <w:vMerge/>
            <w:hideMark/>
          </w:tcPr>
          <w:p w14:paraId="67767D6E" w14:textId="77777777" w:rsidR="00A74DD4" w:rsidRPr="00A74DD4" w:rsidRDefault="00A74DD4" w:rsidP="001F7141">
            <w:pPr>
              <w:spacing w:after="0"/>
              <w:ind w:firstLine="0"/>
              <w:jc w:val="center"/>
              <w:rPr>
                <w:color w:val="auto"/>
                <w:sz w:val="20"/>
                <w:lang w:eastAsia="lv-LV"/>
              </w:rPr>
            </w:pPr>
          </w:p>
        </w:tc>
        <w:tc>
          <w:tcPr>
            <w:tcW w:w="979" w:type="dxa"/>
            <w:vMerge/>
            <w:hideMark/>
          </w:tcPr>
          <w:p w14:paraId="4ACDB89B" w14:textId="77777777" w:rsidR="00A74DD4" w:rsidRPr="00A74DD4" w:rsidRDefault="00A74DD4" w:rsidP="001F7141">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572" w:type="dxa"/>
            <w:vMerge/>
            <w:hideMark/>
          </w:tcPr>
          <w:p w14:paraId="512FFCEE" w14:textId="77777777" w:rsidR="00A74DD4" w:rsidRPr="00A74DD4" w:rsidRDefault="00A74DD4" w:rsidP="001F7141">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843" w:type="dxa"/>
            <w:vMerge/>
            <w:vAlign w:val="center"/>
            <w:hideMark/>
          </w:tcPr>
          <w:p w14:paraId="39072282" w14:textId="77777777" w:rsidR="00A74DD4" w:rsidRPr="00A74DD4" w:rsidRDefault="00A74DD4"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552" w:type="dxa"/>
            <w:gridSpan w:val="3"/>
            <w:vAlign w:val="center"/>
            <w:hideMark/>
          </w:tcPr>
          <w:p w14:paraId="33461A8E" w14:textId="34A60843" w:rsidR="00A74DD4" w:rsidRPr="00A74DD4" w:rsidRDefault="00A74DD4"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A74DD4">
              <w:rPr>
                <w:b/>
                <w:bCs/>
                <w:color w:val="auto"/>
                <w:sz w:val="20"/>
                <w:lang w:eastAsia="lv-LV"/>
              </w:rPr>
              <w:t>% no IKP</w:t>
            </w:r>
          </w:p>
        </w:tc>
      </w:tr>
      <w:tr w:rsidR="00A74DD4" w:rsidRPr="00EE09CC" w14:paraId="325A65A2" w14:textId="77777777" w:rsidTr="00FB4E9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7650" w:type="dxa"/>
          </w:tcPr>
          <w:p w14:paraId="70ED6B09" w14:textId="785214D8" w:rsidR="00A74DD4" w:rsidRPr="00A74DD4" w:rsidRDefault="00A74DD4" w:rsidP="00A74DD4">
            <w:pPr>
              <w:spacing w:after="0"/>
              <w:ind w:firstLine="0"/>
              <w:rPr>
                <w:b w:val="0"/>
                <w:color w:val="auto"/>
                <w:sz w:val="20"/>
                <w:lang w:eastAsia="lv-LV"/>
              </w:rPr>
            </w:pPr>
            <w:r w:rsidRPr="00A74DD4">
              <w:rPr>
                <w:b w:val="0"/>
                <w:color w:val="000000"/>
                <w:sz w:val="20"/>
                <w:lang w:eastAsia="lv-LV"/>
              </w:rPr>
              <w:t>Citi pasākumi (finansējuma pārdales (t.sk., ES fondu īstenošanai, ieņēmumu no maksas pakalpojumiem un citu pašu ieņēmumu palielinājums u.c.)</w:t>
            </w:r>
          </w:p>
        </w:tc>
        <w:tc>
          <w:tcPr>
            <w:tcW w:w="979" w:type="dxa"/>
            <w:noWrap/>
            <w:vAlign w:val="center"/>
          </w:tcPr>
          <w:p w14:paraId="53F119F2" w14:textId="07452224" w:rsidR="00A74DD4" w:rsidRPr="00FB4E9D" w:rsidRDefault="00A74DD4"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572" w:type="dxa"/>
          </w:tcPr>
          <w:p w14:paraId="637D4DA7" w14:textId="5672FCF9" w:rsidR="00A74DD4" w:rsidRPr="00A74DD4" w:rsidRDefault="006A3C92" w:rsidP="00A74DD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Naudas plūsma</w:t>
            </w:r>
          </w:p>
        </w:tc>
        <w:tc>
          <w:tcPr>
            <w:tcW w:w="1843" w:type="dxa"/>
            <w:vAlign w:val="center"/>
          </w:tcPr>
          <w:p w14:paraId="5918D95B" w14:textId="5E7A36A1" w:rsidR="00A74DD4" w:rsidRPr="00A74DD4" w:rsidRDefault="00A74DD4"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74DD4">
              <w:rPr>
                <w:color w:val="000000"/>
                <w:sz w:val="20"/>
                <w:lang w:eastAsia="lv-LV"/>
              </w:rPr>
              <w:t>Apstiprināts valdībā</w:t>
            </w:r>
          </w:p>
        </w:tc>
        <w:tc>
          <w:tcPr>
            <w:tcW w:w="851" w:type="dxa"/>
            <w:noWrap/>
            <w:vAlign w:val="center"/>
          </w:tcPr>
          <w:p w14:paraId="55246ABC" w14:textId="4B2B58E4" w:rsidR="00A74DD4" w:rsidRPr="00A74DD4" w:rsidRDefault="00A74DD4"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74DD4">
              <w:rPr>
                <w:color w:val="000000"/>
                <w:sz w:val="20"/>
                <w:lang w:eastAsia="lv-LV"/>
              </w:rPr>
              <w:t>0,04</w:t>
            </w:r>
          </w:p>
        </w:tc>
        <w:tc>
          <w:tcPr>
            <w:tcW w:w="850" w:type="dxa"/>
            <w:noWrap/>
            <w:vAlign w:val="center"/>
          </w:tcPr>
          <w:p w14:paraId="711F8117" w14:textId="58FDF061" w:rsidR="00A74DD4" w:rsidRPr="00A74DD4" w:rsidRDefault="00A74DD4"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74DD4">
              <w:rPr>
                <w:color w:val="000000"/>
                <w:sz w:val="20"/>
                <w:lang w:eastAsia="lv-LV"/>
              </w:rPr>
              <w:t>-0,02</w:t>
            </w:r>
          </w:p>
        </w:tc>
        <w:tc>
          <w:tcPr>
            <w:tcW w:w="851" w:type="dxa"/>
            <w:noWrap/>
            <w:vAlign w:val="center"/>
          </w:tcPr>
          <w:p w14:paraId="60A8448B" w14:textId="20FB9301" w:rsidR="00A74DD4" w:rsidRPr="00A74DD4" w:rsidRDefault="00A74DD4"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74DD4">
              <w:rPr>
                <w:color w:val="000000"/>
                <w:sz w:val="20"/>
                <w:lang w:eastAsia="lv-LV"/>
              </w:rPr>
              <w:t>-0,01</w:t>
            </w:r>
          </w:p>
        </w:tc>
      </w:tr>
      <w:tr w:rsidR="006A3C92" w:rsidRPr="00EE09CC" w14:paraId="6B1F0028" w14:textId="77777777" w:rsidTr="00FB4E9D">
        <w:trPr>
          <w:trHeight w:val="193"/>
        </w:trPr>
        <w:tc>
          <w:tcPr>
            <w:cnfStyle w:val="001000000000" w:firstRow="0" w:lastRow="0" w:firstColumn="1" w:lastColumn="0" w:oddVBand="0" w:evenVBand="0" w:oddHBand="0" w:evenHBand="0" w:firstRowFirstColumn="0" w:firstRowLastColumn="0" w:lastRowFirstColumn="0" w:lastRowLastColumn="0"/>
            <w:tcW w:w="7650" w:type="dxa"/>
          </w:tcPr>
          <w:p w14:paraId="7E1C8DC2" w14:textId="7F9E0928" w:rsidR="006A3C92" w:rsidRPr="00A74DD4" w:rsidRDefault="006A3C92" w:rsidP="006A3C92">
            <w:pPr>
              <w:spacing w:after="0"/>
              <w:ind w:firstLine="0"/>
              <w:rPr>
                <w:b w:val="0"/>
                <w:sz w:val="20"/>
                <w:lang w:eastAsia="lv-LV"/>
              </w:rPr>
            </w:pPr>
            <w:r w:rsidRPr="00A74DD4">
              <w:rPr>
                <w:b w:val="0"/>
                <w:color w:val="000000"/>
                <w:sz w:val="20"/>
                <w:lang w:eastAsia="lv-LV"/>
              </w:rPr>
              <w:t xml:space="preserve">MK </w:t>
            </w:r>
            <w:r>
              <w:rPr>
                <w:b w:val="0"/>
                <w:color w:val="000000"/>
                <w:sz w:val="20"/>
                <w:lang w:eastAsia="lv-LV"/>
              </w:rPr>
              <w:t xml:space="preserve">pieņemtie </w:t>
            </w:r>
            <w:r w:rsidRPr="00A74DD4">
              <w:rPr>
                <w:b w:val="0"/>
                <w:color w:val="000000"/>
                <w:sz w:val="20"/>
                <w:lang w:eastAsia="lv-LV"/>
              </w:rPr>
              <w:t>lēmumi, t.sk.:</w:t>
            </w:r>
          </w:p>
        </w:tc>
        <w:tc>
          <w:tcPr>
            <w:tcW w:w="979" w:type="dxa"/>
            <w:noWrap/>
            <w:vAlign w:val="center"/>
          </w:tcPr>
          <w:p w14:paraId="049C1895" w14:textId="77777777" w:rsidR="006A3C92" w:rsidRPr="00FB4E9D" w:rsidRDefault="006A3C92"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572" w:type="dxa"/>
            <w:vAlign w:val="center"/>
          </w:tcPr>
          <w:p w14:paraId="7367B4BD" w14:textId="3FFE00DA"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C8DA1BB" w14:textId="118EB481"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10827281" w14:textId="6E435810"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-0,04</w:t>
            </w:r>
          </w:p>
        </w:tc>
        <w:tc>
          <w:tcPr>
            <w:tcW w:w="850" w:type="dxa"/>
            <w:noWrap/>
            <w:vAlign w:val="center"/>
          </w:tcPr>
          <w:p w14:paraId="776F842B" w14:textId="289661B0"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0,23</w:t>
            </w:r>
          </w:p>
        </w:tc>
        <w:tc>
          <w:tcPr>
            <w:tcW w:w="851" w:type="dxa"/>
            <w:noWrap/>
            <w:vAlign w:val="center"/>
          </w:tcPr>
          <w:p w14:paraId="0C2E6680" w14:textId="2C2E6ACA"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0,72</w:t>
            </w:r>
          </w:p>
        </w:tc>
      </w:tr>
      <w:tr w:rsidR="006A3C92" w:rsidRPr="00EE09CC" w14:paraId="50262B5E" w14:textId="77777777" w:rsidTr="00FB4E9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650" w:type="dxa"/>
          </w:tcPr>
          <w:p w14:paraId="6D5D8E95" w14:textId="50AE3D3E" w:rsidR="006A3C92" w:rsidRPr="00A74DD4" w:rsidRDefault="006A3C92" w:rsidP="006A3C92">
            <w:pPr>
              <w:spacing w:after="0"/>
              <w:ind w:left="731" w:hanging="164"/>
              <w:rPr>
                <w:b w:val="0"/>
                <w:sz w:val="20"/>
                <w:lang w:eastAsia="lv-LV"/>
              </w:rPr>
            </w:pPr>
            <w:r w:rsidRPr="00A74DD4">
              <w:rPr>
                <w:b w:val="0"/>
                <w:i/>
                <w:iCs/>
                <w:color w:val="000000"/>
                <w:sz w:val="20"/>
                <w:lang w:eastAsia="lv-LV"/>
              </w:rPr>
              <w:t xml:space="preserve">1) </w:t>
            </w:r>
            <w:r>
              <w:rPr>
                <w:b w:val="0"/>
                <w:i/>
                <w:iCs/>
                <w:color w:val="000000"/>
                <w:sz w:val="20"/>
                <w:lang w:eastAsia="lv-LV"/>
              </w:rPr>
              <w:t>EM</w:t>
            </w:r>
            <w:r w:rsidRPr="00A74DD4">
              <w:rPr>
                <w:b w:val="0"/>
                <w:i/>
                <w:iCs/>
                <w:color w:val="000000"/>
                <w:sz w:val="20"/>
                <w:lang w:eastAsia="lv-LV"/>
              </w:rPr>
              <w:t xml:space="preserve"> (t.sk., precizēts finansējums elektroenerģijas lietotāju atbalstam)</w:t>
            </w:r>
          </w:p>
        </w:tc>
        <w:tc>
          <w:tcPr>
            <w:tcW w:w="979" w:type="dxa"/>
            <w:noWrap/>
            <w:vAlign w:val="center"/>
          </w:tcPr>
          <w:p w14:paraId="12C0C988" w14:textId="725CDDE5" w:rsidR="006A3C92" w:rsidRPr="00FB4E9D" w:rsidRDefault="00351763"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D.3</w:t>
            </w:r>
          </w:p>
        </w:tc>
        <w:tc>
          <w:tcPr>
            <w:tcW w:w="1572" w:type="dxa"/>
            <w:vAlign w:val="center"/>
          </w:tcPr>
          <w:p w14:paraId="09002A98" w14:textId="0E73936D"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66EC7EF" w14:textId="2AAF6F90"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2F8F6F0" w14:textId="0BC396A9"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0,02</w:t>
            </w:r>
          </w:p>
        </w:tc>
        <w:tc>
          <w:tcPr>
            <w:tcW w:w="850" w:type="dxa"/>
            <w:noWrap/>
            <w:vAlign w:val="center"/>
          </w:tcPr>
          <w:p w14:paraId="64262A3B" w14:textId="69778B9D"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-0,09</w:t>
            </w:r>
          </w:p>
        </w:tc>
        <w:tc>
          <w:tcPr>
            <w:tcW w:w="851" w:type="dxa"/>
            <w:noWrap/>
            <w:vAlign w:val="center"/>
          </w:tcPr>
          <w:p w14:paraId="272EF97E" w14:textId="2A33E50C"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0,14</w:t>
            </w:r>
          </w:p>
        </w:tc>
      </w:tr>
      <w:tr w:rsidR="006A3C92" w:rsidRPr="00EE09CC" w14:paraId="43610D0B" w14:textId="77777777" w:rsidTr="00FB4E9D">
        <w:trPr>
          <w:trHeight w:val="297"/>
        </w:trPr>
        <w:tc>
          <w:tcPr>
            <w:cnfStyle w:val="001000000000" w:firstRow="0" w:lastRow="0" w:firstColumn="1" w:lastColumn="0" w:oddVBand="0" w:evenVBand="0" w:oddHBand="0" w:evenHBand="0" w:firstRowFirstColumn="0" w:firstRowLastColumn="0" w:lastRowFirstColumn="0" w:lastRowLastColumn="0"/>
            <w:tcW w:w="7650" w:type="dxa"/>
          </w:tcPr>
          <w:p w14:paraId="23A2B7FD" w14:textId="3E912690" w:rsidR="006A3C92" w:rsidRPr="00A74DD4" w:rsidRDefault="006A3C92" w:rsidP="006A3C92">
            <w:pPr>
              <w:spacing w:after="0"/>
              <w:ind w:left="731" w:hanging="164"/>
              <w:rPr>
                <w:b w:val="0"/>
                <w:sz w:val="20"/>
                <w:lang w:eastAsia="lv-LV"/>
              </w:rPr>
            </w:pPr>
            <w:r w:rsidRPr="00A74DD4">
              <w:rPr>
                <w:b w:val="0"/>
                <w:i/>
                <w:iCs/>
                <w:color w:val="000000"/>
                <w:sz w:val="20"/>
                <w:lang w:eastAsia="lv-LV"/>
              </w:rPr>
              <w:t xml:space="preserve">2) </w:t>
            </w:r>
            <w:r>
              <w:rPr>
                <w:b w:val="0"/>
                <w:i/>
                <w:iCs/>
                <w:color w:val="000000"/>
                <w:sz w:val="20"/>
                <w:lang w:eastAsia="lv-LV"/>
              </w:rPr>
              <w:t>FM</w:t>
            </w:r>
            <w:r w:rsidRPr="00A74DD4">
              <w:rPr>
                <w:b w:val="0"/>
                <w:i/>
                <w:iCs/>
                <w:color w:val="000000"/>
                <w:sz w:val="20"/>
                <w:lang w:eastAsia="lv-LV"/>
              </w:rPr>
              <w:t xml:space="preserve"> (t.sk. precizēti izdevumu valsts parāda apkalpošanai, iemaksām ES budžetā, papildu finansējums </w:t>
            </w:r>
            <w:r>
              <w:rPr>
                <w:b w:val="0"/>
                <w:i/>
                <w:iCs/>
                <w:color w:val="000000"/>
                <w:sz w:val="20"/>
                <w:lang w:eastAsia="lv-LV"/>
              </w:rPr>
              <w:t>Valsts nekustamo īpašumu</w:t>
            </w:r>
            <w:r w:rsidRPr="00A74DD4">
              <w:rPr>
                <w:b w:val="0"/>
                <w:i/>
                <w:iCs/>
                <w:color w:val="000000"/>
                <w:sz w:val="20"/>
                <w:lang w:eastAsia="lv-LV"/>
              </w:rPr>
              <w:t xml:space="preserve"> projektu finansēšanai )</w:t>
            </w:r>
          </w:p>
        </w:tc>
        <w:tc>
          <w:tcPr>
            <w:tcW w:w="979" w:type="dxa"/>
            <w:noWrap/>
            <w:vAlign w:val="center"/>
          </w:tcPr>
          <w:p w14:paraId="285DF4F6" w14:textId="0FD0F786" w:rsidR="006A3C92" w:rsidRPr="00FB4E9D" w:rsidRDefault="00351763"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D.41, P.51</w:t>
            </w:r>
          </w:p>
        </w:tc>
        <w:tc>
          <w:tcPr>
            <w:tcW w:w="1572" w:type="dxa"/>
            <w:vAlign w:val="center"/>
          </w:tcPr>
          <w:p w14:paraId="378B4986" w14:textId="02EB631D"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5907072" w14:textId="2757B1B8"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136AC4A" w14:textId="23E6BD20"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-0,08</w:t>
            </w:r>
          </w:p>
        </w:tc>
        <w:tc>
          <w:tcPr>
            <w:tcW w:w="850" w:type="dxa"/>
            <w:noWrap/>
            <w:vAlign w:val="center"/>
          </w:tcPr>
          <w:p w14:paraId="697C7BDB" w14:textId="65F23E34"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-0,01</w:t>
            </w:r>
          </w:p>
        </w:tc>
        <w:tc>
          <w:tcPr>
            <w:tcW w:w="851" w:type="dxa"/>
            <w:noWrap/>
            <w:vAlign w:val="center"/>
          </w:tcPr>
          <w:p w14:paraId="67A86CC1" w14:textId="194938F8"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0,18</w:t>
            </w:r>
          </w:p>
        </w:tc>
      </w:tr>
      <w:tr w:rsidR="006A3C92" w:rsidRPr="00EE09CC" w14:paraId="4687D28D" w14:textId="77777777" w:rsidTr="00FB4E9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7650" w:type="dxa"/>
          </w:tcPr>
          <w:p w14:paraId="2D8CEFBF" w14:textId="01B3919C" w:rsidR="006A3C92" w:rsidRPr="00A74DD4" w:rsidRDefault="006A3C92" w:rsidP="006A3C92">
            <w:pPr>
              <w:spacing w:after="0"/>
              <w:ind w:left="731" w:hanging="164"/>
              <w:rPr>
                <w:b w:val="0"/>
                <w:sz w:val="20"/>
                <w:lang w:eastAsia="lv-LV"/>
              </w:rPr>
            </w:pPr>
            <w:r w:rsidRPr="00A74DD4">
              <w:rPr>
                <w:b w:val="0"/>
                <w:i/>
                <w:iCs/>
                <w:color w:val="000000"/>
                <w:sz w:val="20"/>
                <w:lang w:eastAsia="lv-LV"/>
              </w:rPr>
              <w:t xml:space="preserve">3) </w:t>
            </w:r>
            <w:proofErr w:type="spellStart"/>
            <w:r w:rsidRPr="00A74DD4">
              <w:rPr>
                <w:b w:val="0"/>
                <w:i/>
                <w:iCs/>
                <w:color w:val="000000"/>
                <w:sz w:val="20"/>
                <w:lang w:eastAsia="lv-LV"/>
              </w:rPr>
              <w:t>Iekšlietu</w:t>
            </w:r>
            <w:proofErr w:type="spellEnd"/>
            <w:r w:rsidRPr="00A74DD4">
              <w:rPr>
                <w:b w:val="0"/>
                <w:i/>
                <w:iCs/>
                <w:color w:val="000000"/>
                <w:sz w:val="20"/>
                <w:lang w:eastAsia="lv-LV"/>
              </w:rPr>
              <w:t xml:space="preserve"> ministrija (t.sk. izdevumi </w:t>
            </w:r>
            <w:proofErr w:type="spellStart"/>
            <w:r w:rsidRPr="00A74DD4">
              <w:rPr>
                <w:b w:val="0"/>
                <w:i/>
                <w:iCs/>
                <w:color w:val="000000"/>
                <w:sz w:val="20"/>
                <w:lang w:eastAsia="lv-LV"/>
              </w:rPr>
              <w:t>fotoradaru</w:t>
            </w:r>
            <w:proofErr w:type="spellEnd"/>
            <w:r w:rsidRPr="00A74DD4">
              <w:rPr>
                <w:b w:val="0"/>
                <w:i/>
                <w:iCs/>
                <w:color w:val="000000"/>
                <w:sz w:val="20"/>
                <w:lang w:eastAsia="lv-LV"/>
              </w:rPr>
              <w:t xml:space="preserve"> darbības administrēšanai, Valsts robežsardzes darbībai)</w:t>
            </w:r>
          </w:p>
        </w:tc>
        <w:tc>
          <w:tcPr>
            <w:tcW w:w="979" w:type="dxa"/>
            <w:noWrap/>
            <w:vAlign w:val="center"/>
          </w:tcPr>
          <w:p w14:paraId="424E1DB5" w14:textId="7A7D8018" w:rsidR="006A3C92" w:rsidRPr="00FB4E9D" w:rsidRDefault="00351763"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B4E9D">
              <w:rPr>
                <w:color w:val="auto"/>
                <w:sz w:val="20"/>
                <w:lang w:eastAsia="lv-LV"/>
              </w:rPr>
              <w:t>D.1</w:t>
            </w:r>
            <w:r>
              <w:rPr>
                <w:color w:val="auto"/>
                <w:sz w:val="20"/>
                <w:lang w:eastAsia="lv-LV"/>
              </w:rPr>
              <w:t>, D.3, P.2</w:t>
            </w:r>
          </w:p>
        </w:tc>
        <w:tc>
          <w:tcPr>
            <w:tcW w:w="1572" w:type="dxa"/>
            <w:vAlign w:val="center"/>
          </w:tcPr>
          <w:p w14:paraId="49D6878A" w14:textId="1B4610F3"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461A8A5B" w14:textId="6A49A17B"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033A9B01" w14:textId="291B4109"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7A5935F3" w14:textId="159ABFED"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4B779B26" w14:textId="6CC1AFC7"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r>
      <w:tr w:rsidR="006A3C92" w:rsidRPr="00EE09CC" w14:paraId="1A0C81FC" w14:textId="77777777" w:rsidTr="00FB4E9D">
        <w:trPr>
          <w:trHeight w:val="297"/>
        </w:trPr>
        <w:tc>
          <w:tcPr>
            <w:cnfStyle w:val="001000000000" w:firstRow="0" w:lastRow="0" w:firstColumn="1" w:lastColumn="0" w:oddVBand="0" w:evenVBand="0" w:oddHBand="0" w:evenHBand="0" w:firstRowFirstColumn="0" w:firstRowLastColumn="0" w:lastRowFirstColumn="0" w:lastRowLastColumn="0"/>
            <w:tcW w:w="7650" w:type="dxa"/>
          </w:tcPr>
          <w:p w14:paraId="3151E02F" w14:textId="60E5C80A" w:rsidR="006A3C92" w:rsidRPr="00A74DD4" w:rsidRDefault="006A3C92" w:rsidP="006A3C92">
            <w:pPr>
              <w:spacing w:after="0"/>
              <w:ind w:left="731" w:hanging="164"/>
              <w:rPr>
                <w:b w:val="0"/>
                <w:sz w:val="20"/>
                <w:lang w:eastAsia="lv-LV"/>
              </w:rPr>
            </w:pPr>
            <w:r w:rsidRPr="00A74DD4">
              <w:rPr>
                <w:b w:val="0"/>
                <w:i/>
                <w:iCs/>
                <w:color w:val="000000"/>
                <w:sz w:val="20"/>
                <w:lang w:eastAsia="lv-LV"/>
              </w:rPr>
              <w:t>4) Satiksmes ministrija (t.sk. dotācija sabiedriskā transporta pakalpojumu sniedzējiem ar braukšanas maksas atvieglojumiem saistīto zaudējumu segšanai)</w:t>
            </w:r>
          </w:p>
        </w:tc>
        <w:tc>
          <w:tcPr>
            <w:tcW w:w="979" w:type="dxa"/>
            <w:noWrap/>
            <w:vAlign w:val="center"/>
          </w:tcPr>
          <w:p w14:paraId="2EF66D2F" w14:textId="1EE2F2F8" w:rsidR="006A3C92" w:rsidRPr="00FB4E9D" w:rsidRDefault="007B72E9"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B4E9D">
              <w:rPr>
                <w:color w:val="auto"/>
                <w:sz w:val="20"/>
                <w:lang w:eastAsia="lv-LV"/>
              </w:rPr>
              <w:t>D.39</w:t>
            </w:r>
          </w:p>
        </w:tc>
        <w:tc>
          <w:tcPr>
            <w:tcW w:w="1572" w:type="dxa"/>
            <w:vAlign w:val="center"/>
          </w:tcPr>
          <w:p w14:paraId="3EC771A0" w14:textId="6A0503B5"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045EE0E5" w14:textId="25C4CA05"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6E65588" w14:textId="5D814679"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0D6C1FEC" w14:textId="4379806D"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0811483A" w14:textId="2740A1BA"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r>
      <w:tr w:rsidR="006A3C92" w:rsidRPr="00EE09CC" w14:paraId="30D00A3C" w14:textId="77777777" w:rsidTr="00FB4E9D">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7650" w:type="dxa"/>
          </w:tcPr>
          <w:p w14:paraId="091EED06" w14:textId="6A381494" w:rsidR="006A3C92" w:rsidRPr="00A74DD4" w:rsidRDefault="006A3C92" w:rsidP="006A3C92">
            <w:pPr>
              <w:spacing w:after="0"/>
              <w:ind w:left="731" w:hanging="164"/>
              <w:rPr>
                <w:b w:val="0"/>
                <w:sz w:val="20"/>
                <w:lang w:eastAsia="lv-LV"/>
              </w:rPr>
            </w:pPr>
            <w:r w:rsidRPr="00A74DD4">
              <w:rPr>
                <w:b w:val="0"/>
                <w:i/>
                <w:iCs/>
                <w:color w:val="000000"/>
                <w:sz w:val="20"/>
                <w:lang w:eastAsia="lv-LV"/>
              </w:rPr>
              <w:t>5) Labklājības ministrija</w:t>
            </w:r>
          </w:p>
        </w:tc>
        <w:tc>
          <w:tcPr>
            <w:tcW w:w="979" w:type="dxa"/>
            <w:noWrap/>
            <w:vAlign w:val="center"/>
          </w:tcPr>
          <w:p w14:paraId="430B1FDA" w14:textId="77777777" w:rsidR="006A3C92" w:rsidRPr="00FB4E9D" w:rsidRDefault="006A3C92"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572" w:type="dxa"/>
            <w:vAlign w:val="center"/>
          </w:tcPr>
          <w:p w14:paraId="1CD1D05B" w14:textId="5D6C27E5"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3832FB97" w14:textId="0986EF98"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16EAA31B" w14:textId="75892506"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427FEEB7" w14:textId="295E49D2"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40F5CD41" w14:textId="2142D3D5"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r>
      <w:tr w:rsidR="006A3C92" w:rsidRPr="00EE09CC" w14:paraId="169EDB05" w14:textId="77777777" w:rsidTr="00FB4E9D">
        <w:trPr>
          <w:trHeight w:val="297"/>
        </w:trPr>
        <w:tc>
          <w:tcPr>
            <w:cnfStyle w:val="001000000000" w:firstRow="0" w:lastRow="0" w:firstColumn="1" w:lastColumn="0" w:oddVBand="0" w:evenVBand="0" w:oddHBand="0" w:evenHBand="0" w:firstRowFirstColumn="0" w:firstRowLastColumn="0" w:lastRowFirstColumn="0" w:lastRowLastColumn="0"/>
            <w:tcW w:w="7650" w:type="dxa"/>
          </w:tcPr>
          <w:p w14:paraId="7C1571B4" w14:textId="047A66A8" w:rsidR="006A3C92" w:rsidRPr="00A74DD4" w:rsidRDefault="006A3C92" w:rsidP="006A3C92">
            <w:pPr>
              <w:spacing w:after="0"/>
              <w:ind w:left="731" w:hanging="164"/>
              <w:rPr>
                <w:b w:val="0"/>
                <w:sz w:val="20"/>
                <w:lang w:eastAsia="lv-LV"/>
              </w:rPr>
            </w:pPr>
            <w:r w:rsidRPr="00A74DD4">
              <w:rPr>
                <w:b w:val="0"/>
                <w:i/>
                <w:iCs/>
                <w:color w:val="000000"/>
                <w:sz w:val="20"/>
                <w:lang w:eastAsia="lv-LV"/>
              </w:rPr>
              <w:t>6) Tieslietu ministrija (t.sk. samazināta dotācija no vispārējiem ieņēmumiem un izdevumi ilgtermiņa saistību pasākuma “Jauna cietuma būvniecība Liepājā” īstenošanai)</w:t>
            </w:r>
          </w:p>
        </w:tc>
        <w:tc>
          <w:tcPr>
            <w:tcW w:w="979" w:type="dxa"/>
            <w:noWrap/>
            <w:vAlign w:val="center"/>
          </w:tcPr>
          <w:p w14:paraId="7615DBA8" w14:textId="0A9DCDC4" w:rsidR="006A3C92" w:rsidRPr="00FB4E9D" w:rsidRDefault="00FB4E9D"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P.51</w:t>
            </w:r>
          </w:p>
        </w:tc>
        <w:tc>
          <w:tcPr>
            <w:tcW w:w="1572" w:type="dxa"/>
            <w:vAlign w:val="center"/>
          </w:tcPr>
          <w:p w14:paraId="3F98A395" w14:textId="194360AC"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5DC8662A" w14:textId="18A26287"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6C044DB2" w14:textId="1BC5645A"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-0,10</w:t>
            </w:r>
          </w:p>
        </w:tc>
        <w:tc>
          <w:tcPr>
            <w:tcW w:w="850" w:type="dxa"/>
            <w:noWrap/>
            <w:vAlign w:val="center"/>
          </w:tcPr>
          <w:p w14:paraId="7C2589D7" w14:textId="7EA79F97"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0,02</w:t>
            </w:r>
          </w:p>
        </w:tc>
        <w:tc>
          <w:tcPr>
            <w:tcW w:w="851" w:type="dxa"/>
            <w:noWrap/>
            <w:vAlign w:val="center"/>
          </w:tcPr>
          <w:p w14:paraId="4725F7C3" w14:textId="7FA26E52"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0,09</w:t>
            </w:r>
          </w:p>
        </w:tc>
      </w:tr>
      <w:tr w:rsidR="006A3C92" w:rsidRPr="00EE09CC" w14:paraId="73B61E58" w14:textId="77777777" w:rsidTr="00FB4E9D">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7650" w:type="dxa"/>
          </w:tcPr>
          <w:p w14:paraId="4F75CCB1" w14:textId="66C0FC4B" w:rsidR="006A3C92" w:rsidRPr="00A74DD4" w:rsidRDefault="006A3C92" w:rsidP="006A3C92">
            <w:pPr>
              <w:spacing w:after="0"/>
              <w:ind w:left="731" w:hanging="164"/>
              <w:rPr>
                <w:b w:val="0"/>
                <w:sz w:val="20"/>
                <w:lang w:eastAsia="lv-LV"/>
              </w:rPr>
            </w:pPr>
            <w:r w:rsidRPr="00A74DD4">
              <w:rPr>
                <w:b w:val="0"/>
                <w:i/>
                <w:iCs/>
                <w:color w:val="000000"/>
                <w:sz w:val="20"/>
                <w:lang w:eastAsia="lv-LV"/>
              </w:rPr>
              <w:t>7) Kultūras ministrija</w:t>
            </w:r>
          </w:p>
        </w:tc>
        <w:tc>
          <w:tcPr>
            <w:tcW w:w="979" w:type="dxa"/>
            <w:noWrap/>
            <w:vAlign w:val="center"/>
          </w:tcPr>
          <w:p w14:paraId="6257049E" w14:textId="77777777" w:rsidR="006A3C92" w:rsidRPr="00FB4E9D" w:rsidRDefault="006A3C92"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572" w:type="dxa"/>
            <w:vAlign w:val="center"/>
          </w:tcPr>
          <w:p w14:paraId="3F58F9BD" w14:textId="48E07037"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5371A76B" w14:textId="28AA9363"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A3092F4" w14:textId="156F3368"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448287BC" w14:textId="6613DABF"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1" w:type="dxa"/>
            <w:noWrap/>
            <w:vAlign w:val="center"/>
          </w:tcPr>
          <w:p w14:paraId="5E9E231E" w14:textId="22BBB38B"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r>
      <w:tr w:rsidR="006A3C92" w:rsidRPr="00EE09CC" w14:paraId="2757136D" w14:textId="77777777" w:rsidTr="00FB4E9D">
        <w:trPr>
          <w:trHeight w:val="297"/>
        </w:trPr>
        <w:tc>
          <w:tcPr>
            <w:cnfStyle w:val="001000000000" w:firstRow="0" w:lastRow="0" w:firstColumn="1" w:lastColumn="0" w:oddVBand="0" w:evenVBand="0" w:oddHBand="0" w:evenHBand="0" w:firstRowFirstColumn="0" w:firstRowLastColumn="0" w:lastRowFirstColumn="0" w:lastRowLastColumn="0"/>
            <w:tcW w:w="7650" w:type="dxa"/>
          </w:tcPr>
          <w:p w14:paraId="104000D0" w14:textId="68232631" w:rsidR="006A3C92" w:rsidRPr="00A74DD4" w:rsidRDefault="006A3C92" w:rsidP="006A3C92">
            <w:pPr>
              <w:spacing w:after="0"/>
              <w:ind w:left="731" w:hanging="164"/>
              <w:rPr>
                <w:b w:val="0"/>
                <w:sz w:val="20"/>
                <w:lang w:eastAsia="lv-LV"/>
              </w:rPr>
            </w:pPr>
            <w:r w:rsidRPr="00A74DD4">
              <w:rPr>
                <w:b w:val="0"/>
                <w:i/>
                <w:iCs/>
                <w:color w:val="000000"/>
                <w:sz w:val="20"/>
                <w:lang w:eastAsia="lv-LV"/>
              </w:rPr>
              <w:t>8)</w:t>
            </w:r>
            <w:r>
              <w:rPr>
                <w:b w:val="0"/>
                <w:i/>
                <w:iCs/>
                <w:color w:val="000000"/>
                <w:sz w:val="20"/>
                <w:lang w:eastAsia="lv-LV"/>
              </w:rPr>
              <w:t xml:space="preserve"> </w:t>
            </w:r>
            <w:r w:rsidRPr="00A74DD4">
              <w:rPr>
                <w:b w:val="0"/>
                <w:i/>
                <w:iCs/>
                <w:color w:val="000000"/>
                <w:sz w:val="20"/>
                <w:lang w:eastAsia="lv-LV"/>
              </w:rPr>
              <w:t xml:space="preserve">Veselības ministrija (t.sk. izdevumi minimālās mēneša darba algas paaugstināšanai līdz 430 </w:t>
            </w:r>
            <w:proofErr w:type="spellStart"/>
            <w:r w:rsidRPr="00A74DD4">
              <w:rPr>
                <w:b w:val="0"/>
                <w:i/>
                <w:iCs/>
                <w:color w:val="000000"/>
                <w:sz w:val="20"/>
                <w:lang w:eastAsia="lv-LV"/>
              </w:rPr>
              <w:t>euro</w:t>
            </w:r>
            <w:proofErr w:type="spellEnd"/>
            <w:r w:rsidRPr="00A74DD4">
              <w:rPr>
                <w:b w:val="0"/>
                <w:i/>
                <w:iCs/>
                <w:color w:val="000000"/>
                <w:sz w:val="20"/>
                <w:lang w:eastAsia="lv-LV"/>
              </w:rPr>
              <w:t xml:space="preserve"> ar 2018.gada 1.janvāri)</w:t>
            </w:r>
          </w:p>
        </w:tc>
        <w:tc>
          <w:tcPr>
            <w:tcW w:w="979" w:type="dxa"/>
            <w:noWrap/>
            <w:vAlign w:val="center"/>
          </w:tcPr>
          <w:p w14:paraId="007AA73F" w14:textId="4A6C2DCA" w:rsidR="006A3C92" w:rsidRPr="00FB4E9D" w:rsidRDefault="00534211"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B4E9D">
              <w:rPr>
                <w:color w:val="auto"/>
                <w:sz w:val="20"/>
                <w:lang w:eastAsia="lv-LV"/>
              </w:rPr>
              <w:t>D.1</w:t>
            </w:r>
          </w:p>
        </w:tc>
        <w:tc>
          <w:tcPr>
            <w:tcW w:w="1572" w:type="dxa"/>
            <w:vAlign w:val="center"/>
          </w:tcPr>
          <w:p w14:paraId="7C6ED4AE" w14:textId="653DBDA1"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42E22246" w14:textId="32E4F53D"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849A307" w14:textId="15E3B364"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0,04</w:t>
            </w:r>
          </w:p>
        </w:tc>
        <w:tc>
          <w:tcPr>
            <w:tcW w:w="850" w:type="dxa"/>
            <w:noWrap/>
            <w:vAlign w:val="center"/>
          </w:tcPr>
          <w:p w14:paraId="3C004E50" w14:textId="5B65B946"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72C915D2" w14:textId="6881AA3D"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r>
      <w:tr w:rsidR="006A3C92" w:rsidRPr="00EE09CC" w14:paraId="091DBB52" w14:textId="77777777" w:rsidTr="00FB4E9D">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7650" w:type="dxa"/>
          </w:tcPr>
          <w:p w14:paraId="568E133C" w14:textId="32FFE6D4" w:rsidR="006A3C92" w:rsidRPr="00A74DD4" w:rsidRDefault="006A3C92" w:rsidP="006A3C92">
            <w:pPr>
              <w:spacing w:after="0"/>
              <w:ind w:left="731" w:hanging="164"/>
              <w:rPr>
                <w:b w:val="0"/>
                <w:sz w:val="20"/>
                <w:lang w:eastAsia="lv-LV"/>
              </w:rPr>
            </w:pPr>
            <w:r w:rsidRPr="00A74DD4">
              <w:rPr>
                <w:b w:val="0"/>
                <w:i/>
                <w:iCs/>
                <w:color w:val="000000"/>
                <w:sz w:val="20"/>
                <w:lang w:eastAsia="lv-LV"/>
              </w:rPr>
              <w:t>9) Prokuratūra</w:t>
            </w:r>
          </w:p>
        </w:tc>
        <w:tc>
          <w:tcPr>
            <w:tcW w:w="979" w:type="dxa"/>
            <w:noWrap/>
            <w:vAlign w:val="center"/>
          </w:tcPr>
          <w:p w14:paraId="36EE40C0" w14:textId="77777777" w:rsidR="006A3C92" w:rsidRPr="00FB4E9D" w:rsidRDefault="006A3C92"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572" w:type="dxa"/>
            <w:vAlign w:val="center"/>
          </w:tcPr>
          <w:p w14:paraId="6D36CE5A" w14:textId="0CA0A68D"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A975345" w14:textId="14A0E873"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A627294" w14:textId="516CD102"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c>
          <w:tcPr>
            <w:tcW w:w="850" w:type="dxa"/>
            <w:noWrap/>
            <w:vAlign w:val="center"/>
          </w:tcPr>
          <w:p w14:paraId="3DD282EA" w14:textId="569B1450"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1" w:type="dxa"/>
            <w:noWrap/>
            <w:vAlign w:val="center"/>
          </w:tcPr>
          <w:p w14:paraId="4FF51B1B" w14:textId="1667320F"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r>
      <w:tr w:rsidR="006A3C92" w:rsidRPr="00EE09CC" w14:paraId="4AC37A71" w14:textId="77777777" w:rsidTr="00FB4E9D">
        <w:trPr>
          <w:trHeight w:val="140"/>
        </w:trPr>
        <w:tc>
          <w:tcPr>
            <w:cnfStyle w:val="001000000000" w:firstRow="0" w:lastRow="0" w:firstColumn="1" w:lastColumn="0" w:oddVBand="0" w:evenVBand="0" w:oddHBand="0" w:evenHBand="0" w:firstRowFirstColumn="0" w:firstRowLastColumn="0" w:lastRowFirstColumn="0" w:lastRowLastColumn="0"/>
            <w:tcW w:w="7650" w:type="dxa"/>
          </w:tcPr>
          <w:p w14:paraId="3BCE93D1" w14:textId="1E471973" w:rsidR="006A3C92" w:rsidRPr="00A74DD4" w:rsidRDefault="006A3C92" w:rsidP="006A3C92">
            <w:pPr>
              <w:spacing w:after="0"/>
              <w:ind w:left="731" w:hanging="164"/>
              <w:rPr>
                <w:b w:val="0"/>
                <w:sz w:val="20"/>
                <w:lang w:eastAsia="lv-LV"/>
              </w:rPr>
            </w:pPr>
            <w:r w:rsidRPr="00A74DD4">
              <w:rPr>
                <w:b w:val="0"/>
                <w:i/>
                <w:iCs/>
                <w:color w:val="000000"/>
                <w:sz w:val="20"/>
                <w:lang w:eastAsia="lv-LV"/>
              </w:rPr>
              <w:t>10) 62. Mērķdotācijas pašvaldībām</w:t>
            </w:r>
          </w:p>
        </w:tc>
        <w:tc>
          <w:tcPr>
            <w:tcW w:w="979" w:type="dxa"/>
            <w:noWrap/>
            <w:vAlign w:val="center"/>
          </w:tcPr>
          <w:p w14:paraId="2E4A4FA0" w14:textId="77777777" w:rsidR="006A3C92" w:rsidRPr="00FB4E9D" w:rsidRDefault="006A3C92"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572" w:type="dxa"/>
            <w:vAlign w:val="center"/>
          </w:tcPr>
          <w:p w14:paraId="73DD7953" w14:textId="0A2239A1"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12845AF1" w14:textId="7C023B98"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AA197B4" w14:textId="0FF819A2"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2445D186" w14:textId="3BFC0776"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2583C258" w14:textId="4EB708C4"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r>
      <w:tr w:rsidR="006A3C92" w:rsidRPr="00EE09CC" w14:paraId="27C6956C" w14:textId="77777777" w:rsidTr="00FB4E9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7650" w:type="dxa"/>
          </w:tcPr>
          <w:p w14:paraId="441AACE9" w14:textId="28A820BA" w:rsidR="006A3C92" w:rsidRPr="00A74DD4" w:rsidRDefault="006A3C92" w:rsidP="006A3C92">
            <w:pPr>
              <w:spacing w:after="0"/>
              <w:ind w:left="731" w:hanging="164"/>
              <w:rPr>
                <w:b w:val="0"/>
                <w:sz w:val="20"/>
                <w:lang w:eastAsia="lv-LV"/>
              </w:rPr>
            </w:pPr>
            <w:r w:rsidRPr="00A74DD4">
              <w:rPr>
                <w:b w:val="0"/>
                <w:i/>
                <w:iCs/>
                <w:color w:val="000000"/>
                <w:sz w:val="20"/>
                <w:lang w:eastAsia="lv-LV"/>
              </w:rPr>
              <w:t>11) 64. Dotācija pašvaldībām (t.sk. kompensācija pašvaldībām, lai nodrošinātu pašvaldību budžetu nodokļu ieņēmumus kopā ar speciālo dotāciju 19,6% apmērā no kopbudžeta nodokļu ieņēmumiem)</w:t>
            </w:r>
          </w:p>
        </w:tc>
        <w:tc>
          <w:tcPr>
            <w:tcW w:w="979" w:type="dxa"/>
            <w:noWrap/>
            <w:vAlign w:val="center"/>
          </w:tcPr>
          <w:p w14:paraId="0E2E815D" w14:textId="77777777" w:rsidR="006A3C92" w:rsidRPr="00FB4E9D" w:rsidRDefault="006A3C92"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572" w:type="dxa"/>
            <w:vAlign w:val="center"/>
          </w:tcPr>
          <w:p w14:paraId="292584C2" w14:textId="5E099720"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1F62D441" w14:textId="7CB542C8"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D7589EC" w14:textId="5ED82B4E"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0,07</w:t>
            </w:r>
          </w:p>
        </w:tc>
        <w:tc>
          <w:tcPr>
            <w:tcW w:w="850" w:type="dxa"/>
            <w:noWrap/>
            <w:vAlign w:val="center"/>
          </w:tcPr>
          <w:p w14:paraId="1138E114" w14:textId="260242F4"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0,41</w:t>
            </w:r>
          </w:p>
        </w:tc>
        <w:tc>
          <w:tcPr>
            <w:tcW w:w="851" w:type="dxa"/>
            <w:noWrap/>
            <w:vAlign w:val="center"/>
          </w:tcPr>
          <w:p w14:paraId="4E1F7489" w14:textId="3FCF4888"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0,30</w:t>
            </w:r>
          </w:p>
        </w:tc>
      </w:tr>
      <w:tr w:rsidR="006A3C92" w:rsidRPr="00EE09CC" w14:paraId="6C77462F" w14:textId="77777777" w:rsidTr="00FB4E9D">
        <w:trPr>
          <w:trHeight w:val="297"/>
        </w:trPr>
        <w:tc>
          <w:tcPr>
            <w:cnfStyle w:val="001000000000" w:firstRow="0" w:lastRow="0" w:firstColumn="1" w:lastColumn="0" w:oddVBand="0" w:evenVBand="0" w:oddHBand="0" w:evenHBand="0" w:firstRowFirstColumn="0" w:firstRowLastColumn="0" w:lastRowFirstColumn="0" w:lastRowLastColumn="0"/>
            <w:tcW w:w="7650" w:type="dxa"/>
          </w:tcPr>
          <w:p w14:paraId="172FE4D1" w14:textId="74CB012F" w:rsidR="006A3C92" w:rsidRPr="00A74DD4" w:rsidRDefault="006A3C92" w:rsidP="006A3C92">
            <w:pPr>
              <w:spacing w:after="0"/>
              <w:ind w:left="731" w:hanging="164"/>
              <w:rPr>
                <w:b w:val="0"/>
                <w:sz w:val="20"/>
                <w:lang w:eastAsia="lv-LV"/>
              </w:rPr>
            </w:pPr>
            <w:r w:rsidRPr="00A74DD4">
              <w:rPr>
                <w:b w:val="0"/>
                <w:i/>
                <w:iCs/>
                <w:color w:val="000000"/>
                <w:sz w:val="20"/>
                <w:lang w:eastAsia="lv-LV"/>
              </w:rPr>
              <w:t xml:space="preserve">12) 74. resors "Gadskārtējā valsts budžeta izpildes procesā pārdalāmais finansējums" (t.sk. precizēts </w:t>
            </w:r>
            <w:r>
              <w:rPr>
                <w:b w:val="0"/>
                <w:i/>
                <w:iCs/>
                <w:color w:val="000000"/>
                <w:sz w:val="20"/>
                <w:lang w:eastAsia="lv-LV"/>
              </w:rPr>
              <w:t>Līdzekļi neparedzētiem gadījumiem</w:t>
            </w:r>
            <w:r w:rsidRPr="00A74DD4">
              <w:rPr>
                <w:b w:val="0"/>
                <w:i/>
                <w:iCs/>
                <w:color w:val="000000"/>
                <w:sz w:val="20"/>
                <w:lang w:eastAsia="lv-LV"/>
              </w:rPr>
              <w:t xml:space="preserve"> apmērs, </w:t>
            </w:r>
            <w:r>
              <w:rPr>
                <w:b w:val="0"/>
                <w:i/>
                <w:iCs/>
                <w:color w:val="000000"/>
                <w:sz w:val="20"/>
                <w:lang w:eastAsia="lv-LV"/>
              </w:rPr>
              <w:t>f</w:t>
            </w:r>
            <w:r w:rsidRPr="00A74DD4">
              <w:rPr>
                <w:b w:val="0"/>
                <w:i/>
                <w:iCs/>
                <w:color w:val="000000"/>
                <w:sz w:val="20"/>
                <w:lang w:eastAsia="lv-LV"/>
              </w:rPr>
              <w:t>inansējuma samazinājums apropriācijas rezervei  )</w:t>
            </w:r>
          </w:p>
        </w:tc>
        <w:tc>
          <w:tcPr>
            <w:tcW w:w="979" w:type="dxa"/>
            <w:noWrap/>
            <w:vAlign w:val="center"/>
          </w:tcPr>
          <w:p w14:paraId="2E44BBE9" w14:textId="77777777" w:rsidR="006A3C92" w:rsidRPr="00FB4E9D" w:rsidRDefault="006A3C92"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572" w:type="dxa"/>
            <w:vAlign w:val="center"/>
          </w:tcPr>
          <w:p w14:paraId="1DE9ACAB" w14:textId="30F784F6"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2891D97D" w14:textId="50CFE991"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E51612E" w14:textId="0E1E6499"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130A1A93" w14:textId="3F05F73B"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-0,09</w:t>
            </w:r>
          </w:p>
        </w:tc>
        <w:tc>
          <w:tcPr>
            <w:tcW w:w="851" w:type="dxa"/>
            <w:noWrap/>
            <w:vAlign w:val="center"/>
          </w:tcPr>
          <w:p w14:paraId="05AA2C6F" w14:textId="62EA6E5E"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0,01</w:t>
            </w:r>
          </w:p>
        </w:tc>
      </w:tr>
      <w:tr w:rsidR="006A3C92" w:rsidRPr="00EE09CC" w14:paraId="6FAE7796" w14:textId="77777777" w:rsidTr="00FB4E9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7650" w:type="dxa"/>
          </w:tcPr>
          <w:p w14:paraId="2382F1CB" w14:textId="04CF9DE7" w:rsidR="006A3C92" w:rsidRPr="00A74DD4" w:rsidRDefault="006A3C92" w:rsidP="006A3C92">
            <w:pPr>
              <w:spacing w:after="0"/>
              <w:ind w:left="731" w:hanging="164"/>
              <w:rPr>
                <w:b w:val="0"/>
                <w:sz w:val="20"/>
                <w:lang w:eastAsia="lv-LV"/>
              </w:rPr>
            </w:pPr>
            <w:r w:rsidRPr="00A74DD4">
              <w:rPr>
                <w:b w:val="0"/>
                <w:i/>
                <w:iCs/>
                <w:color w:val="000000"/>
                <w:sz w:val="20"/>
                <w:lang w:eastAsia="lv-LV"/>
              </w:rPr>
              <w:t>13) Vals</w:t>
            </w:r>
            <w:r>
              <w:rPr>
                <w:b w:val="0"/>
                <w:i/>
                <w:iCs/>
                <w:color w:val="000000"/>
                <w:sz w:val="20"/>
                <w:lang w:eastAsia="lv-LV"/>
              </w:rPr>
              <w:t>ts speciālais budžets (t.sk. finanšu</w:t>
            </w:r>
            <w:r w:rsidRPr="00A74DD4">
              <w:rPr>
                <w:b w:val="0"/>
                <w:i/>
                <w:iCs/>
                <w:color w:val="000000"/>
                <w:sz w:val="20"/>
                <w:lang w:eastAsia="lv-LV"/>
              </w:rPr>
              <w:t xml:space="preserve"> samazinājums vecuma pensijām, izdevumu samazinājums bezdarbnieka pabalstiem saistībā ar pabalsta saņēmēju skaita prognozēto samazinājumu)</w:t>
            </w:r>
          </w:p>
        </w:tc>
        <w:tc>
          <w:tcPr>
            <w:tcW w:w="979" w:type="dxa"/>
            <w:noWrap/>
            <w:vAlign w:val="center"/>
          </w:tcPr>
          <w:p w14:paraId="3D49960D" w14:textId="67D575AB" w:rsidR="006A3C92" w:rsidRPr="00FB4E9D" w:rsidRDefault="00534211"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B4E9D">
              <w:rPr>
                <w:color w:val="auto"/>
                <w:sz w:val="20"/>
                <w:lang w:eastAsia="lv-LV"/>
              </w:rPr>
              <w:t>D.62</w:t>
            </w:r>
          </w:p>
        </w:tc>
        <w:tc>
          <w:tcPr>
            <w:tcW w:w="1572" w:type="dxa"/>
            <w:vAlign w:val="center"/>
          </w:tcPr>
          <w:p w14:paraId="4B0E4CA9" w14:textId="22B49F25"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E9FC45C" w14:textId="534043B4"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523CFCE0" w14:textId="5699077B"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-0,04</w:t>
            </w:r>
          </w:p>
        </w:tc>
        <w:tc>
          <w:tcPr>
            <w:tcW w:w="850" w:type="dxa"/>
            <w:noWrap/>
            <w:vAlign w:val="center"/>
          </w:tcPr>
          <w:p w14:paraId="08BDF62B" w14:textId="47C0D2C6"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1" w:type="dxa"/>
            <w:noWrap/>
            <w:vAlign w:val="center"/>
          </w:tcPr>
          <w:p w14:paraId="7A998C76" w14:textId="4B62CEA5" w:rsidR="006A3C92" w:rsidRPr="006F092D"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r>
      <w:tr w:rsidR="006A3C92" w:rsidRPr="00EE09CC" w14:paraId="25710862" w14:textId="77777777" w:rsidTr="00FB4E9D">
        <w:trPr>
          <w:trHeight w:val="297"/>
        </w:trPr>
        <w:tc>
          <w:tcPr>
            <w:cnfStyle w:val="001000000000" w:firstRow="0" w:lastRow="0" w:firstColumn="1" w:lastColumn="0" w:oddVBand="0" w:evenVBand="0" w:oddHBand="0" w:evenHBand="0" w:firstRowFirstColumn="0" w:firstRowLastColumn="0" w:lastRowFirstColumn="0" w:lastRowLastColumn="0"/>
            <w:tcW w:w="7650" w:type="dxa"/>
          </w:tcPr>
          <w:p w14:paraId="55CBA098" w14:textId="33ECC0B8" w:rsidR="006A3C92" w:rsidRPr="00A74DD4" w:rsidRDefault="006A3C92" w:rsidP="006A3C92">
            <w:pPr>
              <w:spacing w:after="0"/>
              <w:ind w:left="731" w:hanging="164"/>
              <w:rPr>
                <w:b w:val="0"/>
                <w:sz w:val="20"/>
                <w:lang w:eastAsia="lv-LV"/>
              </w:rPr>
            </w:pPr>
            <w:r w:rsidRPr="00A74DD4">
              <w:rPr>
                <w:b w:val="0"/>
                <w:i/>
                <w:iCs/>
                <w:color w:val="000000"/>
                <w:sz w:val="20"/>
                <w:lang w:eastAsia="lv-LV"/>
              </w:rPr>
              <w:t xml:space="preserve">14) Korekcija  - izslēgts finansējums minimālās algas paaugstināšanas līdz 430 </w:t>
            </w:r>
            <w:proofErr w:type="spellStart"/>
            <w:r>
              <w:rPr>
                <w:b w:val="0"/>
                <w:i/>
                <w:iCs/>
                <w:color w:val="000000"/>
                <w:sz w:val="20"/>
                <w:lang w:eastAsia="lv-LV"/>
              </w:rPr>
              <w:t>euro</w:t>
            </w:r>
            <w:proofErr w:type="spellEnd"/>
            <w:r w:rsidRPr="00A74DD4">
              <w:rPr>
                <w:b w:val="0"/>
                <w:i/>
                <w:iCs/>
                <w:color w:val="000000"/>
                <w:sz w:val="20"/>
                <w:lang w:eastAsia="lv-LV"/>
              </w:rPr>
              <w:t xml:space="preserve"> nodrošināšanai un darba devēja valsts sociālās apdrošināšanas obligāto iemaksu palielinājuma nodrošināšanai, kas jau ir ietverts nemainīgas politikas scenārijā</w:t>
            </w:r>
          </w:p>
        </w:tc>
        <w:tc>
          <w:tcPr>
            <w:tcW w:w="979" w:type="dxa"/>
            <w:noWrap/>
            <w:vAlign w:val="center"/>
          </w:tcPr>
          <w:p w14:paraId="55D84C3D" w14:textId="02057B37" w:rsidR="006A3C92" w:rsidRPr="00FB4E9D" w:rsidRDefault="00534211"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B4E9D">
              <w:rPr>
                <w:color w:val="auto"/>
                <w:sz w:val="20"/>
                <w:lang w:eastAsia="lv-LV"/>
              </w:rPr>
              <w:t>D.1</w:t>
            </w:r>
          </w:p>
        </w:tc>
        <w:tc>
          <w:tcPr>
            <w:tcW w:w="1572" w:type="dxa"/>
            <w:vAlign w:val="center"/>
          </w:tcPr>
          <w:p w14:paraId="65F19401" w14:textId="064A16C0"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FC7CE04" w14:textId="63723D09"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F375F9F" w14:textId="289E6C2E"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-0,10</w:t>
            </w:r>
          </w:p>
        </w:tc>
        <w:tc>
          <w:tcPr>
            <w:tcW w:w="850" w:type="dxa"/>
            <w:noWrap/>
            <w:vAlign w:val="center"/>
          </w:tcPr>
          <w:p w14:paraId="7A5C2D73" w14:textId="60A8EB30"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3D489B0D" w14:textId="4B537F68" w:rsidR="006A3C92" w:rsidRPr="006F092D"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r>
      <w:tr w:rsidR="006A3C92" w:rsidRPr="00EE09CC" w14:paraId="2A135345" w14:textId="77777777" w:rsidTr="00FB4E9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7650" w:type="dxa"/>
          </w:tcPr>
          <w:p w14:paraId="59325ECE" w14:textId="02959EFD" w:rsidR="006A3C92" w:rsidRPr="00A74DD4" w:rsidRDefault="006A3C92" w:rsidP="006A3C92">
            <w:pPr>
              <w:spacing w:after="0"/>
              <w:ind w:firstLine="0"/>
              <w:rPr>
                <w:b w:val="0"/>
                <w:sz w:val="20"/>
                <w:lang w:eastAsia="lv-LV"/>
              </w:rPr>
            </w:pPr>
            <w:r w:rsidRPr="00A74DD4">
              <w:rPr>
                <w:b w:val="0"/>
                <w:color w:val="000000"/>
                <w:sz w:val="20"/>
                <w:lang w:eastAsia="lv-LV"/>
              </w:rPr>
              <w:lastRenderedPageBreak/>
              <w:t xml:space="preserve">Latvijas diplomātiskā un konsulārā dienesta stiprināšana Latvijas drošības un ekonomisko </w:t>
            </w:r>
            <w:proofErr w:type="spellStart"/>
            <w:r w:rsidRPr="00A74DD4">
              <w:rPr>
                <w:b w:val="0"/>
                <w:color w:val="000000"/>
                <w:sz w:val="20"/>
                <w:lang w:eastAsia="lv-LV"/>
              </w:rPr>
              <w:t>pamatinterešu</w:t>
            </w:r>
            <w:proofErr w:type="spellEnd"/>
            <w:r w:rsidRPr="00A74DD4">
              <w:rPr>
                <w:b w:val="0"/>
                <w:color w:val="000000"/>
                <w:sz w:val="20"/>
                <w:lang w:eastAsia="lv-LV"/>
              </w:rPr>
              <w:t xml:space="preserve"> aizstāvībai</w:t>
            </w:r>
          </w:p>
        </w:tc>
        <w:tc>
          <w:tcPr>
            <w:tcW w:w="979" w:type="dxa"/>
            <w:noWrap/>
            <w:vAlign w:val="center"/>
          </w:tcPr>
          <w:p w14:paraId="50504FC5" w14:textId="45928910" w:rsidR="006A3C92" w:rsidRPr="00FB4E9D" w:rsidRDefault="00351763"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D.1, P.2</w:t>
            </w:r>
          </w:p>
        </w:tc>
        <w:tc>
          <w:tcPr>
            <w:tcW w:w="1572" w:type="dxa"/>
            <w:vAlign w:val="center"/>
          </w:tcPr>
          <w:p w14:paraId="34111F4B" w14:textId="63578217"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0FEA5B36" w14:textId="309C6AA5"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CB9EDBA" w14:textId="5D4B92FE"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73E1BA81" w14:textId="37530ECA"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35BCE113" w14:textId="086B202C"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4804DD1A" w14:textId="77777777" w:rsidTr="00FB4E9D">
        <w:trPr>
          <w:trHeight w:val="151"/>
        </w:trPr>
        <w:tc>
          <w:tcPr>
            <w:cnfStyle w:val="001000000000" w:firstRow="0" w:lastRow="0" w:firstColumn="1" w:lastColumn="0" w:oddVBand="0" w:evenVBand="0" w:oddHBand="0" w:evenHBand="0" w:firstRowFirstColumn="0" w:firstRowLastColumn="0" w:lastRowFirstColumn="0" w:lastRowLastColumn="0"/>
            <w:tcW w:w="7650" w:type="dxa"/>
          </w:tcPr>
          <w:p w14:paraId="7444C248" w14:textId="4100F1A1" w:rsidR="006A3C92" w:rsidRPr="00A74DD4" w:rsidRDefault="006A3C92" w:rsidP="006A3C92">
            <w:pPr>
              <w:spacing w:after="0"/>
              <w:ind w:firstLine="0"/>
              <w:rPr>
                <w:b w:val="0"/>
                <w:sz w:val="20"/>
                <w:lang w:eastAsia="lv-LV"/>
              </w:rPr>
            </w:pPr>
            <w:r w:rsidRPr="00A74DD4">
              <w:rPr>
                <w:b w:val="0"/>
                <w:color w:val="000000"/>
                <w:sz w:val="20"/>
                <w:lang w:eastAsia="lv-LV"/>
              </w:rPr>
              <w:t>Valsts galvojumi bankas aizdevumiem mājokļu iegādei vai būvniecībai</w:t>
            </w:r>
          </w:p>
        </w:tc>
        <w:tc>
          <w:tcPr>
            <w:tcW w:w="979" w:type="dxa"/>
            <w:noWrap/>
            <w:vAlign w:val="center"/>
          </w:tcPr>
          <w:p w14:paraId="4350AD6E" w14:textId="1BBE08A1" w:rsidR="006A3C92" w:rsidRPr="00FB4E9D" w:rsidRDefault="00534211"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B4E9D">
              <w:rPr>
                <w:color w:val="auto"/>
                <w:sz w:val="20"/>
                <w:lang w:eastAsia="lv-LV"/>
              </w:rPr>
              <w:t>D.3</w:t>
            </w:r>
          </w:p>
        </w:tc>
        <w:tc>
          <w:tcPr>
            <w:tcW w:w="1572" w:type="dxa"/>
            <w:vAlign w:val="center"/>
          </w:tcPr>
          <w:p w14:paraId="091A3A91" w14:textId="2F268AFE"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4E458BD7" w14:textId="7BB416C0"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5D1295AA" w14:textId="10BDE1B9"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2D047D71" w14:textId="5F89305A"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204D13FF" w14:textId="2D10C4BD"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20D9E319" w14:textId="77777777" w:rsidTr="00FB4E9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650" w:type="dxa"/>
          </w:tcPr>
          <w:p w14:paraId="547967F8" w14:textId="35391592" w:rsidR="006A3C92" w:rsidRPr="00A74DD4" w:rsidRDefault="006A3C92" w:rsidP="006A3C92">
            <w:pPr>
              <w:spacing w:after="0"/>
              <w:ind w:firstLine="0"/>
              <w:rPr>
                <w:b w:val="0"/>
                <w:sz w:val="20"/>
                <w:lang w:eastAsia="lv-LV"/>
              </w:rPr>
            </w:pPr>
            <w:r w:rsidRPr="00A74DD4">
              <w:rPr>
                <w:b w:val="0"/>
                <w:color w:val="000000"/>
                <w:sz w:val="20"/>
                <w:lang w:eastAsia="lv-LV"/>
              </w:rPr>
              <w:t xml:space="preserve">Nodokļu informācijas pakalpojumu modernizācija (t.sk. ar </w:t>
            </w:r>
            <w:r w:rsidR="000F61D9" w:rsidRPr="000F61D9">
              <w:rPr>
                <w:b w:val="0"/>
                <w:color w:val="000000"/>
                <w:sz w:val="20"/>
                <w:lang w:eastAsia="lv-LV"/>
              </w:rPr>
              <w:t xml:space="preserve"> </w:t>
            </w:r>
            <w:r w:rsidR="000F61D9">
              <w:rPr>
                <w:b w:val="0"/>
                <w:color w:val="000000"/>
                <w:sz w:val="20"/>
                <w:lang w:eastAsia="lv-LV"/>
              </w:rPr>
              <w:t>m</w:t>
            </w:r>
            <w:r w:rsidR="000F61D9" w:rsidRPr="000F61D9">
              <w:rPr>
                <w:b w:val="0"/>
                <w:color w:val="000000"/>
                <w:sz w:val="20"/>
                <w:lang w:eastAsia="lv-LV"/>
              </w:rPr>
              <w:t>aksājumu administrēšanas informācijas sistēma</w:t>
            </w:r>
            <w:r w:rsidR="000F61D9">
              <w:rPr>
                <w:b w:val="0"/>
                <w:color w:val="000000"/>
                <w:sz w:val="20"/>
                <w:lang w:eastAsia="lv-LV"/>
              </w:rPr>
              <w:t>s</w:t>
            </w:r>
            <w:r w:rsidR="000F61D9" w:rsidRPr="00A74DD4">
              <w:rPr>
                <w:b w:val="0"/>
                <w:color w:val="000000"/>
                <w:sz w:val="20"/>
                <w:lang w:eastAsia="lv-LV"/>
              </w:rPr>
              <w:t xml:space="preserve"> </w:t>
            </w:r>
            <w:r w:rsidRPr="00A74DD4">
              <w:rPr>
                <w:b w:val="0"/>
                <w:color w:val="000000"/>
                <w:sz w:val="20"/>
                <w:lang w:eastAsia="lv-LV"/>
              </w:rPr>
              <w:t>izveidošanu un funkcionalitātes nodrošināšanu)</w:t>
            </w:r>
          </w:p>
        </w:tc>
        <w:tc>
          <w:tcPr>
            <w:tcW w:w="979" w:type="dxa"/>
            <w:noWrap/>
            <w:vAlign w:val="center"/>
          </w:tcPr>
          <w:p w14:paraId="39CDEE98" w14:textId="7929509D" w:rsidR="006A3C92" w:rsidRPr="00FB4E9D" w:rsidRDefault="00B6120F"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D.1, P.2, P.51</w:t>
            </w:r>
          </w:p>
        </w:tc>
        <w:tc>
          <w:tcPr>
            <w:tcW w:w="1572" w:type="dxa"/>
            <w:vAlign w:val="center"/>
          </w:tcPr>
          <w:p w14:paraId="2C471E1A" w14:textId="74AEF58E"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3F5A9FF7" w14:textId="46D9C9A6"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12B79C60" w14:textId="77584A8B"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28F6D9F4" w14:textId="1130A611"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21143FA2" w14:textId="125F9F7D"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0,02</w:t>
            </w:r>
          </w:p>
        </w:tc>
      </w:tr>
      <w:tr w:rsidR="006A3C92" w:rsidRPr="00EE09CC" w14:paraId="3BF2A27F" w14:textId="77777777" w:rsidTr="00FB4E9D">
        <w:trPr>
          <w:trHeight w:val="297"/>
        </w:trPr>
        <w:tc>
          <w:tcPr>
            <w:cnfStyle w:val="001000000000" w:firstRow="0" w:lastRow="0" w:firstColumn="1" w:lastColumn="0" w:oddVBand="0" w:evenVBand="0" w:oddHBand="0" w:evenHBand="0" w:firstRowFirstColumn="0" w:firstRowLastColumn="0" w:lastRowFirstColumn="0" w:lastRowLastColumn="0"/>
            <w:tcW w:w="7650" w:type="dxa"/>
          </w:tcPr>
          <w:p w14:paraId="78EF7420" w14:textId="040953F3" w:rsidR="006A3C92" w:rsidRPr="00A74DD4" w:rsidRDefault="006A3C92" w:rsidP="006A3C92">
            <w:pPr>
              <w:spacing w:after="0"/>
              <w:ind w:firstLine="0"/>
              <w:rPr>
                <w:b w:val="0"/>
                <w:sz w:val="20"/>
                <w:lang w:eastAsia="lv-LV"/>
              </w:rPr>
            </w:pPr>
            <w:r>
              <w:rPr>
                <w:b w:val="0"/>
                <w:color w:val="000000"/>
                <w:sz w:val="20"/>
                <w:lang w:eastAsia="lv-LV"/>
              </w:rPr>
              <w:t>FM</w:t>
            </w:r>
            <w:r w:rsidRPr="00A74DD4">
              <w:rPr>
                <w:b w:val="0"/>
                <w:color w:val="000000"/>
                <w:sz w:val="20"/>
                <w:lang w:eastAsia="lv-LV"/>
              </w:rPr>
              <w:t xml:space="preserve"> iestāžu kapacitātes stiprināšana, t.sk. ēnu ekonomikas apkarošanai, </w:t>
            </w:r>
            <w:r>
              <w:rPr>
                <w:b w:val="0"/>
                <w:color w:val="000000"/>
                <w:sz w:val="20"/>
                <w:lang w:eastAsia="lv-LV"/>
              </w:rPr>
              <w:t>VID</w:t>
            </w:r>
            <w:r w:rsidRPr="00A74DD4">
              <w:rPr>
                <w:b w:val="0"/>
                <w:color w:val="000000"/>
                <w:sz w:val="20"/>
                <w:lang w:eastAsia="lv-LV"/>
              </w:rPr>
              <w:t xml:space="preserve"> stratēģisko mērķu sasniegšanai (t.sk. muitnieku, inspektoru un finanšu policistu atalgojumam)</w:t>
            </w:r>
          </w:p>
        </w:tc>
        <w:tc>
          <w:tcPr>
            <w:tcW w:w="979" w:type="dxa"/>
            <w:noWrap/>
            <w:vAlign w:val="center"/>
          </w:tcPr>
          <w:p w14:paraId="5BDEBB9C" w14:textId="28E27C35" w:rsidR="006A3C92" w:rsidRPr="00FB4E9D" w:rsidRDefault="00534211"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B4E9D">
              <w:rPr>
                <w:color w:val="auto"/>
                <w:sz w:val="20"/>
                <w:lang w:eastAsia="lv-LV"/>
              </w:rPr>
              <w:t>D.1</w:t>
            </w:r>
          </w:p>
        </w:tc>
        <w:tc>
          <w:tcPr>
            <w:tcW w:w="1572" w:type="dxa"/>
            <w:vAlign w:val="center"/>
          </w:tcPr>
          <w:p w14:paraId="0AD0294A" w14:textId="770F4D22"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ECCB8A6" w14:textId="2C19AF8F"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3ED49E0F" w14:textId="7976328F"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7DC072B2" w14:textId="467E81F9"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5AFD2148" w14:textId="7E4D0831"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5573E5F3" w14:textId="77777777" w:rsidTr="00FB4E9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650" w:type="dxa"/>
          </w:tcPr>
          <w:p w14:paraId="3905D510" w14:textId="4D5CC224" w:rsidR="006A3C92" w:rsidRPr="00A74DD4" w:rsidRDefault="006A3C92" w:rsidP="006A3C92">
            <w:pPr>
              <w:spacing w:after="0"/>
              <w:ind w:firstLine="0"/>
              <w:rPr>
                <w:b w:val="0"/>
                <w:sz w:val="20"/>
                <w:lang w:eastAsia="lv-LV"/>
              </w:rPr>
            </w:pPr>
            <w:r>
              <w:rPr>
                <w:b w:val="0"/>
                <w:color w:val="000000"/>
                <w:sz w:val="20"/>
                <w:lang w:eastAsia="lv-LV"/>
              </w:rPr>
              <w:t>VID</w:t>
            </w:r>
            <w:r w:rsidRPr="00A74DD4">
              <w:rPr>
                <w:b w:val="0"/>
                <w:color w:val="000000"/>
                <w:sz w:val="20"/>
                <w:lang w:eastAsia="lv-LV"/>
              </w:rPr>
              <w:t xml:space="preserve"> administratīvās struktūras reformas turpināšana, tajā skaitā APA un transfertcenu kapacitātes stiprināšana</w:t>
            </w:r>
          </w:p>
        </w:tc>
        <w:tc>
          <w:tcPr>
            <w:tcW w:w="979" w:type="dxa"/>
            <w:noWrap/>
            <w:vAlign w:val="center"/>
          </w:tcPr>
          <w:p w14:paraId="31749D20" w14:textId="27EB90C7" w:rsidR="006A3C92" w:rsidRPr="00FB4E9D" w:rsidRDefault="006220C8"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D.1</w:t>
            </w:r>
          </w:p>
        </w:tc>
        <w:tc>
          <w:tcPr>
            <w:tcW w:w="1572" w:type="dxa"/>
            <w:vAlign w:val="center"/>
          </w:tcPr>
          <w:p w14:paraId="61BCAD0A" w14:textId="210EF7A2"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1E473F5D" w14:textId="7070DB03"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E568763" w14:textId="6C403EBA"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4894A812" w14:textId="77B35A61"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0A00A2D8" w14:textId="369F4256"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33DDC9CD" w14:textId="77777777" w:rsidTr="00FB4E9D">
        <w:trPr>
          <w:trHeight w:val="145"/>
        </w:trPr>
        <w:tc>
          <w:tcPr>
            <w:cnfStyle w:val="001000000000" w:firstRow="0" w:lastRow="0" w:firstColumn="1" w:lastColumn="0" w:oddVBand="0" w:evenVBand="0" w:oddHBand="0" w:evenHBand="0" w:firstRowFirstColumn="0" w:firstRowLastColumn="0" w:lastRowFirstColumn="0" w:lastRowLastColumn="0"/>
            <w:tcW w:w="7650" w:type="dxa"/>
          </w:tcPr>
          <w:p w14:paraId="05949A9C" w14:textId="1BEE81A8" w:rsidR="006A3C92" w:rsidRPr="00A74DD4" w:rsidRDefault="006A3C92" w:rsidP="006A3C92">
            <w:pPr>
              <w:spacing w:after="0"/>
              <w:ind w:firstLine="0"/>
              <w:rPr>
                <w:b w:val="0"/>
                <w:sz w:val="20"/>
                <w:lang w:eastAsia="lv-LV"/>
              </w:rPr>
            </w:pPr>
            <w:r w:rsidRPr="00A74DD4">
              <w:rPr>
                <w:b w:val="0"/>
                <w:color w:val="000000"/>
                <w:sz w:val="20"/>
                <w:lang w:eastAsia="lv-LV"/>
              </w:rPr>
              <w:t>Latvijas Republikas valsts robežas ar Krievijas Federāciju un Baltkrievijas Republiku izbūve</w:t>
            </w:r>
          </w:p>
        </w:tc>
        <w:tc>
          <w:tcPr>
            <w:tcW w:w="979" w:type="dxa"/>
            <w:noWrap/>
            <w:vAlign w:val="center"/>
          </w:tcPr>
          <w:p w14:paraId="4FE66D14" w14:textId="27382FD8" w:rsidR="006A3C92" w:rsidRPr="00FB4E9D" w:rsidRDefault="006220C8"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P.51</w:t>
            </w:r>
          </w:p>
        </w:tc>
        <w:tc>
          <w:tcPr>
            <w:tcW w:w="1572" w:type="dxa"/>
            <w:vAlign w:val="center"/>
          </w:tcPr>
          <w:p w14:paraId="55F37EFE" w14:textId="563EB314"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95BB13C" w14:textId="348EE8AB"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DAB3844" w14:textId="16C0A3E7"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3C9A7114" w14:textId="775C9368"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0BF0E715" w14:textId="358FE95A"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r>
      <w:tr w:rsidR="006A3C92" w:rsidRPr="00EE09CC" w14:paraId="33810662" w14:textId="77777777" w:rsidTr="00FB4E9D">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7650" w:type="dxa"/>
          </w:tcPr>
          <w:p w14:paraId="257A1C7A" w14:textId="27F0C8D3" w:rsidR="006A3C92" w:rsidRPr="00A74DD4" w:rsidRDefault="006A3C92" w:rsidP="006A3C92">
            <w:pPr>
              <w:spacing w:after="0"/>
              <w:ind w:firstLine="0"/>
              <w:rPr>
                <w:b w:val="0"/>
                <w:sz w:val="20"/>
                <w:lang w:eastAsia="lv-LV"/>
              </w:rPr>
            </w:pPr>
            <w:r w:rsidRPr="00A74DD4">
              <w:rPr>
                <w:b w:val="0"/>
                <w:color w:val="000000"/>
                <w:sz w:val="20"/>
                <w:lang w:eastAsia="lv-LV"/>
              </w:rPr>
              <w:t xml:space="preserve">Latvijas Republikas valsts robežas uzturēšana </w:t>
            </w:r>
          </w:p>
        </w:tc>
        <w:tc>
          <w:tcPr>
            <w:tcW w:w="979" w:type="dxa"/>
            <w:noWrap/>
            <w:vAlign w:val="center"/>
          </w:tcPr>
          <w:p w14:paraId="0A6D9E6B" w14:textId="7DC0EF58" w:rsidR="006A3C92" w:rsidRPr="00FB4E9D" w:rsidRDefault="007B72E9"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B4E9D">
              <w:rPr>
                <w:color w:val="auto"/>
                <w:sz w:val="20"/>
                <w:lang w:eastAsia="lv-LV"/>
              </w:rPr>
              <w:t>P.2</w:t>
            </w:r>
            <w:r w:rsidR="0064284F">
              <w:rPr>
                <w:color w:val="auto"/>
                <w:sz w:val="20"/>
                <w:lang w:eastAsia="lv-LV"/>
              </w:rPr>
              <w:t>, P.51</w:t>
            </w:r>
          </w:p>
        </w:tc>
        <w:tc>
          <w:tcPr>
            <w:tcW w:w="1572" w:type="dxa"/>
            <w:vAlign w:val="center"/>
          </w:tcPr>
          <w:p w14:paraId="2A631B28" w14:textId="3E68ED11"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37158E6C" w14:textId="6980B538"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51058440" w14:textId="6CF8032D"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5BAF5BDF" w14:textId="019EBB41"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716464EF" w14:textId="4182614A"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1B8D0884" w14:textId="77777777" w:rsidTr="00FB4E9D">
        <w:trPr>
          <w:trHeight w:val="297"/>
        </w:trPr>
        <w:tc>
          <w:tcPr>
            <w:cnfStyle w:val="001000000000" w:firstRow="0" w:lastRow="0" w:firstColumn="1" w:lastColumn="0" w:oddVBand="0" w:evenVBand="0" w:oddHBand="0" w:evenHBand="0" w:firstRowFirstColumn="0" w:firstRowLastColumn="0" w:lastRowFirstColumn="0" w:lastRowLastColumn="0"/>
            <w:tcW w:w="7650" w:type="dxa"/>
          </w:tcPr>
          <w:p w14:paraId="24DEEBA3" w14:textId="5B55025E" w:rsidR="006A3C92" w:rsidRPr="00A74DD4" w:rsidRDefault="006A3C92" w:rsidP="006A3C92">
            <w:pPr>
              <w:spacing w:after="0"/>
              <w:ind w:firstLine="0"/>
              <w:rPr>
                <w:b w:val="0"/>
                <w:sz w:val="20"/>
                <w:lang w:eastAsia="lv-LV"/>
              </w:rPr>
            </w:pPr>
            <w:proofErr w:type="spellStart"/>
            <w:r w:rsidRPr="00A74DD4">
              <w:rPr>
                <w:b w:val="0"/>
                <w:color w:val="000000"/>
                <w:sz w:val="20"/>
                <w:lang w:eastAsia="lv-LV"/>
              </w:rPr>
              <w:t>Iekšlietu</w:t>
            </w:r>
            <w:proofErr w:type="spellEnd"/>
            <w:r w:rsidRPr="00A74DD4">
              <w:rPr>
                <w:b w:val="0"/>
                <w:color w:val="000000"/>
                <w:sz w:val="20"/>
                <w:lang w:eastAsia="lv-LV"/>
              </w:rPr>
              <w:t xml:space="preserve"> resora informācijas un komunikācijas tehnoloģiju infrastruktūras drošības uzlabošana (informācija klasificēta)</w:t>
            </w:r>
          </w:p>
        </w:tc>
        <w:tc>
          <w:tcPr>
            <w:tcW w:w="979" w:type="dxa"/>
            <w:noWrap/>
            <w:vAlign w:val="center"/>
          </w:tcPr>
          <w:p w14:paraId="56793481" w14:textId="72552773" w:rsidR="006A3C92" w:rsidRPr="00FB4E9D" w:rsidRDefault="0093115E"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D.1, P.2, P.51</w:t>
            </w:r>
          </w:p>
        </w:tc>
        <w:tc>
          <w:tcPr>
            <w:tcW w:w="1572" w:type="dxa"/>
            <w:vAlign w:val="center"/>
          </w:tcPr>
          <w:p w14:paraId="02E02A62" w14:textId="5A5B871B"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CC6AC31" w14:textId="09B52207"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1CC8D5A8" w14:textId="41DB21F6"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5FB95031" w14:textId="0EB2A3A7"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6346508C" w14:textId="763CE381"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2A5FC7F0" w14:textId="77777777" w:rsidTr="00FB4E9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650" w:type="dxa"/>
          </w:tcPr>
          <w:p w14:paraId="33A475D0" w14:textId="6748C76F" w:rsidR="006A3C92" w:rsidRPr="00A74DD4" w:rsidRDefault="006A3C92" w:rsidP="006A3C92">
            <w:pPr>
              <w:spacing w:after="0"/>
              <w:ind w:firstLine="0"/>
              <w:rPr>
                <w:b w:val="0"/>
                <w:sz w:val="20"/>
                <w:lang w:eastAsia="lv-LV"/>
              </w:rPr>
            </w:pPr>
            <w:r w:rsidRPr="00A74DD4">
              <w:rPr>
                <w:b w:val="0"/>
                <w:color w:val="000000"/>
                <w:sz w:val="20"/>
                <w:lang w:eastAsia="lv-LV"/>
              </w:rPr>
              <w:t>IZM padotībā esošo augstākās izglītības iestāžu pedagogu darba samaksas palielinājums</w:t>
            </w:r>
          </w:p>
        </w:tc>
        <w:tc>
          <w:tcPr>
            <w:tcW w:w="979" w:type="dxa"/>
            <w:noWrap/>
            <w:vAlign w:val="center"/>
          </w:tcPr>
          <w:p w14:paraId="455BA373" w14:textId="122A4013" w:rsidR="006A3C92" w:rsidRPr="00FB4E9D" w:rsidRDefault="007B72E9"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B4E9D">
              <w:rPr>
                <w:color w:val="auto"/>
                <w:sz w:val="20"/>
                <w:lang w:eastAsia="lv-LV"/>
              </w:rPr>
              <w:t>D.1</w:t>
            </w:r>
          </w:p>
        </w:tc>
        <w:tc>
          <w:tcPr>
            <w:tcW w:w="1572" w:type="dxa"/>
            <w:vAlign w:val="center"/>
          </w:tcPr>
          <w:p w14:paraId="679A58E7" w14:textId="045B0029"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275185DD" w14:textId="04E7239D"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D8930FE" w14:textId="18F0C1A7"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13298BF1" w14:textId="6741EBD2"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1" w:type="dxa"/>
            <w:noWrap/>
            <w:vAlign w:val="center"/>
          </w:tcPr>
          <w:p w14:paraId="3BEA6635" w14:textId="6700D46B"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01DD1970" w14:textId="77777777" w:rsidTr="00FB4E9D">
        <w:trPr>
          <w:trHeight w:val="183"/>
        </w:trPr>
        <w:tc>
          <w:tcPr>
            <w:cnfStyle w:val="001000000000" w:firstRow="0" w:lastRow="0" w:firstColumn="1" w:lastColumn="0" w:oddVBand="0" w:evenVBand="0" w:oddHBand="0" w:evenHBand="0" w:firstRowFirstColumn="0" w:firstRowLastColumn="0" w:lastRowFirstColumn="0" w:lastRowLastColumn="0"/>
            <w:tcW w:w="7650" w:type="dxa"/>
          </w:tcPr>
          <w:p w14:paraId="0FFAAE0B" w14:textId="6E17CDC1" w:rsidR="006A3C92" w:rsidRPr="00A74DD4" w:rsidRDefault="006A3C92" w:rsidP="006A3C92">
            <w:pPr>
              <w:spacing w:after="0"/>
              <w:ind w:firstLine="0"/>
              <w:rPr>
                <w:b w:val="0"/>
                <w:sz w:val="20"/>
                <w:lang w:eastAsia="lv-LV"/>
              </w:rPr>
            </w:pPr>
            <w:r w:rsidRPr="00A74DD4">
              <w:rPr>
                <w:b w:val="0"/>
                <w:color w:val="000000"/>
                <w:sz w:val="20"/>
                <w:lang w:eastAsia="lv-LV"/>
              </w:rPr>
              <w:t>Valsts funkciju sporta nozarē izpildes nodrošināšana nemainīgā līmenī</w:t>
            </w:r>
          </w:p>
        </w:tc>
        <w:tc>
          <w:tcPr>
            <w:tcW w:w="979" w:type="dxa"/>
            <w:noWrap/>
            <w:vAlign w:val="center"/>
          </w:tcPr>
          <w:p w14:paraId="0354E9CB" w14:textId="7B249095" w:rsidR="006A3C92" w:rsidRPr="00FB4E9D" w:rsidRDefault="0093115E"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D.3</w:t>
            </w:r>
          </w:p>
        </w:tc>
        <w:tc>
          <w:tcPr>
            <w:tcW w:w="1572" w:type="dxa"/>
            <w:vAlign w:val="center"/>
          </w:tcPr>
          <w:p w14:paraId="6B99C57E" w14:textId="3221E735"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053A6E30" w14:textId="324DF2F0"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DA1D1C6" w14:textId="25E1F3C0"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33F96475" w14:textId="6850CF49"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018FB9F2" w14:textId="7F2D08BE"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5FAEE3DE" w14:textId="77777777" w:rsidTr="00FB4E9D">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7650" w:type="dxa"/>
          </w:tcPr>
          <w:p w14:paraId="4D1D4B01" w14:textId="223D5C8D" w:rsidR="006A3C92" w:rsidRPr="00A74DD4" w:rsidRDefault="006A3C92" w:rsidP="006A3C92">
            <w:pPr>
              <w:spacing w:after="0"/>
              <w:ind w:firstLine="0"/>
              <w:rPr>
                <w:b w:val="0"/>
                <w:sz w:val="20"/>
                <w:lang w:eastAsia="lv-LV"/>
              </w:rPr>
            </w:pPr>
            <w:r w:rsidRPr="00A74DD4">
              <w:rPr>
                <w:b w:val="0"/>
                <w:color w:val="000000"/>
                <w:sz w:val="20"/>
                <w:lang w:eastAsia="lv-LV"/>
              </w:rPr>
              <w:t>Papildus investīcijas valsts nozīmes sporta infrastruktūras attīstības projektu īstenošanai</w:t>
            </w:r>
          </w:p>
        </w:tc>
        <w:tc>
          <w:tcPr>
            <w:tcW w:w="979" w:type="dxa"/>
            <w:noWrap/>
            <w:vAlign w:val="center"/>
          </w:tcPr>
          <w:p w14:paraId="00C76190" w14:textId="57F6F4E7" w:rsidR="006A3C92" w:rsidRPr="00FB4E9D" w:rsidRDefault="00B5648F"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P.51</w:t>
            </w:r>
          </w:p>
        </w:tc>
        <w:tc>
          <w:tcPr>
            <w:tcW w:w="1572" w:type="dxa"/>
            <w:vAlign w:val="center"/>
          </w:tcPr>
          <w:p w14:paraId="7BF6877B" w14:textId="59AFAC93"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3BB88667" w14:textId="736D9DCD"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3108E114" w14:textId="7DB5706F"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0,02</w:t>
            </w:r>
          </w:p>
        </w:tc>
        <w:tc>
          <w:tcPr>
            <w:tcW w:w="850" w:type="dxa"/>
            <w:noWrap/>
            <w:vAlign w:val="center"/>
          </w:tcPr>
          <w:p w14:paraId="3CAF96EE" w14:textId="34A745A4"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-0,02</w:t>
            </w:r>
          </w:p>
        </w:tc>
        <w:tc>
          <w:tcPr>
            <w:tcW w:w="851" w:type="dxa"/>
            <w:noWrap/>
            <w:vAlign w:val="center"/>
          </w:tcPr>
          <w:p w14:paraId="373DFA0F" w14:textId="10276D09"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r>
      <w:tr w:rsidR="006A3C92" w:rsidRPr="00EE09CC" w14:paraId="1E34DFBB" w14:textId="77777777" w:rsidTr="00FB4E9D">
        <w:trPr>
          <w:trHeight w:val="110"/>
        </w:trPr>
        <w:tc>
          <w:tcPr>
            <w:cnfStyle w:val="001000000000" w:firstRow="0" w:lastRow="0" w:firstColumn="1" w:lastColumn="0" w:oddVBand="0" w:evenVBand="0" w:oddHBand="0" w:evenHBand="0" w:firstRowFirstColumn="0" w:firstRowLastColumn="0" w:lastRowFirstColumn="0" w:lastRowLastColumn="0"/>
            <w:tcW w:w="7650" w:type="dxa"/>
          </w:tcPr>
          <w:p w14:paraId="0D4D7E08" w14:textId="27145561" w:rsidR="006A3C92" w:rsidRPr="00A74DD4" w:rsidRDefault="006A3C92" w:rsidP="006A3C92">
            <w:pPr>
              <w:spacing w:after="0"/>
              <w:ind w:firstLine="0"/>
              <w:rPr>
                <w:b w:val="0"/>
                <w:sz w:val="20"/>
                <w:lang w:eastAsia="lv-LV"/>
              </w:rPr>
            </w:pPr>
            <w:r w:rsidRPr="00A74DD4">
              <w:rPr>
                <w:b w:val="0"/>
                <w:color w:val="000000"/>
                <w:sz w:val="20"/>
                <w:lang w:eastAsia="lv-LV"/>
              </w:rPr>
              <w:t xml:space="preserve">Valsts meža dienestam </w:t>
            </w:r>
            <w:proofErr w:type="spellStart"/>
            <w:r w:rsidRPr="00A74DD4">
              <w:rPr>
                <w:b w:val="0"/>
                <w:color w:val="000000"/>
                <w:sz w:val="20"/>
                <w:lang w:eastAsia="lv-LV"/>
              </w:rPr>
              <w:t>ugunsapsardzības</w:t>
            </w:r>
            <w:proofErr w:type="spellEnd"/>
            <w:r w:rsidRPr="00A74DD4">
              <w:rPr>
                <w:b w:val="0"/>
                <w:color w:val="000000"/>
                <w:sz w:val="20"/>
                <w:lang w:eastAsia="lv-LV"/>
              </w:rPr>
              <w:t xml:space="preserve"> specializētā autotransporta iegādei </w:t>
            </w:r>
          </w:p>
        </w:tc>
        <w:tc>
          <w:tcPr>
            <w:tcW w:w="979" w:type="dxa"/>
            <w:noWrap/>
            <w:vAlign w:val="center"/>
          </w:tcPr>
          <w:p w14:paraId="2A075351" w14:textId="1521940C" w:rsidR="006A3C92" w:rsidRPr="00FB4E9D" w:rsidRDefault="007B72E9"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B4E9D">
              <w:rPr>
                <w:color w:val="auto"/>
                <w:sz w:val="20"/>
                <w:lang w:eastAsia="lv-LV"/>
              </w:rPr>
              <w:t>P.51</w:t>
            </w:r>
          </w:p>
        </w:tc>
        <w:tc>
          <w:tcPr>
            <w:tcW w:w="1572" w:type="dxa"/>
            <w:vAlign w:val="center"/>
          </w:tcPr>
          <w:p w14:paraId="76141979" w14:textId="437C78D1"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C2228FF" w14:textId="4F4BBFA7"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58BAA29" w14:textId="538EBE8C"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1A0BB38C" w14:textId="2630D741"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1" w:type="dxa"/>
            <w:noWrap/>
            <w:vAlign w:val="center"/>
          </w:tcPr>
          <w:p w14:paraId="4DF3D4BB" w14:textId="3ABE9CA6"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0AE1A51E" w14:textId="77777777" w:rsidTr="00FB4E9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7650" w:type="dxa"/>
          </w:tcPr>
          <w:p w14:paraId="155C63EF" w14:textId="521C4101" w:rsidR="006A3C92" w:rsidRPr="00A74DD4" w:rsidRDefault="006A3C92" w:rsidP="006A3C92">
            <w:pPr>
              <w:spacing w:after="0"/>
              <w:ind w:firstLine="0"/>
              <w:rPr>
                <w:b w:val="0"/>
                <w:sz w:val="20"/>
                <w:lang w:eastAsia="lv-LV"/>
              </w:rPr>
            </w:pPr>
            <w:r w:rsidRPr="00A74DD4">
              <w:rPr>
                <w:b w:val="0"/>
                <w:color w:val="000000"/>
                <w:sz w:val="20"/>
                <w:lang w:eastAsia="lv-LV"/>
              </w:rPr>
              <w:t>Administratīvās kapacitātes palielināšanai uzraudzības, kontroles funkciju nodrošināšanai dzīvnieku un augu infekcijas slimību apkarošanas un ES fondu administrēšanas jomā, kā arī Personas datu aizsardzības regulas daļējai prasību izpildei, datu drošības, pieejamības un leģitimitātes nodrošināšanai, un IKT sistēmu integrācijai un attīstībai.</w:t>
            </w:r>
          </w:p>
        </w:tc>
        <w:tc>
          <w:tcPr>
            <w:tcW w:w="979" w:type="dxa"/>
            <w:noWrap/>
            <w:vAlign w:val="center"/>
          </w:tcPr>
          <w:p w14:paraId="0A3E24A0" w14:textId="74E8B28B" w:rsidR="006A3C92" w:rsidRPr="00FB4E9D" w:rsidRDefault="0003112C"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D.1</w:t>
            </w:r>
          </w:p>
        </w:tc>
        <w:tc>
          <w:tcPr>
            <w:tcW w:w="1572" w:type="dxa"/>
            <w:vAlign w:val="center"/>
          </w:tcPr>
          <w:p w14:paraId="0D0FD130" w14:textId="1933B59B"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32D8E7B8" w14:textId="28043F03"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63E4A0C" w14:textId="3D8C6372"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5EAB7DC8" w14:textId="4DCFEFC5"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7405502C" w14:textId="3D2E2CDC"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7F39D6D0" w14:textId="77777777" w:rsidTr="00FB4E9D">
        <w:trPr>
          <w:trHeight w:val="70"/>
        </w:trPr>
        <w:tc>
          <w:tcPr>
            <w:cnfStyle w:val="001000000000" w:firstRow="0" w:lastRow="0" w:firstColumn="1" w:lastColumn="0" w:oddVBand="0" w:evenVBand="0" w:oddHBand="0" w:evenHBand="0" w:firstRowFirstColumn="0" w:firstRowLastColumn="0" w:lastRowFirstColumn="0" w:lastRowLastColumn="0"/>
            <w:tcW w:w="7650" w:type="dxa"/>
          </w:tcPr>
          <w:p w14:paraId="488F92FB" w14:textId="20F6AA3E" w:rsidR="006A3C92" w:rsidRPr="00A74DD4" w:rsidRDefault="006A3C92" w:rsidP="006A3C92">
            <w:pPr>
              <w:spacing w:after="0"/>
              <w:ind w:firstLine="0"/>
              <w:rPr>
                <w:b w:val="0"/>
                <w:sz w:val="20"/>
                <w:lang w:eastAsia="lv-LV"/>
              </w:rPr>
            </w:pPr>
            <w:r w:rsidRPr="00A74DD4">
              <w:rPr>
                <w:b w:val="0"/>
                <w:color w:val="000000"/>
                <w:sz w:val="20"/>
                <w:lang w:eastAsia="lv-LV"/>
              </w:rPr>
              <w:t>Dzelzceļa publiskā infrastruktūra</w:t>
            </w:r>
          </w:p>
        </w:tc>
        <w:tc>
          <w:tcPr>
            <w:tcW w:w="979" w:type="dxa"/>
            <w:noWrap/>
            <w:vAlign w:val="center"/>
          </w:tcPr>
          <w:p w14:paraId="5F00DB51" w14:textId="62047378" w:rsidR="006A3C92" w:rsidRPr="00FB4E9D" w:rsidRDefault="0003112C"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D.3</w:t>
            </w:r>
          </w:p>
        </w:tc>
        <w:tc>
          <w:tcPr>
            <w:tcW w:w="1572" w:type="dxa"/>
            <w:vAlign w:val="center"/>
          </w:tcPr>
          <w:p w14:paraId="3EEA9A0D" w14:textId="6FCAC051"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4924C694" w14:textId="45F22BA8"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2E2FE26" w14:textId="2F7BDB06"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793CBE3C" w14:textId="3D8E4C9F"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1" w:type="dxa"/>
            <w:noWrap/>
            <w:vAlign w:val="center"/>
          </w:tcPr>
          <w:p w14:paraId="2A5AFA1C" w14:textId="171E48A1"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4CBA2ECA" w14:textId="77777777" w:rsidTr="00FB4E9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650" w:type="dxa"/>
          </w:tcPr>
          <w:p w14:paraId="430707CE" w14:textId="31EDCF10" w:rsidR="006A3C92" w:rsidRPr="00A74DD4" w:rsidRDefault="006A3C92" w:rsidP="006A3C92">
            <w:pPr>
              <w:spacing w:after="0"/>
              <w:ind w:firstLine="0"/>
              <w:rPr>
                <w:b w:val="0"/>
                <w:sz w:val="20"/>
                <w:lang w:eastAsia="lv-LV"/>
              </w:rPr>
            </w:pPr>
            <w:r w:rsidRPr="00A74DD4">
              <w:rPr>
                <w:b w:val="0"/>
                <w:color w:val="000000"/>
                <w:sz w:val="20"/>
                <w:lang w:eastAsia="lv-LV"/>
              </w:rPr>
              <w:t>Ģimenes valsts pabalsta apmēra palielināšana</w:t>
            </w:r>
          </w:p>
        </w:tc>
        <w:tc>
          <w:tcPr>
            <w:tcW w:w="979" w:type="dxa"/>
            <w:noWrap/>
            <w:vAlign w:val="center"/>
          </w:tcPr>
          <w:p w14:paraId="02EAFFCC" w14:textId="3AB08E71" w:rsidR="006A3C92" w:rsidRPr="00FB4E9D" w:rsidRDefault="0003112C"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D.3</w:t>
            </w:r>
          </w:p>
        </w:tc>
        <w:tc>
          <w:tcPr>
            <w:tcW w:w="1572" w:type="dxa"/>
            <w:vAlign w:val="center"/>
          </w:tcPr>
          <w:p w14:paraId="0C63E67E" w14:textId="5040C86E"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F8E17C9" w14:textId="7681B680"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39336AB4" w14:textId="7FD50C4B"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0,10</w:t>
            </w:r>
          </w:p>
        </w:tc>
        <w:tc>
          <w:tcPr>
            <w:tcW w:w="850" w:type="dxa"/>
            <w:noWrap/>
            <w:vAlign w:val="center"/>
          </w:tcPr>
          <w:p w14:paraId="04914D4B" w14:textId="2B45A836"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1" w:type="dxa"/>
            <w:noWrap/>
            <w:vAlign w:val="center"/>
          </w:tcPr>
          <w:p w14:paraId="554ED7D0" w14:textId="2A52E8F9"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2305E0EE" w14:textId="77777777" w:rsidTr="00FB4E9D">
        <w:trPr>
          <w:trHeight w:val="297"/>
        </w:trPr>
        <w:tc>
          <w:tcPr>
            <w:cnfStyle w:val="001000000000" w:firstRow="0" w:lastRow="0" w:firstColumn="1" w:lastColumn="0" w:oddVBand="0" w:evenVBand="0" w:oddHBand="0" w:evenHBand="0" w:firstRowFirstColumn="0" w:firstRowLastColumn="0" w:lastRowFirstColumn="0" w:lastRowLastColumn="0"/>
            <w:tcW w:w="7650" w:type="dxa"/>
          </w:tcPr>
          <w:p w14:paraId="7FB1A472" w14:textId="0B2D57AE" w:rsidR="006A3C92" w:rsidRPr="00A74DD4" w:rsidRDefault="006A3C92" w:rsidP="006A3C92">
            <w:pPr>
              <w:spacing w:after="0"/>
              <w:ind w:firstLine="0"/>
              <w:rPr>
                <w:b w:val="0"/>
                <w:sz w:val="20"/>
                <w:lang w:eastAsia="lv-LV"/>
              </w:rPr>
            </w:pPr>
            <w:r w:rsidRPr="00A74DD4">
              <w:rPr>
                <w:b w:val="0"/>
                <w:color w:val="000000"/>
                <w:sz w:val="20"/>
                <w:lang w:eastAsia="lv-LV"/>
              </w:rPr>
              <w:t>Sociāla rakstura institūcijām kapacitātes stiprināšanai un sociālām programmām bērnu tiesību aizsardzības jomās un ar šiem pasākumiem saistīto IT sistēmu pielāgošanai</w:t>
            </w:r>
          </w:p>
        </w:tc>
        <w:tc>
          <w:tcPr>
            <w:tcW w:w="979" w:type="dxa"/>
            <w:noWrap/>
            <w:vAlign w:val="center"/>
          </w:tcPr>
          <w:p w14:paraId="324A924D" w14:textId="75A345EB" w:rsidR="006A3C92" w:rsidRPr="00FB4E9D" w:rsidRDefault="009F138E"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D.1, P.2</w:t>
            </w:r>
          </w:p>
        </w:tc>
        <w:tc>
          <w:tcPr>
            <w:tcW w:w="1572" w:type="dxa"/>
            <w:vAlign w:val="center"/>
          </w:tcPr>
          <w:p w14:paraId="71DB54B5" w14:textId="6055F81B"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064DA190" w14:textId="694350F9"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6B3BC3E3" w14:textId="49C06BA1"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6ED6CC9B" w14:textId="75EDCACA"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41743AF0" w14:textId="3E899647"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2A003977" w14:textId="77777777" w:rsidTr="00FB4E9D">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7650" w:type="dxa"/>
          </w:tcPr>
          <w:p w14:paraId="73C9CA1E" w14:textId="658970E5" w:rsidR="006A3C92" w:rsidRPr="00A74DD4" w:rsidRDefault="006A3C92" w:rsidP="006A3C92">
            <w:pPr>
              <w:spacing w:after="0"/>
              <w:ind w:firstLine="0"/>
              <w:rPr>
                <w:b w:val="0"/>
                <w:sz w:val="20"/>
                <w:lang w:eastAsia="lv-LV"/>
              </w:rPr>
            </w:pPr>
            <w:r w:rsidRPr="00A74DD4">
              <w:rPr>
                <w:b w:val="0"/>
                <w:color w:val="000000"/>
                <w:sz w:val="20"/>
                <w:lang w:eastAsia="lv-LV"/>
              </w:rPr>
              <w:t>Alternatīvo ģimenes aprūpes formu attīstība</w:t>
            </w:r>
          </w:p>
        </w:tc>
        <w:tc>
          <w:tcPr>
            <w:tcW w:w="979" w:type="dxa"/>
            <w:noWrap/>
            <w:vAlign w:val="center"/>
          </w:tcPr>
          <w:p w14:paraId="23057220" w14:textId="2DF8897E" w:rsidR="006A3C92" w:rsidRPr="00FB4E9D" w:rsidRDefault="009F138E"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D.3</w:t>
            </w:r>
          </w:p>
        </w:tc>
        <w:tc>
          <w:tcPr>
            <w:tcW w:w="1572" w:type="dxa"/>
            <w:vAlign w:val="center"/>
          </w:tcPr>
          <w:p w14:paraId="22F7FA69" w14:textId="5D1BFCF9"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1E4E5E3F" w14:textId="56863FB1"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3F825108" w14:textId="3F56F50A"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056B77F3" w14:textId="060352E8"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06E5692B" w14:textId="489052B1"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7F5068EB" w14:textId="77777777" w:rsidTr="00FB4E9D">
        <w:trPr>
          <w:trHeight w:val="140"/>
        </w:trPr>
        <w:tc>
          <w:tcPr>
            <w:cnfStyle w:val="001000000000" w:firstRow="0" w:lastRow="0" w:firstColumn="1" w:lastColumn="0" w:oddVBand="0" w:evenVBand="0" w:oddHBand="0" w:evenHBand="0" w:firstRowFirstColumn="0" w:firstRowLastColumn="0" w:lastRowFirstColumn="0" w:lastRowLastColumn="0"/>
            <w:tcW w:w="7650" w:type="dxa"/>
          </w:tcPr>
          <w:p w14:paraId="3B60FEE8" w14:textId="64BCF45B" w:rsidR="006A3C92" w:rsidRPr="00A74DD4" w:rsidRDefault="006A3C92" w:rsidP="006A3C92">
            <w:pPr>
              <w:spacing w:after="0"/>
              <w:ind w:firstLine="0"/>
              <w:jc w:val="right"/>
              <w:rPr>
                <w:b w:val="0"/>
                <w:sz w:val="20"/>
                <w:lang w:eastAsia="lv-LV"/>
              </w:rPr>
            </w:pPr>
            <w:r w:rsidRPr="00A74DD4">
              <w:rPr>
                <w:b w:val="0"/>
                <w:color w:val="000000"/>
                <w:sz w:val="20"/>
                <w:lang w:eastAsia="lv-LV"/>
              </w:rPr>
              <w:t xml:space="preserve">t.sk. </w:t>
            </w:r>
            <w:proofErr w:type="spellStart"/>
            <w:r w:rsidRPr="00A74DD4">
              <w:rPr>
                <w:b w:val="0"/>
                <w:color w:val="000000"/>
                <w:sz w:val="20"/>
                <w:lang w:eastAsia="lv-LV"/>
              </w:rPr>
              <w:t>transferts</w:t>
            </w:r>
            <w:proofErr w:type="spellEnd"/>
            <w:r w:rsidRPr="00A74DD4">
              <w:rPr>
                <w:b w:val="0"/>
                <w:color w:val="000000"/>
                <w:sz w:val="20"/>
                <w:lang w:eastAsia="lv-LV"/>
              </w:rPr>
              <w:t xml:space="preserve"> uz </w:t>
            </w:r>
            <w:proofErr w:type="spellStart"/>
            <w:r w:rsidRPr="00A74DD4">
              <w:rPr>
                <w:b w:val="0"/>
                <w:color w:val="000000"/>
                <w:sz w:val="20"/>
                <w:lang w:eastAsia="lv-LV"/>
              </w:rPr>
              <w:t>Iekšlietu</w:t>
            </w:r>
            <w:proofErr w:type="spellEnd"/>
            <w:r w:rsidRPr="00A74DD4">
              <w:rPr>
                <w:b w:val="0"/>
                <w:color w:val="000000"/>
                <w:sz w:val="20"/>
                <w:lang w:eastAsia="lv-LV"/>
              </w:rPr>
              <w:t xml:space="preserve"> ministriju</w:t>
            </w:r>
          </w:p>
        </w:tc>
        <w:tc>
          <w:tcPr>
            <w:tcW w:w="979" w:type="dxa"/>
            <w:noWrap/>
            <w:vAlign w:val="center"/>
          </w:tcPr>
          <w:p w14:paraId="45D9229A" w14:textId="77777777" w:rsidR="006A3C92" w:rsidRPr="00FB4E9D" w:rsidRDefault="006A3C92"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572" w:type="dxa"/>
            <w:vAlign w:val="center"/>
          </w:tcPr>
          <w:p w14:paraId="36114636" w14:textId="15C4BC25"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4FBF5E68" w14:textId="77463DF7"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B959EFC" w14:textId="63C123EB"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36011645" w14:textId="038BE37D"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62C01E1F" w14:textId="28A2E237"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359F5F95" w14:textId="77777777" w:rsidTr="00FB4E9D">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7650" w:type="dxa"/>
          </w:tcPr>
          <w:p w14:paraId="6418CEF4" w14:textId="3FF727DE" w:rsidR="006A3C92" w:rsidRPr="00A74DD4" w:rsidRDefault="006A3C92" w:rsidP="006A3C92">
            <w:pPr>
              <w:spacing w:after="0"/>
              <w:ind w:firstLine="0"/>
              <w:jc w:val="right"/>
              <w:rPr>
                <w:b w:val="0"/>
                <w:sz w:val="20"/>
                <w:lang w:eastAsia="lv-LV"/>
              </w:rPr>
            </w:pPr>
            <w:r w:rsidRPr="00A74DD4">
              <w:rPr>
                <w:b w:val="0"/>
                <w:color w:val="000000"/>
                <w:sz w:val="20"/>
                <w:lang w:eastAsia="lv-LV"/>
              </w:rPr>
              <w:t xml:space="preserve">t.sk. </w:t>
            </w:r>
            <w:proofErr w:type="spellStart"/>
            <w:r w:rsidRPr="00A74DD4">
              <w:rPr>
                <w:b w:val="0"/>
                <w:color w:val="000000"/>
                <w:sz w:val="20"/>
                <w:lang w:eastAsia="lv-LV"/>
              </w:rPr>
              <w:t>transferts</w:t>
            </w:r>
            <w:proofErr w:type="spellEnd"/>
            <w:r w:rsidRPr="00A74DD4">
              <w:rPr>
                <w:b w:val="0"/>
                <w:color w:val="000000"/>
                <w:sz w:val="20"/>
                <w:lang w:eastAsia="lv-LV"/>
              </w:rPr>
              <w:t xml:space="preserve"> uz valsts speciālo budžetu </w:t>
            </w:r>
          </w:p>
        </w:tc>
        <w:tc>
          <w:tcPr>
            <w:tcW w:w="979" w:type="dxa"/>
            <w:noWrap/>
            <w:vAlign w:val="center"/>
          </w:tcPr>
          <w:p w14:paraId="6E46FEDC" w14:textId="77777777" w:rsidR="006A3C92" w:rsidRPr="00FB4E9D" w:rsidRDefault="006A3C92"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572" w:type="dxa"/>
            <w:vAlign w:val="center"/>
          </w:tcPr>
          <w:p w14:paraId="34AC1E21" w14:textId="37728932"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4A0CBA85" w14:textId="5CC436AC"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655C54AF" w14:textId="0BCD2D7A"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2229ABA5" w14:textId="59565E76"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33AAAC43" w14:textId="6172B719"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5CD559EB" w14:textId="77777777" w:rsidTr="00FB4E9D">
        <w:trPr>
          <w:trHeight w:val="151"/>
        </w:trPr>
        <w:tc>
          <w:tcPr>
            <w:cnfStyle w:val="001000000000" w:firstRow="0" w:lastRow="0" w:firstColumn="1" w:lastColumn="0" w:oddVBand="0" w:evenVBand="0" w:oddHBand="0" w:evenHBand="0" w:firstRowFirstColumn="0" w:firstRowLastColumn="0" w:lastRowFirstColumn="0" w:lastRowLastColumn="0"/>
            <w:tcW w:w="7650" w:type="dxa"/>
          </w:tcPr>
          <w:p w14:paraId="30871169" w14:textId="07C13D34" w:rsidR="006A3C92" w:rsidRPr="00A74DD4" w:rsidRDefault="006A3C92" w:rsidP="006A3C92">
            <w:pPr>
              <w:spacing w:after="0"/>
              <w:ind w:firstLine="0"/>
              <w:rPr>
                <w:b w:val="0"/>
                <w:sz w:val="20"/>
                <w:lang w:eastAsia="lv-LV"/>
              </w:rPr>
            </w:pPr>
            <w:r w:rsidRPr="00A74DD4">
              <w:rPr>
                <w:b w:val="0"/>
                <w:color w:val="000000"/>
                <w:sz w:val="20"/>
                <w:lang w:eastAsia="lv-LV"/>
              </w:rPr>
              <w:t>Tiesnešu atalgojuma palielinājums</w:t>
            </w:r>
          </w:p>
        </w:tc>
        <w:tc>
          <w:tcPr>
            <w:tcW w:w="979" w:type="dxa"/>
            <w:noWrap/>
            <w:vAlign w:val="center"/>
          </w:tcPr>
          <w:p w14:paraId="3146A680" w14:textId="2B118B34" w:rsidR="006A3C92" w:rsidRPr="00FB4E9D" w:rsidRDefault="007B72E9"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B4E9D">
              <w:rPr>
                <w:color w:val="auto"/>
                <w:sz w:val="20"/>
                <w:lang w:eastAsia="lv-LV"/>
              </w:rPr>
              <w:t>D.1</w:t>
            </w:r>
          </w:p>
        </w:tc>
        <w:tc>
          <w:tcPr>
            <w:tcW w:w="1572" w:type="dxa"/>
            <w:vAlign w:val="center"/>
          </w:tcPr>
          <w:p w14:paraId="7E6E3C69" w14:textId="40060E05"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6108606" w14:textId="6E724DC2"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2F27404" w14:textId="08E718F2"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4A597D24" w14:textId="24B4ADBE"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6622B70D" w14:textId="427A23D8"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r>
      <w:tr w:rsidR="006A3C92" w:rsidRPr="00EE09CC" w14:paraId="2D396B9B" w14:textId="77777777" w:rsidTr="00FB4E9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650" w:type="dxa"/>
          </w:tcPr>
          <w:p w14:paraId="3F7D0913" w14:textId="1B55A74B" w:rsidR="006A3C92" w:rsidRPr="00A74DD4" w:rsidRDefault="006A3C92" w:rsidP="006A3C92">
            <w:pPr>
              <w:spacing w:after="0"/>
              <w:ind w:firstLine="0"/>
              <w:rPr>
                <w:b w:val="0"/>
                <w:sz w:val="20"/>
                <w:lang w:eastAsia="lv-LV"/>
              </w:rPr>
            </w:pPr>
            <w:r w:rsidRPr="00A74DD4">
              <w:rPr>
                <w:b w:val="0"/>
                <w:color w:val="000000"/>
                <w:sz w:val="20"/>
                <w:lang w:eastAsia="lv-LV"/>
              </w:rPr>
              <w:t>Vides uzraudzības stiprināšana (t. sk. algas inspektoriem)</w:t>
            </w:r>
          </w:p>
        </w:tc>
        <w:tc>
          <w:tcPr>
            <w:tcW w:w="979" w:type="dxa"/>
            <w:noWrap/>
            <w:vAlign w:val="center"/>
          </w:tcPr>
          <w:p w14:paraId="247041D1" w14:textId="187C9D04" w:rsidR="006A3C92" w:rsidRPr="00FB4E9D" w:rsidRDefault="007B72E9"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B4E9D">
              <w:rPr>
                <w:color w:val="auto"/>
                <w:sz w:val="20"/>
                <w:lang w:eastAsia="lv-LV"/>
              </w:rPr>
              <w:t>D.1</w:t>
            </w:r>
          </w:p>
        </w:tc>
        <w:tc>
          <w:tcPr>
            <w:tcW w:w="1572" w:type="dxa"/>
            <w:vAlign w:val="center"/>
          </w:tcPr>
          <w:p w14:paraId="0199BFC7" w14:textId="43549AE7"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025EE866" w14:textId="321DED2F"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0E063FE4" w14:textId="62BDFCCB"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20CDBA99" w14:textId="2D97E418"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0F7C4395" w14:textId="37163939"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168506E9" w14:textId="77777777" w:rsidTr="00FB4E9D">
        <w:trPr>
          <w:trHeight w:val="297"/>
        </w:trPr>
        <w:tc>
          <w:tcPr>
            <w:cnfStyle w:val="001000000000" w:firstRow="0" w:lastRow="0" w:firstColumn="1" w:lastColumn="0" w:oddVBand="0" w:evenVBand="0" w:oddHBand="0" w:evenHBand="0" w:firstRowFirstColumn="0" w:firstRowLastColumn="0" w:lastRowFirstColumn="0" w:lastRowLastColumn="0"/>
            <w:tcW w:w="7650" w:type="dxa"/>
          </w:tcPr>
          <w:p w14:paraId="4EB4C60D" w14:textId="3FFFB2F3" w:rsidR="006A3C92" w:rsidRPr="00A74DD4" w:rsidRDefault="006A3C92" w:rsidP="006A3C92">
            <w:pPr>
              <w:spacing w:after="0"/>
              <w:ind w:firstLine="0"/>
              <w:rPr>
                <w:b w:val="0"/>
                <w:sz w:val="20"/>
                <w:lang w:eastAsia="lv-LV"/>
              </w:rPr>
            </w:pPr>
            <w:r w:rsidRPr="00A74DD4">
              <w:rPr>
                <w:b w:val="0"/>
                <w:color w:val="000000"/>
                <w:sz w:val="20"/>
                <w:lang w:eastAsia="lv-LV"/>
              </w:rPr>
              <w:t xml:space="preserve">Sakrālā mantojuma saglabāšanas mērķprogramma -Rīgas </w:t>
            </w:r>
            <w:proofErr w:type="spellStart"/>
            <w:r w:rsidRPr="00A74DD4">
              <w:rPr>
                <w:b w:val="0"/>
                <w:color w:val="000000"/>
                <w:sz w:val="20"/>
                <w:lang w:eastAsia="lv-LV"/>
              </w:rPr>
              <w:t>Sv.Jēkaba</w:t>
            </w:r>
            <w:proofErr w:type="spellEnd"/>
            <w:r w:rsidRPr="00A74DD4">
              <w:rPr>
                <w:b w:val="0"/>
                <w:color w:val="000000"/>
                <w:sz w:val="20"/>
                <w:lang w:eastAsia="lv-LV"/>
              </w:rPr>
              <w:t xml:space="preserve"> Romas katoļu baznīcas katedrāle, Rīgas Doma baznīca, Aglonas Romas katoļu bazilika, Lestenes baznīca</w:t>
            </w:r>
          </w:p>
        </w:tc>
        <w:tc>
          <w:tcPr>
            <w:tcW w:w="979" w:type="dxa"/>
            <w:noWrap/>
            <w:vAlign w:val="center"/>
          </w:tcPr>
          <w:p w14:paraId="1C5869F7" w14:textId="217374A4" w:rsidR="006A3C92" w:rsidRPr="00FB4E9D" w:rsidRDefault="009F138E"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D.3</w:t>
            </w:r>
          </w:p>
        </w:tc>
        <w:tc>
          <w:tcPr>
            <w:tcW w:w="1572" w:type="dxa"/>
            <w:vAlign w:val="center"/>
          </w:tcPr>
          <w:p w14:paraId="06E5D923" w14:textId="1FC75587"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3AC7D43B" w14:textId="4120F885"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1F259DF9" w14:textId="6A9E04A4"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012A1853" w14:textId="4B24E59D"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1" w:type="dxa"/>
            <w:noWrap/>
            <w:vAlign w:val="center"/>
          </w:tcPr>
          <w:p w14:paraId="46F3EAD7" w14:textId="6189904D"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2A1483E5" w14:textId="77777777" w:rsidTr="00FB4E9D">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7650" w:type="dxa"/>
          </w:tcPr>
          <w:p w14:paraId="266152F2" w14:textId="4F80F1CA" w:rsidR="006A3C92" w:rsidRPr="00A74DD4" w:rsidRDefault="006A3C92" w:rsidP="006A3C92">
            <w:pPr>
              <w:spacing w:after="0"/>
              <w:ind w:firstLine="0"/>
              <w:rPr>
                <w:b w:val="0"/>
                <w:sz w:val="20"/>
                <w:lang w:eastAsia="lv-LV"/>
              </w:rPr>
            </w:pPr>
            <w:r w:rsidRPr="00A74DD4">
              <w:rPr>
                <w:b w:val="0"/>
                <w:color w:val="000000"/>
                <w:sz w:val="20"/>
                <w:lang w:eastAsia="lv-LV"/>
              </w:rPr>
              <w:t>Prokuroru atalgojuma palielinājums</w:t>
            </w:r>
          </w:p>
        </w:tc>
        <w:tc>
          <w:tcPr>
            <w:tcW w:w="979" w:type="dxa"/>
            <w:noWrap/>
            <w:vAlign w:val="center"/>
          </w:tcPr>
          <w:p w14:paraId="6FB8AEFD" w14:textId="2DB64D1A" w:rsidR="006A3C92" w:rsidRPr="00FB4E9D" w:rsidRDefault="007B72E9"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B4E9D">
              <w:rPr>
                <w:color w:val="auto"/>
                <w:sz w:val="20"/>
                <w:lang w:eastAsia="lv-LV"/>
              </w:rPr>
              <w:t>D.1</w:t>
            </w:r>
          </w:p>
        </w:tc>
        <w:tc>
          <w:tcPr>
            <w:tcW w:w="1572" w:type="dxa"/>
            <w:vAlign w:val="center"/>
          </w:tcPr>
          <w:p w14:paraId="1B1E25CF" w14:textId="3D28EC11"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E9D4073" w14:textId="28EAD4FE"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1BE7C35" w14:textId="7571B2C2"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23AFBD9F" w14:textId="25E3C60C"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280A315D" w14:textId="2E3180B8"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r>
      <w:tr w:rsidR="006A3C92" w:rsidRPr="00EE09CC" w14:paraId="0B543CED" w14:textId="77777777" w:rsidTr="00FB4E9D">
        <w:trPr>
          <w:trHeight w:val="230"/>
        </w:trPr>
        <w:tc>
          <w:tcPr>
            <w:cnfStyle w:val="001000000000" w:firstRow="0" w:lastRow="0" w:firstColumn="1" w:lastColumn="0" w:oddVBand="0" w:evenVBand="0" w:oddHBand="0" w:evenHBand="0" w:firstRowFirstColumn="0" w:firstRowLastColumn="0" w:lastRowFirstColumn="0" w:lastRowLastColumn="0"/>
            <w:tcW w:w="7650" w:type="dxa"/>
          </w:tcPr>
          <w:p w14:paraId="26D58EE4" w14:textId="20C8A03C" w:rsidR="006A3C92" w:rsidRPr="00A74DD4" w:rsidRDefault="006A3C92" w:rsidP="006A3C92">
            <w:pPr>
              <w:spacing w:after="0"/>
              <w:ind w:firstLine="0"/>
              <w:rPr>
                <w:b w:val="0"/>
                <w:sz w:val="20"/>
                <w:lang w:eastAsia="lv-LV"/>
              </w:rPr>
            </w:pPr>
            <w:r w:rsidRPr="00A74DD4">
              <w:rPr>
                <w:b w:val="0"/>
                <w:color w:val="000000"/>
                <w:sz w:val="20"/>
                <w:lang w:eastAsia="lv-LV"/>
              </w:rPr>
              <w:t>Veselības finansējuma nodrošināšana</w:t>
            </w:r>
          </w:p>
        </w:tc>
        <w:tc>
          <w:tcPr>
            <w:tcW w:w="979" w:type="dxa"/>
            <w:noWrap/>
            <w:vAlign w:val="center"/>
          </w:tcPr>
          <w:p w14:paraId="0D6CD0C9" w14:textId="55AC684F" w:rsidR="006A3C92" w:rsidRPr="00FB4E9D" w:rsidRDefault="009F138E"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D.3</w:t>
            </w:r>
          </w:p>
        </w:tc>
        <w:tc>
          <w:tcPr>
            <w:tcW w:w="1572" w:type="dxa"/>
            <w:vAlign w:val="center"/>
          </w:tcPr>
          <w:p w14:paraId="22926306" w14:textId="65F521B7"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4ED92E7" w14:textId="53F9E379"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09298AD4" w14:textId="3C23DBD3"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19BF9181" w14:textId="46B50458"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653DB4F6" w14:textId="297483E1"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0,45</w:t>
            </w:r>
          </w:p>
        </w:tc>
      </w:tr>
      <w:tr w:rsidR="006A3C92" w:rsidRPr="00EE09CC" w14:paraId="2C8014DE" w14:textId="77777777" w:rsidTr="00FB4E9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7650" w:type="dxa"/>
          </w:tcPr>
          <w:p w14:paraId="7D1DCA62" w14:textId="4BB7ED12" w:rsidR="006A3C92" w:rsidRPr="00A74DD4" w:rsidRDefault="006A3C92" w:rsidP="006A3C92">
            <w:pPr>
              <w:spacing w:after="0"/>
              <w:ind w:firstLine="0"/>
              <w:rPr>
                <w:b w:val="0"/>
                <w:sz w:val="20"/>
                <w:lang w:eastAsia="lv-LV"/>
              </w:rPr>
            </w:pPr>
            <w:r w:rsidRPr="00A74DD4">
              <w:rPr>
                <w:b w:val="0"/>
                <w:color w:val="000000"/>
                <w:sz w:val="20"/>
                <w:lang w:eastAsia="lv-LV"/>
              </w:rPr>
              <w:t>Valsts sociālās apdrošināšanas aģentūras administratīvās kapacitātes stiprināšana</w:t>
            </w:r>
          </w:p>
        </w:tc>
        <w:tc>
          <w:tcPr>
            <w:tcW w:w="979" w:type="dxa"/>
            <w:noWrap/>
            <w:vAlign w:val="center"/>
          </w:tcPr>
          <w:p w14:paraId="014C7711" w14:textId="0985FA8E" w:rsidR="006A3C92" w:rsidRPr="00FB4E9D" w:rsidRDefault="009F138E" w:rsidP="00FB4E9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D.1</w:t>
            </w:r>
          </w:p>
        </w:tc>
        <w:tc>
          <w:tcPr>
            <w:tcW w:w="1572" w:type="dxa"/>
            <w:vAlign w:val="center"/>
          </w:tcPr>
          <w:p w14:paraId="6D8075DB" w14:textId="081B45A5"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436329D" w14:textId="34987293" w:rsidR="006A3C92" w:rsidRPr="00A74DD4" w:rsidRDefault="006A3C92" w:rsidP="006A3C92">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5E40B788" w14:textId="75F41565"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73CDB80A" w14:textId="2FE5A88C"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361A5D75" w14:textId="187FC938" w:rsidR="006A3C92" w:rsidRPr="00A74DD4" w:rsidRDefault="006A3C92"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6A3C92" w:rsidRPr="00EE09CC" w14:paraId="6250C7F9" w14:textId="77777777" w:rsidTr="00FB4E9D">
        <w:trPr>
          <w:trHeight w:val="182"/>
        </w:trPr>
        <w:tc>
          <w:tcPr>
            <w:cnfStyle w:val="001000000000" w:firstRow="0" w:lastRow="0" w:firstColumn="1" w:lastColumn="0" w:oddVBand="0" w:evenVBand="0" w:oddHBand="0" w:evenHBand="0" w:firstRowFirstColumn="0" w:firstRowLastColumn="0" w:lastRowFirstColumn="0" w:lastRowLastColumn="0"/>
            <w:tcW w:w="7650" w:type="dxa"/>
          </w:tcPr>
          <w:p w14:paraId="312B1D15" w14:textId="6A0EAC1F" w:rsidR="006A3C92" w:rsidRPr="00A74DD4" w:rsidRDefault="006A3C92" w:rsidP="006A3C92">
            <w:pPr>
              <w:spacing w:after="0"/>
              <w:ind w:firstLine="0"/>
              <w:rPr>
                <w:b w:val="0"/>
                <w:sz w:val="20"/>
                <w:lang w:eastAsia="lv-LV"/>
              </w:rPr>
            </w:pPr>
            <w:r w:rsidRPr="00A74DD4">
              <w:rPr>
                <w:b w:val="0"/>
                <w:color w:val="000000"/>
                <w:sz w:val="20"/>
                <w:lang w:eastAsia="lv-LV"/>
              </w:rPr>
              <w:t>Pārējie pasākumi kopā</w:t>
            </w:r>
          </w:p>
        </w:tc>
        <w:tc>
          <w:tcPr>
            <w:tcW w:w="979" w:type="dxa"/>
            <w:noWrap/>
            <w:vAlign w:val="center"/>
          </w:tcPr>
          <w:p w14:paraId="5F0C6FBE" w14:textId="77777777" w:rsidR="006A3C92" w:rsidRPr="00FB4E9D" w:rsidRDefault="006A3C92" w:rsidP="00FB4E9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572" w:type="dxa"/>
            <w:vAlign w:val="center"/>
          </w:tcPr>
          <w:p w14:paraId="7B27BCCA" w14:textId="194B8E74"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3E827962" w14:textId="57702E2B" w:rsidR="006A3C92" w:rsidRPr="00A74DD4" w:rsidRDefault="006A3C92" w:rsidP="006A3C92">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E7782F0" w14:textId="79573252"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0,13</w:t>
            </w:r>
          </w:p>
        </w:tc>
        <w:tc>
          <w:tcPr>
            <w:tcW w:w="850" w:type="dxa"/>
            <w:noWrap/>
            <w:vAlign w:val="center"/>
          </w:tcPr>
          <w:p w14:paraId="39E6FEF7" w14:textId="213270D9"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-0,04</w:t>
            </w:r>
          </w:p>
        </w:tc>
        <w:tc>
          <w:tcPr>
            <w:tcW w:w="851" w:type="dxa"/>
            <w:noWrap/>
            <w:vAlign w:val="center"/>
          </w:tcPr>
          <w:p w14:paraId="6DD01209" w14:textId="271FEE74" w:rsidR="006A3C92" w:rsidRPr="00A74DD4" w:rsidRDefault="006A3C92" w:rsidP="006A3C92">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r>
      <w:tr w:rsidR="00A74DD4" w:rsidRPr="00EE09CC" w14:paraId="0F3B2368" w14:textId="77777777" w:rsidTr="006F092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14:paraId="3AB22452" w14:textId="642F49A9" w:rsidR="00A74DD4" w:rsidRPr="00A74DD4" w:rsidRDefault="00A74DD4" w:rsidP="006F092D">
            <w:pPr>
              <w:spacing w:after="0"/>
              <w:ind w:firstLine="0"/>
              <w:jc w:val="right"/>
              <w:rPr>
                <w:sz w:val="20"/>
                <w:lang w:eastAsia="lv-LV"/>
              </w:rPr>
            </w:pPr>
            <w:r w:rsidRPr="00A74DD4">
              <w:rPr>
                <w:color w:val="000000"/>
                <w:sz w:val="20"/>
                <w:lang w:eastAsia="lv-LV"/>
              </w:rPr>
              <w:t>Kopā</w:t>
            </w:r>
          </w:p>
        </w:tc>
        <w:tc>
          <w:tcPr>
            <w:tcW w:w="851" w:type="dxa"/>
            <w:noWrap/>
            <w:vAlign w:val="center"/>
          </w:tcPr>
          <w:p w14:paraId="5F28238C" w14:textId="31913680" w:rsidR="00A74DD4" w:rsidRPr="00A74DD4" w:rsidRDefault="00A74DD4"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b/>
                <w:bCs/>
                <w:color w:val="000000"/>
                <w:sz w:val="20"/>
                <w:lang w:eastAsia="lv-LV"/>
              </w:rPr>
              <w:t>0,</w:t>
            </w:r>
            <w:r>
              <w:rPr>
                <w:b/>
                <w:bCs/>
                <w:color w:val="000000"/>
                <w:sz w:val="20"/>
                <w:lang w:eastAsia="lv-LV"/>
              </w:rPr>
              <w:t>30</w:t>
            </w:r>
          </w:p>
        </w:tc>
        <w:tc>
          <w:tcPr>
            <w:tcW w:w="850" w:type="dxa"/>
            <w:noWrap/>
            <w:vAlign w:val="center"/>
          </w:tcPr>
          <w:p w14:paraId="21E88FD2" w14:textId="01D51455" w:rsidR="00A74DD4" w:rsidRPr="00A74DD4" w:rsidRDefault="00A74DD4"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b/>
                <w:bCs/>
                <w:color w:val="000000"/>
                <w:sz w:val="20"/>
                <w:lang w:eastAsia="lv-LV"/>
              </w:rPr>
              <w:t>0,</w:t>
            </w:r>
            <w:r>
              <w:rPr>
                <w:b/>
                <w:bCs/>
                <w:color w:val="000000"/>
                <w:sz w:val="20"/>
                <w:lang w:eastAsia="lv-LV"/>
              </w:rPr>
              <w:t>14</w:t>
            </w:r>
          </w:p>
        </w:tc>
        <w:tc>
          <w:tcPr>
            <w:tcW w:w="851" w:type="dxa"/>
            <w:noWrap/>
            <w:vAlign w:val="center"/>
          </w:tcPr>
          <w:p w14:paraId="71E23C95" w14:textId="6ABAD6F3" w:rsidR="00A74DD4" w:rsidRPr="00A74DD4" w:rsidRDefault="00A74DD4" w:rsidP="006A3C92">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b/>
                <w:bCs/>
                <w:color w:val="000000"/>
                <w:sz w:val="20"/>
                <w:lang w:eastAsia="lv-LV"/>
              </w:rPr>
              <w:t>1,</w:t>
            </w:r>
            <w:r>
              <w:rPr>
                <w:b/>
                <w:bCs/>
                <w:color w:val="000000"/>
                <w:sz w:val="20"/>
                <w:lang w:eastAsia="lv-LV"/>
              </w:rPr>
              <w:t>23</w:t>
            </w:r>
          </w:p>
        </w:tc>
      </w:tr>
    </w:tbl>
    <w:p w14:paraId="06591FCD" w14:textId="1275124E" w:rsidR="00237652" w:rsidRDefault="00D243AB" w:rsidP="002A44D1">
      <w:pPr>
        <w:pStyle w:val="Heading1"/>
        <w:tabs>
          <w:tab w:val="left" w:pos="1276"/>
        </w:tabs>
        <w:spacing w:before="0" w:after="240"/>
        <w:ind w:left="1276" w:hanging="1276"/>
        <w:jc w:val="left"/>
        <w:rPr>
          <w:rFonts w:ascii="Times New Roman" w:hAnsi="Times New Roman"/>
          <w:color w:val="18185F"/>
          <w:sz w:val="24"/>
          <w:lang w:val="lv-LV"/>
        </w:rPr>
      </w:pPr>
      <w:bookmarkStart w:id="23" w:name="_Toc494786355"/>
      <w:r w:rsidRPr="00DC2914">
        <w:rPr>
          <w:rFonts w:ascii="Times New Roman" w:hAnsi="Times New Roman"/>
          <w:color w:val="18185F"/>
          <w:sz w:val="24"/>
        </w:rPr>
        <w:lastRenderedPageBreak/>
        <w:t>5.b</w:t>
      </w:r>
      <w:r w:rsidR="00C3203D">
        <w:rPr>
          <w:rFonts w:ascii="Times New Roman" w:hAnsi="Times New Roman"/>
          <w:color w:val="18185F"/>
          <w:sz w:val="24"/>
          <w:lang w:val="lv-LV"/>
        </w:rPr>
        <w:t>.i)</w:t>
      </w:r>
      <w:r w:rsidRPr="00DC2914">
        <w:rPr>
          <w:rFonts w:ascii="Times New Roman" w:hAnsi="Times New Roman"/>
          <w:color w:val="18185F"/>
          <w:sz w:val="24"/>
        </w:rPr>
        <w:t>:</w:t>
      </w:r>
      <w:r w:rsidR="00237652" w:rsidRPr="00DC2914">
        <w:rPr>
          <w:rFonts w:ascii="Times New Roman" w:hAnsi="Times New Roman"/>
          <w:color w:val="18185F"/>
          <w:sz w:val="24"/>
        </w:rPr>
        <w:t xml:space="preserve">  </w:t>
      </w:r>
      <w:proofErr w:type="spellStart"/>
      <w:r w:rsidR="00237652" w:rsidRPr="00DC2914">
        <w:rPr>
          <w:rFonts w:ascii="Times New Roman" w:hAnsi="Times New Roman"/>
          <w:color w:val="18185F"/>
          <w:sz w:val="24"/>
        </w:rPr>
        <w:t>Diskrecionārie</w:t>
      </w:r>
      <w:proofErr w:type="spellEnd"/>
      <w:r w:rsidR="00CA695A" w:rsidRPr="00DC2914">
        <w:rPr>
          <w:rFonts w:ascii="Times New Roman" w:hAnsi="Times New Roman"/>
          <w:color w:val="18185F"/>
          <w:sz w:val="24"/>
          <w:lang w:val="lv-LV"/>
        </w:rPr>
        <w:t xml:space="preserve"> ieņēmumu</w:t>
      </w:r>
      <w:r w:rsidR="00237652" w:rsidRPr="00DC2914">
        <w:rPr>
          <w:rFonts w:ascii="Times New Roman" w:hAnsi="Times New Roman"/>
          <w:color w:val="18185F"/>
          <w:sz w:val="24"/>
        </w:rPr>
        <w:t xml:space="preserve"> pasākumi </w:t>
      </w:r>
      <w:r w:rsidR="00CA695A" w:rsidRPr="00DC2914">
        <w:rPr>
          <w:rFonts w:ascii="Times New Roman" w:hAnsi="Times New Roman"/>
          <w:color w:val="18185F"/>
          <w:sz w:val="24"/>
          <w:lang w:val="lv-LV"/>
        </w:rPr>
        <w:t>centrālās valdības budžetā</w:t>
      </w:r>
      <w:bookmarkEnd w:id="23"/>
    </w:p>
    <w:tbl>
      <w:tblPr>
        <w:tblStyle w:val="GridTable6Colorful-Accent11"/>
        <w:tblW w:w="14879" w:type="dxa"/>
        <w:tblLayout w:type="fixed"/>
        <w:tblLook w:val="04A0" w:firstRow="1" w:lastRow="0" w:firstColumn="1" w:lastColumn="0" w:noHBand="0" w:noVBand="1"/>
      </w:tblPr>
      <w:tblGrid>
        <w:gridCol w:w="4137"/>
        <w:gridCol w:w="3736"/>
        <w:gridCol w:w="1127"/>
        <w:gridCol w:w="776"/>
        <w:gridCol w:w="1134"/>
        <w:gridCol w:w="1843"/>
        <w:gridCol w:w="709"/>
        <w:gridCol w:w="708"/>
        <w:gridCol w:w="709"/>
      </w:tblGrid>
      <w:tr w:rsidR="00481D64" w:rsidRPr="00481D64" w14:paraId="017815DC" w14:textId="77777777" w:rsidTr="00C926D2">
        <w:trPr>
          <w:cnfStyle w:val="100000000000" w:firstRow="1" w:lastRow="0" w:firstColumn="0" w:lastColumn="0" w:oddVBand="0" w:evenVBand="0" w:oddHBand="0"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4137" w:type="dxa"/>
            <w:vMerge w:val="restart"/>
            <w:vAlign w:val="center"/>
            <w:hideMark/>
          </w:tcPr>
          <w:p w14:paraId="494270AD" w14:textId="77777777" w:rsidR="00AF0B21" w:rsidRPr="00AF0B21" w:rsidRDefault="00AF0B21" w:rsidP="00481D64">
            <w:pPr>
              <w:spacing w:after="0"/>
              <w:ind w:firstLine="0"/>
              <w:jc w:val="center"/>
              <w:rPr>
                <w:color w:val="auto"/>
                <w:sz w:val="20"/>
                <w:lang w:eastAsia="lv-LV"/>
              </w:rPr>
            </w:pPr>
            <w:r w:rsidRPr="00AF0B21">
              <w:rPr>
                <w:color w:val="auto"/>
                <w:sz w:val="20"/>
                <w:lang w:eastAsia="lv-LV"/>
              </w:rPr>
              <w:t>Pasākumu saraksts</w:t>
            </w:r>
          </w:p>
        </w:tc>
        <w:tc>
          <w:tcPr>
            <w:tcW w:w="3736" w:type="dxa"/>
            <w:vMerge w:val="restart"/>
            <w:vAlign w:val="center"/>
            <w:hideMark/>
          </w:tcPr>
          <w:p w14:paraId="14E9720B" w14:textId="77777777" w:rsidR="00AF0B21" w:rsidRPr="00AF0B21" w:rsidRDefault="00AF0B21" w:rsidP="00481D6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Detalizēts apraksts*</w:t>
            </w:r>
          </w:p>
        </w:tc>
        <w:tc>
          <w:tcPr>
            <w:tcW w:w="1127" w:type="dxa"/>
            <w:vMerge w:val="restart"/>
            <w:vAlign w:val="center"/>
            <w:hideMark/>
          </w:tcPr>
          <w:p w14:paraId="5AC8D7A0" w14:textId="77777777" w:rsidR="00AF0B21" w:rsidRPr="00AF0B21" w:rsidRDefault="00AF0B21" w:rsidP="00481D6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Nodokļu veids</w:t>
            </w:r>
          </w:p>
        </w:tc>
        <w:tc>
          <w:tcPr>
            <w:tcW w:w="776" w:type="dxa"/>
            <w:vMerge w:val="restart"/>
            <w:vAlign w:val="center"/>
            <w:hideMark/>
          </w:tcPr>
          <w:p w14:paraId="660507D7" w14:textId="77777777" w:rsidR="00AF0B21" w:rsidRPr="00AF0B21" w:rsidRDefault="00AF0B21" w:rsidP="00481D6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ESA kods</w:t>
            </w:r>
          </w:p>
        </w:tc>
        <w:tc>
          <w:tcPr>
            <w:tcW w:w="1134" w:type="dxa"/>
            <w:vMerge w:val="restart"/>
            <w:vAlign w:val="center"/>
            <w:hideMark/>
          </w:tcPr>
          <w:p w14:paraId="6A0AA077" w14:textId="77777777" w:rsidR="00AF0B21" w:rsidRPr="00AF0B21" w:rsidRDefault="00AF0B21" w:rsidP="00481D6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Uzskaites princips</w:t>
            </w:r>
          </w:p>
        </w:tc>
        <w:tc>
          <w:tcPr>
            <w:tcW w:w="1843" w:type="dxa"/>
            <w:vMerge w:val="restart"/>
            <w:vAlign w:val="center"/>
            <w:hideMark/>
          </w:tcPr>
          <w:p w14:paraId="34BADB82" w14:textId="77777777" w:rsidR="00AF0B21" w:rsidRPr="00AF0B21" w:rsidRDefault="00AF0B21" w:rsidP="00481D6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Pieņemšanas statuss</w:t>
            </w:r>
          </w:p>
        </w:tc>
        <w:tc>
          <w:tcPr>
            <w:tcW w:w="2126" w:type="dxa"/>
            <w:gridSpan w:val="3"/>
            <w:noWrap/>
            <w:vAlign w:val="center"/>
            <w:hideMark/>
          </w:tcPr>
          <w:p w14:paraId="7F83E1BD" w14:textId="77777777" w:rsidR="00AF0B21" w:rsidRPr="00AF0B21" w:rsidRDefault="00AF0B21" w:rsidP="00481D6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Ietekme uz budžetu</w:t>
            </w:r>
          </w:p>
        </w:tc>
      </w:tr>
      <w:tr w:rsidR="00E50B64" w:rsidRPr="00481D64" w14:paraId="4DC4A07F" w14:textId="77777777" w:rsidTr="00746D4A">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4137" w:type="dxa"/>
            <w:vMerge/>
            <w:vAlign w:val="center"/>
            <w:hideMark/>
          </w:tcPr>
          <w:p w14:paraId="76EB58AF" w14:textId="77777777" w:rsidR="00AF0B21" w:rsidRPr="00AF0B21" w:rsidRDefault="00AF0B21" w:rsidP="00481D64">
            <w:pPr>
              <w:spacing w:after="0"/>
              <w:ind w:firstLine="0"/>
              <w:jc w:val="center"/>
              <w:rPr>
                <w:color w:val="auto"/>
                <w:sz w:val="20"/>
                <w:lang w:eastAsia="lv-LV"/>
              </w:rPr>
            </w:pPr>
          </w:p>
        </w:tc>
        <w:tc>
          <w:tcPr>
            <w:tcW w:w="3736" w:type="dxa"/>
            <w:vMerge/>
            <w:vAlign w:val="center"/>
            <w:hideMark/>
          </w:tcPr>
          <w:p w14:paraId="3DB62185" w14:textId="77777777" w:rsidR="00AF0B21" w:rsidRPr="00AF0B21" w:rsidRDefault="00AF0B21" w:rsidP="00481D6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127" w:type="dxa"/>
            <w:vMerge/>
            <w:vAlign w:val="center"/>
            <w:hideMark/>
          </w:tcPr>
          <w:p w14:paraId="0F30B892" w14:textId="77777777" w:rsidR="00AF0B21" w:rsidRPr="00AF0B21" w:rsidRDefault="00AF0B21" w:rsidP="00481D6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776" w:type="dxa"/>
            <w:vMerge/>
            <w:vAlign w:val="center"/>
            <w:hideMark/>
          </w:tcPr>
          <w:p w14:paraId="5B2576EE" w14:textId="77777777" w:rsidR="00AF0B21" w:rsidRPr="00AF0B21" w:rsidRDefault="00AF0B21" w:rsidP="00481D6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134" w:type="dxa"/>
            <w:vMerge/>
            <w:vAlign w:val="center"/>
            <w:hideMark/>
          </w:tcPr>
          <w:p w14:paraId="475063A6" w14:textId="77777777" w:rsidR="00AF0B21" w:rsidRPr="00AF0B21" w:rsidRDefault="00AF0B21" w:rsidP="00481D6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843" w:type="dxa"/>
            <w:vMerge/>
            <w:vAlign w:val="center"/>
            <w:hideMark/>
          </w:tcPr>
          <w:p w14:paraId="720BB350" w14:textId="77777777" w:rsidR="00AF0B21" w:rsidRPr="00AF0B21" w:rsidRDefault="00AF0B21" w:rsidP="00481D6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709" w:type="dxa"/>
            <w:vAlign w:val="center"/>
            <w:hideMark/>
          </w:tcPr>
          <w:p w14:paraId="45EB065D" w14:textId="77777777" w:rsidR="00AF0B21" w:rsidRPr="00AF0B21" w:rsidRDefault="00AF0B21" w:rsidP="00481D6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AF0B21">
              <w:rPr>
                <w:b/>
                <w:bCs/>
                <w:color w:val="auto"/>
                <w:sz w:val="20"/>
                <w:lang w:eastAsia="lv-LV"/>
              </w:rPr>
              <w:t>2018</w:t>
            </w:r>
          </w:p>
        </w:tc>
        <w:tc>
          <w:tcPr>
            <w:tcW w:w="708" w:type="dxa"/>
            <w:vAlign w:val="center"/>
            <w:hideMark/>
          </w:tcPr>
          <w:p w14:paraId="645FF2D4" w14:textId="77777777" w:rsidR="00AF0B21" w:rsidRPr="00AF0B21" w:rsidRDefault="00AF0B21" w:rsidP="00481D6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AF0B21">
              <w:rPr>
                <w:b/>
                <w:bCs/>
                <w:color w:val="auto"/>
                <w:sz w:val="20"/>
                <w:lang w:eastAsia="lv-LV"/>
              </w:rPr>
              <w:t>2019</w:t>
            </w:r>
          </w:p>
        </w:tc>
        <w:tc>
          <w:tcPr>
            <w:tcW w:w="709" w:type="dxa"/>
            <w:vAlign w:val="center"/>
            <w:hideMark/>
          </w:tcPr>
          <w:p w14:paraId="4FF38F13" w14:textId="77777777" w:rsidR="00AF0B21" w:rsidRPr="00AF0B21" w:rsidRDefault="00AF0B21" w:rsidP="00481D64">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AF0B21">
              <w:rPr>
                <w:b/>
                <w:bCs/>
                <w:color w:val="auto"/>
                <w:sz w:val="20"/>
                <w:lang w:eastAsia="lv-LV"/>
              </w:rPr>
              <w:t>2020</w:t>
            </w:r>
          </w:p>
        </w:tc>
      </w:tr>
      <w:tr w:rsidR="00481D64" w:rsidRPr="00481D64" w14:paraId="3A367B12" w14:textId="77777777" w:rsidTr="00C926D2">
        <w:trPr>
          <w:trHeight w:val="70"/>
        </w:trPr>
        <w:tc>
          <w:tcPr>
            <w:cnfStyle w:val="001000000000" w:firstRow="0" w:lastRow="0" w:firstColumn="1" w:lastColumn="0" w:oddVBand="0" w:evenVBand="0" w:oddHBand="0" w:evenHBand="0" w:firstRowFirstColumn="0" w:firstRowLastColumn="0" w:lastRowFirstColumn="0" w:lastRowLastColumn="0"/>
            <w:tcW w:w="4137" w:type="dxa"/>
            <w:vMerge/>
            <w:vAlign w:val="center"/>
            <w:hideMark/>
          </w:tcPr>
          <w:p w14:paraId="0B4E04C0" w14:textId="77777777" w:rsidR="00AF0B21" w:rsidRPr="00AF0B21" w:rsidRDefault="00AF0B21" w:rsidP="00481D64">
            <w:pPr>
              <w:spacing w:after="0"/>
              <w:ind w:firstLine="0"/>
              <w:jc w:val="center"/>
              <w:rPr>
                <w:color w:val="auto"/>
                <w:sz w:val="20"/>
                <w:lang w:eastAsia="lv-LV"/>
              </w:rPr>
            </w:pPr>
          </w:p>
        </w:tc>
        <w:tc>
          <w:tcPr>
            <w:tcW w:w="3736" w:type="dxa"/>
            <w:vMerge/>
            <w:vAlign w:val="center"/>
            <w:hideMark/>
          </w:tcPr>
          <w:p w14:paraId="4B1900B5" w14:textId="77777777" w:rsidR="00AF0B21" w:rsidRPr="00AF0B21" w:rsidRDefault="00AF0B21" w:rsidP="00481D6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127" w:type="dxa"/>
            <w:vMerge/>
            <w:vAlign w:val="center"/>
            <w:hideMark/>
          </w:tcPr>
          <w:p w14:paraId="193CFA1F" w14:textId="77777777" w:rsidR="00AF0B21" w:rsidRPr="00AF0B21" w:rsidRDefault="00AF0B21" w:rsidP="00481D6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776" w:type="dxa"/>
            <w:vMerge/>
            <w:vAlign w:val="center"/>
            <w:hideMark/>
          </w:tcPr>
          <w:p w14:paraId="53542CFC" w14:textId="77777777" w:rsidR="00AF0B21" w:rsidRPr="00AF0B21" w:rsidRDefault="00AF0B21" w:rsidP="00481D6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134" w:type="dxa"/>
            <w:vMerge/>
            <w:vAlign w:val="center"/>
            <w:hideMark/>
          </w:tcPr>
          <w:p w14:paraId="5F4EA273" w14:textId="77777777" w:rsidR="00AF0B21" w:rsidRPr="00AF0B21" w:rsidRDefault="00AF0B21" w:rsidP="00481D6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843" w:type="dxa"/>
            <w:vMerge/>
            <w:vAlign w:val="center"/>
            <w:hideMark/>
          </w:tcPr>
          <w:p w14:paraId="66BB0CFC" w14:textId="77777777" w:rsidR="00AF0B21" w:rsidRPr="00AF0B21" w:rsidRDefault="00AF0B21" w:rsidP="00481D6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126" w:type="dxa"/>
            <w:gridSpan w:val="3"/>
            <w:vAlign w:val="center"/>
            <w:hideMark/>
          </w:tcPr>
          <w:p w14:paraId="30EE1F60" w14:textId="77777777" w:rsidR="00AF0B21" w:rsidRPr="00AF0B21" w:rsidRDefault="00AF0B21" w:rsidP="00481D64">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AF0B21">
              <w:rPr>
                <w:b/>
                <w:bCs/>
                <w:color w:val="auto"/>
                <w:sz w:val="20"/>
                <w:lang w:eastAsia="lv-LV"/>
              </w:rPr>
              <w:t>% IKP</w:t>
            </w:r>
          </w:p>
        </w:tc>
      </w:tr>
      <w:tr w:rsidR="00C926D2" w:rsidRPr="00481D64" w14:paraId="42A59B80" w14:textId="77777777" w:rsidTr="00746D4A">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137" w:type="dxa"/>
            <w:vAlign w:val="center"/>
            <w:hideMark/>
          </w:tcPr>
          <w:p w14:paraId="524342B6" w14:textId="77777777" w:rsidR="00C926D2" w:rsidRPr="00AF0B21" w:rsidRDefault="00C926D2" w:rsidP="00C926D2">
            <w:pPr>
              <w:spacing w:after="0"/>
              <w:ind w:firstLine="0"/>
              <w:rPr>
                <w:b w:val="0"/>
                <w:color w:val="auto"/>
                <w:sz w:val="20"/>
                <w:lang w:eastAsia="lv-LV"/>
              </w:rPr>
            </w:pPr>
            <w:r w:rsidRPr="00AF0B21">
              <w:rPr>
                <w:b w:val="0"/>
                <w:color w:val="auto"/>
                <w:sz w:val="20"/>
                <w:lang w:eastAsia="lv-LV"/>
              </w:rPr>
              <w:t>PVN samazinātā likme 5% apmērā Latvijai raksturīgajiem dārzeņiem, augļiem un ogām</w:t>
            </w:r>
          </w:p>
        </w:tc>
        <w:tc>
          <w:tcPr>
            <w:tcW w:w="3736" w:type="dxa"/>
            <w:vAlign w:val="center"/>
            <w:hideMark/>
          </w:tcPr>
          <w:p w14:paraId="796323B2" w14:textId="77777777" w:rsidR="00C926D2" w:rsidRPr="00AF0B21" w:rsidRDefault="00C926D2" w:rsidP="00C926D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F0B21">
              <w:rPr>
                <w:color w:val="auto"/>
                <w:sz w:val="20"/>
                <w:lang w:eastAsia="lv-LV"/>
              </w:rPr>
              <w:t>PVN samazinātā likme 5% apmērā Latvijai raksturīgajiem dārzeņiem, augļiem un ogām ar 01.01.2018.</w:t>
            </w:r>
          </w:p>
        </w:tc>
        <w:tc>
          <w:tcPr>
            <w:tcW w:w="1127" w:type="dxa"/>
            <w:vAlign w:val="center"/>
            <w:hideMark/>
          </w:tcPr>
          <w:p w14:paraId="6B5D4CDC" w14:textId="77777777"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F0B21">
              <w:rPr>
                <w:color w:val="auto"/>
                <w:sz w:val="20"/>
                <w:lang w:eastAsia="lv-LV"/>
              </w:rPr>
              <w:t>PVN</w:t>
            </w:r>
          </w:p>
        </w:tc>
        <w:tc>
          <w:tcPr>
            <w:tcW w:w="776" w:type="dxa"/>
            <w:noWrap/>
            <w:vAlign w:val="center"/>
            <w:hideMark/>
          </w:tcPr>
          <w:p w14:paraId="755A9505" w14:textId="77777777"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F0B21">
              <w:rPr>
                <w:color w:val="auto"/>
                <w:sz w:val="20"/>
                <w:lang w:eastAsia="lv-LV"/>
              </w:rPr>
              <w:t>D.2</w:t>
            </w:r>
          </w:p>
        </w:tc>
        <w:tc>
          <w:tcPr>
            <w:tcW w:w="1134" w:type="dxa"/>
            <w:vAlign w:val="center"/>
            <w:hideMark/>
          </w:tcPr>
          <w:p w14:paraId="2F13DFD2" w14:textId="77509A50"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287E50A2" w14:textId="5239E26F"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10E82C6C" w14:textId="7CFC5383"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-0,02</w:t>
            </w:r>
          </w:p>
        </w:tc>
        <w:tc>
          <w:tcPr>
            <w:tcW w:w="708" w:type="dxa"/>
            <w:noWrap/>
            <w:vAlign w:val="center"/>
            <w:hideMark/>
          </w:tcPr>
          <w:p w14:paraId="35FCEF58" w14:textId="393990F0"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0,00</w:t>
            </w:r>
          </w:p>
        </w:tc>
        <w:tc>
          <w:tcPr>
            <w:tcW w:w="709" w:type="dxa"/>
            <w:noWrap/>
            <w:vAlign w:val="center"/>
            <w:hideMark/>
          </w:tcPr>
          <w:p w14:paraId="4376E114" w14:textId="556198C8"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0,00</w:t>
            </w:r>
          </w:p>
        </w:tc>
      </w:tr>
      <w:tr w:rsidR="00C926D2" w:rsidRPr="00481D64" w14:paraId="5382855A" w14:textId="77777777" w:rsidTr="00746D4A">
        <w:trPr>
          <w:trHeight w:val="205"/>
        </w:trPr>
        <w:tc>
          <w:tcPr>
            <w:cnfStyle w:val="001000000000" w:firstRow="0" w:lastRow="0" w:firstColumn="1" w:lastColumn="0" w:oddVBand="0" w:evenVBand="0" w:oddHBand="0" w:evenHBand="0" w:firstRowFirstColumn="0" w:firstRowLastColumn="0" w:lastRowFirstColumn="0" w:lastRowLastColumn="0"/>
            <w:tcW w:w="4137" w:type="dxa"/>
            <w:vMerge w:val="restart"/>
            <w:vAlign w:val="center"/>
            <w:hideMark/>
          </w:tcPr>
          <w:p w14:paraId="664B522B" w14:textId="77777777" w:rsidR="00C926D2" w:rsidRPr="00AF0B21" w:rsidRDefault="00C926D2" w:rsidP="00C926D2">
            <w:pPr>
              <w:spacing w:after="0"/>
              <w:ind w:firstLine="0"/>
              <w:rPr>
                <w:b w:val="0"/>
                <w:color w:val="auto"/>
                <w:sz w:val="20"/>
                <w:lang w:eastAsia="lv-LV"/>
              </w:rPr>
            </w:pPr>
            <w:r w:rsidRPr="00AF0B21">
              <w:rPr>
                <w:b w:val="0"/>
                <w:color w:val="auto"/>
                <w:sz w:val="20"/>
                <w:lang w:eastAsia="lv-LV"/>
              </w:rPr>
              <w:t>Risinājumu izstrādāšana čeku loterijas organizēšanai</w:t>
            </w:r>
          </w:p>
        </w:tc>
        <w:tc>
          <w:tcPr>
            <w:tcW w:w="3736" w:type="dxa"/>
            <w:vMerge w:val="restart"/>
            <w:vAlign w:val="center"/>
            <w:hideMark/>
          </w:tcPr>
          <w:p w14:paraId="729C1F33" w14:textId="77777777" w:rsidR="00C926D2" w:rsidRPr="00AF0B21" w:rsidRDefault="00C926D2" w:rsidP="00C926D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Risinājumu izstrādāšana čeku loterijas organizēšanai ar 01.01.2019.</w:t>
            </w:r>
          </w:p>
        </w:tc>
        <w:tc>
          <w:tcPr>
            <w:tcW w:w="1127" w:type="dxa"/>
            <w:vAlign w:val="center"/>
            <w:hideMark/>
          </w:tcPr>
          <w:p w14:paraId="6A65D0B9" w14:textId="77777777"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IIN</w:t>
            </w:r>
          </w:p>
        </w:tc>
        <w:tc>
          <w:tcPr>
            <w:tcW w:w="776" w:type="dxa"/>
            <w:noWrap/>
            <w:vAlign w:val="center"/>
            <w:hideMark/>
          </w:tcPr>
          <w:p w14:paraId="5F054A4F" w14:textId="77777777"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D.2</w:t>
            </w:r>
          </w:p>
        </w:tc>
        <w:tc>
          <w:tcPr>
            <w:tcW w:w="1134" w:type="dxa"/>
            <w:vAlign w:val="center"/>
            <w:hideMark/>
          </w:tcPr>
          <w:p w14:paraId="69009143" w14:textId="3F2F6FF7"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55D1AC01" w14:textId="3DC5A335"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67C07515" w14:textId="10003265" w:rsidR="00C926D2" w:rsidRPr="00AF0B21"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c>
          <w:tcPr>
            <w:tcW w:w="708" w:type="dxa"/>
            <w:noWrap/>
            <w:vAlign w:val="center"/>
            <w:hideMark/>
          </w:tcPr>
          <w:p w14:paraId="5D5894D9" w14:textId="4573AFE9" w:rsidR="00C926D2" w:rsidRPr="00AF0B21"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c>
          <w:tcPr>
            <w:tcW w:w="709" w:type="dxa"/>
            <w:noWrap/>
            <w:vAlign w:val="center"/>
            <w:hideMark/>
          </w:tcPr>
          <w:p w14:paraId="2A532A17" w14:textId="51591453" w:rsidR="00C926D2" w:rsidRPr="00AF0B21"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r>
      <w:tr w:rsidR="00C926D2" w:rsidRPr="00481D64" w14:paraId="6C9A0F44" w14:textId="77777777" w:rsidTr="00746D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137" w:type="dxa"/>
            <w:vMerge/>
            <w:vAlign w:val="center"/>
            <w:hideMark/>
          </w:tcPr>
          <w:p w14:paraId="5142B518" w14:textId="77777777" w:rsidR="00C926D2" w:rsidRPr="00AF0B21" w:rsidRDefault="00C926D2" w:rsidP="00C926D2">
            <w:pPr>
              <w:spacing w:after="0"/>
              <w:ind w:firstLine="0"/>
              <w:rPr>
                <w:b w:val="0"/>
                <w:color w:val="auto"/>
                <w:sz w:val="20"/>
                <w:lang w:eastAsia="lv-LV"/>
              </w:rPr>
            </w:pPr>
          </w:p>
        </w:tc>
        <w:tc>
          <w:tcPr>
            <w:tcW w:w="3736" w:type="dxa"/>
            <w:vMerge/>
            <w:vAlign w:val="center"/>
            <w:hideMark/>
          </w:tcPr>
          <w:p w14:paraId="072A4D0A" w14:textId="77777777" w:rsidR="00C926D2" w:rsidRPr="00AF0B21" w:rsidRDefault="00C926D2" w:rsidP="00C926D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127" w:type="dxa"/>
            <w:vAlign w:val="center"/>
            <w:hideMark/>
          </w:tcPr>
          <w:p w14:paraId="7CDA1AA6" w14:textId="77777777"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F0B21">
              <w:rPr>
                <w:color w:val="auto"/>
                <w:sz w:val="20"/>
                <w:lang w:eastAsia="lv-LV"/>
              </w:rPr>
              <w:t>PVN</w:t>
            </w:r>
          </w:p>
        </w:tc>
        <w:tc>
          <w:tcPr>
            <w:tcW w:w="776" w:type="dxa"/>
            <w:vAlign w:val="center"/>
            <w:hideMark/>
          </w:tcPr>
          <w:p w14:paraId="563D3DFA" w14:textId="77777777"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F0B21">
              <w:rPr>
                <w:color w:val="auto"/>
                <w:sz w:val="20"/>
                <w:lang w:eastAsia="lv-LV"/>
              </w:rPr>
              <w:t>D.5</w:t>
            </w:r>
          </w:p>
        </w:tc>
        <w:tc>
          <w:tcPr>
            <w:tcW w:w="1134" w:type="dxa"/>
            <w:vAlign w:val="center"/>
            <w:hideMark/>
          </w:tcPr>
          <w:p w14:paraId="067F7A6A" w14:textId="53B5546D"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6387D8C5" w14:textId="0D7AED72"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6D93FA78" w14:textId="301D74F9"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0,00</w:t>
            </w:r>
          </w:p>
        </w:tc>
        <w:tc>
          <w:tcPr>
            <w:tcW w:w="708" w:type="dxa"/>
            <w:noWrap/>
            <w:vAlign w:val="center"/>
            <w:hideMark/>
          </w:tcPr>
          <w:p w14:paraId="60FCC5ED" w14:textId="35C3A50F"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0,01</w:t>
            </w:r>
          </w:p>
        </w:tc>
        <w:tc>
          <w:tcPr>
            <w:tcW w:w="709" w:type="dxa"/>
            <w:noWrap/>
            <w:vAlign w:val="center"/>
            <w:hideMark/>
          </w:tcPr>
          <w:p w14:paraId="5C420A82" w14:textId="46109BD7"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0,00</w:t>
            </w:r>
          </w:p>
        </w:tc>
      </w:tr>
      <w:tr w:rsidR="009A761D" w:rsidRPr="00481D64" w14:paraId="09C9A072" w14:textId="77777777" w:rsidTr="00746D4A">
        <w:trPr>
          <w:trHeight w:val="397"/>
        </w:trPr>
        <w:tc>
          <w:tcPr>
            <w:cnfStyle w:val="001000000000" w:firstRow="0" w:lastRow="0" w:firstColumn="1" w:lastColumn="0" w:oddVBand="0" w:evenVBand="0" w:oddHBand="0" w:evenHBand="0" w:firstRowFirstColumn="0" w:firstRowLastColumn="0" w:lastRowFirstColumn="0" w:lastRowLastColumn="0"/>
            <w:tcW w:w="4137" w:type="dxa"/>
            <w:vMerge w:val="restart"/>
            <w:vAlign w:val="center"/>
            <w:hideMark/>
          </w:tcPr>
          <w:p w14:paraId="1E3CF272" w14:textId="31AFE7B6" w:rsidR="009A761D" w:rsidRPr="00AF0B21" w:rsidRDefault="009A761D" w:rsidP="009A761D">
            <w:pPr>
              <w:spacing w:after="0"/>
              <w:ind w:firstLine="0"/>
              <w:rPr>
                <w:b w:val="0"/>
                <w:color w:val="auto"/>
                <w:sz w:val="20"/>
                <w:lang w:eastAsia="lv-LV"/>
              </w:rPr>
            </w:pPr>
            <w:r w:rsidRPr="00BC2493">
              <w:rPr>
                <w:b w:val="0"/>
                <w:color w:val="auto"/>
                <w:sz w:val="20"/>
                <w:lang w:eastAsia="lv-LV"/>
              </w:rPr>
              <w:t xml:space="preserve">Minimālās dividendēs izmaksājamās peļņas daļas </w:t>
            </w:r>
            <w:r>
              <w:rPr>
                <w:b w:val="0"/>
                <w:color w:val="auto"/>
                <w:sz w:val="20"/>
                <w:lang w:eastAsia="lv-LV"/>
              </w:rPr>
              <w:t>palielināšana 2019.gadā (par 2018.gada peļņu)</w:t>
            </w:r>
          </w:p>
        </w:tc>
        <w:tc>
          <w:tcPr>
            <w:tcW w:w="3736" w:type="dxa"/>
            <w:vMerge w:val="restart"/>
            <w:vAlign w:val="center"/>
            <w:hideMark/>
          </w:tcPr>
          <w:p w14:paraId="232DC6AC" w14:textId="77777777" w:rsidR="009A761D" w:rsidRPr="00AF0B21" w:rsidRDefault="009A761D" w:rsidP="009A761D">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Minimālās dividendēs izmaksājamās peļņas daļas noteikšana līdz 85% kapitālsabiedrībām, kurās visas kapitāla daļas tieši vai pastarpināti pieder valstij</w:t>
            </w:r>
          </w:p>
        </w:tc>
        <w:tc>
          <w:tcPr>
            <w:tcW w:w="1127" w:type="dxa"/>
            <w:vAlign w:val="center"/>
            <w:hideMark/>
          </w:tcPr>
          <w:p w14:paraId="2E2B845C" w14:textId="2B60BD27"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roofErr w:type="spellStart"/>
            <w:r w:rsidRPr="00AF0B21">
              <w:rPr>
                <w:color w:val="auto"/>
                <w:sz w:val="20"/>
                <w:lang w:eastAsia="lv-LV"/>
              </w:rPr>
              <w:t>Nenodokļi</w:t>
            </w:r>
            <w:proofErr w:type="spellEnd"/>
          </w:p>
        </w:tc>
        <w:tc>
          <w:tcPr>
            <w:tcW w:w="776" w:type="dxa"/>
            <w:vAlign w:val="center"/>
            <w:hideMark/>
          </w:tcPr>
          <w:p w14:paraId="56818906" w14:textId="77777777"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D.421</w:t>
            </w:r>
          </w:p>
        </w:tc>
        <w:tc>
          <w:tcPr>
            <w:tcW w:w="1134" w:type="dxa"/>
            <w:vAlign w:val="center"/>
            <w:hideMark/>
          </w:tcPr>
          <w:p w14:paraId="42728F95" w14:textId="122252AD"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3FFB3041" w14:textId="0D1917E1"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22770163" w14:textId="63C31762" w:rsidR="009A761D" w:rsidRPr="00AF0B21" w:rsidRDefault="009A761D" w:rsidP="009A761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c>
          <w:tcPr>
            <w:tcW w:w="708" w:type="dxa"/>
            <w:noWrap/>
            <w:vAlign w:val="center"/>
            <w:hideMark/>
          </w:tcPr>
          <w:p w14:paraId="4A7CE94A" w14:textId="0B7A455B" w:rsidR="009A761D" w:rsidRPr="00AF0B21" w:rsidRDefault="009A761D" w:rsidP="009A761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0,01</w:t>
            </w:r>
          </w:p>
        </w:tc>
        <w:tc>
          <w:tcPr>
            <w:tcW w:w="709" w:type="dxa"/>
            <w:noWrap/>
            <w:vAlign w:val="center"/>
            <w:hideMark/>
          </w:tcPr>
          <w:p w14:paraId="350E89CF" w14:textId="1C506DA5" w:rsidR="009A761D" w:rsidRPr="00AF0B21" w:rsidRDefault="009A761D" w:rsidP="009A761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r>
      <w:tr w:rsidR="009A761D" w:rsidRPr="00481D64" w14:paraId="09F01F54" w14:textId="77777777" w:rsidTr="00746D4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137" w:type="dxa"/>
            <w:vMerge/>
            <w:vAlign w:val="center"/>
            <w:hideMark/>
          </w:tcPr>
          <w:p w14:paraId="171CEB84" w14:textId="77777777" w:rsidR="009A761D" w:rsidRPr="00AF0B21" w:rsidRDefault="009A761D" w:rsidP="009A761D">
            <w:pPr>
              <w:spacing w:after="0"/>
              <w:ind w:firstLine="0"/>
              <w:rPr>
                <w:b w:val="0"/>
                <w:color w:val="auto"/>
                <w:sz w:val="20"/>
                <w:lang w:eastAsia="lv-LV"/>
              </w:rPr>
            </w:pPr>
          </w:p>
        </w:tc>
        <w:tc>
          <w:tcPr>
            <w:tcW w:w="3736" w:type="dxa"/>
            <w:vMerge/>
            <w:vAlign w:val="center"/>
            <w:hideMark/>
          </w:tcPr>
          <w:p w14:paraId="4B83DFF9" w14:textId="77777777" w:rsidR="009A761D" w:rsidRPr="00AF0B21" w:rsidRDefault="009A761D" w:rsidP="009A761D">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127" w:type="dxa"/>
            <w:vAlign w:val="center"/>
            <w:hideMark/>
          </w:tcPr>
          <w:p w14:paraId="1D343611" w14:textId="74C998B9" w:rsidR="009A761D" w:rsidRPr="00AF0B21" w:rsidRDefault="009A761D" w:rsidP="009A761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UIN</w:t>
            </w:r>
          </w:p>
        </w:tc>
        <w:tc>
          <w:tcPr>
            <w:tcW w:w="776" w:type="dxa"/>
            <w:vAlign w:val="center"/>
            <w:hideMark/>
          </w:tcPr>
          <w:p w14:paraId="770ADF26" w14:textId="77777777" w:rsidR="009A761D" w:rsidRPr="00AF0B21" w:rsidRDefault="009A761D" w:rsidP="009A761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F0B21">
              <w:rPr>
                <w:color w:val="auto"/>
                <w:sz w:val="20"/>
                <w:lang w:eastAsia="lv-LV"/>
              </w:rPr>
              <w:t>D.5</w:t>
            </w:r>
          </w:p>
        </w:tc>
        <w:tc>
          <w:tcPr>
            <w:tcW w:w="1134" w:type="dxa"/>
            <w:vAlign w:val="center"/>
            <w:hideMark/>
          </w:tcPr>
          <w:p w14:paraId="771F9EC0" w14:textId="769435DB" w:rsidR="009A761D" w:rsidRPr="00AF0B21" w:rsidRDefault="009A761D" w:rsidP="009A761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131A25F6" w14:textId="56D839C5" w:rsidR="009A761D" w:rsidRPr="00AF0B21" w:rsidRDefault="009A761D" w:rsidP="009A761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6D2F0BBB" w14:textId="25F210F8" w:rsidR="009A761D" w:rsidRPr="00AF0B21" w:rsidRDefault="009A761D" w:rsidP="009A761D">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0,00</w:t>
            </w:r>
          </w:p>
        </w:tc>
        <w:tc>
          <w:tcPr>
            <w:tcW w:w="708" w:type="dxa"/>
            <w:noWrap/>
            <w:vAlign w:val="center"/>
            <w:hideMark/>
          </w:tcPr>
          <w:p w14:paraId="40E1FC12" w14:textId="7DB2DD56" w:rsidR="009A761D" w:rsidRPr="00AF0B21" w:rsidRDefault="009A761D" w:rsidP="009A761D">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0,00</w:t>
            </w:r>
          </w:p>
        </w:tc>
        <w:tc>
          <w:tcPr>
            <w:tcW w:w="709" w:type="dxa"/>
            <w:noWrap/>
            <w:vAlign w:val="center"/>
            <w:hideMark/>
          </w:tcPr>
          <w:p w14:paraId="38901130" w14:textId="6F92E652" w:rsidR="009A761D" w:rsidRPr="00AF0B21" w:rsidRDefault="009A761D" w:rsidP="009A761D">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0,00</w:t>
            </w:r>
          </w:p>
        </w:tc>
      </w:tr>
      <w:tr w:rsidR="009A761D" w:rsidRPr="00481D64" w14:paraId="5FBB9CFD" w14:textId="77777777" w:rsidTr="00746D4A">
        <w:trPr>
          <w:trHeight w:val="393"/>
        </w:trPr>
        <w:tc>
          <w:tcPr>
            <w:cnfStyle w:val="001000000000" w:firstRow="0" w:lastRow="0" w:firstColumn="1" w:lastColumn="0" w:oddVBand="0" w:evenVBand="0" w:oddHBand="0" w:evenHBand="0" w:firstRowFirstColumn="0" w:firstRowLastColumn="0" w:lastRowFirstColumn="0" w:lastRowLastColumn="0"/>
            <w:tcW w:w="4137" w:type="dxa"/>
            <w:vAlign w:val="center"/>
            <w:hideMark/>
          </w:tcPr>
          <w:p w14:paraId="136D1625" w14:textId="25935B5C" w:rsidR="009A761D" w:rsidRPr="00AF0B21" w:rsidRDefault="009A761D" w:rsidP="009A761D">
            <w:pPr>
              <w:spacing w:after="0"/>
              <w:ind w:firstLine="0"/>
              <w:rPr>
                <w:b w:val="0"/>
                <w:color w:val="auto"/>
                <w:sz w:val="20"/>
                <w:lang w:eastAsia="lv-LV"/>
              </w:rPr>
            </w:pPr>
            <w:r w:rsidRPr="00BC2493">
              <w:rPr>
                <w:b w:val="0"/>
                <w:color w:val="auto"/>
                <w:sz w:val="20"/>
                <w:lang w:eastAsia="lv-LV"/>
              </w:rPr>
              <w:t xml:space="preserve">Pārējo pamatbudžeta </w:t>
            </w:r>
            <w:proofErr w:type="spellStart"/>
            <w:r w:rsidRPr="00BC2493">
              <w:rPr>
                <w:b w:val="0"/>
                <w:color w:val="auto"/>
                <w:sz w:val="20"/>
                <w:lang w:eastAsia="lv-LV"/>
              </w:rPr>
              <w:t>nenodokļu</w:t>
            </w:r>
            <w:proofErr w:type="spellEnd"/>
            <w:r w:rsidRPr="00BC2493">
              <w:rPr>
                <w:b w:val="0"/>
                <w:color w:val="auto"/>
                <w:sz w:val="20"/>
                <w:lang w:eastAsia="lv-LV"/>
              </w:rPr>
              <w:t xml:space="preserve"> ieņēmumu prognožu palielināšana </w:t>
            </w:r>
          </w:p>
        </w:tc>
        <w:tc>
          <w:tcPr>
            <w:tcW w:w="3736" w:type="dxa"/>
            <w:vAlign w:val="center"/>
            <w:hideMark/>
          </w:tcPr>
          <w:p w14:paraId="5AF744C9" w14:textId="77777777" w:rsidR="009A761D" w:rsidRPr="00AF0B21" w:rsidRDefault="009A761D" w:rsidP="009A761D">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 xml:space="preserve">Pārējo pamatbudžeta </w:t>
            </w:r>
            <w:proofErr w:type="spellStart"/>
            <w:r w:rsidRPr="00AF0B21">
              <w:rPr>
                <w:color w:val="auto"/>
                <w:sz w:val="20"/>
                <w:lang w:eastAsia="lv-LV"/>
              </w:rPr>
              <w:t>nenodokļu</w:t>
            </w:r>
            <w:proofErr w:type="spellEnd"/>
            <w:r w:rsidRPr="00AF0B21">
              <w:rPr>
                <w:color w:val="auto"/>
                <w:sz w:val="20"/>
                <w:lang w:eastAsia="lv-LV"/>
              </w:rPr>
              <w:t xml:space="preserve"> ieņēmumu prognožu palielināšana </w:t>
            </w:r>
          </w:p>
        </w:tc>
        <w:tc>
          <w:tcPr>
            <w:tcW w:w="1127" w:type="dxa"/>
            <w:vAlign w:val="center"/>
            <w:hideMark/>
          </w:tcPr>
          <w:p w14:paraId="5B16A776" w14:textId="394554A4"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roofErr w:type="spellStart"/>
            <w:r w:rsidRPr="00AF0B21">
              <w:rPr>
                <w:color w:val="auto"/>
                <w:sz w:val="20"/>
                <w:lang w:eastAsia="lv-LV"/>
              </w:rPr>
              <w:t>Nenodokļi</w:t>
            </w:r>
            <w:proofErr w:type="spellEnd"/>
          </w:p>
        </w:tc>
        <w:tc>
          <w:tcPr>
            <w:tcW w:w="776" w:type="dxa"/>
            <w:vAlign w:val="center"/>
            <w:hideMark/>
          </w:tcPr>
          <w:p w14:paraId="0F234EE9" w14:textId="33CCD864"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134" w:type="dxa"/>
            <w:vAlign w:val="center"/>
            <w:hideMark/>
          </w:tcPr>
          <w:p w14:paraId="5896E97B" w14:textId="54CCFD32"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3087ED4D" w14:textId="20DB78C2"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69A75FBD" w14:textId="2C446F5F" w:rsidR="009A761D" w:rsidRPr="00AF0B21" w:rsidRDefault="009A761D" w:rsidP="009A761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0,01</w:t>
            </w:r>
          </w:p>
        </w:tc>
        <w:tc>
          <w:tcPr>
            <w:tcW w:w="708" w:type="dxa"/>
            <w:noWrap/>
            <w:vAlign w:val="center"/>
            <w:hideMark/>
          </w:tcPr>
          <w:p w14:paraId="5510BB69" w14:textId="53DDE5C6" w:rsidR="009A761D" w:rsidRPr="00AF0B21" w:rsidRDefault="009A761D" w:rsidP="009A761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0,01</w:t>
            </w:r>
          </w:p>
        </w:tc>
        <w:tc>
          <w:tcPr>
            <w:tcW w:w="709" w:type="dxa"/>
            <w:noWrap/>
            <w:vAlign w:val="center"/>
            <w:hideMark/>
          </w:tcPr>
          <w:p w14:paraId="7DF29E9B" w14:textId="0B0067A4" w:rsidR="009A761D" w:rsidRPr="00AF0B21" w:rsidRDefault="009A761D" w:rsidP="009A761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r>
      <w:tr w:rsidR="009A761D" w:rsidRPr="00481D64" w14:paraId="7A4F2246" w14:textId="77777777" w:rsidTr="00746D4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137" w:type="dxa"/>
            <w:vAlign w:val="center"/>
            <w:hideMark/>
          </w:tcPr>
          <w:p w14:paraId="3B827957" w14:textId="16F4703B" w:rsidR="009A761D" w:rsidRPr="00AF0B21" w:rsidRDefault="009A761D" w:rsidP="009A761D">
            <w:pPr>
              <w:spacing w:after="0"/>
              <w:ind w:firstLine="0"/>
              <w:rPr>
                <w:b w:val="0"/>
                <w:color w:val="auto"/>
                <w:sz w:val="20"/>
                <w:lang w:eastAsia="lv-LV"/>
              </w:rPr>
            </w:pPr>
            <w:r w:rsidRPr="00BC2493">
              <w:rPr>
                <w:b w:val="0"/>
                <w:color w:val="auto"/>
                <w:sz w:val="20"/>
                <w:lang w:eastAsia="lv-LV"/>
              </w:rPr>
              <w:t xml:space="preserve">Grozījumi "Par </w:t>
            </w:r>
            <w:proofErr w:type="spellStart"/>
            <w:r w:rsidRPr="00BC2493">
              <w:rPr>
                <w:b w:val="0"/>
                <w:color w:val="auto"/>
                <w:sz w:val="20"/>
                <w:lang w:eastAsia="lv-LV"/>
              </w:rPr>
              <w:t>Iekšlietu</w:t>
            </w:r>
            <w:proofErr w:type="spellEnd"/>
            <w:r w:rsidRPr="00BC2493">
              <w:rPr>
                <w:b w:val="0"/>
                <w:color w:val="auto"/>
                <w:sz w:val="20"/>
                <w:lang w:eastAsia="lv-LV"/>
              </w:rPr>
              <w:t xml:space="preserve"> ministrijas ilgtermiņa saistībām ceļu satiksmes pārkāpumu fiksēšanas tehnisko līdzekļu (</w:t>
            </w:r>
            <w:proofErr w:type="spellStart"/>
            <w:r w:rsidRPr="00BC2493">
              <w:rPr>
                <w:b w:val="0"/>
                <w:color w:val="auto"/>
                <w:sz w:val="20"/>
                <w:lang w:eastAsia="lv-LV"/>
              </w:rPr>
              <w:t>fotoradaru</w:t>
            </w:r>
            <w:proofErr w:type="spellEnd"/>
            <w:r w:rsidRPr="00BC2493">
              <w:rPr>
                <w:b w:val="0"/>
                <w:color w:val="auto"/>
                <w:sz w:val="20"/>
                <w:lang w:eastAsia="lv-LV"/>
              </w:rPr>
              <w:t xml:space="preserve">) darbības nodrošināšanai" </w:t>
            </w:r>
          </w:p>
        </w:tc>
        <w:tc>
          <w:tcPr>
            <w:tcW w:w="3736" w:type="dxa"/>
            <w:vAlign w:val="center"/>
            <w:hideMark/>
          </w:tcPr>
          <w:p w14:paraId="1775D9DF" w14:textId="77777777" w:rsidR="009A761D" w:rsidRPr="00AF0B21" w:rsidRDefault="009A761D" w:rsidP="009A761D">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F0B21">
              <w:rPr>
                <w:color w:val="auto"/>
                <w:sz w:val="20"/>
                <w:lang w:eastAsia="lv-LV"/>
              </w:rPr>
              <w:t>Ieņēmumu palielināšana no naudas sodiem, ko uzliek Valsts policija par pārkāpumiem ceļu satiksmē, kas fiksēti ar komersanta tehniskajiem līdzekļiem</w:t>
            </w:r>
          </w:p>
        </w:tc>
        <w:tc>
          <w:tcPr>
            <w:tcW w:w="1127" w:type="dxa"/>
            <w:vAlign w:val="center"/>
            <w:hideMark/>
          </w:tcPr>
          <w:p w14:paraId="1F33FCA2" w14:textId="549652BD" w:rsidR="009A761D" w:rsidRPr="00AF0B21" w:rsidRDefault="009A761D" w:rsidP="009A761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roofErr w:type="spellStart"/>
            <w:r w:rsidRPr="00AF0B21">
              <w:rPr>
                <w:color w:val="auto"/>
                <w:sz w:val="20"/>
                <w:lang w:eastAsia="lv-LV"/>
              </w:rPr>
              <w:t>Nenodokļi</w:t>
            </w:r>
            <w:proofErr w:type="spellEnd"/>
          </w:p>
        </w:tc>
        <w:tc>
          <w:tcPr>
            <w:tcW w:w="776" w:type="dxa"/>
            <w:vAlign w:val="center"/>
            <w:hideMark/>
          </w:tcPr>
          <w:p w14:paraId="286F844E" w14:textId="23C6D163" w:rsidR="009A761D" w:rsidRPr="00AF0B21" w:rsidRDefault="009A761D" w:rsidP="009A761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D.751</w:t>
            </w:r>
          </w:p>
        </w:tc>
        <w:tc>
          <w:tcPr>
            <w:tcW w:w="1134" w:type="dxa"/>
            <w:vAlign w:val="center"/>
            <w:hideMark/>
          </w:tcPr>
          <w:p w14:paraId="593379AE" w14:textId="24A9FBA2" w:rsidR="009A761D" w:rsidRPr="00AF0B21" w:rsidRDefault="009A761D" w:rsidP="009A761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26CFDDC8" w14:textId="0D92B11F" w:rsidR="009A761D" w:rsidRPr="00AF0B21" w:rsidRDefault="009A761D" w:rsidP="009A761D">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0F7C05C5" w14:textId="130F0889" w:rsidR="009A761D" w:rsidRPr="00AF0B21" w:rsidRDefault="009A761D" w:rsidP="009A761D">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0,02</w:t>
            </w:r>
          </w:p>
        </w:tc>
        <w:tc>
          <w:tcPr>
            <w:tcW w:w="708" w:type="dxa"/>
            <w:noWrap/>
            <w:vAlign w:val="center"/>
            <w:hideMark/>
          </w:tcPr>
          <w:p w14:paraId="23F60E51" w14:textId="7BF34D06" w:rsidR="009A761D" w:rsidRPr="00AF0B21" w:rsidRDefault="009A761D" w:rsidP="009A761D">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0,01</w:t>
            </w:r>
          </w:p>
        </w:tc>
        <w:tc>
          <w:tcPr>
            <w:tcW w:w="709" w:type="dxa"/>
            <w:noWrap/>
            <w:vAlign w:val="center"/>
            <w:hideMark/>
          </w:tcPr>
          <w:p w14:paraId="318FF24C" w14:textId="29D1E0D0" w:rsidR="009A761D" w:rsidRPr="00AF0B21" w:rsidRDefault="009A761D" w:rsidP="009A761D">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0,00</w:t>
            </w:r>
          </w:p>
        </w:tc>
      </w:tr>
      <w:tr w:rsidR="009A761D" w:rsidRPr="00481D64" w14:paraId="23F0BA80" w14:textId="77777777" w:rsidTr="00746D4A">
        <w:trPr>
          <w:trHeight w:val="121"/>
        </w:trPr>
        <w:tc>
          <w:tcPr>
            <w:cnfStyle w:val="001000000000" w:firstRow="0" w:lastRow="0" w:firstColumn="1" w:lastColumn="0" w:oddVBand="0" w:evenVBand="0" w:oddHBand="0" w:evenHBand="0" w:firstRowFirstColumn="0" w:firstRowLastColumn="0" w:lastRowFirstColumn="0" w:lastRowLastColumn="0"/>
            <w:tcW w:w="4137" w:type="dxa"/>
            <w:vAlign w:val="center"/>
            <w:hideMark/>
          </w:tcPr>
          <w:p w14:paraId="327CF429" w14:textId="33D54EE4" w:rsidR="009A761D" w:rsidRPr="00AF0B21" w:rsidRDefault="009A761D" w:rsidP="009A761D">
            <w:pPr>
              <w:spacing w:after="0"/>
              <w:ind w:firstLine="0"/>
              <w:rPr>
                <w:b w:val="0"/>
                <w:color w:val="auto"/>
                <w:sz w:val="20"/>
                <w:lang w:eastAsia="lv-LV"/>
              </w:rPr>
            </w:pPr>
            <w:r>
              <w:rPr>
                <w:b w:val="0"/>
                <w:color w:val="auto"/>
                <w:sz w:val="20"/>
                <w:lang w:eastAsia="lv-LV"/>
              </w:rPr>
              <w:t>Latvijas Bankas maksājuma precizēšana</w:t>
            </w:r>
            <w:r w:rsidRPr="00BC2493">
              <w:rPr>
                <w:b w:val="0"/>
                <w:color w:val="auto"/>
                <w:sz w:val="20"/>
                <w:lang w:eastAsia="lv-LV"/>
              </w:rPr>
              <w:t xml:space="preserve"> </w:t>
            </w:r>
          </w:p>
        </w:tc>
        <w:tc>
          <w:tcPr>
            <w:tcW w:w="3736" w:type="dxa"/>
            <w:vAlign w:val="center"/>
            <w:hideMark/>
          </w:tcPr>
          <w:p w14:paraId="7EAF8B21" w14:textId="0BC22EF9" w:rsidR="009A761D" w:rsidRPr="009A761D" w:rsidRDefault="009A761D" w:rsidP="009A761D">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9A761D">
              <w:rPr>
                <w:color w:val="auto"/>
                <w:sz w:val="20"/>
                <w:lang w:eastAsia="lv-LV"/>
              </w:rPr>
              <w:t>Latvijas Bankas maksājuma precizēšana</w:t>
            </w:r>
          </w:p>
        </w:tc>
        <w:tc>
          <w:tcPr>
            <w:tcW w:w="1127" w:type="dxa"/>
            <w:vAlign w:val="center"/>
            <w:hideMark/>
          </w:tcPr>
          <w:p w14:paraId="2F7960B5" w14:textId="1FB0BE50"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roofErr w:type="spellStart"/>
            <w:r w:rsidRPr="00AF0B21">
              <w:rPr>
                <w:color w:val="auto"/>
                <w:sz w:val="20"/>
                <w:lang w:eastAsia="lv-LV"/>
              </w:rPr>
              <w:t>Nenodokļi</w:t>
            </w:r>
            <w:proofErr w:type="spellEnd"/>
          </w:p>
        </w:tc>
        <w:tc>
          <w:tcPr>
            <w:tcW w:w="776" w:type="dxa"/>
            <w:vAlign w:val="center"/>
            <w:hideMark/>
          </w:tcPr>
          <w:p w14:paraId="5E7FD2FF" w14:textId="3A1D51D7"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D.421</w:t>
            </w:r>
          </w:p>
        </w:tc>
        <w:tc>
          <w:tcPr>
            <w:tcW w:w="1134" w:type="dxa"/>
            <w:vAlign w:val="center"/>
            <w:hideMark/>
          </w:tcPr>
          <w:p w14:paraId="68CE7945" w14:textId="04184E48"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540F36D7" w14:textId="52EFBBCB" w:rsidR="009A761D" w:rsidRPr="00AF0B21" w:rsidRDefault="009A761D" w:rsidP="009A761D">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66B7A9B9" w14:textId="05F85FF4" w:rsidR="009A761D" w:rsidRPr="00AF0B21" w:rsidRDefault="009A761D" w:rsidP="009A761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0,03</w:t>
            </w:r>
          </w:p>
        </w:tc>
        <w:tc>
          <w:tcPr>
            <w:tcW w:w="708" w:type="dxa"/>
            <w:noWrap/>
            <w:vAlign w:val="center"/>
            <w:hideMark/>
          </w:tcPr>
          <w:p w14:paraId="2EF71352" w14:textId="660510D6" w:rsidR="009A761D" w:rsidRPr="00AF0B21" w:rsidRDefault="009A761D" w:rsidP="009A761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c>
          <w:tcPr>
            <w:tcW w:w="709" w:type="dxa"/>
            <w:noWrap/>
            <w:vAlign w:val="center"/>
            <w:hideMark/>
          </w:tcPr>
          <w:p w14:paraId="57AD06F5" w14:textId="26E49AF4" w:rsidR="009A761D" w:rsidRPr="00AF0B21" w:rsidRDefault="009A761D" w:rsidP="009A761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r>
      <w:tr w:rsidR="00C926D2" w:rsidRPr="00481D64" w14:paraId="76266F12" w14:textId="77777777" w:rsidTr="00746D4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137" w:type="dxa"/>
            <w:vMerge w:val="restart"/>
            <w:vAlign w:val="center"/>
            <w:hideMark/>
          </w:tcPr>
          <w:p w14:paraId="652F7DA4" w14:textId="77777777" w:rsidR="00C926D2" w:rsidRPr="00AF0B21" w:rsidRDefault="00C926D2" w:rsidP="00C926D2">
            <w:pPr>
              <w:spacing w:after="0"/>
              <w:ind w:firstLine="0"/>
              <w:rPr>
                <w:b w:val="0"/>
                <w:color w:val="auto"/>
                <w:sz w:val="20"/>
                <w:lang w:eastAsia="lv-LV"/>
              </w:rPr>
            </w:pPr>
            <w:r w:rsidRPr="00AF0B21">
              <w:rPr>
                <w:b w:val="0"/>
                <w:color w:val="auto"/>
                <w:sz w:val="20"/>
                <w:lang w:eastAsia="lv-LV"/>
              </w:rPr>
              <w:t xml:space="preserve">Ieņēmumu no dividendēm palielināšana, saistībā ar  AS "Latvijas valsts meži" maksājumu palielināšanu </w:t>
            </w:r>
          </w:p>
        </w:tc>
        <w:tc>
          <w:tcPr>
            <w:tcW w:w="3736" w:type="dxa"/>
            <w:vMerge w:val="restart"/>
            <w:vAlign w:val="center"/>
            <w:hideMark/>
          </w:tcPr>
          <w:p w14:paraId="69F3DECF" w14:textId="77777777" w:rsidR="00C926D2" w:rsidRPr="00AF0B21" w:rsidRDefault="00C926D2" w:rsidP="00C926D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F0B21">
              <w:rPr>
                <w:color w:val="auto"/>
                <w:sz w:val="20"/>
                <w:lang w:eastAsia="lv-LV"/>
              </w:rPr>
              <w:t xml:space="preserve">Ieņēmumu no dividendēm palielināšana, saistībā ar  AS "Latvijas valsts meži" maksājumu palielināšanu </w:t>
            </w:r>
          </w:p>
        </w:tc>
        <w:tc>
          <w:tcPr>
            <w:tcW w:w="1127" w:type="dxa"/>
            <w:vAlign w:val="center"/>
            <w:hideMark/>
          </w:tcPr>
          <w:p w14:paraId="4BB78A0F" w14:textId="424C63DE"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roofErr w:type="spellStart"/>
            <w:r w:rsidRPr="00AF0B21">
              <w:rPr>
                <w:color w:val="auto"/>
                <w:sz w:val="20"/>
                <w:lang w:eastAsia="lv-LV"/>
              </w:rPr>
              <w:t>Nenodokļi</w:t>
            </w:r>
            <w:proofErr w:type="spellEnd"/>
          </w:p>
        </w:tc>
        <w:tc>
          <w:tcPr>
            <w:tcW w:w="776" w:type="dxa"/>
            <w:vAlign w:val="center"/>
            <w:hideMark/>
          </w:tcPr>
          <w:p w14:paraId="5B3839A3" w14:textId="285B3E94"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D.421</w:t>
            </w:r>
          </w:p>
        </w:tc>
        <w:tc>
          <w:tcPr>
            <w:tcW w:w="1134" w:type="dxa"/>
            <w:vAlign w:val="center"/>
            <w:hideMark/>
          </w:tcPr>
          <w:p w14:paraId="17081A67" w14:textId="4BB58AB4"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2CE9A262" w14:textId="07483CD3"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1A074F96" w14:textId="5E27D1AA"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0,02</w:t>
            </w:r>
          </w:p>
        </w:tc>
        <w:tc>
          <w:tcPr>
            <w:tcW w:w="708" w:type="dxa"/>
            <w:noWrap/>
            <w:vAlign w:val="center"/>
            <w:hideMark/>
          </w:tcPr>
          <w:p w14:paraId="2584F9FF" w14:textId="15E8C178"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-0,01</w:t>
            </w:r>
          </w:p>
        </w:tc>
        <w:tc>
          <w:tcPr>
            <w:tcW w:w="709" w:type="dxa"/>
            <w:noWrap/>
            <w:vAlign w:val="center"/>
            <w:hideMark/>
          </w:tcPr>
          <w:p w14:paraId="79777091" w14:textId="29C597F9"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0,00</w:t>
            </w:r>
          </w:p>
        </w:tc>
      </w:tr>
      <w:tr w:rsidR="00C926D2" w:rsidRPr="00481D64" w14:paraId="1C946B69" w14:textId="77777777" w:rsidTr="00746D4A">
        <w:trPr>
          <w:trHeight w:val="197"/>
        </w:trPr>
        <w:tc>
          <w:tcPr>
            <w:cnfStyle w:val="001000000000" w:firstRow="0" w:lastRow="0" w:firstColumn="1" w:lastColumn="0" w:oddVBand="0" w:evenVBand="0" w:oddHBand="0" w:evenHBand="0" w:firstRowFirstColumn="0" w:firstRowLastColumn="0" w:lastRowFirstColumn="0" w:lastRowLastColumn="0"/>
            <w:tcW w:w="4137" w:type="dxa"/>
            <w:vMerge/>
            <w:vAlign w:val="center"/>
            <w:hideMark/>
          </w:tcPr>
          <w:p w14:paraId="3B80043E" w14:textId="77777777" w:rsidR="00C926D2" w:rsidRPr="00AF0B21" w:rsidRDefault="00C926D2" w:rsidP="00C926D2">
            <w:pPr>
              <w:spacing w:after="0"/>
              <w:ind w:firstLine="0"/>
              <w:rPr>
                <w:b w:val="0"/>
                <w:color w:val="auto"/>
                <w:sz w:val="20"/>
                <w:lang w:eastAsia="lv-LV"/>
              </w:rPr>
            </w:pPr>
          </w:p>
        </w:tc>
        <w:tc>
          <w:tcPr>
            <w:tcW w:w="3736" w:type="dxa"/>
            <w:vMerge/>
            <w:vAlign w:val="center"/>
            <w:hideMark/>
          </w:tcPr>
          <w:p w14:paraId="392F9E5C" w14:textId="77777777" w:rsidR="00C926D2" w:rsidRPr="00AF0B21" w:rsidRDefault="00C926D2" w:rsidP="00C926D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127" w:type="dxa"/>
            <w:vAlign w:val="center"/>
            <w:hideMark/>
          </w:tcPr>
          <w:p w14:paraId="72DAEF1C" w14:textId="77777777"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F0B21">
              <w:rPr>
                <w:color w:val="auto"/>
                <w:sz w:val="20"/>
                <w:lang w:eastAsia="lv-LV"/>
              </w:rPr>
              <w:t>UIN</w:t>
            </w:r>
          </w:p>
        </w:tc>
        <w:tc>
          <w:tcPr>
            <w:tcW w:w="776" w:type="dxa"/>
            <w:vAlign w:val="center"/>
            <w:hideMark/>
          </w:tcPr>
          <w:p w14:paraId="5413EE25" w14:textId="4F2F7963"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D.5</w:t>
            </w:r>
          </w:p>
        </w:tc>
        <w:tc>
          <w:tcPr>
            <w:tcW w:w="1134" w:type="dxa"/>
            <w:vAlign w:val="center"/>
            <w:hideMark/>
          </w:tcPr>
          <w:p w14:paraId="1BA3EDB7" w14:textId="4E875E69"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7AE34B03" w14:textId="5F437F2F"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7CC1A181" w14:textId="0B3A0090" w:rsidR="00C926D2" w:rsidRPr="00AF0B21"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c>
          <w:tcPr>
            <w:tcW w:w="708" w:type="dxa"/>
            <w:noWrap/>
            <w:vAlign w:val="center"/>
            <w:hideMark/>
          </w:tcPr>
          <w:p w14:paraId="2B5DD5F7" w14:textId="203C66CD" w:rsidR="00C926D2" w:rsidRPr="00AF0B21"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c>
          <w:tcPr>
            <w:tcW w:w="709" w:type="dxa"/>
            <w:noWrap/>
            <w:vAlign w:val="center"/>
            <w:hideMark/>
          </w:tcPr>
          <w:p w14:paraId="49E62133" w14:textId="72063AF3" w:rsidR="00C926D2" w:rsidRPr="00AF0B21"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r>
      <w:tr w:rsidR="00C926D2" w:rsidRPr="00481D64" w14:paraId="5ABB1015" w14:textId="77777777" w:rsidTr="00746D4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137" w:type="dxa"/>
            <w:vMerge w:val="restart"/>
            <w:vAlign w:val="center"/>
            <w:hideMark/>
          </w:tcPr>
          <w:p w14:paraId="04E9525F" w14:textId="77777777" w:rsidR="00C926D2" w:rsidRPr="00AF0B21" w:rsidRDefault="00C926D2" w:rsidP="00C926D2">
            <w:pPr>
              <w:spacing w:after="0"/>
              <w:ind w:firstLine="0"/>
              <w:rPr>
                <w:b w:val="0"/>
                <w:color w:val="auto"/>
                <w:sz w:val="20"/>
                <w:lang w:eastAsia="lv-LV"/>
              </w:rPr>
            </w:pPr>
            <w:r w:rsidRPr="00AF0B21">
              <w:rPr>
                <w:b w:val="0"/>
                <w:color w:val="auto"/>
                <w:sz w:val="20"/>
                <w:lang w:eastAsia="lv-LV"/>
              </w:rPr>
              <w:t>Ieņēmumu no dividendēm precizēšana</w:t>
            </w:r>
          </w:p>
        </w:tc>
        <w:tc>
          <w:tcPr>
            <w:tcW w:w="3736" w:type="dxa"/>
            <w:vMerge w:val="restart"/>
            <w:vAlign w:val="center"/>
            <w:hideMark/>
          </w:tcPr>
          <w:p w14:paraId="0609B4F9" w14:textId="77777777" w:rsidR="00C926D2" w:rsidRPr="00AF0B21" w:rsidRDefault="00C926D2" w:rsidP="00C926D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F0B21">
              <w:rPr>
                <w:color w:val="auto"/>
                <w:sz w:val="20"/>
                <w:lang w:eastAsia="lv-LV"/>
              </w:rPr>
              <w:t>Ieņēmumu izmaiņas no AS "Latvenergo" dividendēm, saskaņā ar konceptuālo ziņojumu "Kompleksi pasākumi elektroenerģijas tirgus attīstībai"</w:t>
            </w:r>
          </w:p>
        </w:tc>
        <w:tc>
          <w:tcPr>
            <w:tcW w:w="1127" w:type="dxa"/>
            <w:vAlign w:val="center"/>
            <w:hideMark/>
          </w:tcPr>
          <w:p w14:paraId="3D70593F" w14:textId="5464C0AC"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roofErr w:type="spellStart"/>
            <w:r w:rsidRPr="00AF0B21">
              <w:rPr>
                <w:color w:val="auto"/>
                <w:sz w:val="20"/>
                <w:lang w:eastAsia="lv-LV"/>
              </w:rPr>
              <w:t>Nenodokļi</w:t>
            </w:r>
            <w:proofErr w:type="spellEnd"/>
          </w:p>
        </w:tc>
        <w:tc>
          <w:tcPr>
            <w:tcW w:w="776" w:type="dxa"/>
            <w:vAlign w:val="center"/>
            <w:hideMark/>
          </w:tcPr>
          <w:p w14:paraId="1A1CA6D9" w14:textId="6C8B5920"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D.421</w:t>
            </w:r>
          </w:p>
        </w:tc>
        <w:tc>
          <w:tcPr>
            <w:tcW w:w="1134" w:type="dxa"/>
            <w:vAlign w:val="center"/>
            <w:hideMark/>
          </w:tcPr>
          <w:p w14:paraId="583987F4" w14:textId="6C89EDEA"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32219387" w14:textId="48ACDA8A"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4D256D7F" w14:textId="79EF3C27"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-0,10</w:t>
            </w:r>
          </w:p>
        </w:tc>
        <w:tc>
          <w:tcPr>
            <w:tcW w:w="708" w:type="dxa"/>
            <w:noWrap/>
            <w:vAlign w:val="center"/>
            <w:hideMark/>
          </w:tcPr>
          <w:p w14:paraId="2FE6779B" w14:textId="14FB0476"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0,10</w:t>
            </w:r>
          </w:p>
        </w:tc>
        <w:tc>
          <w:tcPr>
            <w:tcW w:w="709" w:type="dxa"/>
            <w:noWrap/>
            <w:vAlign w:val="center"/>
            <w:hideMark/>
          </w:tcPr>
          <w:p w14:paraId="37874050" w14:textId="6D123C3F"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0,31</w:t>
            </w:r>
          </w:p>
        </w:tc>
      </w:tr>
      <w:tr w:rsidR="00C926D2" w:rsidRPr="00481D64" w14:paraId="75045105" w14:textId="77777777" w:rsidTr="00746D4A">
        <w:trPr>
          <w:trHeight w:val="122"/>
        </w:trPr>
        <w:tc>
          <w:tcPr>
            <w:cnfStyle w:val="001000000000" w:firstRow="0" w:lastRow="0" w:firstColumn="1" w:lastColumn="0" w:oddVBand="0" w:evenVBand="0" w:oddHBand="0" w:evenHBand="0" w:firstRowFirstColumn="0" w:firstRowLastColumn="0" w:lastRowFirstColumn="0" w:lastRowLastColumn="0"/>
            <w:tcW w:w="4137" w:type="dxa"/>
            <w:vMerge/>
            <w:vAlign w:val="center"/>
            <w:hideMark/>
          </w:tcPr>
          <w:p w14:paraId="5564D95C" w14:textId="77777777" w:rsidR="00C926D2" w:rsidRPr="00AF0B21" w:rsidRDefault="00C926D2" w:rsidP="00C926D2">
            <w:pPr>
              <w:spacing w:after="0"/>
              <w:ind w:firstLine="0"/>
              <w:rPr>
                <w:b w:val="0"/>
                <w:color w:val="auto"/>
                <w:sz w:val="20"/>
                <w:lang w:eastAsia="lv-LV"/>
              </w:rPr>
            </w:pPr>
          </w:p>
        </w:tc>
        <w:tc>
          <w:tcPr>
            <w:tcW w:w="3736" w:type="dxa"/>
            <w:vMerge/>
            <w:vAlign w:val="center"/>
            <w:hideMark/>
          </w:tcPr>
          <w:p w14:paraId="18F36F33" w14:textId="77777777" w:rsidR="00C926D2" w:rsidRPr="00AF0B21" w:rsidRDefault="00C926D2" w:rsidP="00C926D2">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127" w:type="dxa"/>
            <w:vAlign w:val="center"/>
            <w:hideMark/>
          </w:tcPr>
          <w:p w14:paraId="4DFDA3A9" w14:textId="18D040EC"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roofErr w:type="spellStart"/>
            <w:r w:rsidRPr="00AF0B21">
              <w:rPr>
                <w:color w:val="auto"/>
                <w:sz w:val="20"/>
                <w:lang w:eastAsia="lv-LV"/>
              </w:rPr>
              <w:t>Nenodokļi</w:t>
            </w:r>
            <w:proofErr w:type="spellEnd"/>
          </w:p>
        </w:tc>
        <w:tc>
          <w:tcPr>
            <w:tcW w:w="776" w:type="dxa"/>
            <w:vAlign w:val="center"/>
            <w:hideMark/>
          </w:tcPr>
          <w:p w14:paraId="167C63B6" w14:textId="38E70C26"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D.5</w:t>
            </w:r>
          </w:p>
        </w:tc>
        <w:tc>
          <w:tcPr>
            <w:tcW w:w="1134" w:type="dxa"/>
            <w:vAlign w:val="center"/>
            <w:hideMark/>
          </w:tcPr>
          <w:p w14:paraId="3D0A0460" w14:textId="7D974876"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4456A6C0" w14:textId="4397912E" w:rsidR="00C926D2" w:rsidRPr="00AF0B21"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4B47DF5A" w14:textId="0A9D4519" w:rsidR="00C926D2" w:rsidRPr="00AF0B21"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c>
          <w:tcPr>
            <w:tcW w:w="708" w:type="dxa"/>
            <w:noWrap/>
            <w:vAlign w:val="center"/>
            <w:hideMark/>
          </w:tcPr>
          <w:p w14:paraId="1F50641A" w14:textId="3C2D1F35" w:rsidR="00C926D2" w:rsidRPr="00AF0B21"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c>
          <w:tcPr>
            <w:tcW w:w="709" w:type="dxa"/>
            <w:noWrap/>
            <w:vAlign w:val="center"/>
            <w:hideMark/>
          </w:tcPr>
          <w:p w14:paraId="6A1CFC34" w14:textId="6CA9A0F4" w:rsidR="00C926D2" w:rsidRPr="00AF0B21"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0,08</w:t>
            </w:r>
          </w:p>
        </w:tc>
      </w:tr>
      <w:tr w:rsidR="00C926D2" w:rsidRPr="00481D64" w14:paraId="16B636B9" w14:textId="77777777" w:rsidTr="00746D4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137" w:type="dxa"/>
            <w:vAlign w:val="center"/>
            <w:hideMark/>
          </w:tcPr>
          <w:p w14:paraId="41A52FDE" w14:textId="22F496FF" w:rsidR="00C926D2" w:rsidRPr="00AF0B21" w:rsidRDefault="00C926D2" w:rsidP="00C926D2">
            <w:pPr>
              <w:spacing w:after="0"/>
              <w:ind w:firstLine="0"/>
              <w:rPr>
                <w:b w:val="0"/>
                <w:color w:val="auto"/>
                <w:sz w:val="20"/>
                <w:lang w:eastAsia="lv-LV"/>
              </w:rPr>
            </w:pPr>
            <w:r w:rsidRPr="00AF0B21">
              <w:rPr>
                <w:b w:val="0"/>
                <w:color w:val="auto"/>
                <w:sz w:val="20"/>
                <w:lang w:eastAsia="lv-LV"/>
              </w:rPr>
              <w:t xml:space="preserve">Palielināt prognozētos PVN ieņēmumus par noteiktu pasažieru kategoriju ar braukšanas maksas atvieglojumiem pārvadāšanu sabiedriskajā transportā </w:t>
            </w:r>
          </w:p>
        </w:tc>
        <w:tc>
          <w:tcPr>
            <w:tcW w:w="3736" w:type="dxa"/>
            <w:vAlign w:val="center"/>
            <w:hideMark/>
          </w:tcPr>
          <w:p w14:paraId="792A25A5" w14:textId="32FD9E0F" w:rsidR="00C926D2" w:rsidRPr="00AF0B21" w:rsidRDefault="009A761D" w:rsidP="00C926D2">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EE7BC8">
              <w:rPr>
                <w:color w:val="000000"/>
                <w:sz w:val="20"/>
                <w:lang w:eastAsia="lv-LV"/>
              </w:rPr>
              <w:t xml:space="preserve">PVN ieņēmumu pieaugums </w:t>
            </w:r>
            <w:r>
              <w:rPr>
                <w:color w:val="000000"/>
                <w:sz w:val="20"/>
                <w:lang w:eastAsia="lv-LV"/>
              </w:rPr>
              <w:t>saistībā ar</w:t>
            </w:r>
            <w:r>
              <w:t xml:space="preserve"> </w:t>
            </w:r>
            <w:r w:rsidRPr="00C63732">
              <w:rPr>
                <w:color w:val="000000"/>
                <w:sz w:val="20"/>
                <w:lang w:eastAsia="lv-LV"/>
              </w:rPr>
              <w:t>dotācij</w:t>
            </w:r>
            <w:r>
              <w:rPr>
                <w:color w:val="000000"/>
                <w:sz w:val="20"/>
                <w:lang w:eastAsia="lv-LV"/>
              </w:rPr>
              <w:t>u</w:t>
            </w:r>
            <w:r w:rsidRPr="00C63732">
              <w:rPr>
                <w:color w:val="000000"/>
                <w:sz w:val="20"/>
                <w:lang w:eastAsia="lv-LV"/>
              </w:rPr>
              <w:t xml:space="preserve"> sabiedriskā transporta pakalpojumu sniedzējiem ar braukšanas maksas atvieglojumiem saistīto zaudējumu segšanai</w:t>
            </w:r>
          </w:p>
        </w:tc>
        <w:tc>
          <w:tcPr>
            <w:tcW w:w="1127" w:type="dxa"/>
            <w:vAlign w:val="center"/>
            <w:hideMark/>
          </w:tcPr>
          <w:p w14:paraId="60F32E84" w14:textId="10FB1922"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PVN</w:t>
            </w:r>
          </w:p>
        </w:tc>
        <w:tc>
          <w:tcPr>
            <w:tcW w:w="776" w:type="dxa"/>
            <w:vAlign w:val="center"/>
            <w:hideMark/>
          </w:tcPr>
          <w:p w14:paraId="6C4C564B" w14:textId="3DDDBE1A"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D.2</w:t>
            </w:r>
          </w:p>
        </w:tc>
        <w:tc>
          <w:tcPr>
            <w:tcW w:w="1134" w:type="dxa"/>
            <w:vAlign w:val="center"/>
            <w:hideMark/>
          </w:tcPr>
          <w:p w14:paraId="47975B01" w14:textId="066F5E2E"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vAlign w:val="center"/>
            <w:hideMark/>
          </w:tcPr>
          <w:p w14:paraId="148B149A" w14:textId="06D4CECB" w:rsidR="00C926D2" w:rsidRPr="00AF0B21" w:rsidRDefault="00C926D2" w:rsidP="00C926D2">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hideMark/>
          </w:tcPr>
          <w:p w14:paraId="36A20640" w14:textId="7F78C73F"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0,01</w:t>
            </w:r>
          </w:p>
        </w:tc>
        <w:tc>
          <w:tcPr>
            <w:tcW w:w="708" w:type="dxa"/>
            <w:noWrap/>
            <w:vAlign w:val="center"/>
            <w:hideMark/>
          </w:tcPr>
          <w:p w14:paraId="00D6A8D5" w14:textId="196B2F15"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0,00</w:t>
            </w:r>
          </w:p>
        </w:tc>
        <w:tc>
          <w:tcPr>
            <w:tcW w:w="709" w:type="dxa"/>
            <w:noWrap/>
            <w:vAlign w:val="center"/>
            <w:hideMark/>
          </w:tcPr>
          <w:p w14:paraId="4617B637" w14:textId="447049BA" w:rsidR="00C926D2" w:rsidRPr="00AF0B21" w:rsidRDefault="00C926D2" w:rsidP="00C926D2">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color w:val="auto"/>
                <w:sz w:val="20"/>
                <w:lang w:eastAsia="lv-LV"/>
              </w:rPr>
              <w:t>0,00</w:t>
            </w:r>
          </w:p>
        </w:tc>
      </w:tr>
      <w:tr w:rsidR="00C926D2" w:rsidRPr="00481D64" w14:paraId="2E63A65A" w14:textId="77777777" w:rsidTr="00746D4A">
        <w:trPr>
          <w:trHeight w:val="84"/>
        </w:trPr>
        <w:tc>
          <w:tcPr>
            <w:cnfStyle w:val="001000000000" w:firstRow="0" w:lastRow="0" w:firstColumn="1" w:lastColumn="0" w:oddVBand="0" w:evenVBand="0" w:oddHBand="0" w:evenHBand="0" w:firstRowFirstColumn="0" w:firstRowLastColumn="0" w:lastRowFirstColumn="0" w:lastRowLastColumn="0"/>
            <w:tcW w:w="4137" w:type="dxa"/>
          </w:tcPr>
          <w:p w14:paraId="3C2E4ED3" w14:textId="1F345657" w:rsidR="00C926D2" w:rsidRPr="00481D64" w:rsidRDefault="00C926D2" w:rsidP="00C926D2">
            <w:pPr>
              <w:spacing w:after="0"/>
              <w:ind w:firstLine="0"/>
              <w:jc w:val="left"/>
              <w:rPr>
                <w:b w:val="0"/>
                <w:color w:val="auto"/>
                <w:sz w:val="20"/>
                <w:lang w:eastAsia="lv-LV"/>
              </w:rPr>
            </w:pPr>
            <w:r w:rsidRPr="00481D64">
              <w:rPr>
                <w:b w:val="0"/>
                <w:color w:val="auto"/>
                <w:sz w:val="20"/>
                <w:lang w:eastAsia="lv-LV"/>
              </w:rPr>
              <w:t>Pārējie pasākumi kopā</w:t>
            </w:r>
          </w:p>
        </w:tc>
        <w:tc>
          <w:tcPr>
            <w:tcW w:w="3736" w:type="dxa"/>
          </w:tcPr>
          <w:p w14:paraId="5792D11D" w14:textId="77777777" w:rsidR="00C926D2" w:rsidRPr="00481D64" w:rsidRDefault="00C926D2" w:rsidP="00C926D2">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127" w:type="dxa"/>
          </w:tcPr>
          <w:p w14:paraId="366D24EB" w14:textId="77777777" w:rsidR="00C926D2" w:rsidRPr="00481D64" w:rsidRDefault="00C926D2" w:rsidP="00C926D2">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76" w:type="dxa"/>
          </w:tcPr>
          <w:p w14:paraId="142E2DFB" w14:textId="77777777" w:rsidR="00C926D2" w:rsidRPr="00481D64"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134" w:type="dxa"/>
            <w:vAlign w:val="center"/>
          </w:tcPr>
          <w:p w14:paraId="4AA6AB28" w14:textId="4464C8E8" w:rsidR="00C926D2" w:rsidRPr="00481D64"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A2574C">
              <w:rPr>
                <w:color w:val="auto"/>
                <w:sz w:val="20"/>
                <w:lang w:eastAsia="lv-LV"/>
              </w:rPr>
              <w:t>Uzkrājuma</w:t>
            </w:r>
          </w:p>
        </w:tc>
        <w:tc>
          <w:tcPr>
            <w:tcW w:w="1843" w:type="dxa"/>
          </w:tcPr>
          <w:p w14:paraId="7701077A" w14:textId="5D721660" w:rsidR="00C926D2" w:rsidRPr="00481D64" w:rsidRDefault="00C926D2" w:rsidP="00C926D2">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F8094A">
              <w:rPr>
                <w:color w:val="auto"/>
                <w:sz w:val="20"/>
                <w:lang w:eastAsia="lv-LV"/>
              </w:rPr>
              <w:t>Apstiprināts valdībā</w:t>
            </w:r>
          </w:p>
        </w:tc>
        <w:tc>
          <w:tcPr>
            <w:tcW w:w="709" w:type="dxa"/>
            <w:noWrap/>
            <w:vAlign w:val="center"/>
          </w:tcPr>
          <w:p w14:paraId="7D88CD60" w14:textId="29CCF0FD" w:rsidR="00C926D2" w:rsidRPr="00481D64" w:rsidRDefault="00C926D2" w:rsidP="009A761D">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w:t>
            </w:r>
            <w:r w:rsidR="009A761D">
              <w:rPr>
                <w:color w:val="auto"/>
                <w:sz w:val="20"/>
                <w:lang w:eastAsia="lv-LV"/>
              </w:rPr>
              <w:t>2</w:t>
            </w:r>
          </w:p>
        </w:tc>
        <w:tc>
          <w:tcPr>
            <w:tcW w:w="708" w:type="dxa"/>
            <w:noWrap/>
            <w:vAlign w:val="center"/>
          </w:tcPr>
          <w:p w14:paraId="043BD809" w14:textId="20762382" w:rsidR="00C926D2" w:rsidRPr="00481D64"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c>
          <w:tcPr>
            <w:tcW w:w="709" w:type="dxa"/>
            <w:noWrap/>
            <w:vAlign w:val="center"/>
          </w:tcPr>
          <w:p w14:paraId="06DB8400" w14:textId="3ECF622E" w:rsidR="00C926D2" w:rsidRPr="00481D64" w:rsidRDefault="00C926D2" w:rsidP="00C926D2">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481D64">
              <w:rPr>
                <w:color w:val="auto"/>
                <w:sz w:val="20"/>
                <w:lang w:eastAsia="lv-LV"/>
              </w:rPr>
              <w:t>0,00</w:t>
            </w:r>
          </w:p>
        </w:tc>
      </w:tr>
      <w:tr w:rsidR="008732A9" w:rsidRPr="00481D64" w14:paraId="2824C5B6" w14:textId="77777777" w:rsidTr="00746D4A">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2753" w:type="dxa"/>
            <w:gridSpan w:val="6"/>
            <w:vAlign w:val="center"/>
          </w:tcPr>
          <w:p w14:paraId="4B1D2933" w14:textId="72206193" w:rsidR="008732A9" w:rsidRPr="00481D64" w:rsidRDefault="008732A9" w:rsidP="00E50B64">
            <w:pPr>
              <w:spacing w:after="0"/>
              <w:ind w:firstLine="0"/>
              <w:jc w:val="right"/>
              <w:rPr>
                <w:color w:val="auto"/>
                <w:sz w:val="20"/>
                <w:lang w:eastAsia="lv-LV"/>
              </w:rPr>
            </w:pPr>
            <w:r w:rsidRPr="00481D64">
              <w:rPr>
                <w:color w:val="auto"/>
                <w:sz w:val="20"/>
                <w:lang w:eastAsia="lv-LV"/>
              </w:rPr>
              <w:t>Kopā</w:t>
            </w:r>
          </w:p>
        </w:tc>
        <w:tc>
          <w:tcPr>
            <w:tcW w:w="709" w:type="dxa"/>
            <w:noWrap/>
            <w:vAlign w:val="center"/>
          </w:tcPr>
          <w:p w14:paraId="38C2550E" w14:textId="39AA21BC" w:rsidR="008732A9" w:rsidRPr="00481D64" w:rsidRDefault="008732A9" w:rsidP="008732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b/>
                <w:bCs/>
                <w:color w:val="auto"/>
                <w:sz w:val="20"/>
                <w:lang w:eastAsia="lv-LV"/>
              </w:rPr>
              <w:t>-0,02</w:t>
            </w:r>
          </w:p>
        </w:tc>
        <w:tc>
          <w:tcPr>
            <w:tcW w:w="708" w:type="dxa"/>
            <w:noWrap/>
            <w:vAlign w:val="center"/>
          </w:tcPr>
          <w:p w14:paraId="1245D786" w14:textId="4EDCFC9E" w:rsidR="008732A9" w:rsidRPr="00481D64" w:rsidRDefault="008732A9" w:rsidP="008732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b/>
                <w:bCs/>
                <w:color w:val="auto"/>
                <w:sz w:val="20"/>
                <w:lang w:eastAsia="lv-LV"/>
              </w:rPr>
              <w:t>0,13</w:t>
            </w:r>
          </w:p>
        </w:tc>
        <w:tc>
          <w:tcPr>
            <w:tcW w:w="709" w:type="dxa"/>
            <w:noWrap/>
            <w:vAlign w:val="center"/>
          </w:tcPr>
          <w:p w14:paraId="1C69F690" w14:textId="0ED412A4" w:rsidR="008732A9" w:rsidRPr="00481D64" w:rsidRDefault="008732A9" w:rsidP="008732A9">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481D64">
              <w:rPr>
                <w:b/>
                <w:bCs/>
                <w:color w:val="auto"/>
                <w:sz w:val="20"/>
                <w:lang w:eastAsia="lv-LV"/>
              </w:rPr>
              <w:t>0,39</w:t>
            </w:r>
          </w:p>
        </w:tc>
      </w:tr>
    </w:tbl>
    <w:p w14:paraId="026BB092" w14:textId="5BAD26D0" w:rsidR="00161EBA" w:rsidRDefault="00161EBA">
      <w:pPr>
        <w:spacing w:after="0"/>
        <w:ind w:firstLine="0"/>
        <w:jc w:val="left"/>
        <w:rPr>
          <w:b/>
          <w:bCs/>
          <w:color w:val="18185F"/>
          <w:szCs w:val="28"/>
          <w:lang w:val="x-none" w:eastAsia="x-none"/>
        </w:rPr>
      </w:pPr>
    </w:p>
    <w:p w14:paraId="3512E6B4" w14:textId="1C224CAA" w:rsidR="00C3203D" w:rsidRPr="00C3203D" w:rsidRDefault="00C3203D" w:rsidP="00C3203D">
      <w:pPr>
        <w:pStyle w:val="Heading1"/>
        <w:tabs>
          <w:tab w:val="left" w:pos="1276"/>
        </w:tabs>
        <w:spacing w:before="0" w:after="240"/>
        <w:ind w:left="1276" w:hanging="1276"/>
        <w:jc w:val="left"/>
        <w:rPr>
          <w:rFonts w:ascii="Times New Roman" w:hAnsi="Times New Roman"/>
          <w:color w:val="18185F"/>
          <w:sz w:val="24"/>
          <w:lang w:val="lv-LV"/>
        </w:rPr>
      </w:pPr>
      <w:bookmarkStart w:id="24" w:name="_Toc494786356"/>
      <w:r w:rsidRPr="00DC2914">
        <w:rPr>
          <w:rFonts w:ascii="Times New Roman" w:hAnsi="Times New Roman"/>
          <w:color w:val="18185F"/>
          <w:sz w:val="24"/>
        </w:rPr>
        <w:lastRenderedPageBreak/>
        <w:t>5.b</w:t>
      </w:r>
      <w:r>
        <w:rPr>
          <w:rFonts w:ascii="Times New Roman" w:hAnsi="Times New Roman"/>
          <w:color w:val="18185F"/>
          <w:sz w:val="24"/>
          <w:lang w:val="lv-LV"/>
        </w:rPr>
        <w:t>.ii)</w:t>
      </w:r>
      <w:r w:rsidR="00D77A24">
        <w:rPr>
          <w:rFonts w:ascii="Times New Roman" w:hAnsi="Times New Roman"/>
          <w:color w:val="18185F"/>
          <w:sz w:val="24"/>
        </w:rPr>
        <w:t>:</w:t>
      </w:r>
      <w:r w:rsidRPr="00DC2914">
        <w:rPr>
          <w:rFonts w:ascii="Times New Roman" w:hAnsi="Times New Roman"/>
          <w:color w:val="18185F"/>
          <w:sz w:val="24"/>
        </w:rPr>
        <w:t xml:space="preserve"> </w:t>
      </w:r>
      <w:proofErr w:type="spellStart"/>
      <w:r w:rsidRPr="00DC2914">
        <w:rPr>
          <w:rFonts w:ascii="Times New Roman" w:hAnsi="Times New Roman"/>
          <w:color w:val="18185F"/>
          <w:sz w:val="24"/>
        </w:rPr>
        <w:t>Diskrecionārie</w:t>
      </w:r>
      <w:proofErr w:type="spellEnd"/>
      <w:r w:rsidRPr="00DC2914">
        <w:rPr>
          <w:rFonts w:ascii="Times New Roman" w:hAnsi="Times New Roman"/>
          <w:color w:val="18185F"/>
          <w:sz w:val="24"/>
          <w:lang w:val="lv-LV"/>
        </w:rPr>
        <w:t xml:space="preserve"> </w:t>
      </w:r>
      <w:r>
        <w:rPr>
          <w:rFonts w:ascii="Times New Roman" w:hAnsi="Times New Roman"/>
          <w:color w:val="18185F"/>
          <w:sz w:val="24"/>
          <w:lang w:val="lv-LV"/>
        </w:rPr>
        <w:t>izdevumi</w:t>
      </w:r>
      <w:r w:rsidRPr="00DC2914">
        <w:rPr>
          <w:rFonts w:ascii="Times New Roman" w:hAnsi="Times New Roman"/>
          <w:color w:val="18185F"/>
          <w:sz w:val="24"/>
        </w:rPr>
        <w:t xml:space="preserve"> pasākumi </w:t>
      </w:r>
      <w:r w:rsidRPr="00DC2914">
        <w:rPr>
          <w:rFonts w:ascii="Times New Roman" w:hAnsi="Times New Roman"/>
          <w:color w:val="18185F"/>
          <w:sz w:val="24"/>
          <w:lang w:val="lv-LV"/>
        </w:rPr>
        <w:t>centrālās valdības budžetā</w:t>
      </w:r>
      <w:bookmarkEnd w:id="24"/>
    </w:p>
    <w:tbl>
      <w:tblPr>
        <w:tblStyle w:val="GridTable6Colorful-Accent11"/>
        <w:tblpPr w:leftFromText="180" w:rightFromText="180" w:vertAnchor="text" w:tblpY="1"/>
        <w:tblW w:w="15027" w:type="dxa"/>
        <w:tblLook w:val="04A0" w:firstRow="1" w:lastRow="0" w:firstColumn="1" w:lastColumn="0" w:noHBand="0" w:noVBand="1"/>
      </w:tblPr>
      <w:tblGrid>
        <w:gridCol w:w="8075"/>
        <w:gridCol w:w="985"/>
        <w:gridCol w:w="1572"/>
        <w:gridCol w:w="1843"/>
        <w:gridCol w:w="851"/>
        <w:gridCol w:w="850"/>
        <w:gridCol w:w="851"/>
      </w:tblGrid>
      <w:tr w:rsidR="006F092D" w:rsidRPr="00EE09CC" w14:paraId="7D041A48" w14:textId="77777777" w:rsidTr="00726CC8">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075" w:type="dxa"/>
            <w:vMerge w:val="restart"/>
            <w:vAlign w:val="center"/>
            <w:hideMark/>
          </w:tcPr>
          <w:p w14:paraId="55A36825" w14:textId="77777777" w:rsidR="006F092D" w:rsidRPr="00A74DD4" w:rsidRDefault="006F092D" w:rsidP="007B72E9">
            <w:pPr>
              <w:spacing w:after="0"/>
              <w:ind w:firstLine="0"/>
              <w:jc w:val="center"/>
              <w:rPr>
                <w:color w:val="auto"/>
                <w:sz w:val="20"/>
                <w:lang w:eastAsia="lv-LV"/>
              </w:rPr>
            </w:pPr>
            <w:r w:rsidRPr="00A74DD4">
              <w:rPr>
                <w:color w:val="auto"/>
                <w:sz w:val="20"/>
                <w:lang w:eastAsia="lv-LV"/>
              </w:rPr>
              <w:t>Pasākumu saraksts</w:t>
            </w:r>
          </w:p>
        </w:tc>
        <w:tc>
          <w:tcPr>
            <w:tcW w:w="985" w:type="dxa"/>
            <w:vMerge w:val="restart"/>
            <w:vAlign w:val="center"/>
            <w:hideMark/>
          </w:tcPr>
          <w:p w14:paraId="78DF2FE6" w14:textId="77777777" w:rsidR="006F092D" w:rsidRPr="00A74DD4" w:rsidRDefault="006F092D" w:rsidP="007B72E9">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74DD4">
              <w:rPr>
                <w:color w:val="auto"/>
                <w:sz w:val="20"/>
                <w:lang w:eastAsia="lv-LV"/>
              </w:rPr>
              <w:t>EKS kods</w:t>
            </w:r>
          </w:p>
        </w:tc>
        <w:tc>
          <w:tcPr>
            <w:tcW w:w="1572" w:type="dxa"/>
            <w:vMerge w:val="restart"/>
            <w:vAlign w:val="center"/>
            <w:hideMark/>
          </w:tcPr>
          <w:p w14:paraId="253D904E" w14:textId="77777777" w:rsidR="006F092D" w:rsidRPr="00A74DD4" w:rsidRDefault="006F092D" w:rsidP="007B72E9">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74DD4">
              <w:rPr>
                <w:color w:val="auto"/>
                <w:sz w:val="20"/>
                <w:lang w:eastAsia="lv-LV"/>
              </w:rPr>
              <w:t>Uzskaites princips</w:t>
            </w:r>
          </w:p>
        </w:tc>
        <w:tc>
          <w:tcPr>
            <w:tcW w:w="1843" w:type="dxa"/>
            <w:vMerge w:val="restart"/>
            <w:vAlign w:val="center"/>
            <w:hideMark/>
          </w:tcPr>
          <w:p w14:paraId="45D5BCA7" w14:textId="77777777" w:rsidR="006F092D" w:rsidRPr="00A74DD4" w:rsidRDefault="006F092D" w:rsidP="007B72E9">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74DD4">
              <w:rPr>
                <w:color w:val="auto"/>
                <w:sz w:val="20"/>
                <w:lang w:eastAsia="lv-LV"/>
              </w:rPr>
              <w:t>Pieņemšanas statuss</w:t>
            </w:r>
          </w:p>
        </w:tc>
        <w:tc>
          <w:tcPr>
            <w:tcW w:w="2552" w:type="dxa"/>
            <w:gridSpan w:val="3"/>
            <w:noWrap/>
            <w:vAlign w:val="center"/>
            <w:hideMark/>
          </w:tcPr>
          <w:p w14:paraId="33B334FA" w14:textId="77777777" w:rsidR="006F092D" w:rsidRPr="00A74DD4" w:rsidRDefault="006F092D" w:rsidP="007B72E9">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A74DD4">
              <w:rPr>
                <w:color w:val="auto"/>
                <w:sz w:val="20"/>
                <w:lang w:eastAsia="lv-LV"/>
              </w:rPr>
              <w:t>Ietekme uz budžetu</w:t>
            </w:r>
          </w:p>
        </w:tc>
      </w:tr>
      <w:tr w:rsidR="006F092D" w:rsidRPr="00EE09CC" w14:paraId="564D022E" w14:textId="77777777" w:rsidTr="00726CC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075" w:type="dxa"/>
            <w:vMerge/>
            <w:hideMark/>
          </w:tcPr>
          <w:p w14:paraId="21713697" w14:textId="77777777" w:rsidR="006F092D" w:rsidRPr="00A74DD4" w:rsidRDefault="006F092D" w:rsidP="007B72E9">
            <w:pPr>
              <w:spacing w:after="0"/>
              <w:ind w:firstLine="0"/>
              <w:jc w:val="center"/>
              <w:rPr>
                <w:color w:val="auto"/>
                <w:sz w:val="20"/>
                <w:lang w:eastAsia="lv-LV"/>
              </w:rPr>
            </w:pPr>
          </w:p>
        </w:tc>
        <w:tc>
          <w:tcPr>
            <w:tcW w:w="985" w:type="dxa"/>
            <w:vMerge/>
            <w:hideMark/>
          </w:tcPr>
          <w:p w14:paraId="0F481134" w14:textId="77777777" w:rsidR="006F092D" w:rsidRPr="00A74DD4" w:rsidRDefault="006F092D" w:rsidP="007B72E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572" w:type="dxa"/>
            <w:vMerge/>
            <w:hideMark/>
          </w:tcPr>
          <w:p w14:paraId="5AC8C344" w14:textId="77777777" w:rsidR="006F092D" w:rsidRPr="00A74DD4" w:rsidRDefault="006F092D" w:rsidP="007B72E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843" w:type="dxa"/>
            <w:vMerge/>
            <w:vAlign w:val="center"/>
            <w:hideMark/>
          </w:tcPr>
          <w:p w14:paraId="62F7FD90" w14:textId="77777777" w:rsidR="006F092D" w:rsidRPr="00A74DD4" w:rsidRDefault="006F092D" w:rsidP="007B72E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851" w:type="dxa"/>
            <w:noWrap/>
            <w:vAlign w:val="center"/>
            <w:hideMark/>
          </w:tcPr>
          <w:p w14:paraId="5EC772CC" w14:textId="77777777" w:rsidR="006F092D" w:rsidRPr="00A74DD4" w:rsidRDefault="006F092D" w:rsidP="007B72E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A74DD4">
              <w:rPr>
                <w:b/>
                <w:bCs/>
                <w:color w:val="auto"/>
                <w:sz w:val="20"/>
                <w:lang w:eastAsia="lv-LV"/>
              </w:rPr>
              <w:t>2018</w:t>
            </w:r>
          </w:p>
        </w:tc>
        <w:tc>
          <w:tcPr>
            <w:tcW w:w="850" w:type="dxa"/>
            <w:noWrap/>
            <w:vAlign w:val="center"/>
            <w:hideMark/>
          </w:tcPr>
          <w:p w14:paraId="248BF51F" w14:textId="77777777" w:rsidR="006F092D" w:rsidRPr="00A74DD4" w:rsidRDefault="006F092D" w:rsidP="007B72E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A74DD4">
              <w:rPr>
                <w:b/>
                <w:bCs/>
                <w:color w:val="auto"/>
                <w:sz w:val="20"/>
                <w:lang w:eastAsia="lv-LV"/>
              </w:rPr>
              <w:t>2019</w:t>
            </w:r>
          </w:p>
        </w:tc>
        <w:tc>
          <w:tcPr>
            <w:tcW w:w="851" w:type="dxa"/>
            <w:noWrap/>
            <w:vAlign w:val="center"/>
            <w:hideMark/>
          </w:tcPr>
          <w:p w14:paraId="28476727" w14:textId="77777777" w:rsidR="006F092D" w:rsidRPr="00A74DD4" w:rsidRDefault="006F092D" w:rsidP="007B72E9">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A74DD4">
              <w:rPr>
                <w:b/>
                <w:bCs/>
                <w:color w:val="auto"/>
                <w:sz w:val="20"/>
                <w:lang w:eastAsia="lv-LV"/>
              </w:rPr>
              <w:t>2020</w:t>
            </w:r>
          </w:p>
        </w:tc>
      </w:tr>
      <w:tr w:rsidR="006F092D" w:rsidRPr="00EE09CC" w14:paraId="287E99EE" w14:textId="77777777" w:rsidTr="00726CC8">
        <w:trPr>
          <w:trHeight w:val="225"/>
        </w:trPr>
        <w:tc>
          <w:tcPr>
            <w:cnfStyle w:val="001000000000" w:firstRow="0" w:lastRow="0" w:firstColumn="1" w:lastColumn="0" w:oddVBand="0" w:evenVBand="0" w:oddHBand="0" w:evenHBand="0" w:firstRowFirstColumn="0" w:firstRowLastColumn="0" w:lastRowFirstColumn="0" w:lastRowLastColumn="0"/>
            <w:tcW w:w="8075" w:type="dxa"/>
            <w:vMerge/>
            <w:hideMark/>
          </w:tcPr>
          <w:p w14:paraId="635995B2" w14:textId="77777777" w:rsidR="006F092D" w:rsidRPr="00A74DD4" w:rsidRDefault="006F092D" w:rsidP="007B72E9">
            <w:pPr>
              <w:spacing w:after="0"/>
              <w:ind w:firstLine="0"/>
              <w:jc w:val="center"/>
              <w:rPr>
                <w:color w:val="auto"/>
                <w:sz w:val="20"/>
                <w:lang w:eastAsia="lv-LV"/>
              </w:rPr>
            </w:pPr>
          </w:p>
        </w:tc>
        <w:tc>
          <w:tcPr>
            <w:tcW w:w="985" w:type="dxa"/>
            <w:vMerge/>
            <w:hideMark/>
          </w:tcPr>
          <w:p w14:paraId="7ED0B895" w14:textId="77777777" w:rsidR="006F092D" w:rsidRPr="00A74DD4" w:rsidRDefault="006F092D" w:rsidP="007B72E9">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572" w:type="dxa"/>
            <w:vMerge/>
            <w:hideMark/>
          </w:tcPr>
          <w:p w14:paraId="2846340D" w14:textId="77777777" w:rsidR="006F092D" w:rsidRPr="00A74DD4" w:rsidRDefault="006F092D" w:rsidP="007B72E9">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843" w:type="dxa"/>
            <w:vMerge/>
            <w:vAlign w:val="center"/>
            <w:hideMark/>
          </w:tcPr>
          <w:p w14:paraId="28479D62" w14:textId="77777777" w:rsidR="006F092D" w:rsidRPr="00A74DD4" w:rsidRDefault="006F092D" w:rsidP="007B72E9">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552" w:type="dxa"/>
            <w:gridSpan w:val="3"/>
            <w:vAlign w:val="center"/>
            <w:hideMark/>
          </w:tcPr>
          <w:p w14:paraId="5E6D7717" w14:textId="77777777" w:rsidR="006F092D" w:rsidRPr="00A74DD4" w:rsidRDefault="006F092D" w:rsidP="007B72E9">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A74DD4">
              <w:rPr>
                <w:b/>
                <w:bCs/>
                <w:color w:val="auto"/>
                <w:sz w:val="20"/>
                <w:lang w:eastAsia="lv-LV"/>
              </w:rPr>
              <w:t>% no IKP</w:t>
            </w:r>
          </w:p>
        </w:tc>
      </w:tr>
      <w:tr w:rsidR="00726CC8" w:rsidRPr="00EE09CC" w14:paraId="0416B489" w14:textId="77777777" w:rsidTr="00726CC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075" w:type="dxa"/>
          </w:tcPr>
          <w:p w14:paraId="1BE3FA82" w14:textId="77777777" w:rsidR="00726CC8" w:rsidRPr="00A74DD4" w:rsidRDefault="00726CC8" w:rsidP="00726CC8">
            <w:pPr>
              <w:spacing w:after="0"/>
              <w:ind w:firstLine="0"/>
              <w:rPr>
                <w:b w:val="0"/>
                <w:color w:val="auto"/>
                <w:sz w:val="20"/>
                <w:lang w:eastAsia="lv-LV"/>
              </w:rPr>
            </w:pPr>
            <w:r w:rsidRPr="00A74DD4">
              <w:rPr>
                <w:b w:val="0"/>
                <w:color w:val="000000"/>
                <w:sz w:val="20"/>
                <w:lang w:eastAsia="lv-LV"/>
              </w:rPr>
              <w:t>Citi pasākumi (finansējuma pārdales (t.sk., ES fondu īstenošanai, ieņēmumu no maksas pakalpojumiem un citu pašu ieņēmumu palielinājums u.c.)</w:t>
            </w:r>
          </w:p>
        </w:tc>
        <w:tc>
          <w:tcPr>
            <w:tcW w:w="985" w:type="dxa"/>
            <w:noWrap/>
            <w:vAlign w:val="center"/>
          </w:tcPr>
          <w:p w14:paraId="140E05CD"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572" w:type="dxa"/>
          </w:tcPr>
          <w:p w14:paraId="79014244"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Naudas plūsma</w:t>
            </w:r>
          </w:p>
        </w:tc>
        <w:tc>
          <w:tcPr>
            <w:tcW w:w="1843" w:type="dxa"/>
            <w:vAlign w:val="center"/>
          </w:tcPr>
          <w:p w14:paraId="40581EC4"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74DD4">
              <w:rPr>
                <w:color w:val="000000"/>
                <w:sz w:val="20"/>
                <w:lang w:eastAsia="lv-LV"/>
              </w:rPr>
              <w:t>Apstiprināts valdībā</w:t>
            </w:r>
          </w:p>
        </w:tc>
        <w:tc>
          <w:tcPr>
            <w:tcW w:w="851" w:type="dxa"/>
            <w:noWrap/>
            <w:vAlign w:val="center"/>
          </w:tcPr>
          <w:p w14:paraId="0FA12CFB"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74DD4">
              <w:rPr>
                <w:color w:val="000000"/>
                <w:sz w:val="20"/>
                <w:lang w:eastAsia="lv-LV"/>
              </w:rPr>
              <w:t>0,04</w:t>
            </w:r>
          </w:p>
        </w:tc>
        <w:tc>
          <w:tcPr>
            <w:tcW w:w="850" w:type="dxa"/>
            <w:noWrap/>
            <w:vAlign w:val="center"/>
          </w:tcPr>
          <w:p w14:paraId="3547629D"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74DD4">
              <w:rPr>
                <w:color w:val="000000"/>
                <w:sz w:val="20"/>
                <w:lang w:eastAsia="lv-LV"/>
              </w:rPr>
              <w:t>-0,02</w:t>
            </w:r>
          </w:p>
        </w:tc>
        <w:tc>
          <w:tcPr>
            <w:tcW w:w="851" w:type="dxa"/>
            <w:noWrap/>
            <w:vAlign w:val="center"/>
          </w:tcPr>
          <w:p w14:paraId="0E9EFB2D"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A74DD4">
              <w:rPr>
                <w:color w:val="000000"/>
                <w:sz w:val="20"/>
                <w:lang w:eastAsia="lv-LV"/>
              </w:rPr>
              <w:t>-0,01</w:t>
            </w:r>
          </w:p>
        </w:tc>
      </w:tr>
      <w:tr w:rsidR="00726CC8" w:rsidRPr="00EE09CC" w14:paraId="1C5BA65C" w14:textId="77777777" w:rsidTr="00726CC8">
        <w:trPr>
          <w:trHeight w:val="193"/>
        </w:trPr>
        <w:tc>
          <w:tcPr>
            <w:cnfStyle w:val="001000000000" w:firstRow="0" w:lastRow="0" w:firstColumn="1" w:lastColumn="0" w:oddVBand="0" w:evenVBand="0" w:oddHBand="0" w:evenHBand="0" w:firstRowFirstColumn="0" w:firstRowLastColumn="0" w:lastRowFirstColumn="0" w:lastRowLastColumn="0"/>
            <w:tcW w:w="8075" w:type="dxa"/>
          </w:tcPr>
          <w:p w14:paraId="76188E4F" w14:textId="77777777" w:rsidR="00726CC8" w:rsidRPr="00A74DD4" w:rsidRDefault="00726CC8" w:rsidP="00726CC8">
            <w:pPr>
              <w:spacing w:after="0"/>
              <w:ind w:firstLine="0"/>
              <w:rPr>
                <w:b w:val="0"/>
                <w:sz w:val="20"/>
                <w:lang w:eastAsia="lv-LV"/>
              </w:rPr>
            </w:pPr>
            <w:r w:rsidRPr="00A74DD4">
              <w:rPr>
                <w:b w:val="0"/>
                <w:color w:val="000000"/>
                <w:sz w:val="20"/>
                <w:lang w:eastAsia="lv-LV"/>
              </w:rPr>
              <w:t xml:space="preserve">MK </w:t>
            </w:r>
            <w:r>
              <w:rPr>
                <w:b w:val="0"/>
                <w:color w:val="000000"/>
                <w:sz w:val="20"/>
                <w:lang w:eastAsia="lv-LV"/>
              </w:rPr>
              <w:t xml:space="preserve">pieņemtie </w:t>
            </w:r>
            <w:r w:rsidRPr="00A74DD4">
              <w:rPr>
                <w:b w:val="0"/>
                <w:color w:val="000000"/>
                <w:sz w:val="20"/>
                <w:lang w:eastAsia="lv-LV"/>
              </w:rPr>
              <w:t>lēmumi, t.sk.:</w:t>
            </w:r>
          </w:p>
        </w:tc>
        <w:tc>
          <w:tcPr>
            <w:tcW w:w="985" w:type="dxa"/>
            <w:noWrap/>
            <w:vAlign w:val="center"/>
          </w:tcPr>
          <w:p w14:paraId="271862CA"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1572" w:type="dxa"/>
            <w:vAlign w:val="center"/>
          </w:tcPr>
          <w:p w14:paraId="6D929D0C"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2C9FC202"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07E288E4"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-0,04</w:t>
            </w:r>
          </w:p>
        </w:tc>
        <w:tc>
          <w:tcPr>
            <w:tcW w:w="850" w:type="dxa"/>
            <w:noWrap/>
            <w:vAlign w:val="center"/>
          </w:tcPr>
          <w:p w14:paraId="18AA5538"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0,23</w:t>
            </w:r>
          </w:p>
        </w:tc>
        <w:tc>
          <w:tcPr>
            <w:tcW w:w="851" w:type="dxa"/>
            <w:noWrap/>
            <w:vAlign w:val="center"/>
          </w:tcPr>
          <w:p w14:paraId="5993F645"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0,72</w:t>
            </w:r>
          </w:p>
        </w:tc>
      </w:tr>
      <w:tr w:rsidR="00726CC8" w:rsidRPr="00EE09CC" w14:paraId="07558135" w14:textId="77777777" w:rsidTr="00726CC8">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8075" w:type="dxa"/>
          </w:tcPr>
          <w:p w14:paraId="0309E37A"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 xml:space="preserve">1) </w:t>
            </w:r>
            <w:r>
              <w:rPr>
                <w:b w:val="0"/>
                <w:i/>
                <w:iCs/>
                <w:color w:val="000000"/>
                <w:sz w:val="20"/>
                <w:lang w:eastAsia="lv-LV"/>
              </w:rPr>
              <w:t>EM</w:t>
            </w:r>
            <w:r w:rsidRPr="00A74DD4">
              <w:rPr>
                <w:b w:val="0"/>
                <w:i/>
                <w:iCs/>
                <w:color w:val="000000"/>
                <w:sz w:val="20"/>
                <w:lang w:eastAsia="lv-LV"/>
              </w:rPr>
              <w:t xml:space="preserve"> (t.sk., precizēts finansējums elektroenerģijas lietotāju atbalstam)</w:t>
            </w:r>
          </w:p>
        </w:tc>
        <w:tc>
          <w:tcPr>
            <w:tcW w:w="985" w:type="dxa"/>
            <w:noWrap/>
            <w:vAlign w:val="center"/>
          </w:tcPr>
          <w:p w14:paraId="2D6880CF" w14:textId="469B5742"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Pr>
                <w:color w:val="auto"/>
                <w:sz w:val="20"/>
                <w:lang w:eastAsia="lv-LV"/>
              </w:rPr>
              <w:t>D.3</w:t>
            </w:r>
          </w:p>
        </w:tc>
        <w:tc>
          <w:tcPr>
            <w:tcW w:w="1572" w:type="dxa"/>
            <w:vAlign w:val="center"/>
          </w:tcPr>
          <w:p w14:paraId="1D22559A"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493ABB9A"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6D3BE7CC"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0,02</w:t>
            </w:r>
          </w:p>
        </w:tc>
        <w:tc>
          <w:tcPr>
            <w:tcW w:w="850" w:type="dxa"/>
            <w:noWrap/>
            <w:vAlign w:val="center"/>
          </w:tcPr>
          <w:p w14:paraId="2E3869AF"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-0,09</w:t>
            </w:r>
          </w:p>
        </w:tc>
        <w:tc>
          <w:tcPr>
            <w:tcW w:w="851" w:type="dxa"/>
            <w:noWrap/>
            <w:vAlign w:val="center"/>
          </w:tcPr>
          <w:p w14:paraId="453B19B1"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0,14</w:t>
            </w:r>
          </w:p>
        </w:tc>
      </w:tr>
      <w:tr w:rsidR="00726CC8" w:rsidRPr="00EE09CC" w14:paraId="1E5CDB55" w14:textId="77777777" w:rsidTr="00726CC8">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764A82ED"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 xml:space="preserve">2) </w:t>
            </w:r>
            <w:r>
              <w:rPr>
                <w:b w:val="0"/>
                <w:i/>
                <w:iCs/>
                <w:color w:val="000000"/>
                <w:sz w:val="20"/>
                <w:lang w:eastAsia="lv-LV"/>
              </w:rPr>
              <w:t>FM</w:t>
            </w:r>
            <w:r w:rsidRPr="00A74DD4">
              <w:rPr>
                <w:b w:val="0"/>
                <w:i/>
                <w:iCs/>
                <w:color w:val="000000"/>
                <w:sz w:val="20"/>
                <w:lang w:eastAsia="lv-LV"/>
              </w:rPr>
              <w:t xml:space="preserve"> (t.sk. precizēti izdevumu valsts parāda apkalpošanai, iemaksām ES budžetā, papildu finansējums </w:t>
            </w:r>
            <w:r>
              <w:rPr>
                <w:b w:val="0"/>
                <w:i/>
                <w:iCs/>
                <w:color w:val="000000"/>
                <w:sz w:val="20"/>
                <w:lang w:eastAsia="lv-LV"/>
              </w:rPr>
              <w:t>Valsts nekustamo īpašumu</w:t>
            </w:r>
            <w:r w:rsidRPr="00A74DD4">
              <w:rPr>
                <w:b w:val="0"/>
                <w:i/>
                <w:iCs/>
                <w:color w:val="000000"/>
                <w:sz w:val="20"/>
                <w:lang w:eastAsia="lv-LV"/>
              </w:rPr>
              <w:t xml:space="preserve"> projektu finansēšanai )</w:t>
            </w:r>
          </w:p>
        </w:tc>
        <w:tc>
          <w:tcPr>
            <w:tcW w:w="985" w:type="dxa"/>
            <w:noWrap/>
            <w:vAlign w:val="center"/>
          </w:tcPr>
          <w:p w14:paraId="238DB28A" w14:textId="506F616F"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Pr>
                <w:color w:val="auto"/>
                <w:sz w:val="20"/>
                <w:lang w:eastAsia="lv-LV"/>
              </w:rPr>
              <w:t>D.41, P.51</w:t>
            </w:r>
          </w:p>
        </w:tc>
        <w:tc>
          <w:tcPr>
            <w:tcW w:w="1572" w:type="dxa"/>
            <w:vAlign w:val="center"/>
          </w:tcPr>
          <w:p w14:paraId="0E07161A"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40E79F3D"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10D4BF0E"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-0,08</w:t>
            </w:r>
          </w:p>
        </w:tc>
        <w:tc>
          <w:tcPr>
            <w:tcW w:w="850" w:type="dxa"/>
            <w:noWrap/>
            <w:vAlign w:val="center"/>
          </w:tcPr>
          <w:p w14:paraId="4CB23209"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-0,01</w:t>
            </w:r>
          </w:p>
        </w:tc>
        <w:tc>
          <w:tcPr>
            <w:tcW w:w="851" w:type="dxa"/>
            <w:noWrap/>
            <w:vAlign w:val="center"/>
          </w:tcPr>
          <w:p w14:paraId="6B3654B7"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0,18</w:t>
            </w:r>
          </w:p>
        </w:tc>
      </w:tr>
      <w:tr w:rsidR="00726CC8" w:rsidRPr="00EE09CC" w14:paraId="56E8D5C2" w14:textId="77777777" w:rsidTr="00726CC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075" w:type="dxa"/>
          </w:tcPr>
          <w:p w14:paraId="6B570040"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 xml:space="preserve">3) </w:t>
            </w:r>
            <w:proofErr w:type="spellStart"/>
            <w:r w:rsidRPr="00A74DD4">
              <w:rPr>
                <w:b w:val="0"/>
                <w:i/>
                <w:iCs/>
                <w:color w:val="000000"/>
                <w:sz w:val="20"/>
                <w:lang w:eastAsia="lv-LV"/>
              </w:rPr>
              <w:t>Iekšlietu</w:t>
            </w:r>
            <w:proofErr w:type="spellEnd"/>
            <w:r w:rsidRPr="00A74DD4">
              <w:rPr>
                <w:b w:val="0"/>
                <w:i/>
                <w:iCs/>
                <w:color w:val="000000"/>
                <w:sz w:val="20"/>
                <w:lang w:eastAsia="lv-LV"/>
              </w:rPr>
              <w:t xml:space="preserve"> ministrija (t.sk. izdevumi </w:t>
            </w:r>
            <w:proofErr w:type="spellStart"/>
            <w:r w:rsidRPr="00A74DD4">
              <w:rPr>
                <w:b w:val="0"/>
                <w:i/>
                <w:iCs/>
                <w:color w:val="000000"/>
                <w:sz w:val="20"/>
                <w:lang w:eastAsia="lv-LV"/>
              </w:rPr>
              <w:t>fotoradaru</w:t>
            </w:r>
            <w:proofErr w:type="spellEnd"/>
            <w:r w:rsidRPr="00A74DD4">
              <w:rPr>
                <w:b w:val="0"/>
                <w:i/>
                <w:iCs/>
                <w:color w:val="000000"/>
                <w:sz w:val="20"/>
                <w:lang w:eastAsia="lv-LV"/>
              </w:rPr>
              <w:t xml:space="preserve"> darbības administrēšanai, Valsts robežsardzes darbībai)</w:t>
            </w:r>
          </w:p>
        </w:tc>
        <w:tc>
          <w:tcPr>
            <w:tcW w:w="985" w:type="dxa"/>
            <w:noWrap/>
            <w:vAlign w:val="center"/>
          </w:tcPr>
          <w:p w14:paraId="03B1962F" w14:textId="5BF9ACB9"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B4E9D">
              <w:rPr>
                <w:color w:val="auto"/>
                <w:sz w:val="20"/>
                <w:lang w:eastAsia="lv-LV"/>
              </w:rPr>
              <w:t>D.1</w:t>
            </w:r>
            <w:r>
              <w:rPr>
                <w:color w:val="auto"/>
                <w:sz w:val="20"/>
                <w:lang w:eastAsia="lv-LV"/>
              </w:rPr>
              <w:t>, D.3, P.2</w:t>
            </w:r>
          </w:p>
        </w:tc>
        <w:tc>
          <w:tcPr>
            <w:tcW w:w="1572" w:type="dxa"/>
            <w:vAlign w:val="center"/>
          </w:tcPr>
          <w:p w14:paraId="4EDB3129"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49F9D28D"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100F5134"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36AAF389"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574D98B9"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r>
      <w:tr w:rsidR="00726CC8" w:rsidRPr="00EE09CC" w14:paraId="171B5DF4" w14:textId="77777777" w:rsidTr="00726CC8">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3D5D6A8A"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4) Satiksmes ministrija (t.sk. dotācija sabiedriskā transporta pakalpojumu sniedzējiem ar braukšanas maksas atvieglojumiem saistīto zaudējumu segšanai)</w:t>
            </w:r>
          </w:p>
        </w:tc>
        <w:tc>
          <w:tcPr>
            <w:tcW w:w="985" w:type="dxa"/>
            <w:noWrap/>
            <w:vAlign w:val="center"/>
          </w:tcPr>
          <w:p w14:paraId="43CCFBA9" w14:textId="1464276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B4E9D">
              <w:rPr>
                <w:color w:val="auto"/>
                <w:sz w:val="20"/>
                <w:lang w:eastAsia="lv-LV"/>
              </w:rPr>
              <w:t>D.39</w:t>
            </w:r>
          </w:p>
        </w:tc>
        <w:tc>
          <w:tcPr>
            <w:tcW w:w="1572" w:type="dxa"/>
            <w:vAlign w:val="center"/>
          </w:tcPr>
          <w:p w14:paraId="29DF5FD5"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96C3542"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7441EBC"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1B5BF295"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31760144"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r>
      <w:tr w:rsidR="00726CC8" w:rsidRPr="00EE09CC" w14:paraId="18111881" w14:textId="77777777" w:rsidTr="00726CC8">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8075" w:type="dxa"/>
          </w:tcPr>
          <w:p w14:paraId="0FF021BA"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5) Labklājības ministrija</w:t>
            </w:r>
          </w:p>
        </w:tc>
        <w:tc>
          <w:tcPr>
            <w:tcW w:w="985" w:type="dxa"/>
            <w:noWrap/>
            <w:vAlign w:val="center"/>
          </w:tcPr>
          <w:p w14:paraId="0A4A8602"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p>
        </w:tc>
        <w:tc>
          <w:tcPr>
            <w:tcW w:w="1572" w:type="dxa"/>
            <w:vAlign w:val="center"/>
          </w:tcPr>
          <w:p w14:paraId="6803BF5C"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2D114F2"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5A1D70AA"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36780133"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34D2DA65"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r>
      <w:tr w:rsidR="00726CC8" w:rsidRPr="00EE09CC" w14:paraId="3AB3DF65" w14:textId="77777777" w:rsidTr="00726CC8">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62E5CF19"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6) Tieslietu ministrija (t.sk. samazināta dotācija no vispārējiem ieņēmumiem un izdevumi ilgtermiņa saistību pasākuma “Jauna cietuma būvniecība Liepājā” īstenošanai)</w:t>
            </w:r>
          </w:p>
        </w:tc>
        <w:tc>
          <w:tcPr>
            <w:tcW w:w="985" w:type="dxa"/>
            <w:noWrap/>
            <w:vAlign w:val="center"/>
          </w:tcPr>
          <w:p w14:paraId="2546E1CD" w14:textId="61484700"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Pr>
                <w:color w:val="auto"/>
                <w:sz w:val="20"/>
                <w:lang w:eastAsia="lv-LV"/>
              </w:rPr>
              <w:t>P.51</w:t>
            </w:r>
          </w:p>
        </w:tc>
        <w:tc>
          <w:tcPr>
            <w:tcW w:w="1572" w:type="dxa"/>
            <w:vAlign w:val="center"/>
          </w:tcPr>
          <w:p w14:paraId="2B5148A5"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85CAD3E"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66F126B"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-0,10</w:t>
            </w:r>
          </w:p>
        </w:tc>
        <w:tc>
          <w:tcPr>
            <w:tcW w:w="850" w:type="dxa"/>
            <w:noWrap/>
            <w:vAlign w:val="center"/>
          </w:tcPr>
          <w:p w14:paraId="2E22661E"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0,02</w:t>
            </w:r>
          </w:p>
        </w:tc>
        <w:tc>
          <w:tcPr>
            <w:tcW w:w="851" w:type="dxa"/>
            <w:noWrap/>
            <w:vAlign w:val="center"/>
          </w:tcPr>
          <w:p w14:paraId="78B45F2B"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0,09</w:t>
            </w:r>
          </w:p>
        </w:tc>
      </w:tr>
      <w:tr w:rsidR="00726CC8" w:rsidRPr="00EE09CC" w14:paraId="740A1803" w14:textId="77777777" w:rsidTr="00726CC8">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8075" w:type="dxa"/>
          </w:tcPr>
          <w:p w14:paraId="218DF963"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7) Kultūras ministrija</w:t>
            </w:r>
          </w:p>
        </w:tc>
        <w:tc>
          <w:tcPr>
            <w:tcW w:w="985" w:type="dxa"/>
            <w:noWrap/>
            <w:vAlign w:val="center"/>
          </w:tcPr>
          <w:p w14:paraId="5EA520AE"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p>
        </w:tc>
        <w:tc>
          <w:tcPr>
            <w:tcW w:w="1572" w:type="dxa"/>
            <w:vAlign w:val="center"/>
          </w:tcPr>
          <w:p w14:paraId="7FE3AB9E"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5C3BC8A1"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C8CA89E"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3B2DB753"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1" w:type="dxa"/>
            <w:noWrap/>
            <w:vAlign w:val="center"/>
          </w:tcPr>
          <w:p w14:paraId="63DEC3CA"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r>
      <w:tr w:rsidR="00726CC8" w:rsidRPr="00EE09CC" w14:paraId="37A02D1E" w14:textId="77777777" w:rsidTr="00726CC8">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4248200E"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8)</w:t>
            </w:r>
            <w:r>
              <w:rPr>
                <w:b w:val="0"/>
                <w:i/>
                <w:iCs/>
                <w:color w:val="000000"/>
                <w:sz w:val="20"/>
                <w:lang w:eastAsia="lv-LV"/>
              </w:rPr>
              <w:t xml:space="preserve"> </w:t>
            </w:r>
            <w:r w:rsidRPr="00A74DD4">
              <w:rPr>
                <w:b w:val="0"/>
                <w:i/>
                <w:iCs/>
                <w:color w:val="000000"/>
                <w:sz w:val="20"/>
                <w:lang w:eastAsia="lv-LV"/>
              </w:rPr>
              <w:t xml:space="preserve">Veselības ministrija (t.sk. izdevumi minimālās mēneša darba algas paaugstināšanai līdz 430 </w:t>
            </w:r>
            <w:proofErr w:type="spellStart"/>
            <w:r w:rsidRPr="00A74DD4">
              <w:rPr>
                <w:b w:val="0"/>
                <w:i/>
                <w:iCs/>
                <w:color w:val="000000"/>
                <w:sz w:val="20"/>
                <w:lang w:eastAsia="lv-LV"/>
              </w:rPr>
              <w:t>euro</w:t>
            </w:r>
            <w:proofErr w:type="spellEnd"/>
            <w:r w:rsidRPr="00A74DD4">
              <w:rPr>
                <w:b w:val="0"/>
                <w:i/>
                <w:iCs/>
                <w:color w:val="000000"/>
                <w:sz w:val="20"/>
                <w:lang w:eastAsia="lv-LV"/>
              </w:rPr>
              <w:t xml:space="preserve"> ar 2018.gada 1.janvāri)</w:t>
            </w:r>
          </w:p>
        </w:tc>
        <w:tc>
          <w:tcPr>
            <w:tcW w:w="985" w:type="dxa"/>
            <w:noWrap/>
            <w:vAlign w:val="center"/>
          </w:tcPr>
          <w:p w14:paraId="64028164" w14:textId="2CD8A7C3"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B4E9D">
              <w:rPr>
                <w:color w:val="auto"/>
                <w:sz w:val="20"/>
                <w:lang w:eastAsia="lv-LV"/>
              </w:rPr>
              <w:t>D.1</w:t>
            </w:r>
          </w:p>
        </w:tc>
        <w:tc>
          <w:tcPr>
            <w:tcW w:w="1572" w:type="dxa"/>
            <w:vAlign w:val="center"/>
          </w:tcPr>
          <w:p w14:paraId="4F2ABE08"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35C9178B"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E98F2C7"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0,04</w:t>
            </w:r>
          </w:p>
        </w:tc>
        <w:tc>
          <w:tcPr>
            <w:tcW w:w="850" w:type="dxa"/>
            <w:noWrap/>
            <w:vAlign w:val="center"/>
          </w:tcPr>
          <w:p w14:paraId="4CA6C0D7"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3440DE62"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r>
      <w:tr w:rsidR="00726CC8" w:rsidRPr="00EE09CC" w14:paraId="3A1F88A6" w14:textId="77777777" w:rsidTr="00726CC8">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8075" w:type="dxa"/>
          </w:tcPr>
          <w:p w14:paraId="16EFB7BC"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9) Prokuratūra</w:t>
            </w:r>
          </w:p>
        </w:tc>
        <w:tc>
          <w:tcPr>
            <w:tcW w:w="985" w:type="dxa"/>
            <w:noWrap/>
            <w:vAlign w:val="center"/>
          </w:tcPr>
          <w:p w14:paraId="056866FD"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p>
        </w:tc>
        <w:tc>
          <w:tcPr>
            <w:tcW w:w="1572" w:type="dxa"/>
            <w:vAlign w:val="center"/>
          </w:tcPr>
          <w:p w14:paraId="1143BA86"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E576C83"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AEAC285"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c>
          <w:tcPr>
            <w:tcW w:w="850" w:type="dxa"/>
            <w:noWrap/>
            <w:vAlign w:val="center"/>
          </w:tcPr>
          <w:p w14:paraId="0B353592"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1" w:type="dxa"/>
            <w:noWrap/>
            <w:vAlign w:val="center"/>
          </w:tcPr>
          <w:p w14:paraId="1354DFEF"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r>
      <w:tr w:rsidR="00726CC8" w:rsidRPr="00EE09CC" w14:paraId="3D585352" w14:textId="77777777" w:rsidTr="00726CC8">
        <w:trPr>
          <w:trHeight w:val="140"/>
        </w:trPr>
        <w:tc>
          <w:tcPr>
            <w:cnfStyle w:val="001000000000" w:firstRow="0" w:lastRow="0" w:firstColumn="1" w:lastColumn="0" w:oddVBand="0" w:evenVBand="0" w:oddHBand="0" w:evenHBand="0" w:firstRowFirstColumn="0" w:firstRowLastColumn="0" w:lastRowFirstColumn="0" w:lastRowLastColumn="0"/>
            <w:tcW w:w="8075" w:type="dxa"/>
          </w:tcPr>
          <w:p w14:paraId="66CA2451"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10) 62. Mērķdotācijas pašvaldībām</w:t>
            </w:r>
          </w:p>
        </w:tc>
        <w:tc>
          <w:tcPr>
            <w:tcW w:w="985" w:type="dxa"/>
            <w:noWrap/>
            <w:vAlign w:val="center"/>
          </w:tcPr>
          <w:p w14:paraId="73E0135C"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1572" w:type="dxa"/>
            <w:vAlign w:val="center"/>
          </w:tcPr>
          <w:p w14:paraId="7653ABC0"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02F0E45B"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6E75376B"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21DC0534"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10C053B7"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r>
      <w:tr w:rsidR="00726CC8" w:rsidRPr="00EE09CC" w14:paraId="0BDD9F59" w14:textId="77777777" w:rsidTr="00726CC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075" w:type="dxa"/>
          </w:tcPr>
          <w:p w14:paraId="00814157"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11) 64. Dotācija pašvaldībām (t.sk. kompensācija pašvaldībām, lai nodrošinātu pašvaldību budžetu nodokļu ieņēmumus kopā ar speciālo dotāciju 19,6% apmērā no kopbudžeta nodokļu ieņēmumiem)</w:t>
            </w:r>
          </w:p>
        </w:tc>
        <w:tc>
          <w:tcPr>
            <w:tcW w:w="985" w:type="dxa"/>
            <w:noWrap/>
            <w:vAlign w:val="center"/>
          </w:tcPr>
          <w:p w14:paraId="79B46431"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p>
        </w:tc>
        <w:tc>
          <w:tcPr>
            <w:tcW w:w="1572" w:type="dxa"/>
            <w:vAlign w:val="center"/>
          </w:tcPr>
          <w:p w14:paraId="1874B7D8"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50BDAB37"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175E3D57"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0,07</w:t>
            </w:r>
          </w:p>
        </w:tc>
        <w:tc>
          <w:tcPr>
            <w:tcW w:w="850" w:type="dxa"/>
            <w:noWrap/>
            <w:vAlign w:val="center"/>
          </w:tcPr>
          <w:p w14:paraId="1563FCB6"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0,41</w:t>
            </w:r>
          </w:p>
        </w:tc>
        <w:tc>
          <w:tcPr>
            <w:tcW w:w="851" w:type="dxa"/>
            <w:noWrap/>
            <w:vAlign w:val="center"/>
          </w:tcPr>
          <w:p w14:paraId="37E29E3F"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0,30</w:t>
            </w:r>
          </w:p>
        </w:tc>
      </w:tr>
      <w:tr w:rsidR="00726CC8" w:rsidRPr="00EE09CC" w14:paraId="540D984E" w14:textId="77777777" w:rsidTr="00726CC8">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5036BF3F"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 xml:space="preserve">12) 74. resors "Gadskārtējā valsts budžeta izpildes procesā pārdalāmais finansējums" (t.sk. precizēts </w:t>
            </w:r>
            <w:r>
              <w:rPr>
                <w:b w:val="0"/>
                <w:i/>
                <w:iCs/>
                <w:color w:val="000000"/>
                <w:sz w:val="20"/>
                <w:lang w:eastAsia="lv-LV"/>
              </w:rPr>
              <w:t>Līdzekļi neparedzētiem gadījumiem</w:t>
            </w:r>
            <w:r w:rsidRPr="00A74DD4">
              <w:rPr>
                <w:b w:val="0"/>
                <w:i/>
                <w:iCs/>
                <w:color w:val="000000"/>
                <w:sz w:val="20"/>
                <w:lang w:eastAsia="lv-LV"/>
              </w:rPr>
              <w:t xml:space="preserve"> apmērs, </w:t>
            </w:r>
            <w:r>
              <w:rPr>
                <w:b w:val="0"/>
                <w:i/>
                <w:iCs/>
                <w:color w:val="000000"/>
                <w:sz w:val="20"/>
                <w:lang w:eastAsia="lv-LV"/>
              </w:rPr>
              <w:t>f</w:t>
            </w:r>
            <w:r w:rsidRPr="00A74DD4">
              <w:rPr>
                <w:b w:val="0"/>
                <w:i/>
                <w:iCs/>
                <w:color w:val="000000"/>
                <w:sz w:val="20"/>
                <w:lang w:eastAsia="lv-LV"/>
              </w:rPr>
              <w:t>inansējuma samazinājums apropriācijas rezervei  )</w:t>
            </w:r>
          </w:p>
        </w:tc>
        <w:tc>
          <w:tcPr>
            <w:tcW w:w="985" w:type="dxa"/>
            <w:noWrap/>
            <w:vAlign w:val="center"/>
          </w:tcPr>
          <w:p w14:paraId="5F53AA47"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1572" w:type="dxa"/>
            <w:vAlign w:val="center"/>
          </w:tcPr>
          <w:p w14:paraId="27B85031"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4E93EF1"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632086E7"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-0,01</w:t>
            </w:r>
          </w:p>
        </w:tc>
        <w:tc>
          <w:tcPr>
            <w:tcW w:w="850" w:type="dxa"/>
            <w:noWrap/>
            <w:vAlign w:val="center"/>
          </w:tcPr>
          <w:p w14:paraId="71E44693"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-0,09</w:t>
            </w:r>
          </w:p>
        </w:tc>
        <w:tc>
          <w:tcPr>
            <w:tcW w:w="851" w:type="dxa"/>
            <w:noWrap/>
            <w:vAlign w:val="center"/>
          </w:tcPr>
          <w:p w14:paraId="5D745C81"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0,01</w:t>
            </w:r>
          </w:p>
        </w:tc>
      </w:tr>
      <w:tr w:rsidR="00726CC8" w:rsidRPr="00EE09CC" w14:paraId="2AA7E9C0" w14:textId="77777777" w:rsidTr="00726CC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075" w:type="dxa"/>
          </w:tcPr>
          <w:p w14:paraId="2898C134"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13) Vals</w:t>
            </w:r>
            <w:r>
              <w:rPr>
                <w:b w:val="0"/>
                <w:i/>
                <w:iCs/>
                <w:color w:val="000000"/>
                <w:sz w:val="20"/>
                <w:lang w:eastAsia="lv-LV"/>
              </w:rPr>
              <w:t>ts speciālais budžets (t.sk. finanšu</w:t>
            </w:r>
            <w:r w:rsidRPr="00A74DD4">
              <w:rPr>
                <w:b w:val="0"/>
                <w:i/>
                <w:iCs/>
                <w:color w:val="000000"/>
                <w:sz w:val="20"/>
                <w:lang w:eastAsia="lv-LV"/>
              </w:rPr>
              <w:t xml:space="preserve"> samazinājums vecuma pensijām, izdevumu samazinājums bezdarbnieka pabalstiem saistībā ar pabalsta saņēmēju skaita prognozēto samazinājumu)</w:t>
            </w:r>
          </w:p>
        </w:tc>
        <w:tc>
          <w:tcPr>
            <w:tcW w:w="985" w:type="dxa"/>
            <w:noWrap/>
            <w:vAlign w:val="center"/>
          </w:tcPr>
          <w:p w14:paraId="0738ABB4" w14:textId="0EA8B8BD"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B4E9D">
              <w:rPr>
                <w:color w:val="auto"/>
                <w:sz w:val="20"/>
                <w:lang w:eastAsia="lv-LV"/>
              </w:rPr>
              <w:t>D.62</w:t>
            </w:r>
          </w:p>
        </w:tc>
        <w:tc>
          <w:tcPr>
            <w:tcW w:w="1572" w:type="dxa"/>
            <w:vAlign w:val="center"/>
          </w:tcPr>
          <w:p w14:paraId="241FDAA1"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5131BD7"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92000A3"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-0,04</w:t>
            </w:r>
          </w:p>
        </w:tc>
        <w:tc>
          <w:tcPr>
            <w:tcW w:w="850" w:type="dxa"/>
            <w:noWrap/>
            <w:vAlign w:val="center"/>
          </w:tcPr>
          <w:p w14:paraId="5BC55F08"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-0,01</w:t>
            </w:r>
          </w:p>
        </w:tc>
        <w:tc>
          <w:tcPr>
            <w:tcW w:w="851" w:type="dxa"/>
            <w:noWrap/>
            <w:vAlign w:val="center"/>
          </w:tcPr>
          <w:p w14:paraId="3DDB8C73" w14:textId="77777777" w:rsidR="00726CC8" w:rsidRPr="006F092D"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i/>
                <w:sz w:val="20"/>
                <w:lang w:eastAsia="lv-LV"/>
              </w:rPr>
            </w:pPr>
            <w:r w:rsidRPr="006F092D">
              <w:rPr>
                <w:i/>
                <w:color w:val="000000"/>
                <w:sz w:val="20"/>
                <w:lang w:eastAsia="lv-LV"/>
              </w:rPr>
              <w:t>0,00</w:t>
            </w:r>
          </w:p>
        </w:tc>
      </w:tr>
      <w:tr w:rsidR="00726CC8" w:rsidRPr="00EE09CC" w14:paraId="1FFB9F64" w14:textId="77777777" w:rsidTr="00726CC8">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06BF39A7" w14:textId="77777777" w:rsidR="00726CC8" w:rsidRPr="00A74DD4" w:rsidRDefault="00726CC8" w:rsidP="00726CC8">
            <w:pPr>
              <w:spacing w:after="0"/>
              <w:ind w:left="731" w:hanging="164"/>
              <w:rPr>
                <w:b w:val="0"/>
                <w:sz w:val="20"/>
                <w:lang w:eastAsia="lv-LV"/>
              </w:rPr>
            </w:pPr>
            <w:r w:rsidRPr="00A74DD4">
              <w:rPr>
                <w:b w:val="0"/>
                <w:i/>
                <w:iCs/>
                <w:color w:val="000000"/>
                <w:sz w:val="20"/>
                <w:lang w:eastAsia="lv-LV"/>
              </w:rPr>
              <w:t xml:space="preserve">14) Korekcija  - izslēgts finansējums minimālās algas paaugstināšanas līdz 430 </w:t>
            </w:r>
            <w:proofErr w:type="spellStart"/>
            <w:r>
              <w:rPr>
                <w:b w:val="0"/>
                <w:i/>
                <w:iCs/>
                <w:color w:val="000000"/>
                <w:sz w:val="20"/>
                <w:lang w:eastAsia="lv-LV"/>
              </w:rPr>
              <w:t>euro</w:t>
            </w:r>
            <w:proofErr w:type="spellEnd"/>
            <w:r w:rsidRPr="00A74DD4">
              <w:rPr>
                <w:b w:val="0"/>
                <w:i/>
                <w:iCs/>
                <w:color w:val="000000"/>
                <w:sz w:val="20"/>
                <w:lang w:eastAsia="lv-LV"/>
              </w:rPr>
              <w:t xml:space="preserve"> nodrošināšanai un darba devēja valsts sociālās apdrošināšanas obligāto iemaksu palielinājuma nodrošināšanai, kas jau ir ietverts nemainīgas politikas scenārijā</w:t>
            </w:r>
          </w:p>
        </w:tc>
        <w:tc>
          <w:tcPr>
            <w:tcW w:w="985" w:type="dxa"/>
            <w:noWrap/>
            <w:vAlign w:val="center"/>
          </w:tcPr>
          <w:p w14:paraId="71137968" w14:textId="79C3D66A"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B4E9D">
              <w:rPr>
                <w:color w:val="auto"/>
                <w:sz w:val="20"/>
                <w:lang w:eastAsia="lv-LV"/>
              </w:rPr>
              <w:t>D.1</w:t>
            </w:r>
          </w:p>
        </w:tc>
        <w:tc>
          <w:tcPr>
            <w:tcW w:w="1572" w:type="dxa"/>
            <w:vAlign w:val="center"/>
          </w:tcPr>
          <w:p w14:paraId="13257E66"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206ECD06"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55BC1AF9"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-0,10</w:t>
            </w:r>
          </w:p>
        </w:tc>
        <w:tc>
          <w:tcPr>
            <w:tcW w:w="850" w:type="dxa"/>
            <w:noWrap/>
            <w:vAlign w:val="center"/>
          </w:tcPr>
          <w:p w14:paraId="2C639A59"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c>
          <w:tcPr>
            <w:tcW w:w="851" w:type="dxa"/>
            <w:noWrap/>
            <w:vAlign w:val="center"/>
          </w:tcPr>
          <w:p w14:paraId="042524A6" w14:textId="77777777" w:rsidR="00726CC8" w:rsidRPr="006F092D"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i/>
                <w:sz w:val="20"/>
                <w:lang w:eastAsia="lv-LV"/>
              </w:rPr>
            </w:pPr>
            <w:r w:rsidRPr="006F092D">
              <w:rPr>
                <w:i/>
                <w:color w:val="000000"/>
                <w:sz w:val="20"/>
                <w:lang w:eastAsia="lv-LV"/>
              </w:rPr>
              <w:t>0,00</w:t>
            </w:r>
          </w:p>
        </w:tc>
      </w:tr>
      <w:tr w:rsidR="00726CC8" w:rsidRPr="00EE09CC" w14:paraId="44C65FCB" w14:textId="77777777" w:rsidTr="00726CC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075" w:type="dxa"/>
          </w:tcPr>
          <w:p w14:paraId="131E83D1" w14:textId="77777777" w:rsidR="00726CC8" w:rsidRPr="00A74DD4" w:rsidRDefault="00726CC8" w:rsidP="00726CC8">
            <w:pPr>
              <w:spacing w:after="0"/>
              <w:ind w:firstLine="0"/>
              <w:rPr>
                <w:b w:val="0"/>
                <w:sz w:val="20"/>
                <w:lang w:eastAsia="lv-LV"/>
              </w:rPr>
            </w:pPr>
            <w:r w:rsidRPr="00A74DD4">
              <w:rPr>
                <w:b w:val="0"/>
                <w:color w:val="000000"/>
                <w:sz w:val="20"/>
                <w:lang w:eastAsia="lv-LV"/>
              </w:rPr>
              <w:t xml:space="preserve">Latvijas diplomātiskā un konsulārā dienesta stiprināšana Latvijas drošības un ekonomisko </w:t>
            </w:r>
            <w:proofErr w:type="spellStart"/>
            <w:r w:rsidRPr="00A74DD4">
              <w:rPr>
                <w:b w:val="0"/>
                <w:color w:val="000000"/>
                <w:sz w:val="20"/>
                <w:lang w:eastAsia="lv-LV"/>
              </w:rPr>
              <w:t>pamatinterešu</w:t>
            </w:r>
            <w:proofErr w:type="spellEnd"/>
            <w:r w:rsidRPr="00A74DD4">
              <w:rPr>
                <w:b w:val="0"/>
                <w:color w:val="000000"/>
                <w:sz w:val="20"/>
                <w:lang w:eastAsia="lv-LV"/>
              </w:rPr>
              <w:t xml:space="preserve"> aizstāvībai</w:t>
            </w:r>
          </w:p>
        </w:tc>
        <w:tc>
          <w:tcPr>
            <w:tcW w:w="985" w:type="dxa"/>
            <w:noWrap/>
            <w:vAlign w:val="center"/>
          </w:tcPr>
          <w:p w14:paraId="14B39D27" w14:textId="6905A3B4"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Pr>
                <w:color w:val="auto"/>
                <w:sz w:val="20"/>
                <w:lang w:eastAsia="lv-LV"/>
              </w:rPr>
              <w:t>D.1, P.2</w:t>
            </w:r>
          </w:p>
        </w:tc>
        <w:tc>
          <w:tcPr>
            <w:tcW w:w="1572" w:type="dxa"/>
            <w:vAlign w:val="center"/>
          </w:tcPr>
          <w:p w14:paraId="49A0ABCC"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33EB87A7"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6DBFE3A3"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758CD97A"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37800180"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4DB67B40" w14:textId="77777777" w:rsidTr="00726CC8">
        <w:trPr>
          <w:trHeight w:val="151"/>
        </w:trPr>
        <w:tc>
          <w:tcPr>
            <w:cnfStyle w:val="001000000000" w:firstRow="0" w:lastRow="0" w:firstColumn="1" w:lastColumn="0" w:oddVBand="0" w:evenVBand="0" w:oddHBand="0" w:evenHBand="0" w:firstRowFirstColumn="0" w:firstRowLastColumn="0" w:lastRowFirstColumn="0" w:lastRowLastColumn="0"/>
            <w:tcW w:w="8075" w:type="dxa"/>
          </w:tcPr>
          <w:p w14:paraId="0955D5DA" w14:textId="77777777" w:rsidR="00726CC8" w:rsidRPr="00A74DD4" w:rsidRDefault="00726CC8" w:rsidP="00726CC8">
            <w:pPr>
              <w:spacing w:after="0"/>
              <w:ind w:firstLine="0"/>
              <w:rPr>
                <w:b w:val="0"/>
                <w:sz w:val="20"/>
                <w:lang w:eastAsia="lv-LV"/>
              </w:rPr>
            </w:pPr>
            <w:r w:rsidRPr="00A74DD4">
              <w:rPr>
                <w:b w:val="0"/>
                <w:color w:val="000000"/>
                <w:sz w:val="20"/>
                <w:lang w:eastAsia="lv-LV"/>
              </w:rPr>
              <w:lastRenderedPageBreak/>
              <w:t>Valsts galvojumi bankas aizdevumiem mājokļu iegādei vai būvniecībai</w:t>
            </w:r>
          </w:p>
        </w:tc>
        <w:tc>
          <w:tcPr>
            <w:tcW w:w="985" w:type="dxa"/>
            <w:noWrap/>
            <w:vAlign w:val="center"/>
          </w:tcPr>
          <w:p w14:paraId="3CF9BD46" w14:textId="186632B2"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B4E9D">
              <w:rPr>
                <w:color w:val="auto"/>
                <w:sz w:val="20"/>
                <w:lang w:eastAsia="lv-LV"/>
              </w:rPr>
              <w:t>D.3</w:t>
            </w:r>
          </w:p>
        </w:tc>
        <w:tc>
          <w:tcPr>
            <w:tcW w:w="1572" w:type="dxa"/>
            <w:vAlign w:val="center"/>
          </w:tcPr>
          <w:p w14:paraId="53DEFF4B"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2CF4CA6C"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6065379"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7BBD124F"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1F745A3C"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6B638566" w14:textId="77777777" w:rsidTr="00726CC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075" w:type="dxa"/>
          </w:tcPr>
          <w:p w14:paraId="6CA31CB7" w14:textId="7CA4B10C" w:rsidR="00726CC8" w:rsidRPr="00A74DD4" w:rsidRDefault="000F61D9" w:rsidP="00726CC8">
            <w:pPr>
              <w:spacing w:after="0"/>
              <w:ind w:firstLine="0"/>
              <w:rPr>
                <w:b w:val="0"/>
                <w:sz w:val="20"/>
                <w:lang w:eastAsia="lv-LV"/>
              </w:rPr>
            </w:pPr>
            <w:r w:rsidRPr="00A74DD4">
              <w:rPr>
                <w:b w:val="0"/>
                <w:color w:val="000000"/>
                <w:sz w:val="20"/>
                <w:lang w:eastAsia="lv-LV"/>
              </w:rPr>
              <w:t xml:space="preserve">Nodokļu informācijas pakalpojumu modernizācija (t.sk. ar </w:t>
            </w:r>
            <w:r w:rsidRPr="000F61D9">
              <w:rPr>
                <w:b w:val="0"/>
                <w:color w:val="000000"/>
                <w:sz w:val="20"/>
                <w:lang w:eastAsia="lv-LV"/>
              </w:rPr>
              <w:t xml:space="preserve"> </w:t>
            </w:r>
            <w:r>
              <w:rPr>
                <w:b w:val="0"/>
                <w:color w:val="000000"/>
                <w:sz w:val="20"/>
                <w:lang w:eastAsia="lv-LV"/>
              </w:rPr>
              <w:t>m</w:t>
            </w:r>
            <w:r w:rsidRPr="000F61D9">
              <w:rPr>
                <w:b w:val="0"/>
                <w:color w:val="000000"/>
                <w:sz w:val="20"/>
                <w:lang w:eastAsia="lv-LV"/>
              </w:rPr>
              <w:t>aksājumu administrēšanas informācijas sistēma</w:t>
            </w:r>
            <w:r>
              <w:rPr>
                <w:b w:val="0"/>
                <w:color w:val="000000"/>
                <w:sz w:val="20"/>
                <w:lang w:eastAsia="lv-LV"/>
              </w:rPr>
              <w:t>s</w:t>
            </w:r>
            <w:r w:rsidRPr="00A74DD4">
              <w:rPr>
                <w:b w:val="0"/>
                <w:color w:val="000000"/>
                <w:sz w:val="20"/>
                <w:lang w:eastAsia="lv-LV"/>
              </w:rPr>
              <w:t xml:space="preserve"> izveidošanu un funkcionalitātes nodrošināšanu)</w:t>
            </w:r>
          </w:p>
        </w:tc>
        <w:tc>
          <w:tcPr>
            <w:tcW w:w="985" w:type="dxa"/>
            <w:noWrap/>
            <w:vAlign w:val="center"/>
          </w:tcPr>
          <w:p w14:paraId="489189D9" w14:textId="23B38546"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Pr>
                <w:color w:val="auto"/>
                <w:sz w:val="20"/>
                <w:lang w:eastAsia="lv-LV"/>
              </w:rPr>
              <w:t>D.1, P.2, P.51</w:t>
            </w:r>
          </w:p>
        </w:tc>
        <w:tc>
          <w:tcPr>
            <w:tcW w:w="1572" w:type="dxa"/>
            <w:vAlign w:val="center"/>
          </w:tcPr>
          <w:p w14:paraId="12621CEE"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58FC9ACB"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6DCB50C2"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2BE61BB6"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35C1EB10"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0,02</w:t>
            </w:r>
          </w:p>
        </w:tc>
      </w:tr>
      <w:tr w:rsidR="00726CC8" w:rsidRPr="00EE09CC" w14:paraId="0DD8AE2D" w14:textId="77777777" w:rsidTr="00726CC8">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640189EC" w14:textId="77777777" w:rsidR="00726CC8" w:rsidRPr="00A74DD4" w:rsidRDefault="00726CC8" w:rsidP="00726CC8">
            <w:pPr>
              <w:spacing w:after="0"/>
              <w:ind w:firstLine="0"/>
              <w:rPr>
                <w:b w:val="0"/>
                <w:sz w:val="20"/>
                <w:lang w:eastAsia="lv-LV"/>
              </w:rPr>
            </w:pPr>
            <w:r>
              <w:rPr>
                <w:b w:val="0"/>
                <w:color w:val="000000"/>
                <w:sz w:val="20"/>
                <w:lang w:eastAsia="lv-LV"/>
              </w:rPr>
              <w:t>FM</w:t>
            </w:r>
            <w:r w:rsidRPr="00A74DD4">
              <w:rPr>
                <w:b w:val="0"/>
                <w:color w:val="000000"/>
                <w:sz w:val="20"/>
                <w:lang w:eastAsia="lv-LV"/>
              </w:rPr>
              <w:t xml:space="preserve"> iestāžu kapacitātes stiprināšana, t.sk. ēnu ekonomikas apkarošanai, </w:t>
            </w:r>
            <w:r>
              <w:rPr>
                <w:b w:val="0"/>
                <w:color w:val="000000"/>
                <w:sz w:val="20"/>
                <w:lang w:eastAsia="lv-LV"/>
              </w:rPr>
              <w:t>VID</w:t>
            </w:r>
            <w:r w:rsidRPr="00A74DD4">
              <w:rPr>
                <w:b w:val="0"/>
                <w:color w:val="000000"/>
                <w:sz w:val="20"/>
                <w:lang w:eastAsia="lv-LV"/>
              </w:rPr>
              <w:t xml:space="preserve"> stratēģisko mērķu sasniegšanai (t.sk. muitnieku, inspektoru un finanšu policistu atalgojumam)</w:t>
            </w:r>
          </w:p>
        </w:tc>
        <w:tc>
          <w:tcPr>
            <w:tcW w:w="985" w:type="dxa"/>
            <w:noWrap/>
            <w:vAlign w:val="center"/>
          </w:tcPr>
          <w:p w14:paraId="2A1503EB" w14:textId="390C8128"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B4E9D">
              <w:rPr>
                <w:color w:val="auto"/>
                <w:sz w:val="20"/>
                <w:lang w:eastAsia="lv-LV"/>
              </w:rPr>
              <w:t>D.1</w:t>
            </w:r>
          </w:p>
        </w:tc>
        <w:tc>
          <w:tcPr>
            <w:tcW w:w="1572" w:type="dxa"/>
            <w:vAlign w:val="center"/>
          </w:tcPr>
          <w:p w14:paraId="03441867"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668EC93"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6248B658"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1A8830E0"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75C7D238"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3C325EB3" w14:textId="77777777" w:rsidTr="00726CC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075" w:type="dxa"/>
          </w:tcPr>
          <w:p w14:paraId="4C9EA354" w14:textId="77777777" w:rsidR="00726CC8" w:rsidRPr="00A74DD4" w:rsidRDefault="00726CC8" w:rsidP="00726CC8">
            <w:pPr>
              <w:spacing w:after="0"/>
              <w:ind w:firstLine="0"/>
              <w:rPr>
                <w:b w:val="0"/>
                <w:sz w:val="20"/>
                <w:lang w:eastAsia="lv-LV"/>
              </w:rPr>
            </w:pPr>
            <w:r>
              <w:rPr>
                <w:b w:val="0"/>
                <w:color w:val="000000"/>
                <w:sz w:val="20"/>
                <w:lang w:eastAsia="lv-LV"/>
              </w:rPr>
              <w:t>VID</w:t>
            </w:r>
            <w:r w:rsidRPr="00A74DD4">
              <w:rPr>
                <w:b w:val="0"/>
                <w:color w:val="000000"/>
                <w:sz w:val="20"/>
                <w:lang w:eastAsia="lv-LV"/>
              </w:rPr>
              <w:t xml:space="preserve"> administratīvās struktūras reformas turpināšana, tajā skaitā APA un transfertcenu kapacitātes stiprināšana</w:t>
            </w:r>
          </w:p>
        </w:tc>
        <w:tc>
          <w:tcPr>
            <w:tcW w:w="985" w:type="dxa"/>
            <w:noWrap/>
            <w:vAlign w:val="center"/>
          </w:tcPr>
          <w:p w14:paraId="7CECA315" w14:textId="2FC3B43F"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Pr>
                <w:color w:val="auto"/>
                <w:sz w:val="20"/>
                <w:lang w:eastAsia="lv-LV"/>
              </w:rPr>
              <w:t>D.1</w:t>
            </w:r>
          </w:p>
        </w:tc>
        <w:tc>
          <w:tcPr>
            <w:tcW w:w="1572" w:type="dxa"/>
            <w:vAlign w:val="center"/>
          </w:tcPr>
          <w:p w14:paraId="1D39471B"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39698EA2"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1919CB1"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6A3502D9"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0EBB22CA"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0DBFBF52" w14:textId="77777777" w:rsidTr="00726CC8">
        <w:trPr>
          <w:trHeight w:val="145"/>
        </w:trPr>
        <w:tc>
          <w:tcPr>
            <w:cnfStyle w:val="001000000000" w:firstRow="0" w:lastRow="0" w:firstColumn="1" w:lastColumn="0" w:oddVBand="0" w:evenVBand="0" w:oddHBand="0" w:evenHBand="0" w:firstRowFirstColumn="0" w:firstRowLastColumn="0" w:lastRowFirstColumn="0" w:lastRowLastColumn="0"/>
            <w:tcW w:w="8075" w:type="dxa"/>
          </w:tcPr>
          <w:p w14:paraId="7367BF28" w14:textId="77777777" w:rsidR="00726CC8" w:rsidRPr="00A74DD4" w:rsidRDefault="00726CC8" w:rsidP="00726CC8">
            <w:pPr>
              <w:spacing w:after="0"/>
              <w:ind w:firstLine="0"/>
              <w:rPr>
                <w:b w:val="0"/>
                <w:sz w:val="20"/>
                <w:lang w:eastAsia="lv-LV"/>
              </w:rPr>
            </w:pPr>
            <w:r w:rsidRPr="00A74DD4">
              <w:rPr>
                <w:b w:val="0"/>
                <w:color w:val="000000"/>
                <w:sz w:val="20"/>
                <w:lang w:eastAsia="lv-LV"/>
              </w:rPr>
              <w:t>Latvijas Republikas valsts robežas ar Krievijas Federāciju un Baltkrievijas Republiku izbūve</w:t>
            </w:r>
          </w:p>
        </w:tc>
        <w:tc>
          <w:tcPr>
            <w:tcW w:w="985" w:type="dxa"/>
            <w:noWrap/>
            <w:vAlign w:val="center"/>
          </w:tcPr>
          <w:p w14:paraId="6E1D6255" w14:textId="01E6B121"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Pr>
                <w:color w:val="auto"/>
                <w:sz w:val="20"/>
                <w:lang w:eastAsia="lv-LV"/>
              </w:rPr>
              <w:t>P.51</w:t>
            </w:r>
          </w:p>
        </w:tc>
        <w:tc>
          <w:tcPr>
            <w:tcW w:w="1572" w:type="dxa"/>
            <w:vAlign w:val="center"/>
          </w:tcPr>
          <w:p w14:paraId="78523A02"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0588448F"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57BACFBB"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34C01219"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478328C4"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r>
      <w:tr w:rsidR="00726CC8" w:rsidRPr="00EE09CC" w14:paraId="1FFECEFF" w14:textId="77777777" w:rsidTr="00726CC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8075" w:type="dxa"/>
          </w:tcPr>
          <w:p w14:paraId="101B77A5" w14:textId="77777777" w:rsidR="00726CC8" w:rsidRPr="00A74DD4" w:rsidRDefault="00726CC8" w:rsidP="00726CC8">
            <w:pPr>
              <w:spacing w:after="0"/>
              <w:ind w:firstLine="0"/>
              <w:rPr>
                <w:b w:val="0"/>
                <w:sz w:val="20"/>
                <w:lang w:eastAsia="lv-LV"/>
              </w:rPr>
            </w:pPr>
            <w:r w:rsidRPr="00A74DD4">
              <w:rPr>
                <w:b w:val="0"/>
                <w:color w:val="000000"/>
                <w:sz w:val="20"/>
                <w:lang w:eastAsia="lv-LV"/>
              </w:rPr>
              <w:t xml:space="preserve">Latvijas Republikas valsts robežas uzturēšana </w:t>
            </w:r>
          </w:p>
        </w:tc>
        <w:tc>
          <w:tcPr>
            <w:tcW w:w="985" w:type="dxa"/>
            <w:noWrap/>
            <w:vAlign w:val="center"/>
          </w:tcPr>
          <w:p w14:paraId="08C9BA07" w14:textId="0A25E31B"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B4E9D">
              <w:rPr>
                <w:color w:val="auto"/>
                <w:sz w:val="20"/>
                <w:lang w:eastAsia="lv-LV"/>
              </w:rPr>
              <w:t>P.2</w:t>
            </w:r>
            <w:r>
              <w:rPr>
                <w:color w:val="auto"/>
                <w:sz w:val="20"/>
                <w:lang w:eastAsia="lv-LV"/>
              </w:rPr>
              <w:t>, P.51</w:t>
            </w:r>
          </w:p>
        </w:tc>
        <w:tc>
          <w:tcPr>
            <w:tcW w:w="1572" w:type="dxa"/>
            <w:vAlign w:val="center"/>
          </w:tcPr>
          <w:p w14:paraId="3DF26427"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16F8FC32"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68EFBD57"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503F8EC4"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3154DF14"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43D90A5B" w14:textId="77777777" w:rsidTr="00726CC8">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0D57C01E" w14:textId="77777777" w:rsidR="00726CC8" w:rsidRPr="00A74DD4" w:rsidRDefault="00726CC8" w:rsidP="00726CC8">
            <w:pPr>
              <w:spacing w:after="0"/>
              <w:ind w:firstLine="0"/>
              <w:rPr>
                <w:b w:val="0"/>
                <w:sz w:val="20"/>
                <w:lang w:eastAsia="lv-LV"/>
              </w:rPr>
            </w:pPr>
            <w:proofErr w:type="spellStart"/>
            <w:r w:rsidRPr="00A74DD4">
              <w:rPr>
                <w:b w:val="0"/>
                <w:color w:val="000000"/>
                <w:sz w:val="20"/>
                <w:lang w:eastAsia="lv-LV"/>
              </w:rPr>
              <w:t>Iekšlietu</w:t>
            </w:r>
            <w:proofErr w:type="spellEnd"/>
            <w:r w:rsidRPr="00A74DD4">
              <w:rPr>
                <w:b w:val="0"/>
                <w:color w:val="000000"/>
                <w:sz w:val="20"/>
                <w:lang w:eastAsia="lv-LV"/>
              </w:rPr>
              <w:t xml:space="preserve"> resora informācijas un komunikācijas tehnoloģiju infrastruktūras drošības uzlabošana (informācija klasificēta)</w:t>
            </w:r>
          </w:p>
        </w:tc>
        <w:tc>
          <w:tcPr>
            <w:tcW w:w="985" w:type="dxa"/>
            <w:noWrap/>
            <w:vAlign w:val="center"/>
          </w:tcPr>
          <w:p w14:paraId="7A71EA34" w14:textId="6A864B6A"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Pr>
                <w:color w:val="auto"/>
                <w:sz w:val="20"/>
                <w:lang w:eastAsia="lv-LV"/>
              </w:rPr>
              <w:t>D.1, P.2, P.51</w:t>
            </w:r>
          </w:p>
        </w:tc>
        <w:tc>
          <w:tcPr>
            <w:tcW w:w="1572" w:type="dxa"/>
            <w:vAlign w:val="center"/>
          </w:tcPr>
          <w:p w14:paraId="7F32CCA4"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5AE1A43D"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1D66B152"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07AD659E"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2220152C"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0711A954" w14:textId="77777777" w:rsidTr="00726CC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075" w:type="dxa"/>
          </w:tcPr>
          <w:p w14:paraId="786F28EF" w14:textId="77777777" w:rsidR="00726CC8" w:rsidRPr="00A74DD4" w:rsidRDefault="00726CC8" w:rsidP="00726CC8">
            <w:pPr>
              <w:spacing w:after="0"/>
              <w:ind w:firstLine="0"/>
              <w:rPr>
                <w:b w:val="0"/>
                <w:sz w:val="20"/>
                <w:lang w:eastAsia="lv-LV"/>
              </w:rPr>
            </w:pPr>
            <w:r w:rsidRPr="00A74DD4">
              <w:rPr>
                <w:b w:val="0"/>
                <w:color w:val="000000"/>
                <w:sz w:val="20"/>
                <w:lang w:eastAsia="lv-LV"/>
              </w:rPr>
              <w:t>IZM padotībā esošo augstākās izglītības iestāžu pedagogu darba samaksas palielinājums</w:t>
            </w:r>
          </w:p>
        </w:tc>
        <w:tc>
          <w:tcPr>
            <w:tcW w:w="985" w:type="dxa"/>
            <w:noWrap/>
            <w:vAlign w:val="center"/>
          </w:tcPr>
          <w:p w14:paraId="5B825DE5" w14:textId="3D0812B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B4E9D">
              <w:rPr>
                <w:color w:val="auto"/>
                <w:sz w:val="20"/>
                <w:lang w:eastAsia="lv-LV"/>
              </w:rPr>
              <w:t>D.1</w:t>
            </w:r>
          </w:p>
        </w:tc>
        <w:tc>
          <w:tcPr>
            <w:tcW w:w="1572" w:type="dxa"/>
            <w:vAlign w:val="center"/>
          </w:tcPr>
          <w:p w14:paraId="33590ACF"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A008143"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006BCDEC"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42C77D79"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1" w:type="dxa"/>
            <w:noWrap/>
            <w:vAlign w:val="center"/>
          </w:tcPr>
          <w:p w14:paraId="7A256146"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5A287902" w14:textId="77777777" w:rsidTr="00726CC8">
        <w:trPr>
          <w:trHeight w:val="183"/>
        </w:trPr>
        <w:tc>
          <w:tcPr>
            <w:cnfStyle w:val="001000000000" w:firstRow="0" w:lastRow="0" w:firstColumn="1" w:lastColumn="0" w:oddVBand="0" w:evenVBand="0" w:oddHBand="0" w:evenHBand="0" w:firstRowFirstColumn="0" w:firstRowLastColumn="0" w:lastRowFirstColumn="0" w:lastRowLastColumn="0"/>
            <w:tcW w:w="8075" w:type="dxa"/>
          </w:tcPr>
          <w:p w14:paraId="4B99A866" w14:textId="77777777" w:rsidR="00726CC8" w:rsidRPr="00A74DD4" w:rsidRDefault="00726CC8" w:rsidP="00726CC8">
            <w:pPr>
              <w:spacing w:after="0"/>
              <w:ind w:firstLine="0"/>
              <w:rPr>
                <w:b w:val="0"/>
                <w:sz w:val="20"/>
                <w:lang w:eastAsia="lv-LV"/>
              </w:rPr>
            </w:pPr>
            <w:r w:rsidRPr="00A74DD4">
              <w:rPr>
                <w:b w:val="0"/>
                <w:color w:val="000000"/>
                <w:sz w:val="20"/>
                <w:lang w:eastAsia="lv-LV"/>
              </w:rPr>
              <w:t>Valsts funkciju sporta nozarē izpildes nodrošināšana nemainīgā līmenī</w:t>
            </w:r>
          </w:p>
        </w:tc>
        <w:tc>
          <w:tcPr>
            <w:tcW w:w="985" w:type="dxa"/>
            <w:noWrap/>
            <w:vAlign w:val="center"/>
          </w:tcPr>
          <w:p w14:paraId="60DE2353" w14:textId="79C2D2A4"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Pr>
                <w:color w:val="auto"/>
                <w:sz w:val="20"/>
                <w:lang w:eastAsia="lv-LV"/>
              </w:rPr>
              <w:t>D.3</w:t>
            </w:r>
          </w:p>
        </w:tc>
        <w:tc>
          <w:tcPr>
            <w:tcW w:w="1572" w:type="dxa"/>
            <w:vAlign w:val="center"/>
          </w:tcPr>
          <w:p w14:paraId="44FE11ED"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20284B7"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15AA5599"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42A27E63"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6ED77175"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63D2D6B0" w14:textId="77777777" w:rsidTr="00726CC8">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075" w:type="dxa"/>
          </w:tcPr>
          <w:p w14:paraId="5DB723F5" w14:textId="77777777" w:rsidR="00726CC8" w:rsidRPr="00A74DD4" w:rsidRDefault="00726CC8" w:rsidP="00726CC8">
            <w:pPr>
              <w:spacing w:after="0"/>
              <w:ind w:firstLine="0"/>
              <w:rPr>
                <w:b w:val="0"/>
                <w:sz w:val="20"/>
                <w:lang w:eastAsia="lv-LV"/>
              </w:rPr>
            </w:pPr>
            <w:r w:rsidRPr="00A74DD4">
              <w:rPr>
                <w:b w:val="0"/>
                <w:color w:val="000000"/>
                <w:sz w:val="20"/>
                <w:lang w:eastAsia="lv-LV"/>
              </w:rPr>
              <w:t>Papildus investīcijas valsts nozīmes sporta infrastruktūras attīstības projektu īstenošanai</w:t>
            </w:r>
          </w:p>
        </w:tc>
        <w:tc>
          <w:tcPr>
            <w:tcW w:w="985" w:type="dxa"/>
            <w:noWrap/>
            <w:vAlign w:val="center"/>
          </w:tcPr>
          <w:p w14:paraId="55EB4CDD" w14:textId="4217C774"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Pr>
                <w:color w:val="auto"/>
                <w:sz w:val="20"/>
                <w:lang w:eastAsia="lv-LV"/>
              </w:rPr>
              <w:t>P.51</w:t>
            </w:r>
          </w:p>
        </w:tc>
        <w:tc>
          <w:tcPr>
            <w:tcW w:w="1572" w:type="dxa"/>
            <w:vAlign w:val="center"/>
          </w:tcPr>
          <w:p w14:paraId="3EF0927A"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2E302425"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07E76068"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0,02</w:t>
            </w:r>
          </w:p>
        </w:tc>
        <w:tc>
          <w:tcPr>
            <w:tcW w:w="850" w:type="dxa"/>
            <w:noWrap/>
            <w:vAlign w:val="center"/>
          </w:tcPr>
          <w:p w14:paraId="526A3BC3"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-0,02</w:t>
            </w:r>
          </w:p>
        </w:tc>
        <w:tc>
          <w:tcPr>
            <w:tcW w:w="851" w:type="dxa"/>
            <w:noWrap/>
            <w:vAlign w:val="center"/>
          </w:tcPr>
          <w:p w14:paraId="50839AB4"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r>
      <w:tr w:rsidR="00726CC8" w:rsidRPr="00EE09CC" w14:paraId="75B674A9" w14:textId="77777777" w:rsidTr="00726CC8">
        <w:trPr>
          <w:trHeight w:val="110"/>
        </w:trPr>
        <w:tc>
          <w:tcPr>
            <w:cnfStyle w:val="001000000000" w:firstRow="0" w:lastRow="0" w:firstColumn="1" w:lastColumn="0" w:oddVBand="0" w:evenVBand="0" w:oddHBand="0" w:evenHBand="0" w:firstRowFirstColumn="0" w:firstRowLastColumn="0" w:lastRowFirstColumn="0" w:lastRowLastColumn="0"/>
            <w:tcW w:w="8075" w:type="dxa"/>
          </w:tcPr>
          <w:p w14:paraId="2A82FBF9" w14:textId="77777777" w:rsidR="00726CC8" w:rsidRPr="00A74DD4" w:rsidRDefault="00726CC8" w:rsidP="00726CC8">
            <w:pPr>
              <w:spacing w:after="0"/>
              <w:ind w:firstLine="0"/>
              <w:rPr>
                <w:b w:val="0"/>
                <w:sz w:val="20"/>
                <w:lang w:eastAsia="lv-LV"/>
              </w:rPr>
            </w:pPr>
            <w:r w:rsidRPr="00A74DD4">
              <w:rPr>
                <w:b w:val="0"/>
                <w:color w:val="000000"/>
                <w:sz w:val="20"/>
                <w:lang w:eastAsia="lv-LV"/>
              </w:rPr>
              <w:t xml:space="preserve">Valsts meža dienestam </w:t>
            </w:r>
            <w:proofErr w:type="spellStart"/>
            <w:r w:rsidRPr="00A74DD4">
              <w:rPr>
                <w:b w:val="0"/>
                <w:color w:val="000000"/>
                <w:sz w:val="20"/>
                <w:lang w:eastAsia="lv-LV"/>
              </w:rPr>
              <w:t>ugunsapsardzības</w:t>
            </w:r>
            <w:proofErr w:type="spellEnd"/>
            <w:r w:rsidRPr="00A74DD4">
              <w:rPr>
                <w:b w:val="0"/>
                <w:color w:val="000000"/>
                <w:sz w:val="20"/>
                <w:lang w:eastAsia="lv-LV"/>
              </w:rPr>
              <w:t xml:space="preserve"> specializētā autotransporta iegādei </w:t>
            </w:r>
          </w:p>
        </w:tc>
        <w:tc>
          <w:tcPr>
            <w:tcW w:w="985" w:type="dxa"/>
            <w:noWrap/>
            <w:vAlign w:val="center"/>
          </w:tcPr>
          <w:p w14:paraId="7E0957B8" w14:textId="254B79F2"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B4E9D">
              <w:rPr>
                <w:color w:val="auto"/>
                <w:sz w:val="20"/>
                <w:lang w:eastAsia="lv-LV"/>
              </w:rPr>
              <w:t>P.51</w:t>
            </w:r>
          </w:p>
        </w:tc>
        <w:tc>
          <w:tcPr>
            <w:tcW w:w="1572" w:type="dxa"/>
            <w:vAlign w:val="center"/>
          </w:tcPr>
          <w:p w14:paraId="47772CFF"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420615EB"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E83A5B2"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1B7888E4"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1" w:type="dxa"/>
            <w:noWrap/>
            <w:vAlign w:val="center"/>
          </w:tcPr>
          <w:p w14:paraId="7A28439A"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2A1294A1" w14:textId="77777777" w:rsidTr="00726CC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075" w:type="dxa"/>
          </w:tcPr>
          <w:p w14:paraId="73A67233" w14:textId="77777777" w:rsidR="00726CC8" w:rsidRPr="00A74DD4" w:rsidRDefault="00726CC8" w:rsidP="00726CC8">
            <w:pPr>
              <w:spacing w:after="0"/>
              <w:ind w:firstLine="0"/>
              <w:rPr>
                <w:b w:val="0"/>
                <w:sz w:val="20"/>
                <w:lang w:eastAsia="lv-LV"/>
              </w:rPr>
            </w:pPr>
            <w:r w:rsidRPr="00A74DD4">
              <w:rPr>
                <w:b w:val="0"/>
                <w:color w:val="000000"/>
                <w:sz w:val="20"/>
                <w:lang w:eastAsia="lv-LV"/>
              </w:rPr>
              <w:t>Administratīvās kapacitātes palielināšanai uzraudzības, kontroles funkciju nodrošināšanai dzīvnieku un augu infekcijas slimību apkarošanas un ES fondu administrēšanas jomā, kā arī Personas datu aizsardzības regulas daļējai prasību izpildei, datu drošības, pieejamības un leģitimitātes nodrošināšanai, un IKT sistēmu integrācijai un attīstībai.</w:t>
            </w:r>
          </w:p>
        </w:tc>
        <w:tc>
          <w:tcPr>
            <w:tcW w:w="985" w:type="dxa"/>
            <w:noWrap/>
            <w:vAlign w:val="center"/>
          </w:tcPr>
          <w:p w14:paraId="537803A4" w14:textId="5B91F35B"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Pr>
                <w:color w:val="auto"/>
                <w:sz w:val="20"/>
                <w:lang w:eastAsia="lv-LV"/>
              </w:rPr>
              <w:t>D.1</w:t>
            </w:r>
          </w:p>
        </w:tc>
        <w:tc>
          <w:tcPr>
            <w:tcW w:w="1572" w:type="dxa"/>
            <w:vAlign w:val="center"/>
          </w:tcPr>
          <w:p w14:paraId="3E3080D2"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5CAD4C0"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3150A923"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7E755FF4"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77EF1557"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24CD1B23" w14:textId="77777777" w:rsidTr="00726CC8">
        <w:trPr>
          <w:trHeight w:val="70"/>
        </w:trPr>
        <w:tc>
          <w:tcPr>
            <w:cnfStyle w:val="001000000000" w:firstRow="0" w:lastRow="0" w:firstColumn="1" w:lastColumn="0" w:oddVBand="0" w:evenVBand="0" w:oddHBand="0" w:evenHBand="0" w:firstRowFirstColumn="0" w:firstRowLastColumn="0" w:lastRowFirstColumn="0" w:lastRowLastColumn="0"/>
            <w:tcW w:w="8075" w:type="dxa"/>
          </w:tcPr>
          <w:p w14:paraId="25DCBF3A" w14:textId="77777777" w:rsidR="00726CC8" w:rsidRPr="00A74DD4" w:rsidRDefault="00726CC8" w:rsidP="00726CC8">
            <w:pPr>
              <w:spacing w:after="0"/>
              <w:ind w:firstLine="0"/>
              <w:rPr>
                <w:b w:val="0"/>
                <w:sz w:val="20"/>
                <w:lang w:eastAsia="lv-LV"/>
              </w:rPr>
            </w:pPr>
            <w:r w:rsidRPr="00A74DD4">
              <w:rPr>
                <w:b w:val="0"/>
                <w:color w:val="000000"/>
                <w:sz w:val="20"/>
                <w:lang w:eastAsia="lv-LV"/>
              </w:rPr>
              <w:t>Dzelzceļa publiskā infrastruktūra</w:t>
            </w:r>
          </w:p>
        </w:tc>
        <w:tc>
          <w:tcPr>
            <w:tcW w:w="985" w:type="dxa"/>
            <w:noWrap/>
            <w:vAlign w:val="center"/>
          </w:tcPr>
          <w:p w14:paraId="20A0ECA3" w14:textId="0931DDFA"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Pr>
                <w:color w:val="auto"/>
                <w:sz w:val="20"/>
                <w:lang w:eastAsia="lv-LV"/>
              </w:rPr>
              <w:t>D.3</w:t>
            </w:r>
          </w:p>
        </w:tc>
        <w:tc>
          <w:tcPr>
            <w:tcW w:w="1572" w:type="dxa"/>
            <w:vAlign w:val="center"/>
          </w:tcPr>
          <w:p w14:paraId="58A2F784"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EFE55AC"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E2995B3"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1C60FBBA"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1" w:type="dxa"/>
            <w:noWrap/>
            <w:vAlign w:val="center"/>
          </w:tcPr>
          <w:p w14:paraId="4FA5C03F"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1A7752F7" w14:textId="77777777" w:rsidTr="00726CC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075" w:type="dxa"/>
          </w:tcPr>
          <w:p w14:paraId="6B96D6EB" w14:textId="77777777" w:rsidR="00726CC8" w:rsidRPr="00A74DD4" w:rsidRDefault="00726CC8" w:rsidP="00726CC8">
            <w:pPr>
              <w:spacing w:after="0"/>
              <w:ind w:firstLine="0"/>
              <w:rPr>
                <w:b w:val="0"/>
                <w:sz w:val="20"/>
                <w:lang w:eastAsia="lv-LV"/>
              </w:rPr>
            </w:pPr>
            <w:r w:rsidRPr="00A74DD4">
              <w:rPr>
                <w:b w:val="0"/>
                <w:color w:val="000000"/>
                <w:sz w:val="20"/>
                <w:lang w:eastAsia="lv-LV"/>
              </w:rPr>
              <w:t>Ģimenes valsts pabalsta apmēra palielināšana</w:t>
            </w:r>
          </w:p>
        </w:tc>
        <w:tc>
          <w:tcPr>
            <w:tcW w:w="985" w:type="dxa"/>
            <w:noWrap/>
            <w:vAlign w:val="center"/>
          </w:tcPr>
          <w:p w14:paraId="14BFE0F9" w14:textId="591D7338"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Pr>
                <w:color w:val="auto"/>
                <w:sz w:val="20"/>
                <w:lang w:eastAsia="lv-LV"/>
              </w:rPr>
              <w:t>D.3</w:t>
            </w:r>
          </w:p>
        </w:tc>
        <w:tc>
          <w:tcPr>
            <w:tcW w:w="1572" w:type="dxa"/>
            <w:vAlign w:val="center"/>
          </w:tcPr>
          <w:p w14:paraId="20265DA4"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7AE3245B"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6F6B7B5"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0,10</w:t>
            </w:r>
          </w:p>
        </w:tc>
        <w:tc>
          <w:tcPr>
            <w:tcW w:w="850" w:type="dxa"/>
            <w:noWrap/>
            <w:vAlign w:val="center"/>
          </w:tcPr>
          <w:p w14:paraId="71F2964F"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1" w:type="dxa"/>
            <w:noWrap/>
            <w:vAlign w:val="center"/>
          </w:tcPr>
          <w:p w14:paraId="027D42C6"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75CC58D1" w14:textId="77777777" w:rsidTr="00726CC8">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6EB68793" w14:textId="77777777" w:rsidR="00726CC8" w:rsidRPr="00A74DD4" w:rsidRDefault="00726CC8" w:rsidP="00726CC8">
            <w:pPr>
              <w:spacing w:after="0"/>
              <w:ind w:firstLine="0"/>
              <w:rPr>
                <w:b w:val="0"/>
                <w:sz w:val="20"/>
                <w:lang w:eastAsia="lv-LV"/>
              </w:rPr>
            </w:pPr>
            <w:r w:rsidRPr="00A74DD4">
              <w:rPr>
                <w:b w:val="0"/>
                <w:color w:val="000000"/>
                <w:sz w:val="20"/>
                <w:lang w:eastAsia="lv-LV"/>
              </w:rPr>
              <w:t>Sociāla rakstura institūcijām kapacitātes stiprināšanai un sociālām programmām bērnu tiesību aizsardzības jomās un ar šiem pasākumiem saistīto IT sistēmu pielāgošanai</w:t>
            </w:r>
          </w:p>
        </w:tc>
        <w:tc>
          <w:tcPr>
            <w:tcW w:w="985" w:type="dxa"/>
            <w:noWrap/>
            <w:vAlign w:val="center"/>
          </w:tcPr>
          <w:p w14:paraId="6B7C0BEF" w14:textId="59DA1C69"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Pr>
                <w:color w:val="auto"/>
                <w:sz w:val="20"/>
                <w:lang w:eastAsia="lv-LV"/>
              </w:rPr>
              <w:t>D.1, P.2</w:t>
            </w:r>
          </w:p>
        </w:tc>
        <w:tc>
          <w:tcPr>
            <w:tcW w:w="1572" w:type="dxa"/>
            <w:vAlign w:val="center"/>
          </w:tcPr>
          <w:p w14:paraId="10E2C1A5"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62B871E"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EEB823C"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1BF006B3"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623DBEC4"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4B80FD1B" w14:textId="77777777" w:rsidTr="00726CC8">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8075" w:type="dxa"/>
          </w:tcPr>
          <w:p w14:paraId="3B782E2E" w14:textId="77777777" w:rsidR="00726CC8" w:rsidRPr="00A74DD4" w:rsidRDefault="00726CC8" w:rsidP="00726CC8">
            <w:pPr>
              <w:spacing w:after="0"/>
              <w:ind w:firstLine="0"/>
              <w:rPr>
                <w:b w:val="0"/>
                <w:sz w:val="20"/>
                <w:lang w:eastAsia="lv-LV"/>
              </w:rPr>
            </w:pPr>
            <w:r w:rsidRPr="00A74DD4">
              <w:rPr>
                <w:b w:val="0"/>
                <w:color w:val="000000"/>
                <w:sz w:val="20"/>
                <w:lang w:eastAsia="lv-LV"/>
              </w:rPr>
              <w:t>Alternatīvo ģimenes aprūpes formu attīstība</w:t>
            </w:r>
          </w:p>
        </w:tc>
        <w:tc>
          <w:tcPr>
            <w:tcW w:w="985" w:type="dxa"/>
            <w:noWrap/>
            <w:vAlign w:val="center"/>
          </w:tcPr>
          <w:p w14:paraId="0C90760D" w14:textId="1F80C5A8"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Pr>
                <w:color w:val="auto"/>
                <w:sz w:val="20"/>
                <w:lang w:eastAsia="lv-LV"/>
              </w:rPr>
              <w:t>D.3</w:t>
            </w:r>
          </w:p>
        </w:tc>
        <w:tc>
          <w:tcPr>
            <w:tcW w:w="1572" w:type="dxa"/>
            <w:vAlign w:val="center"/>
          </w:tcPr>
          <w:p w14:paraId="1D0D944F"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2CFF6E65"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5E3AEE68"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15D90432"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4182A1AB"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2DD0206E" w14:textId="77777777" w:rsidTr="00726CC8">
        <w:trPr>
          <w:trHeight w:val="140"/>
        </w:trPr>
        <w:tc>
          <w:tcPr>
            <w:cnfStyle w:val="001000000000" w:firstRow="0" w:lastRow="0" w:firstColumn="1" w:lastColumn="0" w:oddVBand="0" w:evenVBand="0" w:oddHBand="0" w:evenHBand="0" w:firstRowFirstColumn="0" w:firstRowLastColumn="0" w:lastRowFirstColumn="0" w:lastRowLastColumn="0"/>
            <w:tcW w:w="8075" w:type="dxa"/>
          </w:tcPr>
          <w:p w14:paraId="2E7AC270" w14:textId="77777777" w:rsidR="00726CC8" w:rsidRPr="00A74DD4" w:rsidRDefault="00726CC8" w:rsidP="00726CC8">
            <w:pPr>
              <w:spacing w:after="0"/>
              <w:ind w:firstLine="0"/>
              <w:jc w:val="right"/>
              <w:rPr>
                <w:b w:val="0"/>
                <w:sz w:val="20"/>
                <w:lang w:eastAsia="lv-LV"/>
              </w:rPr>
            </w:pPr>
            <w:r w:rsidRPr="00A74DD4">
              <w:rPr>
                <w:b w:val="0"/>
                <w:color w:val="000000"/>
                <w:sz w:val="20"/>
                <w:lang w:eastAsia="lv-LV"/>
              </w:rPr>
              <w:t xml:space="preserve">t.sk. </w:t>
            </w:r>
            <w:proofErr w:type="spellStart"/>
            <w:r w:rsidRPr="00A74DD4">
              <w:rPr>
                <w:b w:val="0"/>
                <w:color w:val="000000"/>
                <w:sz w:val="20"/>
                <w:lang w:eastAsia="lv-LV"/>
              </w:rPr>
              <w:t>transferts</w:t>
            </w:r>
            <w:proofErr w:type="spellEnd"/>
            <w:r w:rsidRPr="00A74DD4">
              <w:rPr>
                <w:b w:val="0"/>
                <w:color w:val="000000"/>
                <w:sz w:val="20"/>
                <w:lang w:eastAsia="lv-LV"/>
              </w:rPr>
              <w:t xml:space="preserve"> uz </w:t>
            </w:r>
            <w:proofErr w:type="spellStart"/>
            <w:r w:rsidRPr="00A74DD4">
              <w:rPr>
                <w:b w:val="0"/>
                <w:color w:val="000000"/>
                <w:sz w:val="20"/>
                <w:lang w:eastAsia="lv-LV"/>
              </w:rPr>
              <w:t>Iekšlietu</w:t>
            </w:r>
            <w:proofErr w:type="spellEnd"/>
            <w:r w:rsidRPr="00A74DD4">
              <w:rPr>
                <w:b w:val="0"/>
                <w:color w:val="000000"/>
                <w:sz w:val="20"/>
                <w:lang w:eastAsia="lv-LV"/>
              </w:rPr>
              <w:t xml:space="preserve"> ministriju</w:t>
            </w:r>
          </w:p>
        </w:tc>
        <w:tc>
          <w:tcPr>
            <w:tcW w:w="985" w:type="dxa"/>
            <w:noWrap/>
            <w:vAlign w:val="center"/>
          </w:tcPr>
          <w:p w14:paraId="3681FD0F"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1572" w:type="dxa"/>
            <w:vAlign w:val="center"/>
          </w:tcPr>
          <w:p w14:paraId="33D5EF08"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313FE3CB"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B12AD12"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168692F0"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43BFBD5B"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78FDC33C" w14:textId="77777777" w:rsidTr="00726CC8">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075" w:type="dxa"/>
          </w:tcPr>
          <w:p w14:paraId="2478E3AB" w14:textId="77777777" w:rsidR="00726CC8" w:rsidRPr="00A74DD4" w:rsidRDefault="00726CC8" w:rsidP="00726CC8">
            <w:pPr>
              <w:spacing w:after="0"/>
              <w:ind w:firstLine="0"/>
              <w:jc w:val="right"/>
              <w:rPr>
                <w:b w:val="0"/>
                <w:sz w:val="20"/>
                <w:lang w:eastAsia="lv-LV"/>
              </w:rPr>
            </w:pPr>
            <w:r w:rsidRPr="00A74DD4">
              <w:rPr>
                <w:b w:val="0"/>
                <w:color w:val="000000"/>
                <w:sz w:val="20"/>
                <w:lang w:eastAsia="lv-LV"/>
              </w:rPr>
              <w:t xml:space="preserve">t.sk. </w:t>
            </w:r>
            <w:proofErr w:type="spellStart"/>
            <w:r w:rsidRPr="00A74DD4">
              <w:rPr>
                <w:b w:val="0"/>
                <w:color w:val="000000"/>
                <w:sz w:val="20"/>
                <w:lang w:eastAsia="lv-LV"/>
              </w:rPr>
              <w:t>transferts</w:t>
            </w:r>
            <w:proofErr w:type="spellEnd"/>
            <w:r w:rsidRPr="00A74DD4">
              <w:rPr>
                <w:b w:val="0"/>
                <w:color w:val="000000"/>
                <w:sz w:val="20"/>
                <w:lang w:eastAsia="lv-LV"/>
              </w:rPr>
              <w:t xml:space="preserve"> uz valsts speciālo budžetu </w:t>
            </w:r>
          </w:p>
        </w:tc>
        <w:tc>
          <w:tcPr>
            <w:tcW w:w="985" w:type="dxa"/>
            <w:noWrap/>
            <w:vAlign w:val="center"/>
          </w:tcPr>
          <w:p w14:paraId="4CC2EA71"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p>
        </w:tc>
        <w:tc>
          <w:tcPr>
            <w:tcW w:w="1572" w:type="dxa"/>
            <w:vAlign w:val="center"/>
          </w:tcPr>
          <w:p w14:paraId="6CA8CA4A"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22655F89"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260EDEEA"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238A902D"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15C9C7AC"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33CE8A17" w14:textId="77777777" w:rsidTr="00726CC8">
        <w:trPr>
          <w:trHeight w:val="151"/>
        </w:trPr>
        <w:tc>
          <w:tcPr>
            <w:cnfStyle w:val="001000000000" w:firstRow="0" w:lastRow="0" w:firstColumn="1" w:lastColumn="0" w:oddVBand="0" w:evenVBand="0" w:oddHBand="0" w:evenHBand="0" w:firstRowFirstColumn="0" w:firstRowLastColumn="0" w:lastRowFirstColumn="0" w:lastRowLastColumn="0"/>
            <w:tcW w:w="8075" w:type="dxa"/>
          </w:tcPr>
          <w:p w14:paraId="3A37C604" w14:textId="77777777" w:rsidR="00726CC8" w:rsidRPr="00A74DD4" w:rsidRDefault="00726CC8" w:rsidP="00726CC8">
            <w:pPr>
              <w:spacing w:after="0"/>
              <w:ind w:firstLine="0"/>
              <w:rPr>
                <w:b w:val="0"/>
                <w:sz w:val="20"/>
                <w:lang w:eastAsia="lv-LV"/>
              </w:rPr>
            </w:pPr>
            <w:r w:rsidRPr="00A74DD4">
              <w:rPr>
                <w:b w:val="0"/>
                <w:color w:val="000000"/>
                <w:sz w:val="20"/>
                <w:lang w:eastAsia="lv-LV"/>
              </w:rPr>
              <w:t>Tiesnešu atalgojuma palielinājums</w:t>
            </w:r>
          </w:p>
        </w:tc>
        <w:tc>
          <w:tcPr>
            <w:tcW w:w="985" w:type="dxa"/>
            <w:noWrap/>
            <w:vAlign w:val="center"/>
          </w:tcPr>
          <w:p w14:paraId="08B44C9E" w14:textId="2A2B8BE2"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FB4E9D">
              <w:rPr>
                <w:color w:val="auto"/>
                <w:sz w:val="20"/>
                <w:lang w:eastAsia="lv-LV"/>
              </w:rPr>
              <w:t>D.1</w:t>
            </w:r>
          </w:p>
        </w:tc>
        <w:tc>
          <w:tcPr>
            <w:tcW w:w="1572" w:type="dxa"/>
            <w:vAlign w:val="center"/>
          </w:tcPr>
          <w:p w14:paraId="07EBEF9E"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015425F1"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1440421B"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0034B817"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018704C4"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r>
      <w:tr w:rsidR="00726CC8" w:rsidRPr="00EE09CC" w14:paraId="3BD037DA" w14:textId="77777777" w:rsidTr="00726CC8">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075" w:type="dxa"/>
          </w:tcPr>
          <w:p w14:paraId="15946B60" w14:textId="77777777" w:rsidR="00726CC8" w:rsidRPr="00A74DD4" w:rsidRDefault="00726CC8" w:rsidP="00726CC8">
            <w:pPr>
              <w:spacing w:after="0"/>
              <w:ind w:firstLine="0"/>
              <w:rPr>
                <w:b w:val="0"/>
                <w:sz w:val="20"/>
                <w:lang w:eastAsia="lv-LV"/>
              </w:rPr>
            </w:pPr>
            <w:r w:rsidRPr="00A74DD4">
              <w:rPr>
                <w:b w:val="0"/>
                <w:color w:val="000000"/>
                <w:sz w:val="20"/>
                <w:lang w:eastAsia="lv-LV"/>
              </w:rPr>
              <w:t>Vides uzraudzības stiprināšana (t. sk. algas inspektoriem)</w:t>
            </w:r>
          </w:p>
        </w:tc>
        <w:tc>
          <w:tcPr>
            <w:tcW w:w="985" w:type="dxa"/>
            <w:noWrap/>
            <w:vAlign w:val="center"/>
          </w:tcPr>
          <w:p w14:paraId="79E7FC34" w14:textId="63A22C60"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B4E9D">
              <w:rPr>
                <w:color w:val="auto"/>
                <w:sz w:val="20"/>
                <w:lang w:eastAsia="lv-LV"/>
              </w:rPr>
              <w:t>D.1</w:t>
            </w:r>
          </w:p>
        </w:tc>
        <w:tc>
          <w:tcPr>
            <w:tcW w:w="1572" w:type="dxa"/>
            <w:vAlign w:val="center"/>
          </w:tcPr>
          <w:p w14:paraId="53C35388"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07687B93"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4E5970D9"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584B0262"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50A7435D"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70228D64" w14:textId="77777777" w:rsidTr="00726CC8">
        <w:trPr>
          <w:trHeight w:val="297"/>
        </w:trPr>
        <w:tc>
          <w:tcPr>
            <w:cnfStyle w:val="001000000000" w:firstRow="0" w:lastRow="0" w:firstColumn="1" w:lastColumn="0" w:oddVBand="0" w:evenVBand="0" w:oddHBand="0" w:evenHBand="0" w:firstRowFirstColumn="0" w:firstRowLastColumn="0" w:lastRowFirstColumn="0" w:lastRowLastColumn="0"/>
            <w:tcW w:w="8075" w:type="dxa"/>
          </w:tcPr>
          <w:p w14:paraId="3DFB83B5" w14:textId="77777777" w:rsidR="00726CC8" w:rsidRPr="00A74DD4" w:rsidRDefault="00726CC8" w:rsidP="00726CC8">
            <w:pPr>
              <w:spacing w:after="0"/>
              <w:ind w:firstLine="0"/>
              <w:rPr>
                <w:b w:val="0"/>
                <w:sz w:val="20"/>
                <w:lang w:eastAsia="lv-LV"/>
              </w:rPr>
            </w:pPr>
            <w:r w:rsidRPr="00A74DD4">
              <w:rPr>
                <w:b w:val="0"/>
                <w:color w:val="000000"/>
                <w:sz w:val="20"/>
                <w:lang w:eastAsia="lv-LV"/>
              </w:rPr>
              <w:t xml:space="preserve">Sakrālā mantojuma saglabāšanas mērķprogramma -Rīgas </w:t>
            </w:r>
            <w:proofErr w:type="spellStart"/>
            <w:r w:rsidRPr="00A74DD4">
              <w:rPr>
                <w:b w:val="0"/>
                <w:color w:val="000000"/>
                <w:sz w:val="20"/>
                <w:lang w:eastAsia="lv-LV"/>
              </w:rPr>
              <w:t>Sv.Jēkaba</w:t>
            </w:r>
            <w:proofErr w:type="spellEnd"/>
            <w:r w:rsidRPr="00A74DD4">
              <w:rPr>
                <w:b w:val="0"/>
                <w:color w:val="000000"/>
                <w:sz w:val="20"/>
                <w:lang w:eastAsia="lv-LV"/>
              </w:rPr>
              <w:t xml:space="preserve"> Romas katoļu baznīcas katedrāle, Rīgas Doma baznīca, Aglonas Romas katoļu bazilika, Lestenes baznīca</w:t>
            </w:r>
          </w:p>
        </w:tc>
        <w:tc>
          <w:tcPr>
            <w:tcW w:w="985" w:type="dxa"/>
            <w:noWrap/>
            <w:vAlign w:val="center"/>
          </w:tcPr>
          <w:p w14:paraId="74F8849A" w14:textId="5F8D3F75"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Pr>
                <w:color w:val="auto"/>
                <w:sz w:val="20"/>
                <w:lang w:eastAsia="lv-LV"/>
              </w:rPr>
              <w:t>D.3</w:t>
            </w:r>
          </w:p>
        </w:tc>
        <w:tc>
          <w:tcPr>
            <w:tcW w:w="1572" w:type="dxa"/>
            <w:vAlign w:val="center"/>
          </w:tcPr>
          <w:p w14:paraId="7D03FD94"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1D241DDD"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0D9A6DF2"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78789B67"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c>
          <w:tcPr>
            <w:tcW w:w="851" w:type="dxa"/>
            <w:noWrap/>
            <w:vAlign w:val="center"/>
          </w:tcPr>
          <w:p w14:paraId="45EEAAFD"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51C4B475" w14:textId="77777777" w:rsidTr="00726CC8">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075" w:type="dxa"/>
          </w:tcPr>
          <w:p w14:paraId="78971B3A" w14:textId="77777777" w:rsidR="00726CC8" w:rsidRPr="00A74DD4" w:rsidRDefault="00726CC8" w:rsidP="00726CC8">
            <w:pPr>
              <w:spacing w:after="0"/>
              <w:ind w:firstLine="0"/>
              <w:rPr>
                <w:b w:val="0"/>
                <w:sz w:val="20"/>
                <w:lang w:eastAsia="lv-LV"/>
              </w:rPr>
            </w:pPr>
            <w:r w:rsidRPr="00A74DD4">
              <w:rPr>
                <w:b w:val="0"/>
                <w:color w:val="000000"/>
                <w:sz w:val="20"/>
                <w:lang w:eastAsia="lv-LV"/>
              </w:rPr>
              <w:t>Prokuroru atalgojuma palielinājums</w:t>
            </w:r>
          </w:p>
        </w:tc>
        <w:tc>
          <w:tcPr>
            <w:tcW w:w="985" w:type="dxa"/>
            <w:noWrap/>
            <w:vAlign w:val="center"/>
          </w:tcPr>
          <w:p w14:paraId="57FC8178" w14:textId="48C84A83"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FB4E9D">
              <w:rPr>
                <w:color w:val="auto"/>
                <w:sz w:val="20"/>
                <w:lang w:eastAsia="lv-LV"/>
              </w:rPr>
              <w:t>D.1</w:t>
            </w:r>
          </w:p>
        </w:tc>
        <w:tc>
          <w:tcPr>
            <w:tcW w:w="1572" w:type="dxa"/>
            <w:vAlign w:val="center"/>
          </w:tcPr>
          <w:p w14:paraId="0CFFCD1C"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4C6C6FF5"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770FDA19"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362EF7F4"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42EB23AE"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r>
      <w:tr w:rsidR="00726CC8" w:rsidRPr="00EE09CC" w14:paraId="2B00C49C" w14:textId="77777777" w:rsidTr="00726CC8">
        <w:trPr>
          <w:trHeight w:val="230"/>
        </w:trPr>
        <w:tc>
          <w:tcPr>
            <w:cnfStyle w:val="001000000000" w:firstRow="0" w:lastRow="0" w:firstColumn="1" w:lastColumn="0" w:oddVBand="0" w:evenVBand="0" w:oddHBand="0" w:evenHBand="0" w:firstRowFirstColumn="0" w:firstRowLastColumn="0" w:lastRowFirstColumn="0" w:lastRowLastColumn="0"/>
            <w:tcW w:w="8075" w:type="dxa"/>
          </w:tcPr>
          <w:p w14:paraId="024BDC14" w14:textId="77777777" w:rsidR="00726CC8" w:rsidRPr="00A74DD4" w:rsidRDefault="00726CC8" w:rsidP="00726CC8">
            <w:pPr>
              <w:spacing w:after="0"/>
              <w:ind w:firstLine="0"/>
              <w:rPr>
                <w:b w:val="0"/>
                <w:sz w:val="20"/>
                <w:lang w:eastAsia="lv-LV"/>
              </w:rPr>
            </w:pPr>
            <w:r w:rsidRPr="00A74DD4">
              <w:rPr>
                <w:b w:val="0"/>
                <w:color w:val="000000"/>
                <w:sz w:val="20"/>
                <w:lang w:eastAsia="lv-LV"/>
              </w:rPr>
              <w:t>Veselības finansējuma nodrošināšana</w:t>
            </w:r>
          </w:p>
        </w:tc>
        <w:tc>
          <w:tcPr>
            <w:tcW w:w="985" w:type="dxa"/>
            <w:noWrap/>
            <w:vAlign w:val="center"/>
          </w:tcPr>
          <w:p w14:paraId="33468A23" w14:textId="46DF69B8"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Pr>
                <w:color w:val="auto"/>
                <w:sz w:val="20"/>
                <w:lang w:eastAsia="lv-LV"/>
              </w:rPr>
              <w:t>D.3</w:t>
            </w:r>
          </w:p>
        </w:tc>
        <w:tc>
          <w:tcPr>
            <w:tcW w:w="1572" w:type="dxa"/>
            <w:vAlign w:val="center"/>
          </w:tcPr>
          <w:p w14:paraId="342E3443"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6B97CD1F"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39A515D9"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0" w:type="dxa"/>
            <w:noWrap/>
            <w:vAlign w:val="center"/>
          </w:tcPr>
          <w:p w14:paraId="0D43FBC7"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041EC1E3"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0,45</w:t>
            </w:r>
          </w:p>
        </w:tc>
      </w:tr>
      <w:tr w:rsidR="00726CC8" w:rsidRPr="00EE09CC" w14:paraId="24E95811" w14:textId="77777777" w:rsidTr="00726CC8">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075" w:type="dxa"/>
          </w:tcPr>
          <w:p w14:paraId="57834F6A" w14:textId="77777777" w:rsidR="00726CC8" w:rsidRPr="00A74DD4" w:rsidRDefault="00726CC8" w:rsidP="00726CC8">
            <w:pPr>
              <w:spacing w:after="0"/>
              <w:ind w:firstLine="0"/>
              <w:rPr>
                <w:b w:val="0"/>
                <w:sz w:val="20"/>
                <w:lang w:eastAsia="lv-LV"/>
              </w:rPr>
            </w:pPr>
            <w:r w:rsidRPr="00A74DD4">
              <w:rPr>
                <w:b w:val="0"/>
                <w:color w:val="000000"/>
                <w:sz w:val="20"/>
                <w:lang w:eastAsia="lv-LV"/>
              </w:rPr>
              <w:t>Valsts sociālās apdrošināšanas aģentūras administratīvās kapacitātes stiprināšana</w:t>
            </w:r>
          </w:p>
        </w:tc>
        <w:tc>
          <w:tcPr>
            <w:tcW w:w="985" w:type="dxa"/>
            <w:noWrap/>
            <w:vAlign w:val="center"/>
          </w:tcPr>
          <w:p w14:paraId="638A7EEE" w14:textId="03E7816D"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Pr>
                <w:color w:val="auto"/>
                <w:sz w:val="20"/>
                <w:lang w:eastAsia="lv-LV"/>
              </w:rPr>
              <w:t>D.1</w:t>
            </w:r>
          </w:p>
        </w:tc>
        <w:tc>
          <w:tcPr>
            <w:tcW w:w="1572" w:type="dxa"/>
            <w:vAlign w:val="center"/>
          </w:tcPr>
          <w:p w14:paraId="5334601A"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1B57B803" w14:textId="77777777" w:rsidR="00726CC8" w:rsidRPr="00A74DD4" w:rsidRDefault="00726CC8" w:rsidP="00726CC8">
            <w:pPr>
              <w:spacing w:after="0"/>
              <w:ind w:firstLine="0"/>
              <w:jc w:val="center"/>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0F3B1A84"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0,01</w:t>
            </w:r>
          </w:p>
        </w:tc>
        <w:tc>
          <w:tcPr>
            <w:tcW w:w="850" w:type="dxa"/>
            <w:noWrap/>
            <w:vAlign w:val="center"/>
          </w:tcPr>
          <w:p w14:paraId="6975021B"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c>
          <w:tcPr>
            <w:tcW w:w="851" w:type="dxa"/>
            <w:noWrap/>
            <w:vAlign w:val="center"/>
          </w:tcPr>
          <w:p w14:paraId="48DEC2F0"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color w:val="000000"/>
                <w:sz w:val="20"/>
                <w:lang w:eastAsia="lv-LV"/>
              </w:rPr>
              <w:t>0,00</w:t>
            </w:r>
          </w:p>
        </w:tc>
      </w:tr>
      <w:tr w:rsidR="00726CC8" w:rsidRPr="00EE09CC" w14:paraId="79A40CA5" w14:textId="77777777" w:rsidTr="00726CC8">
        <w:trPr>
          <w:trHeight w:val="182"/>
        </w:trPr>
        <w:tc>
          <w:tcPr>
            <w:cnfStyle w:val="001000000000" w:firstRow="0" w:lastRow="0" w:firstColumn="1" w:lastColumn="0" w:oddVBand="0" w:evenVBand="0" w:oddHBand="0" w:evenHBand="0" w:firstRowFirstColumn="0" w:firstRowLastColumn="0" w:lastRowFirstColumn="0" w:lastRowLastColumn="0"/>
            <w:tcW w:w="8075" w:type="dxa"/>
          </w:tcPr>
          <w:p w14:paraId="26E446B7" w14:textId="77777777" w:rsidR="00726CC8" w:rsidRPr="00A74DD4" w:rsidRDefault="00726CC8" w:rsidP="00726CC8">
            <w:pPr>
              <w:spacing w:after="0"/>
              <w:ind w:firstLine="0"/>
              <w:rPr>
                <w:b w:val="0"/>
                <w:sz w:val="20"/>
                <w:lang w:eastAsia="lv-LV"/>
              </w:rPr>
            </w:pPr>
            <w:r w:rsidRPr="00A74DD4">
              <w:rPr>
                <w:b w:val="0"/>
                <w:color w:val="000000"/>
                <w:sz w:val="20"/>
                <w:lang w:eastAsia="lv-LV"/>
              </w:rPr>
              <w:t>Pārējie pasākumi kopā</w:t>
            </w:r>
          </w:p>
        </w:tc>
        <w:tc>
          <w:tcPr>
            <w:tcW w:w="985" w:type="dxa"/>
            <w:noWrap/>
          </w:tcPr>
          <w:p w14:paraId="1E799959"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p>
        </w:tc>
        <w:tc>
          <w:tcPr>
            <w:tcW w:w="1572" w:type="dxa"/>
            <w:vAlign w:val="center"/>
          </w:tcPr>
          <w:p w14:paraId="39FCAE05"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DF092F">
              <w:rPr>
                <w:color w:val="auto"/>
                <w:sz w:val="20"/>
                <w:lang w:eastAsia="lv-LV"/>
              </w:rPr>
              <w:t>Naudas plūsma</w:t>
            </w:r>
          </w:p>
        </w:tc>
        <w:tc>
          <w:tcPr>
            <w:tcW w:w="1843" w:type="dxa"/>
            <w:vAlign w:val="center"/>
          </w:tcPr>
          <w:p w14:paraId="2DACC29F" w14:textId="77777777" w:rsidR="00726CC8" w:rsidRPr="00A74DD4" w:rsidRDefault="00726CC8" w:rsidP="00726CC8">
            <w:pPr>
              <w:spacing w:after="0"/>
              <w:ind w:firstLine="0"/>
              <w:jc w:val="center"/>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Apstiprināts valdībā</w:t>
            </w:r>
          </w:p>
        </w:tc>
        <w:tc>
          <w:tcPr>
            <w:tcW w:w="851" w:type="dxa"/>
            <w:noWrap/>
            <w:vAlign w:val="center"/>
          </w:tcPr>
          <w:p w14:paraId="57B30834"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0,13</w:t>
            </w:r>
          </w:p>
        </w:tc>
        <w:tc>
          <w:tcPr>
            <w:tcW w:w="850" w:type="dxa"/>
            <w:noWrap/>
            <w:vAlign w:val="center"/>
          </w:tcPr>
          <w:p w14:paraId="0A4EA6CF"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-0,04</w:t>
            </w:r>
          </w:p>
        </w:tc>
        <w:tc>
          <w:tcPr>
            <w:tcW w:w="851" w:type="dxa"/>
            <w:noWrap/>
            <w:vAlign w:val="center"/>
          </w:tcPr>
          <w:p w14:paraId="0662069B" w14:textId="77777777" w:rsidR="00726CC8" w:rsidRPr="00A74DD4" w:rsidRDefault="00726CC8" w:rsidP="00726CC8">
            <w:pPr>
              <w:spacing w:after="0"/>
              <w:ind w:firstLine="0"/>
              <w:jc w:val="right"/>
              <w:cnfStyle w:val="000000000000" w:firstRow="0" w:lastRow="0" w:firstColumn="0" w:lastColumn="0" w:oddVBand="0" w:evenVBand="0" w:oddHBand="0" w:evenHBand="0" w:firstRowFirstColumn="0" w:firstRowLastColumn="0" w:lastRowFirstColumn="0" w:lastRowLastColumn="0"/>
              <w:rPr>
                <w:sz w:val="20"/>
                <w:lang w:eastAsia="lv-LV"/>
              </w:rPr>
            </w:pPr>
            <w:r w:rsidRPr="00A74DD4">
              <w:rPr>
                <w:color w:val="000000"/>
                <w:sz w:val="20"/>
                <w:lang w:eastAsia="lv-LV"/>
              </w:rPr>
              <w:t>0,01</w:t>
            </w:r>
          </w:p>
        </w:tc>
      </w:tr>
      <w:tr w:rsidR="00726CC8" w:rsidRPr="00EE09CC" w14:paraId="499E7EFC" w14:textId="77777777" w:rsidTr="003F7A1B">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2475" w:type="dxa"/>
            <w:gridSpan w:val="4"/>
            <w:vAlign w:val="center"/>
          </w:tcPr>
          <w:p w14:paraId="258619D1" w14:textId="77777777" w:rsidR="00726CC8" w:rsidRPr="00A74DD4" w:rsidRDefault="00726CC8" w:rsidP="00726CC8">
            <w:pPr>
              <w:spacing w:after="0"/>
              <w:ind w:firstLine="0"/>
              <w:jc w:val="right"/>
              <w:rPr>
                <w:sz w:val="20"/>
                <w:lang w:eastAsia="lv-LV"/>
              </w:rPr>
            </w:pPr>
            <w:r w:rsidRPr="00A74DD4">
              <w:rPr>
                <w:color w:val="000000"/>
                <w:sz w:val="20"/>
                <w:lang w:eastAsia="lv-LV"/>
              </w:rPr>
              <w:t>Kopā</w:t>
            </w:r>
          </w:p>
        </w:tc>
        <w:tc>
          <w:tcPr>
            <w:tcW w:w="851" w:type="dxa"/>
            <w:noWrap/>
            <w:vAlign w:val="center"/>
          </w:tcPr>
          <w:p w14:paraId="249934C7"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b/>
                <w:bCs/>
                <w:color w:val="000000"/>
                <w:sz w:val="20"/>
                <w:lang w:eastAsia="lv-LV"/>
              </w:rPr>
              <w:t>0,</w:t>
            </w:r>
            <w:r>
              <w:rPr>
                <w:b/>
                <w:bCs/>
                <w:color w:val="000000"/>
                <w:sz w:val="20"/>
                <w:lang w:eastAsia="lv-LV"/>
              </w:rPr>
              <w:t>30</w:t>
            </w:r>
          </w:p>
        </w:tc>
        <w:tc>
          <w:tcPr>
            <w:tcW w:w="850" w:type="dxa"/>
            <w:noWrap/>
            <w:vAlign w:val="center"/>
          </w:tcPr>
          <w:p w14:paraId="248A8592"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b/>
                <w:bCs/>
                <w:color w:val="000000"/>
                <w:sz w:val="20"/>
                <w:lang w:eastAsia="lv-LV"/>
              </w:rPr>
              <w:t>0,</w:t>
            </w:r>
            <w:r>
              <w:rPr>
                <w:b/>
                <w:bCs/>
                <w:color w:val="000000"/>
                <w:sz w:val="20"/>
                <w:lang w:eastAsia="lv-LV"/>
              </w:rPr>
              <w:t>14</w:t>
            </w:r>
          </w:p>
        </w:tc>
        <w:tc>
          <w:tcPr>
            <w:tcW w:w="851" w:type="dxa"/>
            <w:noWrap/>
            <w:vAlign w:val="center"/>
          </w:tcPr>
          <w:p w14:paraId="7132EC41" w14:textId="77777777" w:rsidR="00726CC8" w:rsidRPr="00A74DD4" w:rsidRDefault="00726CC8" w:rsidP="00726CC8">
            <w:pPr>
              <w:spacing w:after="0"/>
              <w:ind w:firstLine="0"/>
              <w:jc w:val="right"/>
              <w:cnfStyle w:val="000000100000" w:firstRow="0" w:lastRow="0" w:firstColumn="0" w:lastColumn="0" w:oddVBand="0" w:evenVBand="0" w:oddHBand="1" w:evenHBand="0" w:firstRowFirstColumn="0" w:firstRowLastColumn="0" w:lastRowFirstColumn="0" w:lastRowLastColumn="0"/>
              <w:rPr>
                <w:sz w:val="20"/>
                <w:lang w:eastAsia="lv-LV"/>
              </w:rPr>
            </w:pPr>
            <w:r w:rsidRPr="00A74DD4">
              <w:rPr>
                <w:b/>
                <w:bCs/>
                <w:color w:val="000000"/>
                <w:sz w:val="20"/>
                <w:lang w:eastAsia="lv-LV"/>
              </w:rPr>
              <w:t>1,</w:t>
            </w:r>
            <w:r>
              <w:rPr>
                <w:b/>
                <w:bCs/>
                <w:color w:val="000000"/>
                <w:sz w:val="20"/>
                <w:lang w:eastAsia="lv-LV"/>
              </w:rPr>
              <w:t>23</w:t>
            </w:r>
          </w:p>
        </w:tc>
      </w:tr>
    </w:tbl>
    <w:p w14:paraId="4F97A3C2" w14:textId="6BB4D614" w:rsidR="00314FA1" w:rsidRPr="00314FA1" w:rsidRDefault="002A44D1" w:rsidP="00314FA1">
      <w:pPr>
        <w:pStyle w:val="Heading1"/>
        <w:tabs>
          <w:tab w:val="left" w:pos="1276"/>
        </w:tabs>
        <w:spacing w:before="0" w:after="240"/>
        <w:ind w:left="1276" w:hanging="1276"/>
        <w:jc w:val="left"/>
        <w:rPr>
          <w:rFonts w:ascii="Times New Roman" w:hAnsi="Times New Roman"/>
          <w:color w:val="18185F"/>
          <w:sz w:val="24"/>
          <w:lang w:val="lv-LV"/>
        </w:rPr>
      </w:pPr>
      <w:bookmarkStart w:id="25" w:name="_Toc494786357"/>
      <w:r w:rsidRPr="00DC2914">
        <w:rPr>
          <w:rFonts w:ascii="Times New Roman" w:hAnsi="Times New Roman"/>
          <w:color w:val="18185F"/>
          <w:sz w:val="24"/>
        </w:rPr>
        <w:lastRenderedPageBreak/>
        <w:t xml:space="preserve">Tabula 5.c.  </w:t>
      </w:r>
      <w:proofErr w:type="spellStart"/>
      <w:r w:rsidRPr="00DC2914">
        <w:rPr>
          <w:rFonts w:ascii="Times New Roman" w:hAnsi="Times New Roman"/>
          <w:color w:val="18185F"/>
          <w:sz w:val="24"/>
        </w:rPr>
        <w:t>Diskrecionārie</w:t>
      </w:r>
      <w:proofErr w:type="spellEnd"/>
      <w:r w:rsidR="00CA695A" w:rsidRPr="00DC2914">
        <w:rPr>
          <w:rFonts w:ascii="Times New Roman" w:hAnsi="Times New Roman"/>
          <w:color w:val="18185F"/>
          <w:sz w:val="24"/>
          <w:lang w:val="lv-LV"/>
        </w:rPr>
        <w:t xml:space="preserve"> ieņēmumu</w:t>
      </w:r>
      <w:r w:rsidRPr="00DC2914">
        <w:rPr>
          <w:rFonts w:ascii="Times New Roman" w:hAnsi="Times New Roman"/>
          <w:color w:val="18185F"/>
          <w:sz w:val="24"/>
        </w:rPr>
        <w:t xml:space="preserve"> pasākumi </w:t>
      </w:r>
      <w:r w:rsidR="006E49DC" w:rsidRPr="00DC2914">
        <w:rPr>
          <w:rFonts w:ascii="Times New Roman" w:hAnsi="Times New Roman"/>
          <w:color w:val="18185F"/>
          <w:sz w:val="24"/>
          <w:lang w:val="lv-LV"/>
        </w:rPr>
        <w:t>vietēj</w:t>
      </w:r>
      <w:r w:rsidR="00CA695A" w:rsidRPr="00DC2914">
        <w:rPr>
          <w:rFonts w:ascii="Times New Roman" w:hAnsi="Times New Roman"/>
          <w:color w:val="18185F"/>
          <w:sz w:val="24"/>
          <w:lang w:val="lv-LV"/>
        </w:rPr>
        <w:t>ās</w:t>
      </w:r>
      <w:r w:rsidR="006E49DC" w:rsidRPr="00DC2914">
        <w:rPr>
          <w:rFonts w:ascii="Times New Roman" w:hAnsi="Times New Roman"/>
          <w:color w:val="18185F"/>
          <w:sz w:val="24"/>
          <w:lang w:val="lv-LV"/>
        </w:rPr>
        <w:t xml:space="preserve"> vald</w:t>
      </w:r>
      <w:r w:rsidR="00CA695A" w:rsidRPr="00DC2914">
        <w:rPr>
          <w:rFonts w:ascii="Times New Roman" w:hAnsi="Times New Roman"/>
          <w:color w:val="18185F"/>
          <w:sz w:val="24"/>
          <w:lang w:val="lv-LV"/>
        </w:rPr>
        <w:t>ības budžetā</w:t>
      </w:r>
      <w:bookmarkEnd w:id="25"/>
    </w:p>
    <w:tbl>
      <w:tblPr>
        <w:tblStyle w:val="GridTable6Colorful-Accent1"/>
        <w:tblW w:w="14884" w:type="dxa"/>
        <w:tblLook w:val="04A0" w:firstRow="1" w:lastRow="0" w:firstColumn="1" w:lastColumn="0" w:noHBand="0" w:noVBand="1"/>
      </w:tblPr>
      <w:tblGrid>
        <w:gridCol w:w="3261"/>
        <w:gridCol w:w="4675"/>
        <w:gridCol w:w="995"/>
        <w:gridCol w:w="708"/>
        <w:gridCol w:w="1134"/>
        <w:gridCol w:w="1985"/>
        <w:gridCol w:w="709"/>
        <w:gridCol w:w="708"/>
        <w:gridCol w:w="709"/>
      </w:tblGrid>
      <w:tr w:rsidR="004126AC" w:rsidRPr="00FC6D4A" w14:paraId="11480E5B" w14:textId="77777777" w:rsidTr="0065333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61" w:type="dxa"/>
            <w:vMerge w:val="restart"/>
            <w:vAlign w:val="center"/>
            <w:hideMark/>
          </w:tcPr>
          <w:p w14:paraId="01978F81" w14:textId="77777777" w:rsidR="004126AC" w:rsidRPr="00FC6D4A" w:rsidRDefault="004126AC" w:rsidP="004126AC">
            <w:pPr>
              <w:spacing w:after="0"/>
              <w:ind w:firstLine="0"/>
              <w:jc w:val="center"/>
              <w:rPr>
                <w:rFonts w:cs="Times New Roman"/>
                <w:color w:val="auto"/>
                <w:sz w:val="20"/>
                <w:szCs w:val="20"/>
                <w:lang w:eastAsia="lv-LV"/>
              </w:rPr>
            </w:pPr>
            <w:r w:rsidRPr="00FC6D4A">
              <w:rPr>
                <w:rFonts w:cs="Times New Roman"/>
                <w:color w:val="auto"/>
                <w:sz w:val="20"/>
                <w:szCs w:val="20"/>
                <w:lang w:eastAsia="lv-LV"/>
              </w:rPr>
              <w:t>Pasākumu saraksts</w:t>
            </w:r>
          </w:p>
        </w:tc>
        <w:tc>
          <w:tcPr>
            <w:tcW w:w="4675" w:type="dxa"/>
            <w:vMerge w:val="restart"/>
            <w:vAlign w:val="center"/>
            <w:hideMark/>
          </w:tcPr>
          <w:p w14:paraId="2E68FF9D" w14:textId="2FAFD6B3" w:rsidR="004126AC" w:rsidRPr="00FC6D4A"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FC6D4A">
              <w:rPr>
                <w:rFonts w:cs="Times New Roman"/>
                <w:color w:val="auto"/>
                <w:sz w:val="20"/>
                <w:szCs w:val="20"/>
                <w:lang w:eastAsia="lv-LV"/>
              </w:rPr>
              <w:t>Detalizēts apraksts</w:t>
            </w:r>
          </w:p>
        </w:tc>
        <w:tc>
          <w:tcPr>
            <w:tcW w:w="995" w:type="dxa"/>
            <w:vMerge w:val="restart"/>
            <w:vAlign w:val="center"/>
            <w:hideMark/>
          </w:tcPr>
          <w:p w14:paraId="0D22E2E9" w14:textId="77777777" w:rsidR="004126AC" w:rsidRPr="00FC6D4A"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FC6D4A">
              <w:rPr>
                <w:rFonts w:cs="Times New Roman"/>
                <w:color w:val="auto"/>
                <w:sz w:val="20"/>
                <w:szCs w:val="20"/>
                <w:lang w:eastAsia="lv-LV"/>
              </w:rPr>
              <w:t>Nodokļu veids</w:t>
            </w:r>
          </w:p>
        </w:tc>
        <w:tc>
          <w:tcPr>
            <w:tcW w:w="708" w:type="dxa"/>
            <w:vMerge w:val="restart"/>
            <w:vAlign w:val="center"/>
            <w:hideMark/>
          </w:tcPr>
          <w:p w14:paraId="0E67BE74" w14:textId="6AA9C439" w:rsidR="004126AC" w:rsidRPr="00FC6D4A"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FC6D4A">
              <w:rPr>
                <w:rFonts w:cs="Times New Roman"/>
                <w:color w:val="auto"/>
                <w:sz w:val="20"/>
                <w:szCs w:val="20"/>
                <w:lang w:eastAsia="lv-LV"/>
              </w:rPr>
              <w:t>EKS kods</w:t>
            </w:r>
          </w:p>
        </w:tc>
        <w:tc>
          <w:tcPr>
            <w:tcW w:w="1134" w:type="dxa"/>
            <w:vMerge w:val="restart"/>
            <w:vAlign w:val="center"/>
            <w:hideMark/>
          </w:tcPr>
          <w:p w14:paraId="3D023402" w14:textId="77777777" w:rsidR="004126AC" w:rsidRPr="00FC6D4A" w:rsidRDefault="004126AC" w:rsidP="00D640F7">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FC6D4A">
              <w:rPr>
                <w:rFonts w:cs="Times New Roman"/>
                <w:color w:val="auto"/>
                <w:sz w:val="20"/>
                <w:szCs w:val="20"/>
                <w:lang w:eastAsia="lv-LV"/>
              </w:rPr>
              <w:t>Uzskaites princips</w:t>
            </w:r>
          </w:p>
        </w:tc>
        <w:tc>
          <w:tcPr>
            <w:tcW w:w="1985" w:type="dxa"/>
            <w:vMerge w:val="restart"/>
            <w:vAlign w:val="center"/>
            <w:hideMark/>
          </w:tcPr>
          <w:p w14:paraId="1891F3FA" w14:textId="77777777" w:rsidR="004126AC" w:rsidRPr="00FC6D4A" w:rsidRDefault="004126AC" w:rsidP="004126AC">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FC6D4A">
              <w:rPr>
                <w:rFonts w:cs="Times New Roman"/>
                <w:color w:val="auto"/>
                <w:sz w:val="20"/>
                <w:szCs w:val="20"/>
                <w:lang w:eastAsia="lv-LV"/>
              </w:rPr>
              <w:t>Pieņemšanas statuss</w:t>
            </w:r>
          </w:p>
        </w:tc>
        <w:tc>
          <w:tcPr>
            <w:tcW w:w="2126" w:type="dxa"/>
            <w:gridSpan w:val="3"/>
            <w:noWrap/>
            <w:vAlign w:val="center"/>
            <w:hideMark/>
          </w:tcPr>
          <w:p w14:paraId="498BBFC0" w14:textId="77777777" w:rsidR="004126AC" w:rsidRPr="00FC6D4A" w:rsidRDefault="004126AC" w:rsidP="00D640F7">
            <w:pPr>
              <w:spacing w:after="0"/>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eastAsia="lv-LV"/>
              </w:rPr>
            </w:pPr>
            <w:r w:rsidRPr="00FC6D4A">
              <w:rPr>
                <w:rFonts w:cs="Times New Roman"/>
                <w:color w:val="auto"/>
                <w:sz w:val="20"/>
                <w:szCs w:val="20"/>
                <w:lang w:eastAsia="lv-LV"/>
              </w:rPr>
              <w:t>Ietekme uz budžetu</w:t>
            </w:r>
          </w:p>
        </w:tc>
      </w:tr>
      <w:tr w:rsidR="007A318D" w:rsidRPr="00FC6D4A" w14:paraId="467629E6" w14:textId="77777777" w:rsidTr="006533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61" w:type="dxa"/>
            <w:vMerge/>
            <w:vAlign w:val="center"/>
            <w:hideMark/>
          </w:tcPr>
          <w:p w14:paraId="145B783A" w14:textId="77777777" w:rsidR="007A318D" w:rsidRPr="00FC6D4A" w:rsidRDefault="007A318D" w:rsidP="007A318D">
            <w:pPr>
              <w:spacing w:after="0"/>
              <w:jc w:val="center"/>
              <w:rPr>
                <w:rFonts w:cs="Times New Roman"/>
                <w:color w:val="auto"/>
                <w:sz w:val="20"/>
                <w:szCs w:val="20"/>
                <w:lang w:eastAsia="lv-LV"/>
              </w:rPr>
            </w:pPr>
          </w:p>
        </w:tc>
        <w:tc>
          <w:tcPr>
            <w:tcW w:w="4675" w:type="dxa"/>
            <w:vMerge/>
            <w:vAlign w:val="center"/>
            <w:hideMark/>
          </w:tcPr>
          <w:p w14:paraId="14200145" w14:textId="77777777" w:rsidR="007A318D" w:rsidRPr="00FC6D4A" w:rsidRDefault="007A318D" w:rsidP="007A318D">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995" w:type="dxa"/>
            <w:vMerge/>
            <w:vAlign w:val="center"/>
            <w:hideMark/>
          </w:tcPr>
          <w:p w14:paraId="2ADD7063" w14:textId="77777777" w:rsidR="007A318D" w:rsidRPr="00FC6D4A" w:rsidRDefault="007A318D" w:rsidP="007A318D">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708" w:type="dxa"/>
            <w:vMerge/>
            <w:vAlign w:val="center"/>
            <w:hideMark/>
          </w:tcPr>
          <w:p w14:paraId="0C2D41E9" w14:textId="77777777" w:rsidR="007A318D" w:rsidRPr="00FC6D4A" w:rsidRDefault="007A318D" w:rsidP="007A318D">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1134" w:type="dxa"/>
            <w:vMerge/>
            <w:vAlign w:val="center"/>
            <w:hideMark/>
          </w:tcPr>
          <w:p w14:paraId="3F46471C" w14:textId="77777777" w:rsidR="007A318D" w:rsidRPr="00FC6D4A" w:rsidRDefault="007A318D" w:rsidP="007A318D">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1985" w:type="dxa"/>
            <w:vMerge/>
            <w:vAlign w:val="center"/>
            <w:hideMark/>
          </w:tcPr>
          <w:p w14:paraId="0622D13F" w14:textId="77777777" w:rsidR="007A318D" w:rsidRPr="00FC6D4A" w:rsidRDefault="007A318D" w:rsidP="007A318D">
            <w:pPr>
              <w:spacing w:after="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p>
        </w:tc>
        <w:tc>
          <w:tcPr>
            <w:tcW w:w="709" w:type="dxa"/>
            <w:noWrap/>
            <w:vAlign w:val="center"/>
            <w:hideMark/>
          </w:tcPr>
          <w:p w14:paraId="0A5AA70D" w14:textId="72848903" w:rsidR="007A318D" w:rsidRPr="00FC6D4A" w:rsidRDefault="006B28DB" w:rsidP="00D85FDB">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sidRPr="00FC6D4A">
              <w:rPr>
                <w:rFonts w:cs="Times New Roman"/>
                <w:b/>
                <w:bCs/>
                <w:color w:val="auto"/>
                <w:sz w:val="20"/>
                <w:szCs w:val="20"/>
                <w:lang w:eastAsia="lv-LV"/>
              </w:rPr>
              <w:t>201</w:t>
            </w:r>
            <w:r w:rsidR="00D85FDB" w:rsidRPr="00FC6D4A">
              <w:rPr>
                <w:rFonts w:cs="Times New Roman"/>
                <w:b/>
                <w:bCs/>
                <w:color w:val="auto"/>
                <w:sz w:val="20"/>
                <w:szCs w:val="20"/>
                <w:lang w:eastAsia="lv-LV"/>
              </w:rPr>
              <w:t>8</w:t>
            </w:r>
          </w:p>
        </w:tc>
        <w:tc>
          <w:tcPr>
            <w:tcW w:w="708" w:type="dxa"/>
            <w:noWrap/>
            <w:vAlign w:val="center"/>
            <w:hideMark/>
          </w:tcPr>
          <w:p w14:paraId="52C7513C" w14:textId="2E99861C" w:rsidR="007A318D" w:rsidRPr="00FC6D4A" w:rsidRDefault="006B28DB"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sidRPr="00FC6D4A">
              <w:rPr>
                <w:rFonts w:cs="Times New Roman"/>
                <w:b/>
                <w:bCs/>
                <w:color w:val="auto"/>
                <w:sz w:val="20"/>
                <w:szCs w:val="20"/>
                <w:lang w:eastAsia="lv-LV"/>
              </w:rPr>
              <w:t>2</w:t>
            </w:r>
            <w:r w:rsidR="00D85FDB" w:rsidRPr="00FC6D4A">
              <w:rPr>
                <w:rFonts w:cs="Times New Roman"/>
                <w:b/>
                <w:bCs/>
                <w:color w:val="auto"/>
                <w:sz w:val="20"/>
                <w:szCs w:val="20"/>
                <w:lang w:eastAsia="lv-LV"/>
              </w:rPr>
              <w:t>019</w:t>
            </w:r>
          </w:p>
        </w:tc>
        <w:tc>
          <w:tcPr>
            <w:tcW w:w="709" w:type="dxa"/>
            <w:noWrap/>
            <w:vAlign w:val="center"/>
            <w:hideMark/>
          </w:tcPr>
          <w:p w14:paraId="43845322" w14:textId="744B1557" w:rsidR="007A318D" w:rsidRPr="00FC6D4A" w:rsidRDefault="00D85FDB" w:rsidP="007A318D">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auto"/>
                <w:sz w:val="20"/>
                <w:szCs w:val="20"/>
                <w:lang w:eastAsia="lv-LV"/>
              </w:rPr>
            </w:pPr>
            <w:r w:rsidRPr="00FC6D4A">
              <w:rPr>
                <w:rFonts w:cs="Times New Roman"/>
                <w:b/>
                <w:bCs/>
                <w:color w:val="auto"/>
                <w:sz w:val="20"/>
                <w:szCs w:val="20"/>
                <w:lang w:eastAsia="lv-LV"/>
              </w:rPr>
              <w:t>2020</w:t>
            </w:r>
          </w:p>
        </w:tc>
      </w:tr>
      <w:tr w:rsidR="00D640F7" w:rsidRPr="00FC6D4A" w14:paraId="0D6D049E" w14:textId="77777777" w:rsidTr="00653335">
        <w:trPr>
          <w:trHeight w:val="315"/>
        </w:trPr>
        <w:tc>
          <w:tcPr>
            <w:cnfStyle w:val="001000000000" w:firstRow="0" w:lastRow="0" w:firstColumn="1" w:lastColumn="0" w:oddVBand="0" w:evenVBand="0" w:oddHBand="0" w:evenHBand="0" w:firstRowFirstColumn="0" w:firstRowLastColumn="0" w:lastRowFirstColumn="0" w:lastRowLastColumn="0"/>
            <w:tcW w:w="3261" w:type="dxa"/>
            <w:vMerge/>
            <w:vAlign w:val="center"/>
            <w:hideMark/>
          </w:tcPr>
          <w:p w14:paraId="3E3241A2" w14:textId="77777777" w:rsidR="00D640F7" w:rsidRPr="00FC6D4A" w:rsidRDefault="00D640F7" w:rsidP="004126AC">
            <w:pPr>
              <w:spacing w:after="0"/>
              <w:jc w:val="center"/>
              <w:rPr>
                <w:rFonts w:cs="Times New Roman"/>
                <w:color w:val="auto"/>
                <w:sz w:val="20"/>
                <w:szCs w:val="20"/>
                <w:lang w:eastAsia="lv-LV"/>
              </w:rPr>
            </w:pPr>
          </w:p>
        </w:tc>
        <w:tc>
          <w:tcPr>
            <w:tcW w:w="4675" w:type="dxa"/>
            <w:vMerge/>
            <w:vAlign w:val="center"/>
            <w:hideMark/>
          </w:tcPr>
          <w:p w14:paraId="290CBEF7" w14:textId="77777777" w:rsidR="00D640F7" w:rsidRPr="00FC6D4A"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995" w:type="dxa"/>
            <w:vMerge/>
            <w:vAlign w:val="center"/>
            <w:hideMark/>
          </w:tcPr>
          <w:p w14:paraId="6906DEC6" w14:textId="77777777" w:rsidR="00D640F7" w:rsidRPr="00FC6D4A"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708" w:type="dxa"/>
            <w:vMerge/>
            <w:vAlign w:val="center"/>
            <w:hideMark/>
          </w:tcPr>
          <w:p w14:paraId="479D31FD" w14:textId="77777777" w:rsidR="00D640F7" w:rsidRPr="00FC6D4A"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1134" w:type="dxa"/>
            <w:vMerge/>
            <w:vAlign w:val="center"/>
            <w:hideMark/>
          </w:tcPr>
          <w:p w14:paraId="74938B80" w14:textId="77777777" w:rsidR="00D640F7" w:rsidRPr="00FC6D4A" w:rsidRDefault="00D640F7" w:rsidP="00D640F7">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1985" w:type="dxa"/>
            <w:vMerge/>
            <w:vAlign w:val="center"/>
            <w:hideMark/>
          </w:tcPr>
          <w:p w14:paraId="5B5BB079" w14:textId="77777777" w:rsidR="00D640F7" w:rsidRPr="00FC6D4A" w:rsidRDefault="00D640F7" w:rsidP="004126AC">
            <w:pPr>
              <w:spacing w:after="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p>
        </w:tc>
        <w:tc>
          <w:tcPr>
            <w:tcW w:w="2126" w:type="dxa"/>
            <w:gridSpan w:val="3"/>
            <w:noWrap/>
            <w:vAlign w:val="center"/>
            <w:hideMark/>
          </w:tcPr>
          <w:p w14:paraId="7FEBA02E" w14:textId="1FC06FD6" w:rsidR="00D640F7" w:rsidRPr="00FC6D4A" w:rsidRDefault="00D640F7" w:rsidP="004126AC">
            <w:pPr>
              <w:spacing w:after="0"/>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r w:rsidRPr="00FC6D4A">
              <w:rPr>
                <w:rFonts w:cs="Times New Roman"/>
                <w:b/>
                <w:bCs/>
                <w:color w:val="auto"/>
                <w:sz w:val="20"/>
                <w:szCs w:val="20"/>
                <w:lang w:eastAsia="lv-LV"/>
              </w:rPr>
              <w:t>% no IKP</w:t>
            </w:r>
          </w:p>
        </w:tc>
      </w:tr>
      <w:tr w:rsidR="00FC6D4A" w:rsidRPr="00FC6D4A" w14:paraId="6436616B" w14:textId="77777777" w:rsidTr="0065333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1B63F198" w14:textId="111FC33B" w:rsidR="00FC6D4A" w:rsidRPr="00FC6D4A" w:rsidRDefault="009A761D" w:rsidP="00FC6D4A">
            <w:pPr>
              <w:spacing w:after="0"/>
              <w:ind w:firstLine="0"/>
              <w:rPr>
                <w:rFonts w:cs="Times New Roman"/>
                <w:b w:val="0"/>
                <w:color w:val="auto"/>
                <w:sz w:val="20"/>
                <w:szCs w:val="20"/>
                <w:lang w:eastAsia="lv-LV"/>
              </w:rPr>
            </w:pPr>
            <w:r w:rsidRPr="007E6BCC">
              <w:rPr>
                <w:rFonts w:cs="Times New Roman"/>
                <w:b w:val="0"/>
                <w:color w:val="auto"/>
                <w:sz w:val="20"/>
                <w:szCs w:val="20"/>
                <w:lang w:eastAsia="lv-LV"/>
              </w:rPr>
              <w:t xml:space="preserve">Nodokļu ieņēmumu palielinājums saistībā ar plānoto </w:t>
            </w:r>
            <w:r>
              <w:rPr>
                <w:rFonts w:cs="Times New Roman"/>
                <w:b w:val="0"/>
                <w:color w:val="auto"/>
                <w:sz w:val="20"/>
                <w:szCs w:val="20"/>
                <w:lang w:eastAsia="lv-LV"/>
              </w:rPr>
              <w:t>č</w:t>
            </w:r>
            <w:r w:rsidRPr="007E6BCC">
              <w:rPr>
                <w:rFonts w:cs="Times New Roman"/>
                <w:b w:val="0"/>
                <w:color w:val="auto"/>
                <w:sz w:val="20"/>
                <w:szCs w:val="20"/>
                <w:lang w:eastAsia="lv-LV"/>
              </w:rPr>
              <w:t>eku loteriju</w:t>
            </w:r>
          </w:p>
        </w:tc>
        <w:tc>
          <w:tcPr>
            <w:tcW w:w="4675" w:type="dxa"/>
            <w:vAlign w:val="center"/>
          </w:tcPr>
          <w:p w14:paraId="6438219E" w14:textId="339A9950" w:rsidR="00FC6D4A" w:rsidRPr="00FC6D4A" w:rsidRDefault="00BB6171" w:rsidP="00FC6D4A">
            <w:pPr>
              <w:spacing w:after="0"/>
              <w:ind w:firstLine="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BB6171">
              <w:rPr>
                <w:rFonts w:cs="Times New Roman"/>
                <w:color w:val="auto"/>
                <w:sz w:val="20"/>
                <w:szCs w:val="20"/>
                <w:lang w:eastAsia="lv-LV"/>
              </w:rPr>
              <w:t>Risinājumu izstrādāšana čeku loterijas organizēšanai ar 01.01.2019.</w:t>
            </w:r>
          </w:p>
        </w:tc>
        <w:tc>
          <w:tcPr>
            <w:tcW w:w="995" w:type="dxa"/>
            <w:vAlign w:val="center"/>
          </w:tcPr>
          <w:p w14:paraId="586E9C97" w14:textId="1AC65D4B" w:rsidR="00FC6D4A" w:rsidRPr="00FC6D4A" w:rsidRDefault="00BB6171" w:rsidP="00FC6D4A">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IIN</w:t>
            </w:r>
          </w:p>
        </w:tc>
        <w:tc>
          <w:tcPr>
            <w:tcW w:w="708" w:type="dxa"/>
            <w:vAlign w:val="center"/>
          </w:tcPr>
          <w:p w14:paraId="267A1FCE" w14:textId="01A87029" w:rsidR="00FC6D4A" w:rsidRPr="00FC6D4A" w:rsidRDefault="00BB6171" w:rsidP="00FC6D4A">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D.5</w:t>
            </w:r>
          </w:p>
        </w:tc>
        <w:tc>
          <w:tcPr>
            <w:tcW w:w="1134" w:type="dxa"/>
            <w:vAlign w:val="center"/>
          </w:tcPr>
          <w:p w14:paraId="3622D83C" w14:textId="7A488D10" w:rsidR="00FC6D4A" w:rsidRPr="00FC6D4A" w:rsidRDefault="00FC6D4A" w:rsidP="00FC6D4A">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FC6D4A">
              <w:rPr>
                <w:rFonts w:cs="Times New Roman"/>
                <w:color w:val="auto"/>
                <w:sz w:val="20"/>
                <w:szCs w:val="20"/>
                <w:lang w:eastAsia="lv-LV"/>
              </w:rPr>
              <w:t>Uzkrājuma</w:t>
            </w:r>
          </w:p>
        </w:tc>
        <w:tc>
          <w:tcPr>
            <w:tcW w:w="1985" w:type="dxa"/>
            <w:vAlign w:val="center"/>
          </w:tcPr>
          <w:p w14:paraId="71CE4AB0" w14:textId="4E685EA4" w:rsidR="00FC6D4A" w:rsidRPr="00FC6D4A" w:rsidRDefault="00653335" w:rsidP="00FC6D4A">
            <w:pPr>
              <w:spacing w:after="0"/>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Pr>
                <w:rFonts w:cs="Times New Roman"/>
                <w:color w:val="auto"/>
                <w:sz w:val="20"/>
                <w:szCs w:val="20"/>
                <w:lang w:eastAsia="lv-LV"/>
              </w:rPr>
              <w:t>Apstiprināts valdībā</w:t>
            </w:r>
          </w:p>
        </w:tc>
        <w:tc>
          <w:tcPr>
            <w:tcW w:w="709" w:type="dxa"/>
            <w:vAlign w:val="center"/>
          </w:tcPr>
          <w:p w14:paraId="12143A6D" w14:textId="62935EDC" w:rsidR="00FC6D4A" w:rsidRPr="00FC6D4A" w:rsidRDefault="00FC6D4A" w:rsidP="00FC6D4A">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FC6D4A">
              <w:rPr>
                <w:rFonts w:cs="Times New Roman"/>
                <w:color w:val="auto"/>
                <w:sz w:val="20"/>
                <w:szCs w:val="20"/>
                <w:lang w:eastAsia="lv-LV"/>
              </w:rPr>
              <w:t>0,00</w:t>
            </w:r>
          </w:p>
        </w:tc>
        <w:tc>
          <w:tcPr>
            <w:tcW w:w="708" w:type="dxa"/>
            <w:vAlign w:val="center"/>
          </w:tcPr>
          <w:p w14:paraId="2D121E12" w14:textId="4C52FD98" w:rsidR="00FC6D4A" w:rsidRPr="00FC6D4A" w:rsidRDefault="00FC6D4A" w:rsidP="00FC6D4A">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FC6D4A">
              <w:rPr>
                <w:rFonts w:cs="Times New Roman"/>
                <w:color w:val="auto"/>
                <w:sz w:val="20"/>
                <w:szCs w:val="20"/>
                <w:lang w:eastAsia="lv-LV"/>
              </w:rPr>
              <w:t>0,00</w:t>
            </w:r>
          </w:p>
        </w:tc>
        <w:tc>
          <w:tcPr>
            <w:tcW w:w="709" w:type="dxa"/>
            <w:vAlign w:val="center"/>
          </w:tcPr>
          <w:p w14:paraId="2B187467" w14:textId="18C95E9C" w:rsidR="00FC6D4A" w:rsidRPr="00FC6D4A" w:rsidRDefault="00FC6D4A" w:rsidP="00FC6D4A">
            <w:pPr>
              <w:spacing w:after="0"/>
              <w:ind w:firstLine="0"/>
              <w:jc w:val="righ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lv-LV"/>
              </w:rPr>
            </w:pPr>
            <w:r w:rsidRPr="00FC6D4A">
              <w:rPr>
                <w:rFonts w:cs="Times New Roman"/>
                <w:color w:val="auto"/>
                <w:sz w:val="20"/>
                <w:szCs w:val="20"/>
                <w:lang w:eastAsia="lv-LV"/>
              </w:rPr>
              <w:t>0,00</w:t>
            </w:r>
          </w:p>
        </w:tc>
      </w:tr>
      <w:tr w:rsidR="00FC6D4A" w:rsidRPr="00FC6D4A" w14:paraId="114D3113" w14:textId="77777777" w:rsidTr="00653335">
        <w:trPr>
          <w:trHeight w:val="127"/>
        </w:trPr>
        <w:tc>
          <w:tcPr>
            <w:cnfStyle w:val="001000000000" w:firstRow="0" w:lastRow="0" w:firstColumn="1" w:lastColumn="0" w:oddVBand="0" w:evenVBand="0" w:oddHBand="0" w:evenHBand="0" w:firstRowFirstColumn="0" w:firstRowLastColumn="0" w:lastRowFirstColumn="0" w:lastRowLastColumn="0"/>
            <w:tcW w:w="12758" w:type="dxa"/>
            <w:gridSpan w:val="6"/>
            <w:noWrap/>
            <w:vAlign w:val="center"/>
          </w:tcPr>
          <w:p w14:paraId="146D687E" w14:textId="26F938E3" w:rsidR="00FC6D4A" w:rsidRPr="00FC6D4A" w:rsidRDefault="00FC6D4A" w:rsidP="00FC6D4A">
            <w:pPr>
              <w:spacing w:after="0"/>
              <w:jc w:val="right"/>
              <w:rPr>
                <w:rFonts w:cs="Times New Roman"/>
                <w:color w:val="auto"/>
                <w:sz w:val="20"/>
                <w:szCs w:val="20"/>
                <w:lang w:eastAsia="lv-LV"/>
              </w:rPr>
            </w:pPr>
            <w:r w:rsidRPr="00FC6D4A">
              <w:rPr>
                <w:rFonts w:cs="Times New Roman"/>
                <w:color w:val="auto"/>
                <w:sz w:val="20"/>
                <w:szCs w:val="20"/>
                <w:lang w:eastAsia="lv-LV"/>
              </w:rPr>
              <w:t>Kopā</w:t>
            </w:r>
          </w:p>
        </w:tc>
        <w:tc>
          <w:tcPr>
            <w:tcW w:w="709" w:type="dxa"/>
            <w:vAlign w:val="center"/>
          </w:tcPr>
          <w:p w14:paraId="53924E83" w14:textId="3D2A9431" w:rsidR="00FC6D4A" w:rsidRPr="00FC6D4A" w:rsidRDefault="00BB6171" w:rsidP="00FC6D4A">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0,00</w:t>
            </w:r>
          </w:p>
        </w:tc>
        <w:tc>
          <w:tcPr>
            <w:tcW w:w="708" w:type="dxa"/>
            <w:vAlign w:val="center"/>
          </w:tcPr>
          <w:p w14:paraId="2EDAD39A" w14:textId="0FFCBF81" w:rsidR="00FC6D4A" w:rsidRPr="00FC6D4A" w:rsidRDefault="00BB6171" w:rsidP="00FC6D4A">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0,00</w:t>
            </w:r>
          </w:p>
        </w:tc>
        <w:tc>
          <w:tcPr>
            <w:tcW w:w="709" w:type="dxa"/>
            <w:vAlign w:val="center"/>
          </w:tcPr>
          <w:p w14:paraId="1BF496E3" w14:textId="33CA3656" w:rsidR="00FC6D4A" w:rsidRPr="00FC6D4A" w:rsidRDefault="00BB6171" w:rsidP="00FC6D4A">
            <w:pPr>
              <w:spacing w:after="0"/>
              <w:ind w:firstLine="0"/>
              <w:jc w:val="right"/>
              <w:cnfStyle w:val="000000000000" w:firstRow="0" w:lastRow="0" w:firstColumn="0" w:lastColumn="0" w:oddVBand="0" w:evenVBand="0" w:oddHBand="0" w:evenHBand="0" w:firstRowFirstColumn="0" w:firstRowLastColumn="0" w:lastRowFirstColumn="0" w:lastRowLastColumn="0"/>
              <w:rPr>
                <w:rFonts w:cs="Times New Roman"/>
                <w:b/>
                <w:bCs/>
                <w:color w:val="auto"/>
                <w:sz w:val="20"/>
                <w:szCs w:val="20"/>
                <w:lang w:eastAsia="lv-LV"/>
              </w:rPr>
            </w:pPr>
            <w:r>
              <w:rPr>
                <w:rFonts w:cs="Times New Roman"/>
                <w:b/>
                <w:bCs/>
                <w:color w:val="auto"/>
                <w:sz w:val="20"/>
                <w:szCs w:val="20"/>
                <w:lang w:eastAsia="lv-LV"/>
              </w:rPr>
              <w:t>0,00</w:t>
            </w:r>
          </w:p>
        </w:tc>
      </w:tr>
    </w:tbl>
    <w:p w14:paraId="0772354D" w14:textId="5FC85E5C" w:rsidR="00E57139" w:rsidRDefault="00E57139" w:rsidP="00314FA1">
      <w:pPr>
        <w:rPr>
          <w:lang w:eastAsia="x-none"/>
        </w:rPr>
      </w:pPr>
    </w:p>
    <w:p w14:paraId="6B4E5621" w14:textId="59F5CF23" w:rsidR="0087101E" w:rsidRDefault="0087101E" w:rsidP="0087101E">
      <w:pPr>
        <w:ind w:firstLine="0"/>
        <w:rPr>
          <w:lang w:eastAsia="x-none"/>
        </w:rPr>
        <w:sectPr w:rsidR="0087101E" w:rsidSect="00BA3AA7">
          <w:pgSz w:w="16838" w:h="11906" w:orient="landscape"/>
          <w:pgMar w:top="1701" w:right="1418" w:bottom="1134" w:left="709" w:header="1077" w:footer="624" w:gutter="0"/>
          <w:cols w:space="708"/>
          <w:docGrid w:linePitch="360"/>
        </w:sectPr>
      </w:pPr>
    </w:p>
    <w:p w14:paraId="0DEFDD33" w14:textId="6A981C19" w:rsidR="00E57139" w:rsidRPr="00E57139" w:rsidRDefault="00E57139" w:rsidP="00E57139">
      <w:pPr>
        <w:pStyle w:val="Heading1"/>
        <w:tabs>
          <w:tab w:val="left" w:pos="1276"/>
        </w:tabs>
        <w:spacing w:before="0" w:after="240"/>
        <w:jc w:val="center"/>
        <w:rPr>
          <w:rFonts w:ascii="Times New Roman" w:hAnsi="Times New Roman"/>
          <w:color w:val="18185E"/>
          <w:sz w:val="28"/>
        </w:rPr>
      </w:pPr>
      <w:bookmarkStart w:id="26" w:name="_Toc494786358"/>
      <w:r w:rsidRPr="00E57139">
        <w:rPr>
          <w:rFonts w:ascii="Times New Roman" w:hAnsi="Times New Roman"/>
          <w:color w:val="18185E"/>
          <w:sz w:val="28"/>
        </w:rPr>
        <w:lastRenderedPageBreak/>
        <w:t xml:space="preserve">Valdības lēmumu ietekme </w:t>
      </w:r>
      <w:r w:rsidR="005337F2">
        <w:rPr>
          <w:rFonts w:ascii="Times New Roman" w:hAnsi="Times New Roman"/>
          <w:color w:val="18185E"/>
          <w:sz w:val="28"/>
          <w:lang w:val="lv-LV"/>
        </w:rPr>
        <w:t>no</w:t>
      </w:r>
      <w:r w:rsidRPr="00E57139">
        <w:rPr>
          <w:rFonts w:ascii="Times New Roman" w:hAnsi="Times New Roman"/>
          <w:color w:val="18185E"/>
          <w:sz w:val="28"/>
        </w:rPr>
        <w:t xml:space="preserve"> konkrētiem budžeta ieņēmumu un izdevumu pasākumiem</w:t>
      </w:r>
      <w:bookmarkEnd w:id="26"/>
      <w:r w:rsidRPr="00E57139">
        <w:rPr>
          <w:rFonts w:ascii="Times New Roman" w:hAnsi="Times New Roman"/>
          <w:color w:val="18185E"/>
          <w:sz w:val="28"/>
        </w:rPr>
        <w:t xml:space="preserve"> </w:t>
      </w:r>
    </w:p>
    <w:p w14:paraId="130BBBE9" w14:textId="7BE7AB30" w:rsidR="00E57139" w:rsidRDefault="00E57139" w:rsidP="00BE4542">
      <w:pPr>
        <w:spacing w:after="60" w:line="276" w:lineRule="auto"/>
        <w:ind w:firstLine="720"/>
        <w:rPr>
          <w:szCs w:val="24"/>
          <w:lang w:eastAsia="lv-LV"/>
        </w:rPr>
      </w:pPr>
      <w:r>
        <w:t xml:space="preserve">Darbaspēka nodokļu reformai būs pozitīva ietekme uz strādājošo ienākumu nevienlīdzības mazināšanu. Sevišķi zemāk atalgoto strādājošo ienākumi būtiski pieaugs ar IIN neapliekamā minimuma paaugstināšanas, IIN likmes samazināšanas no 23 uz 20% (ienākumiem līdz 20 000 </w:t>
      </w:r>
      <w:proofErr w:type="spellStart"/>
      <w:r>
        <w:rPr>
          <w:i/>
          <w:iCs/>
        </w:rPr>
        <w:t>euro</w:t>
      </w:r>
      <w:proofErr w:type="spellEnd"/>
      <w:r>
        <w:t xml:space="preserve"> gadā jeb 1667 </w:t>
      </w:r>
      <w:proofErr w:type="spellStart"/>
      <w:r>
        <w:rPr>
          <w:i/>
          <w:iCs/>
        </w:rPr>
        <w:t>euro</w:t>
      </w:r>
      <w:proofErr w:type="spellEnd"/>
      <w:r>
        <w:t xml:space="preserve"> mēnesī), kā arī  minimālās mēneša darba algas palielināšanas no pašreizējiem 380 līdz 430 </w:t>
      </w:r>
      <w:proofErr w:type="spellStart"/>
      <w:r>
        <w:rPr>
          <w:i/>
          <w:iCs/>
        </w:rPr>
        <w:t>euro</w:t>
      </w:r>
      <w:proofErr w:type="spellEnd"/>
      <w:r>
        <w:rPr>
          <w:i/>
          <w:iCs/>
        </w:rPr>
        <w:t>,</w:t>
      </w:r>
      <w:r>
        <w:t xml:space="preserve"> rezultātā (skat. </w:t>
      </w:r>
      <w:r w:rsidR="009259FE">
        <w:t>Tabulu 5.d</w:t>
      </w:r>
      <w:r>
        <w:t>).</w:t>
      </w:r>
    </w:p>
    <w:p w14:paraId="443486E7" w14:textId="5F9F10B9" w:rsidR="00E57139" w:rsidRPr="005337F2" w:rsidRDefault="002E4757" w:rsidP="005337F2">
      <w:pPr>
        <w:jc w:val="right"/>
        <w:rPr>
          <w:i/>
          <w:iCs/>
          <w:szCs w:val="22"/>
        </w:rPr>
      </w:pPr>
      <w:r>
        <w:rPr>
          <w:b/>
          <w:bCs/>
          <w:szCs w:val="22"/>
        </w:rPr>
        <w:t>Tabula 5.d.</w:t>
      </w:r>
      <w:r w:rsidR="00E57139" w:rsidRPr="005337F2">
        <w:rPr>
          <w:b/>
          <w:bCs/>
          <w:szCs w:val="22"/>
        </w:rPr>
        <w:t xml:space="preserve"> Darbaspēka nodokļu reformas ietekme uz strādājošā (bez apgādībā esošām personām) darba algām, </w:t>
      </w:r>
      <w:proofErr w:type="spellStart"/>
      <w:r w:rsidR="00E57139" w:rsidRPr="005337F2">
        <w:rPr>
          <w:b/>
          <w:i/>
          <w:iCs/>
          <w:szCs w:val="22"/>
        </w:rPr>
        <w:t>euro</w:t>
      </w:r>
      <w:proofErr w:type="spellEnd"/>
      <w:r w:rsidR="00E57139" w:rsidRPr="005337F2">
        <w:rPr>
          <w:b/>
          <w:i/>
          <w:iCs/>
          <w:szCs w:val="22"/>
        </w:rPr>
        <w:t xml:space="preserve"> mēnesī</w:t>
      </w:r>
    </w:p>
    <w:tbl>
      <w:tblPr>
        <w:tblStyle w:val="GridTable6Colorful-Accent11"/>
        <w:tblW w:w="9126" w:type="dxa"/>
        <w:jc w:val="center"/>
        <w:tblLook w:val="04A0" w:firstRow="1" w:lastRow="0" w:firstColumn="1" w:lastColumn="0" w:noHBand="0" w:noVBand="1"/>
      </w:tblPr>
      <w:tblGrid>
        <w:gridCol w:w="2547"/>
        <w:gridCol w:w="1334"/>
        <w:gridCol w:w="851"/>
        <w:gridCol w:w="850"/>
        <w:gridCol w:w="851"/>
        <w:gridCol w:w="850"/>
        <w:gridCol w:w="851"/>
        <w:gridCol w:w="992"/>
      </w:tblGrid>
      <w:tr w:rsidR="00E57139" w:rsidRPr="00E57139" w14:paraId="6C433460" w14:textId="77777777" w:rsidTr="00E5713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hideMark/>
          </w:tcPr>
          <w:p w14:paraId="2E281AAB" w14:textId="77777777" w:rsidR="00E57139" w:rsidRPr="00E57139" w:rsidRDefault="00E57139" w:rsidP="00E57139">
            <w:pPr>
              <w:spacing w:after="0" w:line="252" w:lineRule="auto"/>
              <w:ind w:firstLine="0"/>
              <w:jc w:val="center"/>
              <w:rPr>
                <w:color w:val="auto"/>
                <w:sz w:val="22"/>
                <w:szCs w:val="24"/>
              </w:rPr>
            </w:pPr>
            <w:r w:rsidRPr="00E57139">
              <w:rPr>
                <w:bCs w:val="0"/>
                <w:color w:val="auto"/>
                <w:sz w:val="22"/>
                <w:szCs w:val="24"/>
              </w:rPr>
              <w:t>Bruto alga</w:t>
            </w:r>
          </w:p>
        </w:tc>
        <w:tc>
          <w:tcPr>
            <w:tcW w:w="6579" w:type="dxa"/>
            <w:gridSpan w:val="7"/>
            <w:hideMark/>
          </w:tcPr>
          <w:p w14:paraId="5393E84A" w14:textId="77777777" w:rsidR="00E57139" w:rsidRPr="00E57139" w:rsidRDefault="00E57139" w:rsidP="00E57139">
            <w:pPr>
              <w:spacing w:after="0" w:line="252" w:lineRule="auto"/>
              <w:ind w:firstLine="0"/>
              <w:jc w:val="center"/>
              <w:cnfStyle w:val="100000000000" w:firstRow="1" w:lastRow="0" w:firstColumn="0" w:lastColumn="0" w:oddVBand="0" w:evenVBand="0" w:oddHBand="0" w:evenHBand="0" w:firstRowFirstColumn="0" w:firstRowLastColumn="0" w:lastRowFirstColumn="0" w:lastRowLastColumn="0"/>
              <w:rPr>
                <w:bCs w:val="0"/>
                <w:color w:val="auto"/>
                <w:sz w:val="22"/>
                <w:szCs w:val="24"/>
              </w:rPr>
            </w:pPr>
            <w:r w:rsidRPr="00E57139">
              <w:rPr>
                <w:bCs w:val="0"/>
                <w:color w:val="auto"/>
                <w:sz w:val="22"/>
                <w:szCs w:val="24"/>
              </w:rPr>
              <w:t>Neto darba alga (kas paliek «uz rokas»),</w:t>
            </w:r>
            <w:r w:rsidRPr="00E57139">
              <w:rPr>
                <w:bCs w:val="0"/>
                <w:i/>
                <w:iCs/>
                <w:color w:val="auto"/>
                <w:sz w:val="22"/>
                <w:szCs w:val="24"/>
              </w:rPr>
              <w:t xml:space="preserve"> </w:t>
            </w:r>
            <w:proofErr w:type="spellStart"/>
            <w:r w:rsidRPr="00E57139">
              <w:rPr>
                <w:bCs w:val="0"/>
                <w:i/>
                <w:iCs/>
                <w:color w:val="auto"/>
                <w:sz w:val="22"/>
                <w:szCs w:val="24"/>
              </w:rPr>
              <w:t>euro</w:t>
            </w:r>
            <w:proofErr w:type="spellEnd"/>
            <w:r w:rsidRPr="00E57139">
              <w:rPr>
                <w:bCs w:val="0"/>
                <w:i/>
                <w:iCs/>
                <w:color w:val="auto"/>
                <w:sz w:val="22"/>
                <w:szCs w:val="24"/>
              </w:rPr>
              <w:t xml:space="preserve"> mēnesī</w:t>
            </w:r>
          </w:p>
        </w:tc>
      </w:tr>
      <w:tr w:rsidR="00E57139" w:rsidRPr="00E57139" w14:paraId="14D22BB4" w14:textId="77777777" w:rsidTr="00487780">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547" w:type="dxa"/>
            <w:vMerge/>
            <w:hideMark/>
          </w:tcPr>
          <w:p w14:paraId="693D2A61" w14:textId="77777777" w:rsidR="00E57139" w:rsidRPr="00E57139" w:rsidRDefault="00E57139" w:rsidP="00E57139">
            <w:pPr>
              <w:spacing w:after="0"/>
              <w:jc w:val="center"/>
              <w:rPr>
                <w:rFonts w:eastAsiaTheme="minorHAnsi"/>
                <w:color w:val="auto"/>
                <w:sz w:val="22"/>
                <w:szCs w:val="24"/>
              </w:rPr>
            </w:pPr>
          </w:p>
        </w:tc>
        <w:tc>
          <w:tcPr>
            <w:tcW w:w="1334" w:type="dxa"/>
            <w:vMerge w:val="restart"/>
            <w:vAlign w:val="center"/>
            <w:hideMark/>
          </w:tcPr>
          <w:p w14:paraId="6A8FAD78" w14:textId="77777777" w:rsidR="00E57139" w:rsidRPr="00E57139" w:rsidRDefault="00E57139" w:rsidP="00CC696F">
            <w:pPr>
              <w:spacing w:after="0" w:line="252"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sz w:val="22"/>
                <w:szCs w:val="24"/>
              </w:rPr>
            </w:pPr>
            <w:r w:rsidRPr="00E57139">
              <w:rPr>
                <w:b/>
                <w:bCs/>
                <w:color w:val="auto"/>
                <w:sz w:val="22"/>
                <w:szCs w:val="24"/>
              </w:rPr>
              <w:t>2017*</w:t>
            </w:r>
          </w:p>
        </w:tc>
        <w:tc>
          <w:tcPr>
            <w:tcW w:w="2552" w:type="dxa"/>
            <w:gridSpan w:val="3"/>
            <w:noWrap/>
            <w:hideMark/>
          </w:tcPr>
          <w:p w14:paraId="24FEB374" w14:textId="77777777" w:rsidR="00E57139" w:rsidRPr="00E57139" w:rsidRDefault="00E57139" w:rsidP="00E57139">
            <w:pPr>
              <w:spacing w:after="0" w:line="252"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sz w:val="22"/>
                <w:szCs w:val="24"/>
              </w:rPr>
            </w:pPr>
            <w:r w:rsidRPr="00E57139">
              <w:rPr>
                <w:b/>
                <w:bCs/>
                <w:color w:val="auto"/>
                <w:sz w:val="22"/>
                <w:szCs w:val="24"/>
              </w:rPr>
              <w:t>Nodokļu reforma</w:t>
            </w:r>
          </w:p>
        </w:tc>
        <w:tc>
          <w:tcPr>
            <w:tcW w:w="2693" w:type="dxa"/>
            <w:gridSpan w:val="3"/>
            <w:noWrap/>
            <w:hideMark/>
          </w:tcPr>
          <w:p w14:paraId="5A374154" w14:textId="77777777" w:rsidR="00E57139" w:rsidRPr="00E57139" w:rsidRDefault="00E57139" w:rsidP="00E57139">
            <w:pPr>
              <w:spacing w:after="0" w:line="252"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sz w:val="22"/>
                <w:szCs w:val="24"/>
              </w:rPr>
            </w:pPr>
            <w:r w:rsidRPr="00E57139">
              <w:rPr>
                <w:b/>
                <w:bCs/>
                <w:color w:val="auto"/>
                <w:sz w:val="22"/>
                <w:szCs w:val="24"/>
              </w:rPr>
              <w:t>Starpība pret 2017.gadu</w:t>
            </w:r>
          </w:p>
        </w:tc>
      </w:tr>
      <w:tr w:rsidR="00E57139" w:rsidRPr="00E57139" w14:paraId="0D208FB6" w14:textId="77777777" w:rsidTr="00487780">
        <w:trPr>
          <w:trHeight w:val="207"/>
          <w:jc w:val="center"/>
        </w:trPr>
        <w:tc>
          <w:tcPr>
            <w:cnfStyle w:val="001000000000" w:firstRow="0" w:lastRow="0" w:firstColumn="1" w:lastColumn="0" w:oddVBand="0" w:evenVBand="0" w:oddHBand="0" w:evenHBand="0" w:firstRowFirstColumn="0" w:firstRowLastColumn="0" w:lastRowFirstColumn="0" w:lastRowLastColumn="0"/>
            <w:tcW w:w="2547" w:type="dxa"/>
            <w:vMerge/>
            <w:hideMark/>
          </w:tcPr>
          <w:p w14:paraId="5DE3595A" w14:textId="77777777" w:rsidR="00E57139" w:rsidRPr="00E57139" w:rsidRDefault="00E57139" w:rsidP="00E57139">
            <w:pPr>
              <w:spacing w:after="0"/>
              <w:jc w:val="center"/>
              <w:rPr>
                <w:rFonts w:eastAsiaTheme="minorHAnsi"/>
                <w:color w:val="auto"/>
                <w:sz w:val="22"/>
                <w:szCs w:val="24"/>
              </w:rPr>
            </w:pPr>
          </w:p>
        </w:tc>
        <w:tc>
          <w:tcPr>
            <w:tcW w:w="0" w:type="auto"/>
            <w:vMerge/>
            <w:hideMark/>
          </w:tcPr>
          <w:p w14:paraId="75E7BE0A" w14:textId="77777777" w:rsidR="00E57139" w:rsidRPr="00E57139" w:rsidRDefault="00E57139" w:rsidP="00E57139">
            <w:pPr>
              <w:spacing w:after="0"/>
              <w:jc w:val="center"/>
              <w:cnfStyle w:val="000000000000" w:firstRow="0" w:lastRow="0" w:firstColumn="0" w:lastColumn="0" w:oddVBand="0" w:evenVBand="0" w:oddHBand="0" w:evenHBand="0" w:firstRowFirstColumn="0" w:firstRowLastColumn="0" w:lastRowFirstColumn="0" w:lastRowLastColumn="0"/>
              <w:rPr>
                <w:rFonts w:eastAsiaTheme="minorHAnsi"/>
                <w:b/>
                <w:bCs/>
                <w:color w:val="auto"/>
                <w:sz w:val="22"/>
                <w:szCs w:val="24"/>
              </w:rPr>
            </w:pPr>
          </w:p>
        </w:tc>
        <w:tc>
          <w:tcPr>
            <w:tcW w:w="851" w:type="dxa"/>
            <w:vAlign w:val="center"/>
            <w:hideMark/>
          </w:tcPr>
          <w:p w14:paraId="5672787F" w14:textId="77777777" w:rsidR="00E57139" w:rsidRPr="00E57139" w:rsidRDefault="00E57139" w:rsidP="00CC696F">
            <w:pPr>
              <w:spacing w:after="0" w:line="252"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sz w:val="22"/>
                <w:szCs w:val="24"/>
              </w:rPr>
            </w:pPr>
            <w:r w:rsidRPr="00E57139">
              <w:rPr>
                <w:b/>
                <w:bCs/>
                <w:color w:val="auto"/>
                <w:sz w:val="22"/>
                <w:szCs w:val="24"/>
              </w:rPr>
              <w:t>2018</w:t>
            </w:r>
          </w:p>
        </w:tc>
        <w:tc>
          <w:tcPr>
            <w:tcW w:w="850" w:type="dxa"/>
            <w:vAlign w:val="center"/>
            <w:hideMark/>
          </w:tcPr>
          <w:p w14:paraId="00858B83" w14:textId="77777777" w:rsidR="00E57139" w:rsidRPr="00E57139" w:rsidRDefault="00E57139" w:rsidP="00CC696F">
            <w:pPr>
              <w:spacing w:after="0" w:line="252"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sz w:val="22"/>
                <w:szCs w:val="24"/>
              </w:rPr>
            </w:pPr>
            <w:r w:rsidRPr="00E57139">
              <w:rPr>
                <w:b/>
                <w:bCs/>
                <w:color w:val="auto"/>
                <w:sz w:val="22"/>
                <w:szCs w:val="24"/>
              </w:rPr>
              <w:t>2019</w:t>
            </w:r>
          </w:p>
        </w:tc>
        <w:tc>
          <w:tcPr>
            <w:tcW w:w="851" w:type="dxa"/>
            <w:vAlign w:val="center"/>
            <w:hideMark/>
          </w:tcPr>
          <w:p w14:paraId="1E45DF3B" w14:textId="77777777" w:rsidR="00E57139" w:rsidRPr="00E57139" w:rsidRDefault="00E57139" w:rsidP="00CC696F">
            <w:pPr>
              <w:spacing w:after="0" w:line="252"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sz w:val="22"/>
                <w:szCs w:val="24"/>
              </w:rPr>
            </w:pPr>
            <w:r w:rsidRPr="00E57139">
              <w:rPr>
                <w:b/>
                <w:bCs/>
                <w:color w:val="auto"/>
                <w:sz w:val="22"/>
                <w:szCs w:val="24"/>
              </w:rPr>
              <w:t>2020</w:t>
            </w:r>
          </w:p>
        </w:tc>
        <w:tc>
          <w:tcPr>
            <w:tcW w:w="850" w:type="dxa"/>
            <w:vAlign w:val="center"/>
            <w:hideMark/>
          </w:tcPr>
          <w:p w14:paraId="7991AE93" w14:textId="77777777" w:rsidR="00E57139" w:rsidRPr="00E57139" w:rsidRDefault="00E57139" w:rsidP="00CC696F">
            <w:pPr>
              <w:spacing w:after="0" w:line="252"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sz w:val="22"/>
                <w:szCs w:val="24"/>
              </w:rPr>
            </w:pPr>
            <w:r w:rsidRPr="00E57139">
              <w:rPr>
                <w:b/>
                <w:bCs/>
                <w:color w:val="auto"/>
                <w:sz w:val="22"/>
                <w:szCs w:val="24"/>
              </w:rPr>
              <w:t>2018</w:t>
            </w:r>
          </w:p>
        </w:tc>
        <w:tc>
          <w:tcPr>
            <w:tcW w:w="851" w:type="dxa"/>
            <w:vAlign w:val="center"/>
            <w:hideMark/>
          </w:tcPr>
          <w:p w14:paraId="64E3486E" w14:textId="77777777" w:rsidR="00E57139" w:rsidRPr="00E57139" w:rsidRDefault="00E57139" w:rsidP="00CC696F">
            <w:pPr>
              <w:spacing w:after="0" w:line="252"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sz w:val="22"/>
                <w:szCs w:val="24"/>
              </w:rPr>
            </w:pPr>
            <w:r w:rsidRPr="00E57139">
              <w:rPr>
                <w:b/>
                <w:bCs/>
                <w:color w:val="auto"/>
                <w:sz w:val="22"/>
                <w:szCs w:val="24"/>
              </w:rPr>
              <w:t>2019</w:t>
            </w:r>
          </w:p>
        </w:tc>
        <w:tc>
          <w:tcPr>
            <w:tcW w:w="992" w:type="dxa"/>
            <w:vAlign w:val="center"/>
            <w:hideMark/>
          </w:tcPr>
          <w:p w14:paraId="7E5E9254" w14:textId="77777777" w:rsidR="00E57139" w:rsidRPr="00E57139" w:rsidRDefault="00E57139" w:rsidP="00CC696F">
            <w:pPr>
              <w:spacing w:after="0" w:line="252"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sz w:val="22"/>
                <w:szCs w:val="24"/>
              </w:rPr>
            </w:pPr>
            <w:r w:rsidRPr="00E57139">
              <w:rPr>
                <w:b/>
                <w:bCs/>
                <w:color w:val="auto"/>
                <w:sz w:val="22"/>
                <w:szCs w:val="24"/>
              </w:rPr>
              <w:t>2020</w:t>
            </w:r>
          </w:p>
        </w:tc>
      </w:tr>
      <w:tr w:rsidR="00E57139" w:rsidRPr="00E57139" w14:paraId="5CE20182" w14:textId="77777777" w:rsidTr="0048778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53601E0" w14:textId="77777777" w:rsidR="00E57139" w:rsidRPr="00E57139" w:rsidRDefault="00E57139" w:rsidP="00E57139">
            <w:pPr>
              <w:spacing w:after="0" w:line="252" w:lineRule="auto"/>
              <w:ind w:firstLine="0"/>
              <w:jc w:val="center"/>
              <w:rPr>
                <w:b w:val="0"/>
                <w:bCs w:val="0"/>
                <w:color w:val="auto"/>
                <w:sz w:val="22"/>
                <w:szCs w:val="24"/>
              </w:rPr>
            </w:pPr>
            <w:r w:rsidRPr="00E57139">
              <w:rPr>
                <w:b w:val="0"/>
                <w:bCs w:val="0"/>
                <w:color w:val="auto"/>
                <w:sz w:val="22"/>
                <w:szCs w:val="24"/>
              </w:rPr>
              <w:t>Minimālā alga</w:t>
            </w:r>
            <w:r w:rsidRPr="00E57139">
              <w:rPr>
                <w:color w:val="auto"/>
                <w:sz w:val="22"/>
                <w:szCs w:val="24"/>
                <w:vertAlign w:val="superscript"/>
              </w:rPr>
              <w:t>**</w:t>
            </w:r>
          </w:p>
        </w:tc>
        <w:tc>
          <w:tcPr>
            <w:tcW w:w="1334" w:type="dxa"/>
            <w:noWrap/>
            <w:vAlign w:val="center"/>
            <w:hideMark/>
          </w:tcPr>
          <w:p w14:paraId="73F2B029"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288</w:t>
            </w:r>
          </w:p>
        </w:tc>
        <w:tc>
          <w:tcPr>
            <w:tcW w:w="851" w:type="dxa"/>
            <w:noWrap/>
            <w:vAlign w:val="center"/>
            <w:hideMark/>
          </w:tcPr>
          <w:p w14:paraId="405D012B"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346</w:t>
            </w:r>
          </w:p>
        </w:tc>
        <w:tc>
          <w:tcPr>
            <w:tcW w:w="850" w:type="dxa"/>
            <w:noWrap/>
            <w:vAlign w:val="center"/>
            <w:hideMark/>
          </w:tcPr>
          <w:p w14:paraId="4B02943B"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352</w:t>
            </w:r>
          </w:p>
        </w:tc>
        <w:tc>
          <w:tcPr>
            <w:tcW w:w="851" w:type="dxa"/>
            <w:noWrap/>
            <w:vAlign w:val="center"/>
            <w:hideMark/>
          </w:tcPr>
          <w:p w14:paraId="3CFD6B75"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356</w:t>
            </w:r>
          </w:p>
        </w:tc>
        <w:tc>
          <w:tcPr>
            <w:tcW w:w="850" w:type="dxa"/>
            <w:noWrap/>
            <w:vAlign w:val="center"/>
            <w:hideMark/>
          </w:tcPr>
          <w:p w14:paraId="6110410B"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58</w:t>
            </w:r>
          </w:p>
        </w:tc>
        <w:tc>
          <w:tcPr>
            <w:tcW w:w="851" w:type="dxa"/>
            <w:noWrap/>
            <w:vAlign w:val="center"/>
            <w:hideMark/>
          </w:tcPr>
          <w:p w14:paraId="479C1F28"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64</w:t>
            </w:r>
          </w:p>
        </w:tc>
        <w:tc>
          <w:tcPr>
            <w:tcW w:w="992" w:type="dxa"/>
            <w:noWrap/>
            <w:vAlign w:val="center"/>
            <w:hideMark/>
          </w:tcPr>
          <w:p w14:paraId="4B642B68"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68</w:t>
            </w:r>
          </w:p>
        </w:tc>
      </w:tr>
      <w:tr w:rsidR="00E57139" w:rsidRPr="00E57139" w14:paraId="3186475E" w14:textId="77777777" w:rsidTr="00487780">
        <w:trPr>
          <w:trHeight w:val="117"/>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560B210" w14:textId="77777777" w:rsidR="00E57139" w:rsidRPr="00E57139" w:rsidRDefault="00E57139" w:rsidP="00E57139">
            <w:pPr>
              <w:spacing w:after="0" w:line="252" w:lineRule="auto"/>
              <w:ind w:firstLine="0"/>
              <w:jc w:val="center"/>
              <w:rPr>
                <w:color w:val="auto"/>
                <w:sz w:val="22"/>
                <w:szCs w:val="24"/>
              </w:rPr>
            </w:pPr>
            <w:r w:rsidRPr="00E57139">
              <w:rPr>
                <w:b w:val="0"/>
                <w:bCs w:val="0"/>
                <w:color w:val="auto"/>
                <w:sz w:val="22"/>
                <w:szCs w:val="24"/>
              </w:rPr>
              <w:t>600</w:t>
            </w:r>
          </w:p>
        </w:tc>
        <w:tc>
          <w:tcPr>
            <w:tcW w:w="1334" w:type="dxa"/>
            <w:noWrap/>
            <w:vAlign w:val="center"/>
            <w:hideMark/>
          </w:tcPr>
          <w:p w14:paraId="499C07D9"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436</w:t>
            </w:r>
          </w:p>
        </w:tc>
        <w:tc>
          <w:tcPr>
            <w:tcW w:w="851" w:type="dxa"/>
            <w:noWrap/>
            <w:vAlign w:val="center"/>
            <w:hideMark/>
          </w:tcPr>
          <w:p w14:paraId="01E5E93A"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456</w:t>
            </w:r>
          </w:p>
        </w:tc>
        <w:tc>
          <w:tcPr>
            <w:tcW w:w="850" w:type="dxa"/>
            <w:noWrap/>
            <w:vAlign w:val="center"/>
            <w:hideMark/>
          </w:tcPr>
          <w:p w14:paraId="6C30FDEE"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462</w:t>
            </w:r>
          </w:p>
        </w:tc>
        <w:tc>
          <w:tcPr>
            <w:tcW w:w="851" w:type="dxa"/>
            <w:noWrap/>
            <w:vAlign w:val="center"/>
            <w:hideMark/>
          </w:tcPr>
          <w:p w14:paraId="2E8A8595"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467</w:t>
            </w:r>
          </w:p>
        </w:tc>
        <w:tc>
          <w:tcPr>
            <w:tcW w:w="850" w:type="dxa"/>
            <w:noWrap/>
            <w:vAlign w:val="center"/>
            <w:hideMark/>
          </w:tcPr>
          <w:p w14:paraId="133361C0"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19</w:t>
            </w:r>
          </w:p>
        </w:tc>
        <w:tc>
          <w:tcPr>
            <w:tcW w:w="851" w:type="dxa"/>
            <w:noWrap/>
            <w:vAlign w:val="center"/>
            <w:hideMark/>
          </w:tcPr>
          <w:p w14:paraId="3539B434"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26</w:t>
            </w:r>
          </w:p>
        </w:tc>
        <w:tc>
          <w:tcPr>
            <w:tcW w:w="992" w:type="dxa"/>
            <w:noWrap/>
            <w:vAlign w:val="center"/>
            <w:hideMark/>
          </w:tcPr>
          <w:p w14:paraId="01C3043D"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30</w:t>
            </w:r>
          </w:p>
        </w:tc>
      </w:tr>
      <w:tr w:rsidR="00E57139" w:rsidRPr="00E57139" w14:paraId="5AB11486" w14:textId="77777777" w:rsidTr="00487780">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76CA544" w14:textId="77777777" w:rsidR="00E57139" w:rsidRPr="00E57139" w:rsidRDefault="00E57139" w:rsidP="00E57139">
            <w:pPr>
              <w:spacing w:after="0" w:line="252" w:lineRule="auto"/>
              <w:ind w:firstLine="0"/>
              <w:jc w:val="center"/>
              <w:rPr>
                <w:color w:val="auto"/>
                <w:sz w:val="22"/>
                <w:szCs w:val="24"/>
              </w:rPr>
            </w:pPr>
            <w:r w:rsidRPr="00E57139">
              <w:rPr>
                <w:b w:val="0"/>
                <w:bCs w:val="0"/>
                <w:color w:val="auto"/>
                <w:sz w:val="22"/>
                <w:szCs w:val="24"/>
              </w:rPr>
              <w:t>800</w:t>
            </w:r>
          </w:p>
        </w:tc>
        <w:tc>
          <w:tcPr>
            <w:tcW w:w="1334" w:type="dxa"/>
            <w:noWrap/>
            <w:vAlign w:val="center"/>
            <w:hideMark/>
          </w:tcPr>
          <w:p w14:paraId="6E0CCA16"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571</w:t>
            </w:r>
          </w:p>
        </w:tc>
        <w:tc>
          <w:tcPr>
            <w:tcW w:w="851" w:type="dxa"/>
            <w:noWrap/>
            <w:vAlign w:val="center"/>
            <w:hideMark/>
          </w:tcPr>
          <w:p w14:paraId="7BB1AA85"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584</w:t>
            </w:r>
          </w:p>
        </w:tc>
        <w:tc>
          <w:tcPr>
            <w:tcW w:w="850" w:type="dxa"/>
            <w:noWrap/>
            <w:vAlign w:val="center"/>
            <w:hideMark/>
          </w:tcPr>
          <w:p w14:paraId="69E7AC52"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591</w:t>
            </w:r>
          </w:p>
        </w:tc>
        <w:tc>
          <w:tcPr>
            <w:tcW w:w="851" w:type="dxa"/>
            <w:noWrap/>
            <w:vAlign w:val="center"/>
            <w:hideMark/>
          </w:tcPr>
          <w:p w14:paraId="77CAB74D"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596</w:t>
            </w:r>
          </w:p>
        </w:tc>
        <w:tc>
          <w:tcPr>
            <w:tcW w:w="850" w:type="dxa"/>
            <w:noWrap/>
            <w:vAlign w:val="center"/>
            <w:hideMark/>
          </w:tcPr>
          <w:p w14:paraId="36E70C4B"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13</w:t>
            </w:r>
          </w:p>
        </w:tc>
        <w:tc>
          <w:tcPr>
            <w:tcW w:w="851" w:type="dxa"/>
            <w:noWrap/>
            <w:vAlign w:val="center"/>
            <w:hideMark/>
          </w:tcPr>
          <w:p w14:paraId="58CF74E2"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20</w:t>
            </w:r>
          </w:p>
        </w:tc>
        <w:tc>
          <w:tcPr>
            <w:tcW w:w="992" w:type="dxa"/>
            <w:noWrap/>
            <w:vAlign w:val="center"/>
            <w:hideMark/>
          </w:tcPr>
          <w:p w14:paraId="29C3E190"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25</w:t>
            </w:r>
          </w:p>
        </w:tc>
      </w:tr>
      <w:tr w:rsidR="00E57139" w:rsidRPr="00E57139" w14:paraId="41E15725" w14:textId="77777777" w:rsidTr="00487780">
        <w:trPr>
          <w:trHeight w:val="139"/>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66D2FE5" w14:textId="77777777" w:rsidR="00E57139" w:rsidRPr="00E57139" w:rsidRDefault="00E57139" w:rsidP="00E57139">
            <w:pPr>
              <w:spacing w:after="0" w:line="252" w:lineRule="auto"/>
              <w:ind w:firstLine="0"/>
              <w:jc w:val="center"/>
              <w:rPr>
                <w:color w:val="auto"/>
                <w:sz w:val="22"/>
                <w:szCs w:val="24"/>
              </w:rPr>
            </w:pPr>
            <w:r w:rsidRPr="00E57139">
              <w:rPr>
                <w:b w:val="0"/>
                <w:bCs w:val="0"/>
                <w:color w:val="auto"/>
                <w:sz w:val="22"/>
                <w:szCs w:val="24"/>
              </w:rPr>
              <w:t>1000</w:t>
            </w:r>
          </w:p>
        </w:tc>
        <w:tc>
          <w:tcPr>
            <w:tcW w:w="1334" w:type="dxa"/>
            <w:noWrap/>
            <w:vAlign w:val="center"/>
            <w:hideMark/>
          </w:tcPr>
          <w:p w14:paraId="35D34E84"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705</w:t>
            </w:r>
          </w:p>
        </w:tc>
        <w:tc>
          <w:tcPr>
            <w:tcW w:w="851" w:type="dxa"/>
            <w:noWrap/>
            <w:vAlign w:val="center"/>
            <w:hideMark/>
          </w:tcPr>
          <w:p w14:paraId="0677EE21"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712</w:t>
            </w:r>
          </w:p>
        </w:tc>
        <w:tc>
          <w:tcPr>
            <w:tcW w:w="850" w:type="dxa"/>
            <w:noWrap/>
            <w:vAlign w:val="center"/>
            <w:hideMark/>
          </w:tcPr>
          <w:p w14:paraId="41F7291A"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719</w:t>
            </w:r>
          </w:p>
        </w:tc>
        <w:tc>
          <w:tcPr>
            <w:tcW w:w="851" w:type="dxa"/>
            <w:noWrap/>
            <w:vAlign w:val="center"/>
            <w:hideMark/>
          </w:tcPr>
          <w:p w14:paraId="41F09E5D"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725</w:t>
            </w:r>
          </w:p>
        </w:tc>
        <w:tc>
          <w:tcPr>
            <w:tcW w:w="850" w:type="dxa"/>
            <w:noWrap/>
            <w:vAlign w:val="center"/>
            <w:hideMark/>
          </w:tcPr>
          <w:p w14:paraId="46F84068"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7</w:t>
            </w:r>
          </w:p>
        </w:tc>
        <w:tc>
          <w:tcPr>
            <w:tcW w:w="851" w:type="dxa"/>
            <w:noWrap/>
            <w:vAlign w:val="center"/>
            <w:hideMark/>
          </w:tcPr>
          <w:p w14:paraId="3CCBC1D4"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14</w:t>
            </w:r>
          </w:p>
        </w:tc>
        <w:tc>
          <w:tcPr>
            <w:tcW w:w="992" w:type="dxa"/>
            <w:noWrap/>
            <w:vAlign w:val="center"/>
            <w:hideMark/>
          </w:tcPr>
          <w:p w14:paraId="6FD7B901"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20</w:t>
            </w:r>
          </w:p>
        </w:tc>
      </w:tr>
      <w:tr w:rsidR="00E57139" w:rsidRPr="00E57139" w14:paraId="3F05629B" w14:textId="77777777" w:rsidTr="00487780">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CD902F9" w14:textId="77777777" w:rsidR="00E57139" w:rsidRPr="00E57139" w:rsidRDefault="00E57139" w:rsidP="00E57139">
            <w:pPr>
              <w:spacing w:after="0" w:line="252" w:lineRule="auto"/>
              <w:ind w:firstLine="0"/>
              <w:jc w:val="center"/>
              <w:rPr>
                <w:color w:val="auto"/>
                <w:sz w:val="22"/>
                <w:szCs w:val="24"/>
              </w:rPr>
            </w:pPr>
            <w:r w:rsidRPr="00E57139">
              <w:rPr>
                <w:b w:val="0"/>
                <w:bCs w:val="0"/>
                <w:color w:val="auto"/>
                <w:sz w:val="22"/>
                <w:szCs w:val="24"/>
              </w:rPr>
              <w:t>1200</w:t>
            </w:r>
          </w:p>
        </w:tc>
        <w:tc>
          <w:tcPr>
            <w:tcW w:w="1334" w:type="dxa"/>
            <w:noWrap/>
            <w:vAlign w:val="center"/>
            <w:hideMark/>
          </w:tcPr>
          <w:p w14:paraId="2C54172D"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841</w:t>
            </w:r>
          </w:p>
        </w:tc>
        <w:tc>
          <w:tcPr>
            <w:tcW w:w="851" w:type="dxa"/>
            <w:noWrap/>
            <w:vAlign w:val="center"/>
            <w:hideMark/>
          </w:tcPr>
          <w:p w14:paraId="3109D19F"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854</w:t>
            </w:r>
          </w:p>
        </w:tc>
        <w:tc>
          <w:tcPr>
            <w:tcW w:w="850" w:type="dxa"/>
            <w:noWrap/>
            <w:vAlign w:val="center"/>
            <w:hideMark/>
          </w:tcPr>
          <w:p w14:paraId="60BB840C"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854</w:t>
            </w:r>
          </w:p>
        </w:tc>
        <w:tc>
          <w:tcPr>
            <w:tcW w:w="851" w:type="dxa"/>
            <w:noWrap/>
            <w:vAlign w:val="center"/>
            <w:hideMark/>
          </w:tcPr>
          <w:p w14:paraId="14C59E8C"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854</w:t>
            </w:r>
          </w:p>
        </w:tc>
        <w:tc>
          <w:tcPr>
            <w:tcW w:w="850" w:type="dxa"/>
            <w:noWrap/>
            <w:vAlign w:val="center"/>
            <w:hideMark/>
          </w:tcPr>
          <w:p w14:paraId="7C6020B2"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14</w:t>
            </w:r>
          </w:p>
        </w:tc>
        <w:tc>
          <w:tcPr>
            <w:tcW w:w="851" w:type="dxa"/>
            <w:noWrap/>
            <w:vAlign w:val="center"/>
            <w:hideMark/>
          </w:tcPr>
          <w:p w14:paraId="0ED34394"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14</w:t>
            </w:r>
          </w:p>
        </w:tc>
        <w:tc>
          <w:tcPr>
            <w:tcW w:w="992" w:type="dxa"/>
            <w:noWrap/>
            <w:vAlign w:val="center"/>
            <w:hideMark/>
          </w:tcPr>
          <w:p w14:paraId="59D4426E"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14</w:t>
            </w:r>
          </w:p>
        </w:tc>
      </w:tr>
      <w:tr w:rsidR="00E57139" w:rsidRPr="00E57139" w14:paraId="30287F41" w14:textId="77777777" w:rsidTr="00487780">
        <w:trPr>
          <w:trHeight w:val="148"/>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CA4BCAF" w14:textId="77777777" w:rsidR="00E57139" w:rsidRPr="00E57139" w:rsidRDefault="00E57139" w:rsidP="00E57139">
            <w:pPr>
              <w:spacing w:after="0" w:line="252" w:lineRule="auto"/>
              <w:ind w:firstLine="0"/>
              <w:jc w:val="center"/>
              <w:rPr>
                <w:color w:val="auto"/>
                <w:sz w:val="22"/>
                <w:szCs w:val="24"/>
              </w:rPr>
            </w:pPr>
            <w:r w:rsidRPr="00E57139">
              <w:rPr>
                <w:b w:val="0"/>
                <w:bCs w:val="0"/>
                <w:color w:val="auto"/>
                <w:sz w:val="22"/>
                <w:szCs w:val="24"/>
              </w:rPr>
              <w:t>1400</w:t>
            </w:r>
          </w:p>
        </w:tc>
        <w:tc>
          <w:tcPr>
            <w:tcW w:w="1334" w:type="dxa"/>
            <w:noWrap/>
            <w:vAlign w:val="center"/>
            <w:hideMark/>
          </w:tcPr>
          <w:p w14:paraId="66E76063"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979</w:t>
            </w:r>
          </w:p>
        </w:tc>
        <w:tc>
          <w:tcPr>
            <w:tcW w:w="851" w:type="dxa"/>
            <w:noWrap/>
            <w:vAlign w:val="center"/>
            <w:hideMark/>
          </w:tcPr>
          <w:p w14:paraId="5569957F"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997</w:t>
            </w:r>
          </w:p>
        </w:tc>
        <w:tc>
          <w:tcPr>
            <w:tcW w:w="850" w:type="dxa"/>
            <w:noWrap/>
            <w:vAlign w:val="center"/>
            <w:hideMark/>
          </w:tcPr>
          <w:p w14:paraId="4E9919AE"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997</w:t>
            </w:r>
          </w:p>
        </w:tc>
        <w:tc>
          <w:tcPr>
            <w:tcW w:w="851" w:type="dxa"/>
            <w:noWrap/>
            <w:vAlign w:val="center"/>
            <w:hideMark/>
          </w:tcPr>
          <w:p w14:paraId="627AFB4E"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997</w:t>
            </w:r>
          </w:p>
        </w:tc>
        <w:tc>
          <w:tcPr>
            <w:tcW w:w="850" w:type="dxa"/>
            <w:noWrap/>
            <w:vAlign w:val="center"/>
            <w:hideMark/>
          </w:tcPr>
          <w:p w14:paraId="2307CA09"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18</w:t>
            </w:r>
          </w:p>
        </w:tc>
        <w:tc>
          <w:tcPr>
            <w:tcW w:w="851" w:type="dxa"/>
            <w:noWrap/>
            <w:vAlign w:val="center"/>
            <w:hideMark/>
          </w:tcPr>
          <w:p w14:paraId="7CDE87EB"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18</w:t>
            </w:r>
          </w:p>
        </w:tc>
        <w:tc>
          <w:tcPr>
            <w:tcW w:w="992" w:type="dxa"/>
            <w:noWrap/>
            <w:vAlign w:val="center"/>
            <w:hideMark/>
          </w:tcPr>
          <w:p w14:paraId="00113B9C"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18</w:t>
            </w:r>
          </w:p>
        </w:tc>
      </w:tr>
      <w:tr w:rsidR="00E57139" w:rsidRPr="00E57139" w14:paraId="496C1541" w14:textId="77777777" w:rsidTr="0048778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CA6A135" w14:textId="77777777" w:rsidR="00E57139" w:rsidRPr="00E57139" w:rsidRDefault="00E57139" w:rsidP="00E57139">
            <w:pPr>
              <w:spacing w:after="0" w:line="252" w:lineRule="auto"/>
              <w:ind w:firstLine="0"/>
              <w:jc w:val="center"/>
              <w:rPr>
                <w:color w:val="auto"/>
                <w:sz w:val="22"/>
                <w:szCs w:val="24"/>
              </w:rPr>
            </w:pPr>
            <w:r w:rsidRPr="00E57139">
              <w:rPr>
                <w:b w:val="0"/>
                <w:bCs w:val="0"/>
                <w:color w:val="auto"/>
                <w:sz w:val="22"/>
                <w:szCs w:val="24"/>
              </w:rPr>
              <w:t>2000</w:t>
            </w:r>
          </w:p>
        </w:tc>
        <w:tc>
          <w:tcPr>
            <w:tcW w:w="1334" w:type="dxa"/>
            <w:noWrap/>
            <w:vAlign w:val="center"/>
            <w:hideMark/>
          </w:tcPr>
          <w:p w14:paraId="3F831F08"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1 392</w:t>
            </w:r>
          </w:p>
        </w:tc>
        <w:tc>
          <w:tcPr>
            <w:tcW w:w="851" w:type="dxa"/>
            <w:noWrap/>
            <w:vAlign w:val="center"/>
            <w:hideMark/>
          </w:tcPr>
          <w:p w14:paraId="244A5943"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1 414</w:t>
            </w:r>
          </w:p>
        </w:tc>
        <w:tc>
          <w:tcPr>
            <w:tcW w:w="850" w:type="dxa"/>
            <w:noWrap/>
            <w:vAlign w:val="center"/>
            <w:hideMark/>
          </w:tcPr>
          <w:p w14:paraId="534F33A2"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1 414</w:t>
            </w:r>
          </w:p>
        </w:tc>
        <w:tc>
          <w:tcPr>
            <w:tcW w:w="851" w:type="dxa"/>
            <w:noWrap/>
            <w:vAlign w:val="center"/>
            <w:hideMark/>
          </w:tcPr>
          <w:p w14:paraId="207CB4F5"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1 414</w:t>
            </w:r>
          </w:p>
        </w:tc>
        <w:tc>
          <w:tcPr>
            <w:tcW w:w="850" w:type="dxa"/>
            <w:noWrap/>
            <w:vAlign w:val="center"/>
            <w:hideMark/>
          </w:tcPr>
          <w:p w14:paraId="6B36CC14"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22</w:t>
            </w:r>
          </w:p>
        </w:tc>
        <w:tc>
          <w:tcPr>
            <w:tcW w:w="851" w:type="dxa"/>
            <w:noWrap/>
            <w:vAlign w:val="center"/>
            <w:hideMark/>
          </w:tcPr>
          <w:p w14:paraId="30401A7F"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22</w:t>
            </w:r>
          </w:p>
        </w:tc>
        <w:tc>
          <w:tcPr>
            <w:tcW w:w="992" w:type="dxa"/>
            <w:noWrap/>
            <w:vAlign w:val="center"/>
            <w:hideMark/>
          </w:tcPr>
          <w:p w14:paraId="26453E19"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22</w:t>
            </w:r>
          </w:p>
        </w:tc>
      </w:tr>
      <w:tr w:rsidR="00E57139" w:rsidRPr="00E57139" w14:paraId="020DC77E" w14:textId="77777777" w:rsidTr="00487780">
        <w:trPr>
          <w:trHeight w:val="70"/>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2784617" w14:textId="77777777" w:rsidR="00E57139" w:rsidRPr="00E57139" w:rsidRDefault="00E57139" w:rsidP="00E57139">
            <w:pPr>
              <w:spacing w:after="0" w:line="252" w:lineRule="auto"/>
              <w:ind w:firstLine="0"/>
              <w:jc w:val="center"/>
              <w:rPr>
                <w:color w:val="auto"/>
                <w:sz w:val="22"/>
                <w:szCs w:val="24"/>
              </w:rPr>
            </w:pPr>
            <w:r w:rsidRPr="00E57139">
              <w:rPr>
                <w:b w:val="0"/>
                <w:bCs w:val="0"/>
                <w:color w:val="auto"/>
                <w:sz w:val="22"/>
                <w:szCs w:val="24"/>
              </w:rPr>
              <w:t>4000</w:t>
            </w:r>
          </w:p>
        </w:tc>
        <w:tc>
          <w:tcPr>
            <w:tcW w:w="1334" w:type="dxa"/>
            <w:noWrap/>
            <w:vAlign w:val="center"/>
            <w:hideMark/>
          </w:tcPr>
          <w:p w14:paraId="6B25B446"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2 770</w:t>
            </w:r>
          </w:p>
        </w:tc>
        <w:tc>
          <w:tcPr>
            <w:tcW w:w="851" w:type="dxa"/>
            <w:noWrap/>
            <w:vAlign w:val="center"/>
            <w:hideMark/>
          </w:tcPr>
          <w:p w14:paraId="2081CC0E"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2 778</w:t>
            </w:r>
          </w:p>
        </w:tc>
        <w:tc>
          <w:tcPr>
            <w:tcW w:w="850" w:type="dxa"/>
            <w:noWrap/>
            <w:vAlign w:val="center"/>
            <w:hideMark/>
          </w:tcPr>
          <w:p w14:paraId="2E7DFAD8"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2778</w:t>
            </w:r>
          </w:p>
        </w:tc>
        <w:tc>
          <w:tcPr>
            <w:tcW w:w="851" w:type="dxa"/>
            <w:noWrap/>
            <w:vAlign w:val="center"/>
            <w:hideMark/>
          </w:tcPr>
          <w:p w14:paraId="320D0E6E"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2 778</w:t>
            </w:r>
          </w:p>
        </w:tc>
        <w:tc>
          <w:tcPr>
            <w:tcW w:w="850" w:type="dxa"/>
            <w:noWrap/>
            <w:vAlign w:val="center"/>
            <w:hideMark/>
          </w:tcPr>
          <w:p w14:paraId="39EF6342"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8</w:t>
            </w:r>
          </w:p>
        </w:tc>
        <w:tc>
          <w:tcPr>
            <w:tcW w:w="851" w:type="dxa"/>
            <w:noWrap/>
            <w:vAlign w:val="center"/>
            <w:hideMark/>
          </w:tcPr>
          <w:p w14:paraId="2FBFB7E4"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8</w:t>
            </w:r>
          </w:p>
        </w:tc>
        <w:tc>
          <w:tcPr>
            <w:tcW w:w="992" w:type="dxa"/>
            <w:noWrap/>
            <w:vAlign w:val="center"/>
            <w:hideMark/>
          </w:tcPr>
          <w:p w14:paraId="68FE624B"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8</w:t>
            </w:r>
          </w:p>
        </w:tc>
      </w:tr>
      <w:tr w:rsidR="00E57139" w:rsidRPr="00E57139" w14:paraId="1DFF1E10" w14:textId="77777777" w:rsidTr="0048778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5AAE3FE" w14:textId="77777777" w:rsidR="00E57139" w:rsidRPr="00E57139" w:rsidRDefault="00E57139" w:rsidP="00E57139">
            <w:pPr>
              <w:spacing w:after="0" w:line="252" w:lineRule="auto"/>
              <w:ind w:firstLine="0"/>
              <w:jc w:val="center"/>
              <w:rPr>
                <w:color w:val="auto"/>
                <w:sz w:val="22"/>
                <w:szCs w:val="24"/>
              </w:rPr>
            </w:pPr>
            <w:r w:rsidRPr="00E57139">
              <w:rPr>
                <w:b w:val="0"/>
                <w:bCs w:val="0"/>
                <w:color w:val="auto"/>
                <w:sz w:val="22"/>
                <w:szCs w:val="24"/>
              </w:rPr>
              <w:t>6000</w:t>
            </w:r>
          </w:p>
        </w:tc>
        <w:tc>
          <w:tcPr>
            <w:tcW w:w="1334" w:type="dxa"/>
            <w:noWrap/>
            <w:vAlign w:val="center"/>
            <w:hideMark/>
          </w:tcPr>
          <w:p w14:paraId="67F98275"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4 149</w:t>
            </w:r>
          </w:p>
        </w:tc>
        <w:tc>
          <w:tcPr>
            <w:tcW w:w="851" w:type="dxa"/>
            <w:noWrap/>
            <w:vAlign w:val="center"/>
            <w:hideMark/>
          </w:tcPr>
          <w:p w14:paraId="6A0EA4A8"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4 142</w:t>
            </w:r>
          </w:p>
        </w:tc>
        <w:tc>
          <w:tcPr>
            <w:tcW w:w="850" w:type="dxa"/>
            <w:noWrap/>
            <w:vAlign w:val="center"/>
            <w:hideMark/>
          </w:tcPr>
          <w:p w14:paraId="4ECFBF49"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4 142</w:t>
            </w:r>
          </w:p>
        </w:tc>
        <w:tc>
          <w:tcPr>
            <w:tcW w:w="851" w:type="dxa"/>
            <w:noWrap/>
            <w:vAlign w:val="center"/>
            <w:hideMark/>
          </w:tcPr>
          <w:p w14:paraId="12EA2FD6"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4 142</w:t>
            </w:r>
          </w:p>
        </w:tc>
        <w:tc>
          <w:tcPr>
            <w:tcW w:w="850" w:type="dxa"/>
            <w:noWrap/>
            <w:vAlign w:val="center"/>
            <w:hideMark/>
          </w:tcPr>
          <w:p w14:paraId="3D39CFD4"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-7</w:t>
            </w:r>
          </w:p>
        </w:tc>
        <w:tc>
          <w:tcPr>
            <w:tcW w:w="851" w:type="dxa"/>
            <w:noWrap/>
            <w:vAlign w:val="center"/>
            <w:hideMark/>
          </w:tcPr>
          <w:p w14:paraId="6DE6BC7F"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-7</w:t>
            </w:r>
          </w:p>
        </w:tc>
        <w:tc>
          <w:tcPr>
            <w:tcW w:w="992" w:type="dxa"/>
            <w:noWrap/>
            <w:vAlign w:val="center"/>
            <w:hideMark/>
          </w:tcPr>
          <w:p w14:paraId="47DA5517"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-7</w:t>
            </w:r>
          </w:p>
        </w:tc>
      </w:tr>
      <w:tr w:rsidR="00E57139" w:rsidRPr="00E57139" w14:paraId="1B2EA418" w14:textId="77777777" w:rsidTr="00487780">
        <w:trPr>
          <w:trHeight w:val="70"/>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F3102F5" w14:textId="77777777" w:rsidR="00E57139" w:rsidRPr="00E57139" w:rsidRDefault="00E57139" w:rsidP="00E57139">
            <w:pPr>
              <w:spacing w:after="0" w:line="252" w:lineRule="auto"/>
              <w:ind w:firstLine="0"/>
              <w:jc w:val="center"/>
              <w:rPr>
                <w:color w:val="auto"/>
                <w:sz w:val="22"/>
                <w:szCs w:val="24"/>
              </w:rPr>
            </w:pPr>
            <w:r w:rsidRPr="00E57139">
              <w:rPr>
                <w:b w:val="0"/>
                <w:bCs w:val="0"/>
                <w:color w:val="auto"/>
                <w:sz w:val="22"/>
                <w:szCs w:val="24"/>
              </w:rPr>
              <w:t>8000</w:t>
            </w:r>
          </w:p>
        </w:tc>
        <w:tc>
          <w:tcPr>
            <w:tcW w:w="1334" w:type="dxa"/>
            <w:noWrap/>
            <w:vAlign w:val="center"/>
            <w:hideMark/>
          </w:tcPr>
          <w:p w14:paraId="764B6537"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5 527</w:t>
            </w:r>
          </w:p>
        </w:tc>
        <w:tc>
          <w:tcPr>
            <w:tcW w:w="851" w:type="dxa"/>
            <w:noWrap/>
            <w:vAlign w:val="center"/>
            <w:hideMark/>
          </w:tcPr>
          <w:p w14:paraId="4576E49E"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5 506</w:t>
            </w:r>
          </w:p>
        </w:tc>
        <w:tc>
          <w:tcPr>
            <w:tcW w:w="850" w:type="dxa"/>
            <w:noWrap/>
            <w:vAlign w:val="center"/>
            <w:hideMark/>
          </w:tcPr>
          <w:p w14:paraId="7D2D6221"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5 506</w:t>
            </w:r>
          </w:p>
        </w:tc>
        <w:tc>
          <w:tcPr>
            <w:tcW w:w="851" w:type="dxa"/>
            <w:noWrap/>
            <w:vAlign w:val="center"/>
            <w:hideMark/>
          </w:tcPr>
          <w:p w14:paraId="511A78EF"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5 506</w:t>
            </w:r>
          </w:p>
        </w:tc>
        <w:tc>
          <w:tcPr>
            <w:tcW w:w="850" w:type="dxa"/>
            <w:noWrap/>
            <w:vAlign w:val="center"/>
            <w:hideMark/>
          </w:tcPr>
          <w:p w14:paraId="7F9E46DB"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-21</w:t>
            </w:r>
          </w:p>
        </w:tc>
        <w:tc>
          <w:tcPr>
            <w:tcW w:w="851" w:type="dxa"/>
            <w:noWrap/>
            <w:vAlign w:val="center"/>
            <w:hideMark/>
          </w:tcPr>
          <w:p w14:paraId="76113E2F"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-21</w:t>
            </w:r>
          </w:p>
        </w:tc>
        <w:tc>
          <w:tcPr>
            <w:tcW w:w="992" w:type="dxa"/>
            <w:noWrap/>
            <w:vAlign w:val="center"/>
            <w:hideMark/>
          </w:tcPr>
          <w:p w14:paraId="0E8B9061" w14:textId="77777777" w:rsidR="00E57139" w:rsidRPr="00E57139" w:rsidRDefault="00E57139" w:rsidP="00CC696F">
            <w:pPr>
              <w:spacing w:after="0" w:line="252" w:lineRule="auto"/>
              <w:ind w:firstLine="0"/>
              <w:jc w:val="right"/>
              <w:cnfStyle w:val="000000000000" w:firstRow="0" w:lastRow="0" w:firstColumn="0" w:lastColumn="0" w:oddVBand="0" w:evenVBand="0" w:oddHBand="0" w:evenHBand="0" w:firstRowFirstColumn="0" w:firstRowLastColumn="0" w:lastRowFirstColumn="0" w:lastRowLastColumn="0"/>
              <w:rPr>
                <w:color w:val="auto"/>
                <w:sz w:val="22"/>
                <w:szCs w:val="24"/>
              </w:rPr>
            </w:pPr>
            <w:r w:rsidRPr="00E57139">
              <w:rPr>
                <w:color w:val="auto"/>
                <w:sz w:val="22"/>
                <w:szCs w:val="24"/>
              </w:rPr>
              <w:t>-21</w:t>
            </w:r>
          </w:p>
        </w:tc>
      </w:tr>
      <w:tr w:rsidR="00E57139" w:rsidRPr="00E57139" w14:paraId="15849DD2" w14:textId="77777777" w:rsidTr="0048778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759F1CD" w14:textId="77777777" w:rsidR="00E57139" w:rsidRPr="00E57139" w:rsidRDefault="00E57139" w:rsidP="00E57139">
            <w:pPr>
              <w:spacing w:after="0" w:line="252" w:lineRule="auto"/>
              <w:ind w:firstLine="0"/>
              <w:jc w:val="center"/>
              <w:rPr>
                <w:color w:val="auto"/>
                <w:sz w:val="22"/>
                <w:szCs w:val="24"/>
              </w:rPr>
            </w:pPr>
            <w:r w:rsidRPr="00E57139">
              <w:rPr>
                <w:b w:val="0"/>
                <w:bCs w:val="0"/>
                <w:color w:val="auto"/>
                <w:sz w:val="22"/>
                <w:szCs w:val="24"/>
              </w:rPr>
              <w:t>10000</w:t>
            </w:r>
          </w:p>
        </w:tc>
        <w:tc>
          <w:tcPr>
            <w:tcW w:w="1334" w:type="dxa"/>
            <w:noWrap/>
            <w:vAlign w:val="center"/>
            <w:hideMark/>
          </w:tcPr>
          <w:p w14:paraId="009E3173"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6 905</w:t>
            </w:r>
          </w:p>
        </w:tc>
        <w:tc>
          <w:tcPr>
            <w:tcW w:w="851" w:type="dxa"/>
            <w:noWrap/>
            <w:vAlign w:val="center"/>
            <w:hideMark/>
          </w:tcPr>
          <w:p w14:paraId="4FDBB270"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6 870</w:t>
            </w:r>
          </w:p>
        </w:tc>
        <w:tc>
          <w:tcPr>
            <w:tcW w:w="850" w:type="dxa"/>
            <w:noWrap/>
            <w:vAlign w:val="center"/>
            <w:hideMark/>
          </w:tcPr>
          <w:p w14:paraId="3A594C3B"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6 870</w:t>
            </w:r>
          </w:p>
        </w:tc>
        <w:tc>
          <w:tcPr>
            <w:tcW w:w="851" w:type="dxa"/>
            <w:noWrap/>
            <w:vAlign w:val="center"/>
            <w:hideMark/>
          </w:tcPr>
          <w:p w14:paraId="0ECE34B3"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6 870</w:t>
            </w:r>
          </w:p>
        </w:tc>
        <w:tc>
          <w:tcPr>
            <w:tcW w:w="850" w:type="dxa"/>
            <w:noWrap/>
            <w:vAlign w:val="center"/>
            <w:hideMark/>
          </w:tcPr>
          <w:p w14:paraId="17C87286"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-35</w:t>
            </w:r>
          </w:p>
        </w:tc>
        <w:tc>
          <w:tcPr>
            <w:tcW w:w="851" w:type="dxa"/>
            <w:noWrap/>
            <w:vAlign w:val="center"/>
            <w:hideMark/>
          </w:tcPr>
          <w:p w14:paraId="7FDE3AB2"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-35</w:t>
            </w:r>
          </w:p>
        </w:tc>
        <w:tc>
          <w:tcPr>
            <w:tcW w:w="992" w:type="dxa"/>
            <w:noWrap/>
            <w:vAlign w:val="center"/>
            <w:hideMark/>
          </w:tcPr>
          <w:p w14:paraId="0B7EAB77" w14:textId="77777777" w:rsidR="00E57139" w:rsidRPr="00E57139" w:rsidRDefault="00E57139" w:rsidP="00CC696F">
            <w:pPr>
              <w:spacing w:after="0" w:line="252" w:lineRule="auto"/>
              <w:ind w:firstLine="0"/>
              <w:jc w:val="right"/>
              <w:cnfStyle w:val="000000100000" w:firstRow="0" w:lastRow="0" w:firstColumn="0" w:lastColumn="0" w:oddVBand="0" w:evenVBand="0" w:oddHBand="1" w:evenHBand="0" w:firstRowFirstColumn="0" w:firstRowLastColumn="0" w:lastRowFirstColumn="0" w:lastRowLastColumn="0"/>
              <w:rPr>
                <w:color w:val="auto"/>
                <w:sz w:val="22"/>
                <w:szCs w:val="24"/>
              </w:rPr>
            </w:pPr>
            <w:r w:rsidRPr="00E57139">
              <w:rPr>
                <w:color w:val="auto"/>
                <w:sz w:val="22"/>
                <w:szCs w:val="24"/>
              </w:rPr>
              <w:t>-35</w:t>
            </w:r>
          </w:p>
        </w:tc>
      </w:tr>
    </w:tbl>
    <w:p w14:paraId="1BA72D80" w14:textId="77777777" w:rsidR="00E57139" w:rsidRDefault="00E57139" w:rsidP="00E57139">
      <w:pPr>
        <w:spacing w:after="0"/>
        <w:rPr>
          <w:rFonts w:eastAsiaTheme="minorHAnsi"/>
          <w:i/>
          <w:iCs/>
          <w:sz w:val="18"/>
          <w:szCs w:val="18"/>
        </w:rPr>
      </w:pPr>
      <w:r>
        <w:rPr>
          <w:i/>
          <w:iCs/>
          <w:color w:val="000000"/>
          <w:sz w:val="18"/>
          <w:szCs w:val="18"/>
          <w:vertAlign w:val="superscript"/>
        </w:rPr>
        <w:t xml:space="preserve">*        </w:t>
      </w:r>
      <w:r>
        <w:rPr>
          <w:i/>
          <w:iCs/>
          <w:color w:val="000000"/>
          <w:sz w:val="18"/>
          <w:szCs w:val="18"/>
        </w:rPr>
        <w:t xml:space="preserve">Kopā </w:t>
      </w:r>
      <w:r>
        <w:rPr>
          <w:i/>
          <w:iCs/>
          <w:sz w:val="18"/>
          <w:szCs w:val="18"/>
        </w:rPr>
        <w:t xml:space="preserve">ar papildus atgūstamo IIN, kas rodas, ja strādājošais, 2018.gadā iesniedz gada ienākuma deklarāciju. </w:t>
      </w:r>
    </w:p>
    <w:p w14:paraId="7789416B" w14:textId="7DF43B94" w:rsidR="00E57139" w:rsidRDefault="00E57139" w:rsidP="00E57139">
      <w:pPr>
        <w:spacing w:after="0"/>
        <w:rPr>
          <w:b/>
          <w:bCs/>
          <w:i/>
          <w:iCs/>
          <w:sz w:val="18"/>
          <w:szCs w:val="18"/>
          <w:lang w:eastAsia="lv-LV"/>
        </w:rPr>
      </w:pPr>
      <w:r>
        <w:rPr>
          <w:i/>
          <w:iCs/>
          <w:color w:val="000000"/>
          <w:sz w:val="18"/>
          <w:szCs w:val="18"/>
          <w:vertAlign w:val="superscript"/>
        </w:rPr>
        <w:t>**</w:t>
      </w:r>
      <w:r>
        <w:rPr>
          <w:i/>
          <w:iCs/>
          <w:color w:val="000000"/>
          <w:sz w:val="18"/>
          <w:szCs w:val="18"/>
        </w:rPr>
        <w:t xml:space="preserve">    Minimālā alga: 2017.gadā 380 </w:t>
      </w:r>
      <w:proofErr w:type="spellStart"/>
      <w:r w:rsidR="00C926D2">
        <w:rPr>
          <w:i/>
          <w:iCs/>
          <w:color w:val="000000"/>
          <w:sz w:val="18"/>
          <w:szCs w:val="18"/>
        </w:rPr>
        <w:t>euro</w:t>
      </w:r>
      <w:proofErr w:type="spellEnd"/>
      <w:r>
        <w:rPr>
          <w:i/>
          <w:iCs/>
          <w:color w:val="000000"/>
          <w:sz w:val="18"/>
          <w:szCs w:val="18"/>
        </w:rPr>
        <w:t xml:space="preserve"> mēnesī; 2018.-2020.g. 430 </w:t>
      </w:r>
      <w:proofErr w:type="spellStart"/>
      <w:r w:rsidR="00C926D2">
        <w:rPr>
          <w:i/>
          <w:iCs/>
          <w:color w:val="000000"/>
          <w:sz w:val="18"/>
          <w:szCs w:val="18"/>
        </w:rPr>
        <w:t>euro</w:t>
      </w:r>
      <w:proofErr w:type="spellEnd"/>
      <w:r>
        <w:rPr>
          <w:i/>
          <w:iCs/>
          <w:color w:val="000000"/>
          <w:sz w:val="18"/>
          <w:szCs w:val="18"/>
        </w:rPr>
        <w:t xml:space="preserve"> mēnesī</w:t>
      </w:r>
    </w:p>
    <w:p w14:paraId="679F8F5E" w14:textId="77777777" w:rsidR="00E57139" w:rsidRDefault="00E57139" w:rsidP="00E57139">
      <w:pPr>
        <w:spacing w:after="0"/>
        <w:rPr>
          <w:i/>
          <w:iCs/>
          <w:sz w:val="20"/>
        </w:rPr>
      </w:pPr>
      <w:r>
        <w:rPr>
          <w:b/>
          <w:bCs/>
          <w:i/>
          <w:iCs/>
          <w:sz w:val="20"/>
        </w:rPr>
        <w:t>Avots:</w:t>
      </w:r>
      <w:r>
        <w:rPr>
          <w:b/>
          <w:bCs/>
          <w:sz w:val="20"/>
        </w:rPr>
        <w:t xml:space="preserve"> </w:t>
      </w:r>
      <w:r>
        <w:rPr>
          <w:i/>
          <w:iCs/>
          <w:sz w:val="20"/>
        </w:rPr>
        <w:t>FM aprēķini</w:t>
      </w:r>
    </w:p>
    <w:p w14:paraId="519FA3EC" w14:textId="3CDEC55B" w:rsidR="00E57139" w:rsidRDefault="00E57139" w:rsidP="009259FE">
      <w:pPr>
        <w:spacing w:before="120" w:line="276" w:lineRule="auto"/>
        <w:ind w:firstLine="720"/>
        <w:rPr>
          <w:szCs w:val="24"/>
        </w:rPr>
      </w:pPr>
      <w:r>
        <w:t xml:space="preserve">Pēc </w:t>
      </w:r>
      <w:r w:rsidR="008D72F3">
        <w:t>FM</w:t>
      </w:r>
      <w:r>
        <w:t xml:space="preserve"> aprēķiniem, ieviešot plānotās darbaspēka nodokļu izmaiņas, darbaspēka nodokļa plaisas rādītājs</w:t>
      </w:r>
      <w:r>
        <w:rPr>
          <w:color w:val="1F497D"/>
        </w:rPr>
        <w:t xml:space="preserve"> </w:t>
      </w:r>
      <w:r>
        <w:t>strādājošajam bez apgādībā esošām personām, kas saņem 67% no vidējās darba algas, Latvijā samazināsies no 41,9% 2015.gadā (</w:t>
      </w:r>
      <w:proofErr w:type="spellStart"/>
      <w:r>
        <w:rPr>
          <w:i/>
          <w:iCs/>
        </w:rPr>
        <w:t>Eurostat</w:t>
      </w:r>
      <w:proofErr w:type="spellEnd"/>
      <w:r>
        <w:t xml:space="preserve"> dati) līdz pat 39,1%. </w:t>
      </w:r>
    </w:p>
    <w:p w14:paraId="746064AE" w14:textId="77777777" w:rsidR="00E57139" w:rsidRDefault="00E57139" w:rsidP="00487780">
      <w:pPr>
        <w:jc w:val="left"/>
      </w:pPr>
      <w:r>
        <w:t> </w:t>
      </w:r>
      <w:r>
        <w:rPr>
          <w:noProof/>
          <w:lang w:eastAsia="lv-LV"/>
        </w:rPr>
        <w:drawing>
          <wp:inline distT="0" distB="0" distL="0" distR="0" wp14:anchorId="1B874724" wp14:editId="29C420C4">
            <wp:extent cx="2626995" cy="2693865"/>
            <wp:effectExtent l="0" t="0" r="1905" b="0"/>
            <wp:docPr id="2" name="Picture 2" descr="cid:image001.png@01D333AE.E5206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descr="cid:image001.png@01D333AE.E5206D30"/>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2663390" cy="2731187"/>
                    </a:xfrm>
                    <a:prstGeom prst="rect">
                      <a:avLst/>
                    </a:prstGeom>
                    <a:noFill/>
                    <a:ln>
                      <a:noFill/>
                    </a:ln>
                  </pic:spPr>
                </pic:pic>
              </a:graphicData>
            </a:graphic>
          </wp:inline>
        </w:drawing>
      </w:r>
      <w:r>
        <w:t> </w:t>
      </w:r>
      <w:r>
        <w:rPr>
          <w:noProof/>
          <w:lang w:eastAsia="lv-LV"/>
        </w:rPr>
        <w:drawing>
          <wp:inline distT="0" distB="0" distL="0" distR="0" wp14:anchorId="2FC0F251" wp14:editId="3CD6094E">
            <wp:extent cx="2571750" cy="2689892"/>
            <wp:effectExtent l="0" t="0" r="0" b="0"/>
            <wp:docPr id="1" name="Picture 1" descr="cid:image002.png@01D333AE.E5206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2.png@01D333AE.E5206D30"/>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2596453" cy="2715729"/>
                    </a:xfrm>
                    <a:prstGeom prst="rect">
                      <a:avLst/>
                    </a:prstGeom>
                    <a:noFill/>
                    <a:ln>
                      <a:noFill/>
                    </a:ln>
                  </pic:spPr>
                </pic:pic>
              </a:graphicData>
            </a:graphic>
          </wp:inline>
        </w:drawing>
      </w:r>
    </w:p>
    <w:p w14:paraId="7A75A88D" w14:textId="77777777" w:rsidR="00E57139" w:rsidRDefault="00E57139" w:rsidP="00E57139">
      <w:pPr>
        <w:rPr>
          <w:i/>
          <w:iCs/>
          <w:sz w:val="22"/>
          <w:szCs w:val="22"/>
        </w:rPr>
      </w:pPr>
      <w:r>
        <w:rPr>
          <w:b/>
          <w:bCs/>
          <w:i/>
          <w:iCs/>
          <w:sz w:val="20"/>
        </w:rPr>
        <w:t xml:space="preserve">Avots: </w:t>
      </w:r>
      <w:r>
        <w:rPr>
          <w:i/>
          <w:iCs/>
          <w:sz w:val="20"/>
        </w:rPr>
        <w:t>FM aprēķini</w:t>
      </w:r>
    </w:p>
    <w:p w14:paraId="31036025" w14:textId="20A3F1B5" w:rsidR="00E57139" w:rsidRDefault="00E57139" w:rsidP="00E57139">
      <w:pPr>
        <w:spacing w:after="60"/>
        <w:jc w:val="center"/>
        <w:rPr>
          <w:b/>
          <w:bCs/>
          <w:sz w:val="22"/>
          <w:szCs w:val="22"/>
        </w:rPr>
      </w:pPr>
      <w:r w:rsidRPr="002E4757">
        <w:rPr>
          <w:b/>
          <w:bCs/>
          <w:sz w:val="22"/>
          <w:szCs w:val="22"/>
        </w:rPr>
        <w:t>1.att</w:t>
      </w:r>
      <w:r w:rsidR="002E4757" w:rsidRPr="002E4757">
        <w:rPr>
          <w:b/>
          <w:bCs/>
          <w:sz w:val="22"/>
          <w:szCs w:val="22"/>
        </w:rPr>
        <w:t>ēls</w:t>
      </w:r>
      <w:r w:rsidRPr="002E4757">
        <w:rPr>
          <w:b/>
          <w:bCs/>
          <w:sz w:val="22"/>
          <w:szCs w:val="22"/>
        </w:rPr>
        <w:t>.</w:t>
      </w:r>
      <w:r>
        <w:rPr>
          <w:b/>
          <w:bCs/>
          <w:sz w:val="22"/>
          <w:szCs w:val="22"/>
        </w:rPr>
        <w:t xml:space="preserve"> Nodokļu plaisas izmaiņas pēc nodokļu reformas</w:t>
      </w:r>
    </w:p>
    <w:p w14:paraId="450980C9" w14:textId="77777777" w:rsidR="00E57139" w:rsidRDefault="00E57139" w:rsidP="009259FE">
      <w:pPr>
        <w:spacing w:before="120" w:after="0" w:line="276" w:lineRule="auto"/>
        <w:ind w:firstLine="720"/>
      </w:pPr>
      <w:r>
        <w:lastRenderedPageBreak/>
        <w:t>Darbaspēka nodokļu sloga samazināšana ar pozitīvu ietekmi uz privāto patēriņu samazinās arī uzņēmumu izmaksas, palielinot to konkurētspēju un uzlabojot darbaspēka piesaistes iespējas. Tāpat arī darbaspēka izmaksu samazināšanās var stimulēt uzņēmumu investīcijas, atbrīvojot tam papildu pašu līdzekļus. Nodokļu reforma pozitīvi ietekmēs arī Džini koeficientu strādājošajiem.</w:t>
      </w:r>
    </w:p>
    <w:p w14:paraId="189E67DA" w14:textId="79347237" w:rsidR="00E57139" w:rsidRDefault="00E57139" w:rsidP="009259FE">
      <w:pPr>
        <w:spacing w:after="0" w:line="276" w:lineRule="auto"/>
        <w:ind w:firstLine="720"/>
      </w:pPr>
      <w:r>
        <w:t>Tiešā ietekme uz privātā patēriņa pieaugumu minimālās algas palielinājumam ir nenozīmīga, taču tas mazinās ēnu ekonomikas daļu, kas daļēji jau tiek ietverta IKP aprēķinos. Vienlaikus arī jāatzīmē, ka minimālās algas paaugstinājums šādā apmērā, ja tas tiek realizēts vienlaikus ar būtisku darbaspēka nodokļu sloga samazinājumu, nemazinās uzņēmumu ārējo konkurētspēju, kā arī nepasliktinās uzņēmumu finansiālo situāciju, kas īpaši aktuāli ir Latvijas reģionos, kur kopējais darba samaksas līmenis ir ievērojami zemāks.</w:t>
      </w:r>
    </w:p>
    <w:p w14:paraId="1002DEF4" w14:textId="63F7E574" w:rsidR="00925234" w:rsidRDefault="00E57139" w:rsidP="009259FE">
      <w:pPr>
        <w:pStyle w:val="NormalWeb"/>
        <w:shd w:val="clear" w:color="auto" w:fill="FFFFFF"/>
        <w:spacing w:before="0" w:beforeAutospacing="0" w:after="0" w:afterAutospacing="0" w:line="276" w:lineRule="auto"/>
        <w:ind w:firstLine="720"/>
        <w:jc w:val="both"/>
      </w:pPr>
      <w:r>
        <w:t xml:space="preserve">Nodokļu politikas reforma padarīs darbaspēka izmaksas līdzīgas kā pārējās Baltijas valstīs, pie tam pēc reformas Latvijā būs lielākais IIN atvieglojums par apgādībā esošu personu starp pārējām Baltijas valstīs. </w:t>
      </w:r>
    </w:p>
    <w:p w14:paraId="382A81F6" w14:textId="77777777" w:rsidR="00925234" w:rsidRDefault="00925234">
      <w:pPr>
        <w:spacing w:after="0"/>
        <w:ind w:firstLine="0"/>
        <w:jc w:val="left"/>
        <w:rPr>
          <w:szCs w:val="24"/>
          <w:lang w:eastAsia="lv-LV"/>
        </w:rPr>
      </w:pPr>
      <w:r>
        <w:br w:type="page"/>
      </w:r>
    </w:p>
    <w:p w14:paraId="01142EF0" w14:textId="77777777" w:rsidR="00925234" w:rsidRDefault="00925234" w:rsidP="00E57139">
      <w:pPr>
        <w:pStyle w:val="NormalWeb"/>
        <w:shd w:val="clear" w:color="auto" w:fill="FFFFFF"/>
        <w:spacing w:before="0" w:beforeAutospacing="0" w:after="0" w:afterAutospacing="0"/>
        <w:ind w:firstLine="720"/>
        <w:jc w:val="both"/>
        <w:sectPr w:rsidR="00925234" w:rsidSect="00E57139">
          <w:pgSz w:w="11906" w:h="16838"/>
          <w:pgMar w:top="1418" w:right="1134" w:bottom="709" w:left="1701" w:header="1077" w:footer="624" w:gutter="0"/>
          <w:cols w:space="708"/>
          <w:docGrid w:linePitch="360"/>
        </w:sectPr>
      </w:pPr>
    </w:p>
    <w:p w14:paraId="4B20845A" w14:textId="0E071F5A" w:rsidR="00925234" w:rsidRPr="009E6B12" w:rsidRDefault="009E6B12" w:rsidP="009E6B12">
      <w:pPr>
        <w:pStyle w:val="Heading1"/>
        <w:tabs>
          <w:tab w:val="left" w:pos="1276"/>
        </w:tabs>
        <w:spacing w:before="0" w:after="240"/>
        <w:ind w:left="1276" w:hanging="1276"/>
        <w:jc w:val="left"/>
        <w:rPr>
          <w:rFonts w:ascii="Times New Roman" w:hAnsi="Times New Roman"/>
          <w:color w:val="18185F"/>
          <w:sz w:val="24"/>
        </w:rPr>
      </w:pPr>
      <w:bookmarkStart w:id="27" w:name="_Toc494786359"/>
      <w:r>
        <w:rPr>
          <w:rFonts w:ascii="Times New Roman" w:hAnsi="Times New Roman"/>
          <w:color w:val="18185F"/>
          <w:sz w:val="24"/>
        </w:rPr>
        <w:lastRenderedPageBreak/>
        <w:t>Tabula 5.e</w:t>
      </w:r>
      <w:r w:rsidRPr="009E6B12">
        <w:rPr>
          <w:rFonts w:ascii="Times New Roman" w:hAnsi="Times New Roman"/>
          <w:color w:val="18185F"/>
          <w:sz w:val="24"/>
        </w:rPr>
        <w:t xml:space="preserve">: </w:t>
      </w:r>
      <w:r w:rsidR="00925234" w:rsidRPr="009E6B12">
        <w:rPr>
          <w:rFonts w:ascii="Times New Roman" w:hAnsi="Times New Roman"/>
          <w:color w:val="18185F"/>
          <w:sz w:val="24"/>
        </w:rPr>
        <w:t>Nodokļu reformas ietekme</w:t>
      </w:r>
      <w:bookmarkEnd w:id="27"/>
    </w:p>
    <w:tbl>
      <w:tblPr>
        <w:tblStyle w:val="GridTable6Colorful-Accent11"/>
        <w:tblW w:w="15304" w:type="dxa"/>
        <w:tblLook w:val="04A0" w:firstRow="1" w:lastRow="0" w:firstColumn="1" w:lastColumn="0" w:noHBand="0" w:noVBand="1"/>
      </w:tblPr>
      <w:tblGrid>
        <w:gridCol w:w="4967"/>
        <w:gridCol w:w="6584"/>
        <w:gridCol w:w="1627"/>
        <w:gridCol w:w="709"/>
        <w:gridCol w:w="709"/>
        <w:gridCol w:w="708"/>
      </w:tblGrid>
      <w:tr w:rsidR="00C158E5" w:rsidRPr="00C158E5" w14:paraId="3DD02475" w14:textId="77777777" w:rsidTr="00E71C33">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266E921A" w14:textId="77777777" w:rsidR="00C158E5" w:rsidRPr="00C158E5" w:rsidRDefault="00C158E5" w:rsidP="00C158E5">
            <w:pPr>
              <w:spacing w:after="0"/>
              <w:ind w:firstLine="0"/>
              <w:jc w:val="center"/>
              <w:rPr>
                <w:color w:val="auto"/>
                <w:sz w:val="20"/>
                <w:lang w:eastAsia="lv-LV"/>
              </w:rPr>
            </w:pPr>
            <w:r w:rsidRPr="00C158E5">
              <w:rPr>
                <w:color w:val="auto"/>
                <w:sz w:val="20"/>
                <w:lang w:eastAsia="lv-LV"/>
              </w:rPr>
              <w:t>Pasākumu saraksts</w:t>
            </w:r>
          </w:p>
        </w:tc>
        <w:tc>
          <w:tcPr>
            <w:tcW w:w="6935" w:type="dxa"/>
            <w:vMerge w:val="restart"/>
            <w:vAlign w:val="center"/>
            <w:hideMark/>
          </w:tcPr>
          <w:p w14:paraId="7AE7B294" w14:textId="77777777" w:rsidR="00C158E5" w:rsidRPr="00C158E5" w:rsidRDefault="00C158E5" w:rsidP="00C158E5">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Detalizēts apraksts*</w:t>
            </w:r>
          </w:p>
        </w:tc>
        <w:tc>
          <w:tcPr>
            <w:tcW w:w="1276" w:type="dxa"/>
            <w:vMerge w:val="restart"/>
            <w:noWrap/>
            <w:vAlign w:val="center"/>
            <w:hideMark/>
          </w:tcPr>
          <w:p w14:paraId="25BACE61" w14:textId="77777777" w:rsidR="00C158E5" w:rsidRPr="00C158E5" w:rsidRDefault="00C158E5" w:rsidP="00C158E5">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Nodokļu veids</w:t>
            </w:r>
          </w:p>
        </w:tc>
        <w:tc>
          <w:tcPr>
            <w:tcW w:w="2126" w:type="dxa"/>
            <w:gridSpan w:val="3"/>
            <w:noWrap/>
            <w:vAlign w:val="center"/>
            <w:hideMark/>
          </w:tcPr>
          <w:p w14:paraId="0A8C2766" w14:textId="77777777" w:rsidR="00C158E5" w:rsidRPr="00C158E5" w:rsidRDefault="00C158E5" w:rsidP="00C158E5">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Ietekme uz budžetu</w:t>
            </w:r>
          </w:p>
        </w:tc>
      </w:tr>
      <w:tr w:rsidR="00C158E5" w:rsidRPr="00C158E5" w14:paraId="2EB3B1B7" w14:textId="77777777" w:rsidTr="00E71C33">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75138361" w14:textId="77777777" w:rsidR="00C158E5" w:rsidRPr="00C158E5" w:rsidRDefault="00C158E5" w:rsidP="00C158E5">
            <w:pPr>
              <w:spacing w:after="0"/>
              <w:ind w:firstLine="0"/>
              <w:jc w:val="center"/>
              <w:rPr>
                <w:color w:val="auto"/>
                <w:sz w:val="20"/>
                <w:lang w:eastAsia="lv-LV"/>
              </w:rPr>
            </w:pPr>
          </w:p>
        </w:tc>
        <w:tc>
          <w:tcPr>
            <w:tcW w:w="6935" w:type="dxa"/>
            <w:vMerge/>
            <w:vAlign w:val="center"/>
            <w:hideMark/>
          </w:tcPr>
          <w:p w14:paraId="08A40924"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1276" w:type="dxa"/>
            <w:vMerge/>
            <w:vAlign w:val="center"/>
            <w:hideMark/>
          </w:tcPr>
          <w:p w14:paraId="17FF68F2"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p>
        </w:tc>
        <w:tc>
          <w:tcPr>
            <w:tcW w:w="709" w:type="dxa"/>
            <w:vAlign w:val="center"/>
            <w:hideMark/>
          </w:tcPr>
          <w:p w14:paraId="3C69CE9A"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C158E5">
              <w:rPr>
                <w:b/>
                <w:bCs/>
                <w:color w:val="auto"/>
                <w:sz w:val="20"/>
                <w:lang w:eastAsia="lv-LV"/>
              </w:rPr>
              <w:t>2018</w:t>
            </w:r>
          </w:p>
        </w:tc>
        <w:tc>
          <w:tcPr>
            <w:tcW w:w="709" w:type="dxa"/>
            <w:vAlign w:val="center"/>
            <w:hideMark/>
          </w:tcPr>
          <w:p w14:paraId="4227B6BF"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C158E5">
              <w:rPr>
                <w:b/>
                <w:bCs/>
                <w:color w:val="auto"/>
                <w:sz w:val="20"/>
                <w:lang w:eastAsia="lv-LV"/>
              </w:rPr>
              <w:t>2019</w:t>
            </w:r>
          </w:p>
        </w:tc>
        <w:tc>
          <w:tcPr>
            <w:tcW w:w="708" w:type="dxa"/>
            <w:vAlign w:val="center"/>
            <w:hideMark/>
          </w:tcPr>
          <w:p w14:paraId="089A9E33"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sidRPr="00C158E5">
              <w:rPr>
                <w:b/>
                <w:bCs/>
                <w:color w:val="auto"/>
                <w:sz w:val="20"/>
                <w:lang w:eastAsia="lv-LV"/>
              </w:rPr>
              <w:t>2020</w:t>
            </w:r>
          </w:p>
        </w:tc>
      </w:tr>
      <w:tr w:rsidR="00C158E5" w:rsidRPr="00C158E5" w14:paraId="1D76BB47" w14:textId="77777777" w:rsidTr="00E71C33">
        <w:trPr>
          <w:trHeight w:val="97"/>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3EB5933F" w14:textId="77777777" w:rsidR="00C158E5" w:rsidRPr="00C158E5" w:rsidRDefault="00C158E5" w:rsidP="00C158E5">
            <w:pPr>
              <w:spacing w:after="0"/>
              <w:ind w:firstLine="0"/>
              <w:jc w:val="center"/>
              <w:rPr>
                <w:color w:val="auto"/>
                <w:sz w:val="20"/>
                <w:lang w:eastAsia="lv-LV"/>
              </w:rPr>
            </w:pPr>
          </w:p>
        </w:tc>
        <w:tc>
          <w:tcPr>
            <w:tcW w:w="6935" w:type="dxa"/>
            <w:vMerge/>
            <w:vAlign w:val="center"/>
            <w:hideMark/>
          </w:tcPr>
          <w:p w14:paraId="56DEA297"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1276" w:type="dxa"/>
            <w:vMerge/>
            <w:vAlign w:val="center"/>
            <w:hideMark/>
          </w:tcPr>
          <w:p w14:paraId="3610585E"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p>
        </w:tc>
        <w:tc>
          <w:tcPr>
            <w:tcW w:w="2126" w:type="dxa"/>
            <w:gridSpan w:val="3"/>
            <w:vAlign w:val="center"/>
            <w:hideMark/>
          </w:tcPr>
          <w:p w14:paraId="2C1ADC00"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sidRPr="00C158E5">
              <w:rPr>
                <w:b/>
                <w:bCs/>
                <w:color w:val="auto"/>
                <w:sz w:val="20"/>
                <w:lang w:eastAsia="lv-LV"/>
              </w:rPr>
              <w:t>% IKP</w:t>
            </w:r>
          </w:p>
        </w:tc>
      </w:tr>
      <w:tr w:rsidR="00C158E5" w:rsidRPr="00C158E5" w14:paraId="6E9982E2" w14:textId="77777777" w:rsidTr="00E71C3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6EFB4D02" w14:textId="60A265D0" w:rsidR="00C158E5" w:rsidRPr="00C158E5" w:rsidRDefault="00C158E5" w:rsidP="00C158E5">
            <w:pPr>
              <w:spacing w:after="0"/>
              <w:ind w:firstLine="0"/>
              <w:rPr>
                <w:b w:val="0"/>
                <w:color w:val="auto"/>
                <w:sz w:val="20"/>
                <w:lang w:eastAsia="lv-LV"/>
              </w:rPr>
            </w:pPr>
            <w:r w:rsidRPr="00C158E5">
              <w:rPr>
                <w:b w:val="0"/>
                <w:color w:val="auto"/>
                <w:sz w:val="20"/>
                <w:lang w:eastAsia="lv-LV"/>
              </w:rPr>
              <w:t>Azartspēļu nodokļa palielināšana par 30% spēļu galdiem un automātiem ar 01.01.2018.</w:t>
            </w:r>
          </w:p>
        </w:tc>
        <w:tc>
          <w:tcPr>
            <w:tcW w:w="6935" w:type="dxa"/>
            <w:vAlign w:val="center"/>
            <w:hideMark/>
          </w:tcPr>
          <w:p w14:paraId="39C64B1A" w14:textId="18BFD3D0"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Azartspēļu nodokļa palielināšana par 30% spēļu galdiem un automātiem ar 01.01.2018.</w:t>
            </w:r>
          </w:p>
        </w:tc>
        <w:tc>
          <w:tcPr>
            <w:tcW w:w="1276" w:type="dxa"/>
            <w:vAlign w:val="center"/>
            <w:hideMark/>
          </w:tcPr>
          <w:p w14:paraId="073BE437"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Azartspēļu nodoklis</w:t>
            </w:r>
          </w:p>
        </w:tc>
        <w:tc>
          <w:tcPr>
            <w:tcW w:w="709" w:type="dxa"/>
            <w:noWrap/>
            <w:vAlign w:val="center"/>
            <w:hideMark/>
          </w:tcPr>
          <w:p w14:paraId="1FAEB533" w14:textId="05681D4F"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0,03</w:t>
            </w:r>
          </w:p>
        </w:tc>
        <w:tc>
          <w:tcPr>
            <w:tcW w:w="709" w:type="dxa"/>
            <w:noWrap/>
            <w:vAlign w:val="center"/>
            <w:hideMark/>
          </w:tcPr>
          <w:p w14:paraId="0C6A273E" w14:textId="1DFE0E22"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0,00</w:t>
            </w:r>
          </w:p>
        </w:tc>
        <w:tc>
          <w:tcPr>
            <w:tcW w:w="708" w:type="dxa"/>
            <w:noWrap/>
            <w:vAlign w:val="center"/>
            <w:hideMark/>
          </w:tcPr>
          <w:p w14:paraId="5F703476" w14:textId="5AFCC435"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0,00</w:t>
            </w:r>
          </w:p>
        </w:tc>
      </w:tr>
      <w:tr w:rsidR="00C158E5" w:rsidRPr="00C158E5" w14:paraId="777E6A4E" w14:textId="77777777" w:rsidTr="00E71C33">
        <w:trPr>
          <w:trHeight w:val="416"/>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123F0726"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t>Atsevišķu nekustamā īpašuma pielietojuma kategoriju kadastrālo vērtību pārskatīšana</w:t>
            </w:r>
          </w:p>
        </w:tc>
        <w:tc>
          <w:tcPr>
            <w:tcW w:w="6935" w:type="dxa"/>
            <w:vAlign w:val="center"/>
            <w:hideMark/>
          </w:tcPr>
          <w:p w14:paraId="1701F7C7"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Atsevišķu nekustamā īpašuma pielietojuma kategoriju kadastrālo vērtību pārskatīšana</w:t>
            </w:r>
          </w:p>
        </w:tc>
        <w:tc>
          <w:tcPr>
            <w:tcW w:w="1276" w:type="dxa"/>
            <w:vAlign w:val="center"/>
            <w:hideMark/>
          </w:tcPr>
          <w:p w14:paraId="418B3EE5"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NĪN</w:t>
            </w:r>
          </w:p>
        </w:tc>
        <w:tc>
          <w:tcPr>
            <w:tcW w:w="709" w:type="dxa"/>
            <w:noWrap/>
            <w:vAlign w:val="center"/>
            <w:hideMark/>
          </w:tcPr>
          <w:p w14:paraId="15F8BA79" w14:textId="4E60BF47"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0,02</w:t>
            </w:r>
          </w:p>
        </w:tc>
        <w:tc>
          <w:tcPr>
            <w:tcW w:w="709" w:type="dxa"/>
            <w:noWrap/>
            <w:vAlign w:val="center"/>
            <w:hideMark/>
          </w:tcPr>
          <w:p w14:paraId="0216814A" w14:textId="615E3DEC"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0,00</w:t>
            </w:r>
          </w:p>
        </w:tc>
        <w:tc>
          <w:tcPr>
            <w:tcW w:w="708" w:type="dxa"/>
            <w:noWrap/>
            <w:vAlign w:val="center"/>
            <w:hideMark/>
          </w:tcPr>
          <w:p w14:paraId="346A9261" w14:textId="0D46AC5F"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0,00</w:t>
            </w:r>
          </w:p>
        </w:tc>
      </w:tr>
      <w:tr w:rsidR="00C158E5" w:rsidRPr="00C158E5" w14:paraId="2996BD50" w14:textId="77777777" w:rsidTr="00E71C33">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47C125BA"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t>TEN maksāšanas kārtības maiņas atcelšana</w:t>
            </w:r>
          </w:p>
        </w:tc>
        <w:tc>
          <w:tcPr>
            <w:tcW w:w="6935" w:type="dxa"/>
            <w:vAlign w:val="center"/>
            <w:hideMark/>
          </w:tcPr>
          <w:p w14:paraId="57D11FEB" w14:textId="77777777"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TEN maksāšanas kārtības maiņas atcelšana</w:t>
            </w:r>
          </w:p>
        </w:tc>
        <w:tc>
          <w:tcPr>
            <w:tcW w:w="1276" w:type="dxa"/>
            <w:vAlign w:val="center"/>
            <w:hideMark/>
          </w:tcPr>
          <w:p w14:paraId="0CC261ED"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Transportlīdzekļa ekspluatācijas nodoklis</w:t>
            </w:r>
          </w:p>
        </w:tc>
        <w:tc>
          <w:tcPr>
            <w:tcW w:w="709" w:type="dxa"/>
            <w:noWrap/>
            <w:vAlign w:val="center"/>
            <w:hideMark/>
          </w:tcPr>
          <w:p w14:paraId="183375A0" w14:textId="1E317C84"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0,00</w:t>
            </w:r>
          </w:p>
        </w:tc>
        <w:tc>
          <w:tcPr>
            <w:tcW w:w="709" w:type="dxa"/>
            <w:noWrap/>
            <w:vAlign w:val="center"/>
            <w:hideMark/>
          </w:tcPr>
          <w:p w14:paraId="09343B44" w14:textId="7A2D4BE2"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0,15</w:t>
            </w:r>
          </w:p>
        </w:tc>
        <w:tc>
          <w:tcPr>
            <w:tcW w:w="708" w:type="dxa"/>
            <w:noWrap/>
            <w:vAlign w:val="center"/>
            <w:hideMark/>
          </w:tcPr>
          <w:p w14:paraId="33D265C3" w14:textId="3A49FA2A"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-0,15</w:t>
            </w:r>
          </w:p>
        </w:tc>
      </w:tr>
      <w:tr w:rsidR="00C158E5" w:rsidRPr="00C158E5" w14:paraId="127C8238" w14:textId="77777777" w:rsidTr="00E71C33">
        <w:trPr>
          <w:trHeight w:val="376"/>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16E966E1"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t>Akcīzes nodokļa likmes palielināšana smēķējamai tabakai ar 01.01.2020.</w:t>
            </w:r>
          </w:p>
        </w:tc>
        <w:tc>
          <w:tcPr>
            <w:tcW w:w="6935" w:type="dxa"/>
            <w:vMerge w:val="restart"/>
            <w:vAlign w:val="center"/>
            <w:hideMark/>
          </w:tcPr>
          <w:p w14:paraId="131C7DCA"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 xml:space="preserve">Akcīzes nodokļa likmes palielināšana smēķējamai tabakai arī ar 01.01.2020.: smalki sagrieztai tabakai cigarešu uztīšanai, kā arī tabakas lapām  un karsējamai tabakai </w:t>
            </w:r>
          </w:p>
        </w:tc>
        <w:tc>
          <w:tcPr>
            <w:tcW w:w="1276" w:type="dxa"/>
            <w:vAlign w:val="center"/>
            <w:hideMark/>
          </w:tcPr>
          <w:p w14:paraId="47125CC3"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Akcīzes nodoklis</w:t>
            </w:r>
          </w:p>
        </w:tc>
        <w:tc>
          <w:tcPr>
            <w:tcW w:w="709" w:type="dxa"/>
            <w:noWrap/>
            <w:vAlign w:val="center"/>
            <w:hideMark/>
          </w:tcPr>
          <w:p w14:paraId="267D8F64" w14:textId="4578C483"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0,00</w:t>
            </w:r>
          </w:p>
        </w:tc>
        <w:tc>
          <w:tcPr>
            <w:tcW w:w="709" w:type="dxa"/>
            <w:noWrap/>
            <w:vAlign w:val="center"/>
            <w:hideMark/>
          </w:tcPr>
          <w:p w14:paraId="39F2AE0B" w14:textId="42E22856"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0,00</w:t>
            </w:r>
          </w:p>
        </w:tc>
        <w:tc>
          <w:tcPr>
            <w:tcW w:w="708" w:type="dxa"/>
            <w:noWrap/>
            <w:vAlign w:val="center"/>
            <w:hideMark/>
          </w:tcPr>
          <w:p w14:paraId="2E0BB71C" w14:textId="7CDC43E5"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0,00</w:t>
            </w:r>
          </w:p>
        </w:tc>
      </w:tr>
      <w:tr w:rsidR="00C158E5" w:rsidRPr="00C158E5" w14:paraId="42D6EF02" w14:textId="77777777" w:rsidTr="00E71C33">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4D9C580A"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01EA4C3B" w14:textId="77777777"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noWrap/>
            <w:vAlign w:val="center"/>
            <w:hideMark/>
          </w:tcPr>
          <w:p w14:paraId="147B29AF"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PVN</w:t>
            </w:r>
          </w:p>
        </w:tc>
        <w:tc>
          <w:tcPr>
            <w:tcW w:w="709" w:type="dxa"/>
            <w:noWrap/>
            <w:vAlign w:val="center"/>
            <w:hideMark/>
          </w:tcPr>
          <w:p w14:paraId="53FAE588" w14:textId="32ED9AA1"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0,00</w:t>
            </w:r>
          </w:p>
        </w:tc>
        <w:tc>
          <w:tcPr>
            <w:tcW w:w="709" w:type="dxa"/>
            <w:noWrap/>
            <w:vAlign w:val="center"/>
            <w:hideMark/>
          </w:tcPr>
          <w:p w14:paraId="5B4483C5" w14:textId="19945C9F"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0,00</w:t>
            </w:r>
          </w:p>
        </w:tc>
        <w:tc>
          <w:tcPr>
            <w:tcW w:w="708" w:type="dxa"/>
            <w:noWrap/>
            <w:vAlign w:val="center"/>
            <w:hideMark/>
          </w:tcPr>
          <w:p w14:paraId="6E8015F3" w14:textId="4A6752F7"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0,00</w:t>
            </w:r>
          </w:p>
        </w:tc>
      </w:tr>
      <w:tr w:rsidR="00C158E5" w:rsidRPr="00C158E5" w14:paraId="326F24DF" w14:textId="77777777" w:rsidTr="00E71C33">
        <w:trPr>
          <w:trHeight w:val="102"/>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4A9BF093"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t xml:space="preserve">Akcīzes nodokļa likmju palielināšana alkoholiskajiem dzērieniem un alum </w:t>
            </w:r>
          </w:p>
        </w:tc>
        <w:tc>
          <w:tcPr>
            <w:tcW w:w="6935" w:type="dxa"/>
            <w:vMerge w:val="restart"/>
            <w:vAlign w:val="center"/>
            <w:hideMark/>
          </w:tcPr>
          <w:p w14:paraId="5B6910DE"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Akcīzes nodokļa likmju palielināšana alkoholiskajiem dzērieniem un alum ar 01.03.2018., 01.03.2019. un 01.03.2020.</w:t>
            </w:r>
          </w:p>
        </w:tc>
        <w:tc>
          <w:tcPr>
            <w:tcW w:w="1276" w:type="dxa"/>
            <w:vAlign w:val="center"/>
            <w:hideMark/>
          </w:tcPr>
          <w:p w14:paraId="68B8E9D7"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Akcīzes nodoklis</w:t>
            </w:r>
          </w:p>
        </w:tc>
        <w:tc>
          <w:tcPr>
            <w:tcW w:w="709" w:type="dxa"/>
            <w:noWrap/>
            <w:vAlign w:val="center"/>
            <w:hideMark/>
          </w:tcPr>
          <w:p w14:paraId="18EFCB1A" w14:textId="60D4ABFC"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0,08</w:t>
            </w:r>
          </w:p>
        </w:tc>
        <w:tc>
          <w:tcPr>
            <w:tcW w:w="709" w:type="dxa"/>
            <w:noWrap/>
            <w:vAlign w:val="center"/>
            <w:hideMark/>
          </w:tcPr>
          <w:p w14:paraId="424F70CC" w14:textId="04112BB3"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0,03</w:t>
            </w:r>
          </w:p>
        </w:tc>
        <w:tc>
          <w:tcPr>
            <w:tcW w:w="708" w:type="dxa"/>
            <w:noWrap/>
            <w:vAlign w:val="center"/>
            <w:hideMark/>
          </w:tcPr>
          <w:p w14:paraId="7CA71F77" w14:textId="2CFE651F"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0,05</w:t>
            </w:r>
          </w:p>
        </w:tc>
      </w:tr>
      <w:tr w:rsidR="00C158E5" w:rsidRPr="00C158E5" w14:paraId="6B5930C5" w14:textId="77777777" w:rsidTr="00E71C3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6CE6569A"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5B9538BF" w14:textId="77777777"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noWrap/>
            <w:vAlign w:val="center"/>
            <w:hideMark/>
          </w:tcPr>
          <w:p w14:paraId="06AED952"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PVN</w:t>
            </w:r>
          </w:p>
        </w:tc>
        <w:tc>
          <w:tcPr>
            <w:tcW w:w="709" w:type="dxa"/>
            <w:noWrap/>
            <w:vAlign w:val="center"/>
            <w:hideMark/>
          </w:tcPr>
          <w:p w14:paraId="7CD3E1C6" w14:textId="529C7D08"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0,02</w:t>
            </w:r>
          </w:p>
        </w:tc>
        <w:tc>
          <w:tcPr>
            <w:tcW w:w="709" w:type="dxa"/>
            <w:noWrap/>
            <w:vAlign w:val="center"/>
            <w:hideMark/>
          </w:tcPr>
          <w:p w14:paraId="6789519A" w14:textId="7456ED0E"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0,01</w:t>
            </w:r>
          </w:p>
        </w:tc>
        <w:tc>
          <w:tcPr>
            <w:tcW w:w="708" w:type="dxa"/>
            <w:noWrap/>
            <w:vAlign w:val="center"/>
            <w:hideMark/>
          </w:tcPr>
          <w:p w14:paraId="1A0C77B6" w14:textId="733124F6"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0,01</w:t>
            </w:r>
          </w:p>
        </w:tc>
      </w:tr>
      <w:tr w:rsidR="00C158E5" w:rsidRPr="00C158E5" w14:paraId="16099F99" w14:textId="77777777" w:rsidTr="00E71C33">
        <w:trPr>
          <w:trHeight w:val="70"/>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57B0E37C"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t>Akcīzes nodokļa likmju palielināšana cigaretēm</w:t>
            </w:r>
          </w:p>
        </w:tc>
        <w:tc>
          <w:tcPr>
            <w:tcW w:w="6935" w:type="dxa"/>
            <w:vMerge w:val="restart"/>
            <w:vAlign w:val="center"/>
            <w:hideMark/>
          </w:tcPr>
          <w:p w14:paraId="3813F7DF"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Akcīzes nodokļa likmju palielināšana cigaretēm ar 01.07.2018. un 01.07.2019.</w:t>
            </w:r>
          </w:p>
        </w:tc>
        <w:tc>
          <w:tcPr>
            <w:tcW w:w="1276" w:type="dxa"/>
            <w:vAlign w:val="center"/>
            <w:hideMark/>
          </w:tcPr>
          <w:p w14:paraId="7118E819"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Akcīzes nodoklis</w:t>
            </w:r>
          </w:p>
        </w:tc>
        <w:tc>
          <w:tcPr>
            <w:tcW w:w="709" w:type="dxa"/>
            <w:noWrap/>
            <w:vAlign w:val="center"/>
            <w:hideMark/>
          </w:tcPr>
          <w:p w14:paraId="638CE8DD" w14:textId="5C75FDF7"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0,02</w:t>
            </w:r>
          </w:p>
        </w:tc>
        <w:tc>
          <w:tcPr>
            <w:tcW w:w="709" w:type="dxa"/>
            <w:noWrap/>
            <w:vAlign w:val="center"/>
            <w:hideMark/>
          </w:tcPr>
          <w:p w14:paraId="2FCE41C6" w14:textId="734DCFAA"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0,03</w:t>
            </w:r>
          </w:p>
        </w:tc>
        <w:tc>
          <w:tcPr>
            <w:tcW w:w="708" w:type="dxa"/>
            <w:noWrap/>
            <w:vAlign w:val="center"/>
            <w:hideMark/>
          </w:tcPr>
          <w:p w14:paraId="16BE1A74" w14:textId="0B480E75"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0,01</w:t>
            </w:r>
          </w:p>
        </w:tc>
      </w:tr>
      <w:tr w:rsidR="00C158E5" w:rsidRPr="00C158E5" w14:paraId="0A2A36C3" w14:textId="77777777" w:rsidTr="00E71C3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0A3C60B1"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49560AF1" w14:textId="77777777"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noWrap/>
            <w:vAlign w:val="center"/>
            <w:hideMark/>
          </w:tcPr>
          <w:p w14:paraId="04EE9293"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PVN</w:t>
            </w:r>
          </w:p>
        </w:tc>
        <w:tc>
          <w:tcPr>
            <w:tcW w:w="709" w:type="dxa"/>
            <w:noWrap/>
            <w:vAlign w:val="center"/>
            <w:hideMark/>
          </w:tcPr>
          <w:p w14:paraId="4F79CEC5" w14:textId="1EC28439"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9" w:type="dxa"/>
            <w:noWrap/>
            <w:vAlign w:val="center"/>
            <w:hideMark/>
          </w:tcPr>
          <w:p w14:paraId="0EFE2C58" w14:textId="08772C67"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708" w:type="dxa"/>
            <w:noWrap/>
            <w:vAlign w:val="center"/>
            <w:hideMark/>
          </w:tcPr>
          <w:p w14:paraId="47F7D81A" w14:textId="6CD35CC0"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7E8882EE" w14:textId="77777777" w:rsidTr="00E71C33">
        <w:trPr>
          <w:trHeight w:val="258"/>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10839E1A"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t xml:space="preserve">Akcīzes nodokļa likmes palielināšana cigāriem un </w:t>
            </w:r>
            <w:proofErr w:type="spellStart"/>
            <w:r w:rsidRPr="00C158E5">
              <w:rPr>
                <w:b w:val="0"/>
                <w:color w:val="auto"/>
                <w:sz w:val="20"/>
                <w:lang w:eastAsia="lv-LV"/>
              </w:rPr>
              <w:t>cigarillām</w:t>
            </w:r>
            <w:proofErr w:type="spellEnd"/>
          </w:p>
        </w:tc>
        <w:tc>
          <w:tcPr>
            <w:tcW w:w="6935" w:type="dxa"/>
            <w:vMerge w:val="restart"/>
            <w:vAlign w:val="center"/>
            <w:hideMark/>
          </w:tcPr>
          <w:p w14:paraId="2454F4F5"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 xml:space="preserve">Akcīzes nodokļa likmes palielināšana cigāriem un </w:t>
            </w:r>
            <w:proofErr w:type="spellStart"/>
            <w:r w:rsidRPr="00C158E5">
              <w:rPr>
                <w:color w:val="auto"/>
                <w:sz w:val="20"/>
                <w:lang w:eastAsia="lv-LV"/>
              </w:rPr>
              <w:t>cigarillām</w:t>
            </w:r>
            <w:proofErr w:type="spellEnd"/>
            <w:r w:rsidRPr="00C158E5">
              <w:rPr>
                <w:color w:val="auto"/>
                <w:sz w:val="20"/>
                <w:lang w:eastAsia="lv-LV"/>
              </w:rPr>
              <w:t xml:space="preserve"> arī 2020.gadā (ar 01.01.2020.)</w:t>
            </w:r>
          </w:p>
        </w:tc>
        <w:tc>
          <w:tcPr>
            <w:tcW w:w="1276" w:type="dxa"/>
            <w:vAlign w:val="center"/>
            <w:hideMark/>
          </w:tcPr>
          <w:p w14:paraId="6A46269B"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Akcīzes nodoklis</w:t>
            </w:r>
          </w:p>
        </w:tc>
        <w:tc>
          <w:tcPr>
            <w:tcW w:w="709" w:type="dxa"/>
            <w:noWrap/>
            <w:vAlign w:val="center"/>
            <w:hideMark/>
          </w:tcPr>
          <w:p w14:paraId="2043ECB7" w14:textId="60DF1048"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9" w:type="dxa"/>
            <w:noWrap/>
            <w:vAlign w:val="center"/>
            <w:hideMark/>
          </w:tcPr>
          <w:p w14:paraId="68DCEB3D" w14:textId="6E2C07A3"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7E397D4A" w14:textId="72B1DBDF"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41BE913D" w14:textId="77777777" w:rsidTr="00E71C33">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5613D8D3"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5271F3F0" w14:textId="77777777"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noWrap/>
            <w:vAlign w:val="center"/>
            <w:hideMark/>
          </w:tcPr>
          <w:p w14:paraId="78A81D7E"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PVN</w:t>
            </w:r>
          </w:p>
        </w:tc>
        <w:tc>
          <w:tcPr>
            <w:tcW w:w="709" w:type="dxa"/>
            <w:noWrap/>
            <w:vAlign w:val="center"/>
            <w:hideMark/>
          </w:tcPr>
          <w:p w14:paraId="64806CC6" w14:textId="6A9E56B1"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9" w:type="dxa"/>
            <w:noWrap/>
            <w:vAlign w:val="center"/>
            <w:hideMark/>
          </w:tcPr>
          <w:p w14:paraId="2DD9C777" w14:textId="5739AFDE"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16C5EA6A" w14:textId="74FF6C74"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743D07E3" w14:textId="77777777" w:rsidTr="00E71C33">
        <w:trPr>
          <w:trHeight w:val="165"/>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46D6BBDC"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t>Akcīzes nodokļa paaugstināšana naftas produktiem, ko izmanto par degvielu</w:t>
            </w:r>
          </w:p>
        </w:tc>
        <w:tc>
          <w:tcPr>
            <w:tcW w:w="6935" w:type="dxa"/>
            <w:vMerge w:val="restart"/>
            <w:vAlign w:val="center"/>
            <w:hideMark/>
          </w:tcPr>
          <w:p w14:paraId="36F1B393"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Akcīzes nodokļa paaugstināšana naftas produktiem, ko izmanto par degvielu, ar 01.01.2018. un ar 01.01.2020.</w:t>
            </w:r>
          </w:p>
        </w:tc>
        <w:tc>
          <w:tcPr>
            <w:tcW w:w="1276" w:type="dxa"/>
            <w:vAlign w:val="center"/>
            <w:hideMark/>
          </w:tcPr>
          <w:p w14:paraId="7182E145"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Akcīzes nodoklis</w:t>
            </w:r>
          </w:p>
        </w:tc>
        <w:tc>
          <w:tcPr>
            <w:tcW w:w="709" w:type="dxa"/>
            <w:noWrap/>
            <w:vAlign w:val="center"/>
            <w:hideMark/>
          </w:tcPr>
          <w:p w14:paraId="45091039" w14:textId="313E45F2"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0,09</w:t>
            </w:r>
          </w:p>
        </w:tc>
        <w:tc>
          <w:tcPr>
            <w:tcW w:w="709" w:type="dxa"/>
            <w:noWrap/>
            <w:vAlign w:val="center"/>
            <w:hideMark/>
          </w:tcPr>
          <w:p w14:paraId="07C033CD" w14:textId="5B8DF9B1"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738FF1D2" w14:textId="50B26217"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0,05</w:t>
            </w:r>
          </w:p>
        </w:tc>
      </w:tr>
      <w:tr w:rsidR="00C158E5" w:rsidRPr="00C158E5" w14:paraId="50ACC3BF" w14:textId="77777777" w:rsidTr="00E71C3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64648061"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7E9DFF3F" w14:textId="77777777"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noWrap/>
            <w:vAlign w:val="center"/>
            <w:hideMark/>
          </w:tcPr>
          <w:p w14:paraId="0E561750"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PVN</w:t>
            </w:r>
          </w:p>
        </w:tc>
        <w:tc>
          <w:tcPr>
            <w:tcW w:w="709" w:type="dxa"/>
            <w:noWrap/>
            <w:vAlign w:val="center"/>
            <w:hideMark/>
          </w:tcPr>
          <w:p w14:paraId="17C9229E" w14:textId="1363BCDC"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0,02</w:t>
            </w:r>
          </w:p>
        </w:tc>
        <w:tc>
          <w:tcPr>
            <w:tcW w:w="709" w:type="dxa"/>
            <w:noWrap/>
            <w:vAlign w:val="center"/>
            <w:hideMark/>
          </w:tcPr>
          <w:p w14:paraId="1A41D6FA" w14:textId="4D5F88F5"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6AE0E48C" w14:textId="7C52E858"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r>
      <w:tr w:rsidR="00C158E5" w:rsidRPr="00C158E5" w14:paraId="1DC41A55" w14:textId="77777777" w:rsidTr="00E71C33">
        <w:trPr>
          <w:trHeight w:val="116"/>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0EDE5E04" w14:textId="4DFF10C3" w:rsidR="00C158E5" w:rsidRPr="00C158E5" w:rsidRDefault="00C158E5" w:rsidP="00C158E5">
            <w:pPr>
              <w:spacing w:after="0"/>
              <w:ind w:firstLine="0"/>
              <w:rPr>
                <w:b w:val="0"/>
                <w:color w:val="auto"/>
                <w:sz w:val="20"/>
                <w:lang w:eastAsia="lv-LV"/>
              </w:rPr>
            </w:pPr>
            <w:r w:rsidRPr="00C158E5">
              <w:rPr>
                <w:b w:val="0"/>
                <w:color w:val="auto"/>
                <w:sz w:val="20"/>
                <w:lang w:eastAsia="lv-LV"/>
              </w:rPr>
              <w:t>PVN reģistrācijas sliekšņa samazināšana no 50</w:t>
            </w:r>
            <w:r w:rsidR="00E71C33">
              <w:rPr>
                <w:b w:val="0"/>
                <w:color w:val="auto"/>
                <w:sz w:val="20"/>
                <w:lang w:eastAsia="lv-LV"/>
              </w:rPr>
              <w:t> </w:t>
            </w:r>
            <w:r w:rsidRPr="00C158E5">
              <w:rPr>
                <w:b w:val="0"/>
                <w:color w:val="auto"/>
                <w:sz w:val="20"/>
                <w:lang w:eastAsia="lv-LV"/>
              </w:rPr>
              <w:t>000</w:t>
            </w:r>
            <w:r w:rsidR="00E71C33">
              <w:rPr>
                <w:b w:val="0"/>
                <w:color w:val="auto"/>
                <w:sz w:val="20"/>
                <w:lang w:eastAsia="lv-LV"/>
              </w:rPr>
              <w:t xml:space="preserve"> </w:t>
            </w:r>
            <w:proofErr w:type="spellStart"/>
            <w:r w:rsidRPr="00C158E5">
              <w:rPr>
                <w:b w:val="0"/>
                <w:i/>
                <w:color w:val="auto"/>
                <w:sz w:val="20"/>
                <w:lang w:eastAsia="lv-LV"/>
              </w:rPr>
              <w:t>euro</w:t>
            </w:r>
            <w:proofErr w:type="spellEnd"/>
            <w:r w:rsidRPr="00C158E5">
              <w:rPr>
                <w:b w:val="0"/>
                <w:color w:val="auto"/>
                <w:sz w:val="20"/>
                <w:lang w:eastAsia="lv-LV"/>
              </w:rPr>
              <w:t xml:space="preserve"> līdz 40</w:t>
            </w:r>
            <w:r w:rsidR="00E71C33">
              <w:rPr>
                <w:b w:val="0"/>
                <w:color w:val="auto"/>
                <w:sz w:val="20"/>
                <w:lang w:eastAsia="lv-LV"/>
              </w:rPr>
              <w:t> </w:t>
            </w:r>
            <w:r w:rsidRPr="00C158E5">
              <w:rPr>
                <w:b w:val="0"/>
                <w:color w:val="auto"/>
                <w:sz w:val="20"/>
                <w:lang w:eastAsia="lv-LV"/>
              </w:rPr>
              <w:t>000</w:t>
            </w:r>
            <w:r w:rsidR="00E71C33">
              <w:rPr>
                <w:b w:val="0"/>
                <w:color w:val="auto"/>
                <w:sz w:val="20"/>
                <w:lang w:eastAsia="lv-LV"/>
              </w:rPr>
              <w:t xml:space="preserve"> </w:t>
            </w:r>
            <w:proofErr w:type="spellStart"/>
            <w:r w:rsidRPr="00C158E5">
              <w:rPr>
                <w:b w:val="0"/>
                <w:i/>
                <w:color w:val="auto"/>
                <w:sz w:val="20"/>
                <w:lang w:eastAsia="lv-LV"/>
              </w:rPr>
              <w:t>euro</w:t>
            </w:r>
            <w:proofErr w:type="spellEnd"/>
          </w:p>
        </w:tc>
        <w:tc>
          <w:tcPr>
            <w:tcW w:w="6935" w:type="dxa"/>
            <w:vAlign w:val="center"/>
            <w:hideMark/>
          </w:tcPr>
          <w:p w14:paraId="03C97AF3" w14:textId="09D48576"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PVN reģistrācijas sliekšņa samazināšana no 50</w:t>
            </w:r>
            <w:r w:rsidR="00E71C33">
              <w:rPr>
                <w:color w:val="auto"/>
                <w:sz w:val="20"/>
                <w:lang w:eastAsia="lv-LV"/>
              </w:rPr>
              <w:t> </w:t>
            </w:r>
            <w:r w:rsidRPr="00C158E5">
              <w:rPr>
                <w:color w:val="auto"/>
                <w:sz w:val="20"/>
                <w:lang w:eastAsia="lv-LV"/>
              </w:rPr>
              <w:t>000</w:t>
            </w:r>
            <w:r w:rsidR="00E71C33">
              <w:rPr>
                <w:color w:val="auto"/>
                <w:sz w:val="20"/>
                <w:lang w:eastAsia="lv-LV"/>
              </w:rPr>
              <w:t xml:space="preserve"> </w:t>
            </w:r>
            <w:proofErr w:type="spellStart"/>
            <w:r w:rsidRPr="00C158E5">
              <w:rPr>
                <w:i/>
                <w:color w:val="auto"/>
                <w:sz w:val="20"/>
                <w:lang w:eastAsia="lv-LV"/>
              </w:rPr>
              <w:t>euro</w:t>
            </w:r>
            <w:proofErr w:type="spellEnd"/>
            <w:r w:rsidRPr="00C158E5">
              <w:rPr>
                <w:color w:val="auto"/>
                <w:sz w:val="20"/>
                <w:lang w:eastAsia="lv-LV"/>
              </w:rPr>
              <w:t xml:space="preserve"> līdz 40</w:t>
            </w:r>
            <w:r w:rsidR="00E71C33">
              <w:rPr>
                <w:color w:val="auto"/>
                <w:sz w:val="20"/>
                <w:lang w:eastAsia="lv-LV"/>
              </w:rPr>
              <w:t> </w:t>
            </w:r>
            <w:r w:rsidRPr="00C158E5">
              <w:rPr>
                <w:color w:val="auto"/>
                <w:sz w:val="20"/>
                <w:lang w:eastAsia="lv-LV"/>
              </w:rPr>
              <w:t>000</w:t>
            </w:r>
            <w:r w:rsidR="00E71C33">
              <w:rPr>
                <w:color w:val="auto"/>
                <w:sz w:val="20"/>
                <w:lang w:eastAsia="lv-LV"/>
              </w:rPr>
              <w:t xml:space="preserve"> </w:t>
            </w:r>
            <w:proofErr w:type="spellStart"/>
            <w:r w:rsidRPr="00C158E5">
              <w:rPr>
                <w:i/>
                <w:color w:val="auto"/>
                <w:sz w:val="20"/>
                <w:lang w:eastAsia="lv-LV"/>
              </w:rPr>
              <w:t>euro</w:t>
            </w:r>
            <w:proofErr w:type="spellEnd"/>
            <w:r w:rsidRPr="00C158E5">
              <w:rPr>
                <w:color w:val="auto"/>
                <w:sz w:val="20"/>
                <w:lang w:eastAsia="lv-LV"/>
              </w:rPr>
              <w:t xml:space="preserve"> ar 01.01.2018.</w:t>
            </w:r>
          </w:p>
        </w:tc>
        <w:tc>
          <w:tcPr>
            <w:tcW w:w="1276" w:type="dxa"/>
            <w:noWrap/>
            <w:vAlign w:val="center"/>
            <w:hideMark/>
          </w:tcPr>
          <w:p w14:paraId="637E784B"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PVN</w:t>
            </w:r>
          </w:p>
        </w:tc>
        <w:tc>
          <w:tcPr>
            <w:tcW w:w="709" w:type="dxa"/>
            <w:noWrap/>
            <w:vAlign w:val="center"/>
            <w:hideMark/>
          </w:tcPr>
          <w:p w14:paraId="05D9C20C" w14:textId="122C5A56"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709" w:type="dxa"/>
            <w:noWrap/>
            <w:vAlign w:val="center"/>
            <w:hideMark/>
          </w:tcPr>
          <w:p w14:paraId="0DF5EFF3" w14:textId="1D329AC8"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2F02E97D" w14:textId="554899B9"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50ECF36A" w14:textId="77777777" w:rsidTr="00E71C33">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0732F205" w14:textId="4C47A53C" w:rsidR="00C158E5" w:rsidRPr="00C158E5" w:rsidRDefault="00C158E5" w:rsidP="00C158E5">
            <w:pPr>
              <w:spacing w:after="0"/>
              <w:ind w:firstLine="0"/>
              <w:rPr>
                <w:b w:val="0"/>
                <w:color w:val="auto"/>
                <w:sz w:val="20"/>
                <w:lang w:eastAsia="lv-LV"/>
              </w:rPr>
            </w:pPr>
            <w:r w:rsidRPr="00C158E5">
              <w:rPr>
                <w:b w:val="0"/>
                <w:color w:val="auto"/>
                <w:sz w:val="20"/>
                <w:lang w:eastAsia="lv-LV"/>
              </w:rPr>
              <w:t>PVN darījumu atšifrēšanas sliekšņa samazināšana PVN deklarācijās no 1430</w:t>
            </w:r>
            <w:r w:rsidR="00E71C33">
              <w:rPr>
                <w:b w:val="0"/>
                <w:color w:val="auto"/>
                <w:sz w:val="20"/>
                <w:lang w:eastAsia="lv-LV"/>
              </w:rPr>
              <w:t xml:space="preserve"> </w:t>
            </w:r>
            <w:proofErr w:type="spellStart"/>
            <w:r w:rsidRPr="00C158E5">
              <w:rPr>
                <w:b w:val="0"/>
                <w:i/>
                <w:color w:val="auto"/>
                <w:sz w:val="20"/>
                <w:lang w:eastAsia="lv-LV"/>
              </w:rPr>
              <w:t>euro</w:t>
            </w:r>
            <w:proofErr w:type="spellEnd"/>
            <w:r w:rsidRPr="00C158E5">
              <w:rPr>
                <w:b w:val="0"/>
                <w:color w:val="auto"/>
                <w:sz w:val="20"/>
                <w:lang w:eastAsia="lv-LV"/>
              </w:rPr>
              <w:t xml:space="preserve"> līdz 150</w:t>
            </w:r>
            <w:r w:rsidR="00E71C33">
              <w:rPr>
                <w:b w:val="0"/>
                <w:color w:val="auto"/>
                <w:sz w:val="20"/>
                <w:lang w:eastAsia="lv-LV"/>
              </w:rPr>
              <w:t xml:space="preserve"> </w:t>
            </w:r>
            <w:proofErr w:type="spellStart"/>
            <w:r w:rsidRPr="00C158E5">
              <w:rPr>
                <w:b w:val="0"/>
                <w:i/>
                <w:color w:val="auto"/>
                <w:sz w:val="20"/>
                <w:lang w:eastAsia="lv-LV"/>
              </w:rPr>
              <w:t>euro</w:t>
            </w:r>
            <w:proofErr w:type="spellEnd"/>
          </w:p>
        </w:tc>
        <w:tc>
          <w:tcPr>
            <w:tcW w:w="6935" w:type="dxa"/>
            <w:vAlign w:val="center"/>
            <w:hideMark/>
          </w:tcPr>
          <w:p w14:paraId="487B53B3" w14:textId="795B9ED1"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PVN darījumu atšifrēšanas sliekšņa samazināšana PVN deklarācijās no 1430</w:t>
            </w:r>
            <w:r w:rsidR="00E71C33">
              <w:rPr>
                <w:color w:val="auto"/>
                <w:sz w:val="20"/>
                <w:lang w:eastAsia="lv-LV"/>
              </w:rPr>
              <w:t xml:space="preserve"> </w:t>
            </w:r>
            <w:proofErr w:type="spellStart"/>
            <w:r w:rsidRPr="00C158E5">
              <w:rPr>
                <w:i/>
                <w:color w:val="auto"/>
                <w:sz w:val="20"/>
                <w:lang w:eastAsia="lv-LV"/>
              </w:rPr>
              <w:t>euro</w:t>
            </w:r>
            <w:proofErr w:type="spellEnd"/>
            <w:r w:rsidRPr="00C158E5">
              <w:rPr>
                <w:color w:val="auto"/>
                <w:sz w:val="20"/>
                <w:lang w:eastAsia="lv-LV"/>
              </w:rPr>
              <w:t xml:space="preserve"> līdz 150</w:t>
            </w:r>
            <w:r w:rsidR="00E71C33">
              <w:rPr>
                <w:color w:val="auto"/>
                <w:sz w:val="20"/>
                <w:lang w:eastAsia="lv-LV"/>
              </w:rPr>
              <w:t xml:space="preserve"> </w:t>
            </w:r>
            <w:proofErr w:type="spellStart"/>
            <w:r w:rsidRPr="00C158E5">
              <w:rPr>
                <w:i/>
                <w:color w:val="auto"/>
                <w:sz w:val="20"/>
                <w:lang w:eastAsia="lv-LV"/>
              </w:rPr>
              <w:t>euro</w:t>
            </w:r>
            <w:proofErr w:type="spellEnd"/>
            <w:r w:rsidRPr="00C158E5">
              <w:rPr>
                <w:color w:val="auto"/>
                <w:sz w:val="20"/>
                <w:lang w:eastAsia="lv-LV"/>
              </w:rPr>
              <w:t xml:space="preserve"> ar 01.01.2018.</w:t>
            </w:r>
          </w:p>
        </w:tc>
        <w:tc>
          <w:tcPr>
            <w:tcW w:w="1276" w:type="dxa"/>
            <w:noWrap/>
            <w:vAlign w:val="center"/>
            <w:hideMark/>
          </w:tcPr>
          <w:p w14:paraId="3E46E879"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PVN</w:t>
            </w:r>
          </w:p>
        </w:tc>
        <w:tc>
          <w:tcPr>
            <w:tcW w:w="709" w:type="dxa"/>
            <w:noWrap/>
            <w:vAlign w:val="center"/>
            <w:hideMark/>
          </w:tcPr>
          <w:p w14:paraId="415139C2" w14:textId="44DAB670"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0,13</w:t>
            </w:r>
          </w:p>
        </w:tc>
        <w:tc>
          <w:tcPr>
            <w:tcW w:w="709" w:type="dxa"/>
            <w:noWrap/>
            <w:vAlign w:val="center"/>
            <w:hideMark/>
          </w:tcPr>
          <w:p w14:paraId="64218C1C" w14:textId="01F3A455"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7608F6B2" w14:textId="70B27F54"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5407F732" w14:textId="77777777" w:rsidTr="00E71C33">
        <w:trPr>
          <w:trHeight w:val="158"/>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2D4300F3"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t>PVN reversa paplašināšana būvmateriālu un sadzīves tehnikas piegādēm, un ieviešana metāla izstrādājumu piegādēm.</w:t>
            </w:r>
          </w:p>
        </w:tc>
        <w:tc>
          <w:tcPr>
            <w:tcW w:w="6935" w:type="dxa"/>
            <w:vMerge w:val="restart"/>
            <w:vAlign w:val="center"/>
            <w:hideMark/>
          </w:tcPr>
          <w:p w14:paraId="7E884324"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PVN reversa paplašināšana būvmateriālu un sadzīves tehnikas piegādēm, un ieviešana metāla izstrādājumu piegādēm ar 01.01.2018.</w:t>
            </w:r>
          </w:p>
        </w:tc>
        <w:tc>
          <w:tcPr>
            <w:tcW w:w="1276" w:type="dxa"/>
            <w:noWrap/>
            <w:vAlign w:val="center"/>
            <w:hideMark/>
          </w:tcPr>
          <w:p w14:paraId="4C84A640"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PVN</w:t>
            </w:r>
          </w:p>
        </w:tc>
        <w:tc>
          <w:tcPr>
            <w:tcW w:w="709" w:type="dxa"/>
            <w:noWrap/>
            <w:vAlign w:val="center"/>
            <w:hideMark/>
          </w:tcPr>
          <w:p w14:paraId="17EACDED" w14:textId="28F0AD0C"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0,14</w:t>
            </w:r>
          </w:p>
        </w:tc>
        <w:tc>
          <w:tcPr>
            <w:tcW w:w="709" w:type="dxa"/>
            <w:noWrap/>
            <w:vAlign w:val="center"/>
            <w:hideMark/>
          </w:tcPr>
          <w:p w14:paraId="25EACD6C" w14:textId="1F884B95"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3BD77749" w14:textId="2A32DAA5"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37AD577D" w14:textId="77777777" w:rsidTr="00E71C33">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50A32489"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1DBD80C6" w14:textId="77777777"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noWrap/>
            <w:vAlign w:val="center"/>
            <w:hideMark/>
          </w:tcPr>
          <w:p w14:paraId="0A020014"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09C9B212" w14:textId="06CE80E6"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c>
          <w:tcPr>
            <w:tcW w:w="709" w:type="dxa"/>
            <w:noWrap/>
            <w:vAlign w:val="center"/>
            <w:hideMark/>
          </w:tcPr>
          <w:p w14:paraId="19C115DD" w14:textId="2252851B"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1F70710A" w14:textId="4160C70F"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55503D9A" w14:textId="77777777" w:rsidTr="00E71C33">
        <w:trPr>
          <w:trHeight w:val="70"/>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10021B7F"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3BE59CBF"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76" w:type="dxa"/>
            <w:noWrap/>
            <w:vAlign w:val="center"/>
            <w:hideMark/>
          </w:tcPr>
          <w:p w14:paraId="72BB1B68"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SOC</w:t>
            </w:r>
          </w:p>
        </w:tc>
        <w:tc>
          <w:tcPr>
            <w:tcW w:w="709" w:type="dxa"/>
            <w:noWrap/>
            <w:vAlign w:val="center"/>
            <w:hideMark/>
          </w:tcPr>
          <w:p w14:paraId="0F1764B0" w14:textId="73B2C032"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0,05</w:t>
            </w:r>
          </w:p>
        </w:tc>
        <w:tc>
          <w:tcPr>
            <w:tcW w:w="709" w:type="dxa"/>
            <w:noWrap/>
            <w:vAlign w:val="center"/>
            <w:hideMark/>
          </w:tcPr>
          <w:p w14:paraId="0F7E69D0" w14:textId="0CEA8FCE"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7FAE1B0A" w14:textId="493F20A0"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589A4F51" w14:textId="77777777" w:rsidTr="00E71C33">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0258173D"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t>Ēnu ekonomiku mazinošie pasākumi - Administrēšanas un piedziņas uzlabošana</w:t>
            </w:r>
          </w:p>
        </w:tc>
        <w:tc>
          <w:tcPr>
            <w:tcW w:w="6935" w:type="dxa"/>
            <w:vMerge w:val="restart"/>
            <w:vAlign w:val="center"/>
            <w:hideMark/>
          </w:tcPr>
          <w:p w14:paraId="08802DEB" w14:textId="77777777"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Ēnu ekonomiku mazinošie pasākumi - Administrēšanas un piedziņas uzlabošana</w:t>
            </w:r>
          </w:p>
        </w:tc>
        <w:tc>
          <w:tcPr>
            <w:tcW w:w="1276" w:type="dxa"/>
            <w:noWrap/>
            <w:vAlign w:val="center"/>
            <w:hideMark/>
          </w:tcPr>
          <w:p w14:paraId="386E510A"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PVN</w:t>
            </w:r>
          </w:p>
        </w:tc>
        <w:tc>
          <w:tcPr>
            <w:tcW w:w="709" w:type="dxa"/>
            <w:noWrap/>
            <w:vAlign w:val="center"/>
            <w:hideMark/>
          </w:tcPr>
          <w:p w14:paraId="7B27ADBC" w14:textId="6D0FAA74"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c>
          <w:tcPr>
            <w:tcW w:w="709" w:type="dxa"/>
            <w:noWrap/>
            <w:vAlign w:val="center"/>
            <w:hideMark/>
          </w:tcPr>
          <w:p w14:paraId="3C40F04C" w14:textId="50A666FA"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224F55C6" w14:textId="5D9F74A8"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6DA6F9A2" w14:textId="77777777" w:rsidTr="00E71C33">
        <w:trPr>
          <w:trHeight w:val="70"/>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32E1ADB8"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16D236C6"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76" w:type="dxa"/>
            <w:vAlign w:val="center"/>
            <w:hideMark/>
          </w:tcPr>
          <w:p w14:paraId="198C15FC"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SOC</w:t>
            </w:r>
          </w:p>
        </w:tc>
        <w:tc>
          <w:tcPr>
            <w:tcW w:w="709" w:type="dxa"/>
            <w:noWrap/>
            <w:vAlign w:val="center"/>
            <w:hideMark/>
          </w:tcPr>
          <w:p w14:paraId="2E342609" w14:textId="354E5463"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709" w:type="dxa"/>
            <w:noWrap/>
            <w:vAlign w:val="center"/>
            <w:hideMark/>
          </w:tcPr>
          <w:p w14:paraId="21A3F7AB" w14:textId="2FCA6126"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2A613124" w14:textId="7CF752BF"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03AD6143" w14:textId="77777777" w:rsidTr="00E71C33">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39C3A799"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22017A37" w14:textId="77777777"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vAlign w:val="center"/>
            <w:hideMark/>
          </w:tcPr>
          <w:p w14:paraId="2DBA5D75"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61A0244C" w14:textId="66D1AB96"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709" w:type="dxa"/>
            <w:noWrap/>
            <w:vAlign w:val="center"/>
            <w:hideMark/>
          </w:tcPr>
          <w:p w14:paraId="579D6CCC" w14:textId="15961B3A"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4D63AB3F" w14:textId="0CA8B35F"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2FE1CB3A" w14:textId="77777777" w:rsidTr="00E71C33">
        <w:trPr>
          <w:trHeight w:val="136"/>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2D7904DC"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t>Nodokļu atbalsta pasākuma ieviešana</w:t>
            </w:r>
          </w:p>
        </w:tc>
        <w:tc>
          <w:tcPr>
            <w:tcW w:w="6935" w:type="dxa"/>
            <w:vMerge w:val="restart"/>
            <w:vAlign w:val="center"/>
            <w:hideMark/>
          </w:tcPr>
          <w:p w14:paraId="16BC2445"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Nodokļu atbalsta pasākums - bez papildus kvalificējošiem kritērijiem dos iespēju laikā līdz 3 gadiem nomaksāt parādu, rezultātā dzēšot nokavējuma naudu un soda naudu</w:t>
            </w:r>
          </w:p>
        </w:tc>
        <w:tc>
          <w:tcPr>
            <w:tcW w:w="1276" w:type="dxa"/>
            <w:noWrap/>
            <w:vAlign w:val="center"/>
            <w:hideMark/>
          </w:tcPr>
          <w:p w14:paraId="4AC83552"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PVN</w:t>
            </w:r>
          </w:p>
        </w:tc>
        <w:tc>
          <w:tcPr>
            <w:tcW w:w="709" w:type="dxa"/>
            <w:noWrap/>
            <w:vAlign w:val="center"/>
            <w:hideMark/>
          </w:tcPr>
          <w:p w14:paraId="7DB264D9" w14:textId="47949CAF"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0,04</w:t>
            </w:r>
          </w:p>
        </w:tc>
        <w:tc>
          <w:tcPr>
            <w:tcW w:w="709" w:type="dxa"/>
            <w:noWrap/>
            <w:vAlign w:val="center"/>
            <w:hideMark/>
          </w:tcPr>
          <w:p w14:paraId="3FD3E5C6" w14:textId="42C8FF8D"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3F22AA08" w14:textId="1AEEA606"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24E53490" w14:textId="77777777" w:rsidTr="00E71C33">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043E2D24"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605672FA" w14:textId="77777777"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vAlign w:val="center"/>
            <w:hideMark/>
          </w:tcPr>
          <w:p w14:paraId="6F85C3CC"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SOC</w:t>
            </w:r>
          </w:p>
        </w:tc>
        <w:tc>
          <w:tcPr>
            <w:tcW w:w="709" w:type="dxa"/>
            <w:noWrap/>
            <w:vAlign w:val="center"/>
            <w:hideMark/>
          </w:tcPr>
          <w:p w14:paraId="79B56749" w14:textId="6E9A418A"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0,05</w:t>
            </w:r>
          </w:p>
        </w:tc>
        <w:tc>
          <w:tcPr>
            <w:tcW w:w="709" w:type="dxa"/>
            <w:noWrap/>
            <w:vAlign w:val="center"/>
            <w:hideMark/>
          </w:tcPr>
          <w:p w14:paraId="3F48573A" w14:textId="3EF0DD72"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554721B6" w14:textId="7901146E"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0501C311" w14:textId="77777777" w:rsidTr="00E71C33">
        <w:trPr>
          <w:trHeight w:val="70"/>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081E2BF1"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088875CD"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76" w:type="dxa"/>
            <w:vAlign w:val="center"/>
            <w:hideMark/>
          </w:tcPr>
          <w:p w14:paraId="761BE441"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271086F4" w14:textId="0D688A23"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709" w:type="dxa"/>
            <w:noWrap/>
            <w:vAlign w:val="center"/>
            <w:hideMark/>
          </w:tcPr>
          <w:p w14:paraId="40160380" w14:textId="15CEA070"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27911C92" w14:textId="6F98C30C"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32310BC4" w14:textId="77777777" w:rsidTr="00E71C3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2FA5153B"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6B2C38CB" w14:textId="77777777" w:rsidR="00C158E5" w:rsidRPr="00C158E5" w:rsidRDefault="00C158E5" w:rsidP="00C158E5">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vAlign w:val="center"/>
            <w:hideMark/>
          </w:tcPr>
          <w:p w14:paraId="1A8BC513"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UIN</w:t>
            </w:r>
          </w:p>
        </w:tc>
        <w:tc>
          <w:tcPr>
            <w:tcW w:w="709" w:type="dxa"/>
            <w:noWrap/>
            <w:vAlign w:val="center"/>
            <w:hideMark/>
          </w:tcPr>
          <w:p w14:paraId="7F143128" w14:textId="01D792E2"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709" w:type="dxa"/>
            <w:noWrap/>
            <w:vAlign w:val="center"/>
            <w:hideMark/>
          </w:tcPr>
          <w:p w14:paraId="44AEC1C5" w14:textId="43C1E903"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7F4C6E51" w14:textId="2B904B6E"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7035804B" w14:textId="77777777" w:rsidTr="00E71C33">
        <w:trPr>
          <w:trHeight w:val="136"/>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1E9D3F3D"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lastRenderedPageBreak/>
              <w:t>UIN 0% likmes ieviešana nesadalītai peļņai</w:t>
            </w:r>
          </w:p>
        </w:tc>
        <w:tc>
          <w:tcPr>
            <w:tcW w:w="6935" w:type="dxa"/>
            <w:vAlign w:val="center"/>
            <w:hideMark/>
          </w:tcPr>
          <w:p w14:paraId="118FC341" w14:textId="77777777" w:rsidR="00C158E5" w:rsidRPr="00C158E5" w:rsidRDefault="00C158E5" w:rsidP="00C158E5">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UIN 0% likmes ieviešana nesadalītai peļņai</w:t>
            </w:r>
          </w:p>
        </w:tc>
        <w:tc>
          <w:tcPr>
            <w:tcW w:w="1276" w:type="dxa"/>
            <w:vAlign w:val="center"/>
            <w:hideMark/>
          </w:tcPr>
          <w:p w14:paraId="53426203"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UIN</w:t>
            </w:r>
          </w:p>
        </w:tc>
        <w:tc>
          <w:tcPr>
            <w:tcW w:w="709" w:type="dxa"/>
            <w:noWrap/>
            <w:vAlign w:val="center"/>
            <w:hideMark/>
          </w:tcPr>
          <w:p w14:paraId="34B6FF48" w14:textId="767428C5"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-0,84</w:t>
            </w:r>
          </w:p>
        </w:tc>
        <w:tc>
          <w:tcPr>
            <w:tcW w:w="709" w:type="dxa"/>
            <w:noWrap/>
            <w:vAlign w:val="center"/>
            <w:hideMark/>
          </w:tcPr>
          <w:p w14:paraId="6B6C4019" w14:textId="2354B06F"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32E40235" w14:textId="4EFEA126"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4347CB1C" w14:textId="77777777" w:rsidTr="00E71C33">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4F87C3AB" w14:textId="77777777" w:rsidR="00C158E5" w:rsidRPr="00C158E5" w:rsidRDefault="00C158E5" w:rsidP="00C158E5">
            <w:pPr>
              <w:spacing w:after="0"/>
              <w:ind w:firstLine="0"/>
              <w:rPr>
                <w:b w:val="0"/>
                <w:color w:val="auto"/>
                <w:sz w:val="20"/>
                <w:lang w:eastAsia="lv-LV"/>
              </w:rPr>
            </w:pPr>
            <w:r w:rsidRPr="00C158E5">
              <w:rPr>
                <w:b w:val="0"/>
                <w:color w:val="auto"/>
                <w:sz w:val="20"/>
                <w:lang w:eastAsia="lv-LV"/>
              </w:rPr>
              <w:t xml:space="preserve">Ierobežot </w:t>
            </w:r>
            <w:proofErr w:type="spellStart"/>
            <w:r w:rsidRPr="00C158E5">
              <w:rPr>
                <w:b w:val="0"/>
                <w:color w:val="auto"/>
                <w:sz w:val="20"/>
                <w:lang w:eastAsia="lv-LV"/>
              </w:rPr>
              <w:t>mikrouzņēmumu</w:t>
            </w:r>
            <w:proofErr w:type="spellEnd"/>
            <w:r w:rsidRPr="00C158E5">
              <w:rPr>
                <w:b w:val="0"/>
                <w:color w:val="auto"/>
                <w:sz w:val="20"/>
                <w:lang w:eastAsia="lv-LV"/>
              </w:rPr>
              <w:t xml:space="preserve"> darbības slieksni līdz 40 000 </w:t>
            </w:r>
            <w:proofErr w:type="spellStart"/>
            <w:r w:rsidRPr="00C158E5">
              <w:rPr>
                <w:b w:val="0"/>
                <w:i/>
                <w:color w:val="auto"/>
                <w:sz w:val="20"/>
                <w:lang w:eastAsia="lv-LV"/>
              </w:rPr>
              <w:t>euro</w:t>
            </w:r>
            <w:proofErr w:type="spellEnd"/>
            <w:r w:rsidRPr="00C158E5">
              <w:rPr>
                <w:b w:val="0"/>
                <w:color w:val="auto"/>
                <w:sz w:val="20"/>
                <w:lang w:eastAsia="lv-LV"/>
              </w:rPr>
              <w:t xml:space="preserve"> gadā</w:t>
            </w:r>
          </w:p>
        </w:tc>
        <w:tc>
          <w:tcPr>
            <w:tcW w:w="6935" w:type="dxa"/>
            <w:vMerge w:val="restart"/>
            <w:vAlign w:val="center"/>
            <w:hideMark/>
          </w:tcPr>
          <w:p w14:paraId="266A4BDE" w14:textId="7378FB3E"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 xml:space="preserve">Ierobežot </w:t>
            </w:r>
            <w:proofErr w:type="spellStart"/>
            <w:r w:rsidR="00852A4F" w:rsidRPr="00C158E5">
              <w:rPr>
                <w:color w:val="auto"/>
                <w:sz w:val="20"/>
                <w:lang w:eastAsia="lv-LV"/>
              </w:rPr>
              <w:t>mikrouzņēmumu</w:t>
            </w:r>
            <w:proofErr w:type="spellEnd"/>
            <w:r w:rsidR="00852A4F" w:rsidRPr="00C158E5">
              <w:rPr>
                <w:color w:val="auto"/>
                <w:sz w:val="20"/>
                <w:lang w:eastAsia="lv-LV"/>
              </w:rPr>
              <w:t xml:space="preserve"> </w:t>
            </w:r>
            <w:r w:rsidRPr="00C158E5">
              <w:rPr>
                <w:color w:val="auto"/>
                <w:sz w:val="20"/>
                <w:lang w:eastAsia="lv-LV"/>
              </w:rPr>
              <w:t xml:space="preserve">darbības slieksni līdz 40 000 </w:t>
            </w:r>
            <w:proofErr w:type="spellStart"/>
            <w:r w:rsidRPr="00C158E5">
              <w:rPr>
                <w:i/>
                <w:color w:val="auto"/>
                <w:sz w:val="20"/>
                <w:lang w:eastAsia="lv-LV"/>
              </w:rPr>
              <w:t>euro</w:t>
            </w:r>
            <w:proofErr w:type="spellEnd"/>
            <w:r w:rsidRPr="00C158E5">
              <w:rPr>
                <w:color w:val="auto"/>
                <w:sz w:val="20"/>
                <w:lang w:eastAsia="lv-LV"/>
              </w:rPr>
              <w:t xml:space="preserve"> gadā</w:t>
            </w:r>
          </w:p>
        </w:tc>
        <w:tc>
          <w:tcPr>
            <w:tcW w:w="1276" w:type="dxa"/>
            <w:vAlign w:val="center"/>
            <w:hideMark/>
          </w:tcPr>
          <w:p w14:paraId="56ED47D5"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SOC</w:t>
            </w:r>
          </w:p>
        </w:tc>
        <w:tc>
          <w:tcPr>
            <w:tcW w:w="709" w:type="dxa"/>
            <w:noWrap/>
            <w:vAlign w:val="center"/>
            <w:hideMark/>
          </w:tcPr>
          <w:p w14:paraId="67E99B74" w14:textId="1D05F41C"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c>
          <w:tcPr>
            <w:tcW w:w="709" w:type="dxa"/>
            <w:noWrap/>
            <w:vAlign w:val="center"/>
            <w:hideMark/>
          </w:tcPr>
          <w:p w14:paraId="07FDB29F" w14:textId="55BE65C5"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2ABA2C72" w14:textId="1FE620AE"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50AAD7B8" w14:textId="77777777" w:rsidTr="00E71C33">
        <w:trPr>
          <w:trHeight w:val="228"/>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3447C5C4"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407ACCD1"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76" w:type="dxa"/>
            <w:vAlign w:val="center"/>
            <w:hideMark/>
          </w:tcPr>
          <w:p w14:paraId="421034E2"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02C99C78" w14:textId="309DD88F"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709" w:type="dxa"/>
            <w:noWrap/>
            <w:vAlign w:val="center"/>
            <w:hideMark/>
          </w:tcPr>
          <w:p w14:paraId="0B845D52" w14:textId="1EC45023"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6FFCCF55" w14:textId="640E5398"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634594E7" w14:textId="77777777" w:rsidTr="00E71C3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45229578" w14:textId="77777777" w:rsidR="00C158E5" w:rsidRPr="00C158E5" w:rsidRDefault="00C158E5" w:rsidP="00C158E5">
            <w:pPr>
              <w:spacing w:after="0"/>
              <w:ind w:firstLine="0"/>
              <w:rPr>
                <w:b w:val="0"/>
                <w:color w:val="auto"/>
                <w:sz w:val="20"/>
                <w:lang w:eastAsia="lv-LV"/>
              </w:rPr>
            </w:pPr>
          </w:p>
        </w:tc>
        <w:tc>
          <w:tcPr>
            <w:tcW w:w="6935" w:type="dxa"/>
            <w:vMerge/>
            <w:vAlign w:val="center"/>
            <w:hideMark/>
          </w:tcPr>
          <w:p w14:paraId="5ACCFE73"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vAlign w:val="center"/>
            <w:hideMark/>
          </w:tcPr>
          <w:p w14:paraId="054A6429"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UIN</w:t>
            </w:r>
          </w:p>
        </w:tc>
        <w:tc>
          <w:tcPr>
            <w:tcW w:w="709" w:type="dxa"/>
            <w:noWrap/>
            <w:vAlign w:val="center"/>
            <w:hideMark/>
          </w:tcPr>
          <w:p w14:paraId="11F13F55" w14:textId="0ABF7487"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9" w:type="dxa"/>
            <w:noWrap/>
            <w:vAlign w:val="center"/>
            <w:hideMark/>
          </w:tcPr>
          <w:p w14:paraId="6F174976" w14:textId="36DD64FC"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6B6A2CCD" w14:textId="44A4BC5E"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43496A18" w14:textId="77777777" w:rsidTr="00E71C33">
        <w:trPr>
          <w:trHeight w:val="306"/>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7F6E596D"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VSAOI likmes palielināšana par 1%punktu veselības finansēšanai</w:t>
            </w:r>
          </w:p>
        </w:tc>
        <w:tc>
          <w:tcPr>
            <w:tcW w:w="6935" w:type="dxa"/>
            <w:vAlign w:val="center"/>
            <w:hideMark/>
          </w:tcPr>
          <w:p w14:paraId="47699FEF"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Gan VSAOI, gan solidaritātes nodokļa maksātāji</w:t>
            </w:r>
          </w:p>
        </w:tc>
        <w:tc>
          <w:tcPr>
            <w:tcW w:w="1276" w:type="dxa"/>
            <w:vAlign w:val="center"/>
            <w:hideMark/>
          </w:tcPr>
          <w:p w14:paraId="3A297F0C"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SOC veselības finansēšanai</w:t>
            </w:r>
          </w:p>
        </w:tc>
        <w:tc>
          <w:tcPr>
            <w:tcW w:w="709" w:type="dxa"/>
            <w:noWrap/>
            <w:vAlign w:val="center"/>
            <w:hideMark/>
          </w:tcPr>
          <w:p w14:paraId="64FBC66D" w14:textId="71865943"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0,30</w:t>
            </w:r>
          </w:p>
        </w:tc>
        <w:tc>
          <w:tcPr>
            <w:tcW w:w="709" w:type="dxa"/>
            <w:noWrap/>
            <w:vAlign w:val="center"/>
            <w:hideMark/>
          </w:tcPr>
          <w:p w14:paraId="29F81FFC" w14:textId="62B2D93A"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2EEFDEF7" w14:textId="4DB7CB1D"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00F3EDFE" w14:textId="77777777" w:rsidTr="00E71C3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7277F5AE" w14:textId="31B98ADE" w:rsidR="00C158E5" w:rsidRPr="00C158E5" w:rsidRDefault="00C158E5" w:rsidP="00592916">
            <w:pPr>
              <w:spacing w:after="0"/>
              <w:ind w:firstLine="0"/>
              <w:rPr>
                <w:b w:val="0"/>
                <w:color w:val="auto"/>
                <w:sz w:val="20"/>
                <w:lang w:eastAsia="lv-LV"/>
              </w:rPr>
            </w:pPr>
            <w:r w:rsidRPr="00C158E5">
              <w:rPr>
                <w:b w:val="0"/>
                <w:color w:val="auto"/>
                <w:sz w:val="20"/>
                <w:lang w:eastAsia="lv-LV"/>
              </w:rPr>
              <w:t>Minimālais veselības maksājum</w:t>
            </w:r>
            <w:r w:rsidRPr="00574820">
              <w:rPr>
                <w:b w:val="0"/>
                <w:color w:val="auto"/>
                <w:sz w:val="20"/>
                <w:lang w:eastAsia="lv-LV"/>
              </w:rPr>
              <w:t>s</w:t>
            </w:r>
            <w:r w:rsidR="0066140F" w:rsidRPr="00574820">
              <w:rPr>
                <w:rStyle w:val="FootnoteReference"/>
                <w:rFonts w:ascii="Times New Roman" w:hAnsi="Times New Roman"/>
                <w:b w:val="0"/>
                <w:color w:val="auto"/>
                <w:lang w:eastAsia="lv-LV"/>
              </w:rPr>
              <w:footnoteReference w:id="2"/>
            </w:r>
          </w:p>
        </w:tc>
        <w:tc>
          <w:tcPr>
            <w:tcW w:w="6935" w:type="dxa"/>
            <w:vAlign w:val="center"/>
            <w:hideMark/>
          </w:tcPr>
          <w:p w14:paraId="7F1901AD"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Maksā nodokļu maksātāji ar minimālu samaksāto nodokli, sadalījums pa budžetiem tiks precizēts atsevišķa likumprojekta izstrādes laikā, paredzēts veselības nozares finansēšanai</w:t>
            </w:r>
          </w:p>
        </w:tc>
        <w:tc>
          <w:tcPr>
            <w:tcW w:w="1276" w:type="dxa"/>
            <w:vAlign w:val="center"/>
            <w:hideMark/>
          </w:tcPr>
          <w:p w14:paraId="7D625895"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SOC veselības finansēšanai</w:t>
            </w:r>
          </w:p>
        </w:tc>
        <w:tc>
          <w:tcPr>
            <w:tcW w:w="709" w:type="dxa"/>
            <w:noWrap/>
            <w:vAlign w:val="center"/>
            <w:hideMark/>
          </w:tcPr>
          <w:p w14:paraId="40ED4D61" w14:textId="2056B1AF"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9" w:type="dxa"/>
            <w:noWrap/>
            <w:vAlign w:val="center"/>
            <w:hideMark/>
          </w:tcPr>
          <w:p w14:paraId="6ABE68D0" w14:textId="1CEC71DD"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0,10</w:t>
            </w:r>
          </w:p>
        </w:tc>
        <w:tc>
          <w:tcPr>
            <w:tcW w:w="708" w:type="dxa"/>
            <w:noWrap/>
            <w:vAlign w:val="center"/>
            <w:hideMark/>
          </w:tcPr>
          <w:p w14:paraId="25C7E6F4" w14:textId="78D26C8C"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0,13</w:t>
            </w:r>
          </w:p>
        </w:tc>
      </w:tr>
      <w:tr w:rsidR="00C158E5" w:rsidRPr="00C158E5" w14:paraId="4C234B59" w14:textId="77777777" w:rsidTr="00E71C33">
        <w:trPr>
          <w:trHeight w:val="137"/>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28FDEA76"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Solidaritātes nodokļa reforma</w:t>
            </w:r>
          </w:p>
        </w:tc>
        <w:tc>
          <w:tcPr>
            <w:tcW w:w="6935" w:type="dxa"/>
            <w:vMerge w:val="restart"/>
            <w:vAlign w:val="center"/>
            <w:hideMark/>
          </w:tcPr>
          <w:p w14:paraId="30188BC2"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Solidaritātes nodokļa valsts pamatbudžetā pēc vecās kārtības atcelšana un 13,59% solidaritātes maksājuma ieskaitīšana speciālajā budžetā.</w:t>
            </w:r>
          </w:p>
        </w:tc>
        <w:tc>
          <w:tcPr>
            <w:tcW w:w="1276" w:type="dxa"/>
            <w:vAlign w:val="center"/>
            <w:hideMark/>
          </w:tcPr>
          <w:p w14:paraId="38B65D1E"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SOC</w:t>
            </w:r>
          </w:p>
        </w:tc>
        <w:tc>
          <w:tcPr>
            <w:tcW w:w="709" w:type="dxa"/>
            <w:noWrap/>
            <w:vAlign w:val="center"/>
            <w:hideMark/>
          </w:tcPr>
          <w:p w14:paraId="471F1C9B" w14:textId="522F6098"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0,07</w:t>
            </w:r>
          </w:p>
        </w:tc>
        <w:tc>
          <w:tcPr>
            <w:tcW w:w="709" w:type="dxa"/>
            <w:noWrap/>
            <w:vAlign w:val="center"/>
            <w:hideMark/>
          </w:tcPr>
          <w:p w14:paraId="0F993A3B" w14:textId="7757DDF1"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045BADB2" w14:textId="3ECE7286"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1075FFEE" w14:textId="77777777" w:rsidTr="00E71C3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010E6C54" w14:textId="77777777" w:rsidR="00C158E5" w:rsidRPr="00C158E5" w:rsidRDefault="00C158E5" w:rsidP="00592916">
            <w:pPr>
              <w:spacing w:after="0"/>
              <w:ind w:firstLine="0"/>
              <w:rPr>
                <w:b w:val="0"/>
                <w:color w:val="auto"/>
                <w:sz w:val="20"/>
                <w:lang w:eastAsia="lv-LV"/>
              </w:rPr>
            </w:pPr>
          </w:p>
        </w:tc>
        <w:tc>
          <w:tcPr>
            <w:tcW w:w="6935" w:type="dxa"/>
            <w:vMerge/>
            <w:vAlign w:val="center"/>
            <w:hideMark/>
          </w:tcPr>
          <w:p w14:paraId="215E8193"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vAlign w:val="center"/>
            <w:hideMark/>
          </w:tcPr>
          <w:p w14:paraId="419D9A94" w14:textId="6E622EC1"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Solidaritātes nodok</w:t>
            </w:r>
            <w:r w:rsidR="00247BB4">
              <w:rPr>
                <w:color w:val="auto"/>
                <w:sz w:val="20"/>
                <w:lang w:eastAsia="lv-LV"/>
              </w:rPr>
              <w:t>l</w:t>
            </w:r>
            <w:r w:rsidRPr="00C158E5">
              <w:rPr>
                <w:color w:val="auto"/>
                <w:sz w:val="20"/>
                <w:lang w:eastAsia="lv-LV"/>
              </w:rPr>
              <w:t>is</w:t>
            </w:r>
          </w:p>
        </w:tc>
        <w:tc>
          <w:tcPr>
            <w:tcW w:w="709" w:type="dxa"/>
            <w:noWrap/>
            <w:vAlign w:val="center"/>
            <w:hideMark/>
          </w:tcPr>
          <w:p w14:paraId="563FEB41" w14:textId="4BB41C46"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-0,18</w:t>
            </w:r>
          </w:p>
        </w:tc>
        <w:tc>
          <w:tcPr>
            <w:tcW w:w="709" w:type="dxa"/>
            <w:noWrap/>
            <w:vAlign w:val="center"/>
            <w:hideMark/>
          </w:tcPr>
          <w:p w14:paraId="6D3109B5" w14:textId="66645167"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0D4E5094" w14:textId="69D1042E"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1E0F7E6C" w14:textId="77777777" w:rsidTr="00E71C33">
        <w:trPr>
          <w:trHeight w:val="133"/>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19E80FDA"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VSAOI piemērošana autoratlīdzībām</w:t>
            </w:r>
          </w:p>
        </w:tc>
        <w:tc>
          <w:tcPr>
            <w:tcW w:w="6935" w:type="dxa"/>
            <w:vAlign w:val="center"/>
            <w:hideMark/>
          </w:tcPr>
          <w:p w14:paraId="76B4CF1F"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VSAOI piemērošana autoratlīdzībām</w:t>
            </w:r>
          </w:p>
        </w:tc>
        <w:tc>
          <w:tcPr>
            <w:tcW w:w="1276" w:type="dxa"/>
            <w:vAlign w:val="center"/>
            <w:hideMark/>
          </w:tcPr>
          <w:p w14:paraId="117AC98E"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SOC</w:t>
            </w:r>
          </w:p>
        </w:tc>
        <w:tc>
          <w:tcPr>
            <w:tcW w:w="709" w:type="dxa"/>
            <w:noWrap/>
            <w:vAlign w:val="center"/>
            <w:hideMark/>
          </w:tcPr>
          <w:p w14:paraId="2E9318A4" w14:textId="5ACEBF7A"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709" w:type="dxa"/>
            <w:noWrap/>
            <w:vAlign w:val="center"/>
            <w:hideMark/>
          </w:tcPr>
          <w:p w14:paraId="5C250D10" w14:textId="66024511"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14731594" w14:textId="5E52C674"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33478B91" w14:textId="77777777" w:rsidTr="00E71C3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5371BCCA"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Ēnu ekonomiku mazinošu pasākumu ieviešana būvniecības nozarē</w:t>
            </w:r>
          </w:p>
        </w:tc>
        <w:tc>
          <w:tcPr>
            <w:tcW w:w="6935" w:type="dxa"/>
            <w:vMerge w:val="restart"/>
            <w:vAlign w:val="center"/>
            <w:hideMark/>
          </w:tcPr>
          <w:p w14:paraId="4D647D21"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Ēnu ekonomiku mazinošu pasākumu ieviešana būvniecības nozarē</w:t>
            </w:r>
          </w:p>
        </w:tc>
        <w:tc>
          <w:tcPr>
            <w:tcW w:w="1276" w:type="dxa"/>
            <w:vAlign w:val="center"/>
            <w:hideMark/>
          </w:tcPr>
          <w:p w14:paraId="23213C79"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SOC</w:t>
            </w:r>
          </w:p>
        </w:tc>
        <w:tc>
          <w:tcPr>
            <w:tcW w:w="709" w:type="dxa"/>
            <w:noWrap/>
            <w:vAlign w:val="center"/>
            <w:hideMark/>
          </w:tcPr>
          <w:p w14:paraId="4D19AD7F" w14:textId="72B8F4EF"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c>
          <w:tcPr>
            <w:tcW w:w="709" w:type="dxa"/>
            <w:noWrap/>
            <w:vAlign w:val="center"/>
            <w:hideMark/>
          </w:tcPr>
          <w:p w14:paraId="6D21BC2C" w14:textId="7CE86757"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423CD86C" w14:textId="6ED07347"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40B53246" w14:textId="77777777" w:rsidTr="00E71C33">
        <w:trPr>
          <w:trHeight w:val="225"/>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5AC1F578" w14:textId="77777777" w:rsidR="00C158E5" w:rsidRPr="00C158E5" w:rsidRDefault="00C158E5" w:rsidP="00592916">
            <w:pPr>
              <w:spacing w:after="0"/>
              <w:ind w:firstLine="0"/>
              <w:rPr>
                <w:b w:val="0"/>
                <w:color w:val="auto"/>
                <w:sz w:val="20"/>
                <w:lang w:eastAsia="lv-LV"/>
              </w:rPr>
            </w:pPr>
          </w:p>
        </w:tc>
        <w:tc>
          <w:tcPr>
            <w:tcW w:w="6935" w:type="dxa"/>
            <w:vMerge/>
            <w:vAlign w:val="center"/>
            <w:hideMark/>
          </w:tcPr>
          <w:p w14:paraId="5DF2D47C"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76" w:type="dxa"/>
            <w:vAlign w:val="center"/>
            <w:hideMark/>
          </w:tcPr>
          <w:p w14:paraId="47CE755C"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56791BDE" w14:textId="4AC296FB"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0,02</w:t>
            </w:r>
          </w:p>
        </w:tc>
        <w:tc>
          <w:tcPr>
            <w:tcW w:w="709" w:type="dxa"/>
            <w:noWrap/>
            <w:vAlign w:val="center"/>
            <w:hideMark/>
          </w:tcPr>
          <w:p w14:paraId="7F2EFE7E" w14:textId="6432AE01"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48E628BA" w14:textId="54F08097"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57A3ADCD" w14:textId="77777777" w:rsidTr="00E71C33">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025684F2"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Izmaiņas diferencētajā neapliekamajā minimumā</w:t>
            </w:r>
          </w:p>
        </w:tc>
        <w:tc>
          <w:tcPr>
            <w:tcW w:w="6935" w:type="dxa"/>
            <w:vAlign w:val="center"/>
            <w:hideMark/>
          </w:tcPr>
          <w:p w14:paraId="4C36DF67"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Izmaiņas diferencētajā neapliekamajā minimumā</w:t>
            </w:r>
          </w:p>
        </w:tc>
        <w:tc>
          <w:tcPr>
            <w:tcW w:w="1276" w:type="dxa"/>
            <w:vAlign w:val="center"/>
            <w:hideMark/>
          </w:tcPr>
          <w:p w14:paraId="702541B1"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60561AE2" w14:textId="119DECD8"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-0,14</w:t>
            </w:r>
          </w:p>
        </w:tc>
        <w:tc>
          <w:tcPr>
            <w:tcW w:w="709" w:type="dxa"/>
            <w:noWrap/>
            <w:vAlign w:val="center"/>
            <w:hideMark/>
          </w:tcPr>
          <w:p w14:paraId="62524C68" w14:textId="162AD864"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-0,09</w:t>
            </w:r>
          </w:p>
        </w:tc>
        <w:tc>
          <w:tcPr>
            <w:tcW w:w="708" w:type="dxa"/>
            <w:noWrap/>
            <w:vAlign w:val="center"/>
            <w:hideMark/>
          </w:tcPr>
          <w:p w14:paraId="0A4A18BC" w14:textId="0E9F8A48"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-0,06</w:t>
            </w:r>
          </w:p>
        </w:tc>
      </w:tr>
      <w:tr w:rsidR="00C158E5" w:rsidRPr="00C158E5" w14:paraId="5332520A" w14:textId="77777777" w:rsidTr="00E71C33">
        <w:trPr>
          <w:trHeight w:val="317"/>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3D4F7295"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 xml:space="preserve">Paaugstināt atvieglojumu par apgādībā esošu personu uz 250 </w:t>
            </w:r>
            <w:proofErr w:type="spellStart"/>
            <w:r w:rsidRPr="00C158E5">
              <w:rPr>
                <w:b w:val="0"/>
                <w:i/>
                <w:color w:val="auto"/>
                <w:sz w:val="20"/>
                <w:lang w:eastAsia="lv-LV"/>
              </w:rPr>
              <w:t>euro</w:t>
            </w:r>
            <w:proofErr w:type="spellEnd"/>
          </w:p>
        </w:tc>
        <w:tc>
          <w:tcPr>
            <w:tcW w:w="6935" w:type="dxa"/>
            <w:vAlign w:val="center"/>
            <w:hideMark/>
          </w:tcPr>
          <w:p w14:paraId="2BEB8131"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Paa</w:t>
            </w:r>
            <w:bookmarkStart w:id="28" w:name="_GoBack"/>
            <w:bookmarkEnd w:id="28"/>
            <w:r w:rsidRPr="00C158E5">
              <w:rPr>
                <w:color w:val="auto"/>
                <w:sz w:val="20"/>
                <w:lang w:eastAsia="lv-LV"/>
              </w:rPr>
              <w:t xml:space="preserve">ugstināt atvieglojumu par apgādībā esošu personu uz 250 </w:t>
            </w:r>
            <w:proofErr w:type="spellStart"/>
            <w:r w:rsidRPr="00C158E5">
              <w:rPr>
                <w:i/>
                <w:color w:val="auto"/>
                <w:sz w:val="20"/>
                <w:lang w:eastAsia="lv-LV"/>
              </w:rPr>
              <w:t>euro</w:t>
            </w:r>
            <w:proofErr w:type="spellEnd"/>
          </w:p>
        </w:tc>
        <w:tc>
          <w:tcPr>
            <w:tcW w:w="1276" w:type="dxa"/>
            <w:vAlign w:val="center"/>
            <w:hideMark/>
          </w:tcPr>
          <w:p w14:paraId="04C7FE16"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076B37D6" w14:textId="2BE36D34"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-0,05</w:t>
            </w:r>
          </w:p>
        </w:tc>
        <w:tc>
          <w:tcPr>
            <w:tcW w:w="709" w:type="dxa"/>
            <w:noWrap/>
            <w:vAlign w:val="center"/>
            <w:hideMark/>
          </w:tcPr>
          <w:p w14:paraId="3749B5CE" w14:textId="6146F226"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-0,06</w:t>
            </w:r>
          </w:p>
        </w:tc>
        <w:tc>
          <w:tcPr>
            <w:tcW w:w="708" w:type="dxa"/>
            <w:noWrap/>
            <w:vAlign w:val="center"/>
            <w:hideMark/>
          </w:tcPr>
          <w:p w14:paraId="21D067FE" w14:textId="30114813"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-0,04</w:t>
            </w:r>
          </w:p>
        </w:tc>
      </w:tr>
      <w:tr w:rsidR="00C158E5" w:rsidRPr="00C158E5" w14:paraId="635269F0" w14:textId="77777777" w:rsidTr="00E71C3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4C823082"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Progresīvās IIN likmes ieviešana</w:t>
            </w:r>
          </w:p>
        </w:tc>
        <w:tc>
          <w:tcPr>
            <w:tcW w:w="6935" w:type="dxa"/>
            <w:vAlign w:val="center"/>
            <w:hideMark/>
          </w:tcPr>
          <w:p w14:paraId="398BD420"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Progresīvās IIN likmes ieviešana</w:t>
            </w:r>
          </w:p>
        </w:tc>
        <w:tc>
          <w:tcPr>
            <w:tcW w:w="1276" w:type="dxa"/>
            <w:vAlign w:val="center"/>
            <w:hideMark/>
          </w:tcPr>
          <w:p w14:paraId="4455B4DA"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2707F83F" w14:textId="1C2BDE5F"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-0,48</w:t>
            </w:r>
          </w:p>
        </w:tc>
        <w:tc>
          <w:tcPr>
            <w:tcW w:w="709" w:type="dxa"/>
            <w:noWrap/>
            <w:vAlign w:val="center"/>
            <w:hideMark/>
          </w:tcPr>
          <w:p w14:paraId="77CB55AF" w14:textId="367FBEF4"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4EA321BF" w14:textId="21254099"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49C8B604" w14:textId="77777777" w:rsidTr="00E71C33">
        <w:trPr>
          <w:trHeight w:val="70"/>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6BB6F5F3"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Atvieglojuma par apgādībā esošu personu ieviešana par nestrādājošu laulāto</w:t>
            </w:r>
          </w:p>
        </w:tc>
        <w:tc>
          <w:tcPr>
            <w:tcW w:w="6935" w:type="dxa"/>
            <w:vAlign w:val="center"/>
            <w:hideMark/>
          </w:tcPr>
          <w:p w14:paraId="65065C58"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Atvieglojuma par apgādībā esošu personu ieviešana par nestrādājošu laulāto</w:t>
            </w:r>
          </w:p>
        </w:tc>
        <w:tc>
          <w:tcPr>
            <w:tcW w:w="1276" w:type="dxa"/>
            <w:vAlign w:val="center"/>
            <w:hideMark/>
          </w:tcPr>
          <w:p w14:paraId="4011798E"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79711167" w14:textId="47825098"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709" w:type="dxa"/>
            <w:noWrap/>
            <w:vAlign w:val="center"/>
            <w:hideMark/>
          </w:tcPr>
          <w:p w14:paraId="01B58DF0" w14:textId="31D21054"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708" w:type="dxa"/>
            <w:noWrap/>
            <w:vAlign w:val="center"/>
            <w:hideMark/>
          </w:tcPr>
          <w:p w14:paraId="2D12EADC" w14:textId="7C5BA35C"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1E1F481D" w14:textId="77777777" w:rsidTr="00E71C33">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33FB9BDC"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Pensionāru neapliekamā minimuma palielināšana  (IIN likme 20%/23%)</w:t>
            </w:r>
          </w:p>
        </w:tc>
        <w:tc>
          <w:tcPr>
            <w:tcW w:w="6935" w:type="dxa"/>
            <w:vAlign w:val="center"/>
            <w:hideMark/>
          </w:tcPr>
          <w:p w14:paraId="569709AF"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Pensionāru neapliekamā minimuma palielināšana  (IIN likme 20%/23%)</w:t>
            </w:r>
          </w:p>
        </w:tc>
        <w:tc>
          <w:tcPr>
            <w:tcW w:w="1276" w:type="dxa"/>
            <w:vAlign w:val="center"/>
            <w:hideMark/>
          </w:tcPr>
          <w:p w14:paraId="7B5B5257"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7972D6A7" w14:textId="62E79F98"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-0,08</w:t>
            </w:r>
          </w:p>
        </w:tc>
        <w:tc>
          <w:tcPr>
            <w:tcW w:w="709" w:type="dxa"/>
            <w:noWrap/>
            <w:vAlign w:val="center"/>
            <w:hideMark/>
          </w:tcPr>
          <w:p w14:paraId="45A1B908" w14:textId="518DE33A"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c>
          <w:tcPr>
            <w:tcW w:w="708" w:type="dxa"/>
            <w:noWrap/>
            <w:vAlign w:val="center"/>
            <w:hideMark/>
          </w:tcPr>
          <w:p w14:paraId="68444531" w14:textId="7C6044E4"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-0,04</w:t>
            </w:r>
          </w:p>
        </w:tc>
      </w:tr>
      <w:tr w:rsidR="00C158E5" w:rsidRPr="00C158E5" w14:paraId="78D5E072" w14:textId="77777777" w:rsidTr="00E71C33">
        <w:trPr>
          <w:trHeight w:val="86"/>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311E35CF"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 xml:space="preserve">Minimālās darba algas palielināšana no 380 līdz 430 </w:t>
            </w:r>
            <w:proofErr w:type="spellStart"/>
            <w:r w:rsidRPr="00C158E5">
              <w:rPr>
                <w:b w:val="0"/>
                <w:i/>
                <w:color w:val="auto"/>
                <w:sz w:val="20"/>
                <w:lang w:eastAsia="lv-LV"/>
              </w:rPr>
              <w:t>euro</w:t>
            </w:r>
            <w:proofErr w:type="spellEnd"/>
            <w:r w:rsidRPr="00C158E5">
              <w:rPr>
                <w:b w:val="0"/>
                <w:color w:val="auto"/>
                <w:sz w:val="20"/>
                <w:lang w:eastAsia="lv-LV"/>
              </w:rPr>
              <w:t xml:space="preserve"> mēnesī</w:t>
            </w:r>
          </w:p>
        </w:tc>
        <w:tc>
          <w:tcPr>
            <w:tcW w:w="6935" w:type="dxa"/>
            <w:vMerge w:val="restart"/>
            <w:vAlign w:val="center"/>
            <w:hideMark/>
          </w:tcPr>
          <w:p w14:paraId="6F0325A8"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 xml:space="preserve">Minimālās darba algas palielināšana no 380 līdz 430 </w:t>
            </w:r>
            <w:proofErr w:type="spellStart"/>
            <w:r w:rsidRPr="00C158E5">
              <w:rPr>
                <w:i/>
                <w:color w:val="auto"/>
                <w:sz w:val="20"/>
                <w:lang w:eastAsia="lv-LV"/>
              </w:rPr>
              <w:t>euro</w:t>
            </w:r>
            <w:proofErr w:type="spellEnd"/>
            <w:r w:rsidRPr="00C158E5">
              <w:rPr>
                <w:color w:val="auto"/>
                <w:sz w:val="20"/>
                <w:lang w:eastAsia="lv-LV"/>
              </w:rPr>
              <w:t xml:space="preserve"> mēnesī</w:t>
            </w:r>
          </w:p>
        </w:tc>
        <w:tc>
          <w:tcPr>
            <w:tcW w:w="1276" w:type="dxa"/>
            <w:vAlign w:val="center"/>
            <w:hideMark/>
          </w:tcPr>
          <w:p w14:paraId="66C8879A"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SOC</w:t>
            </w:r>
          </w:p>
        </w:tc>
        <w:tc>
          <w:tcPr>
            <w:tcW w:w="709" w:type="dxa"/>
            <w:noWrap/>
            <w:vAlign w:val="center"/>
            <w:hideMark/>
          </w:tcPr>
          <w:p w14:paraId="36071C9A" w14:textId="158810BE"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0,07</w:t>
            </w:r>
          </w:p>
        </w:tc>
        <w:tc>
          <w:tcPr>
            <w:tcW w:w="709" w:type="dxa"/>
            <w:noWrap/>
            <w:vAlign w:val="center"/>
            <w:hideMark/>
          </w:tcPr>
          <w:p w14:paraId="49E10AE0" w14:textId="5B5B6AD2"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596AFF6D" w14:textId="1A4C0711"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04449420" w14:textId="77777777" w:rsidTr="00E71C3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40106C2D" w14:textId="77777777" w:rsidR="00C158E5" w:rsidRPr="00C158E5" w:rsidRDefault="00C158E5" w:rsidP="00592916">
            <w:pPr>
              <w:spacing w:after="0"/>
              <w:ind w:firstLine="0"/>
              <w:rPr>
                <w:b w:val="0"/>
                <w:color w:val="auto"/>
                <w:sz w:val="20"/>
                <w:lang w:eastAsia="lv-LV"/>
              </w:rPr>
            </w:pPr>
          </w:p>
        </w:tc>
        <w:tc>
          <w:tcPr>
            <w:tcW w:w="6935" w:type="dxa"/>
            <w:vMerge/>
            <w:vAlign w:val="center"/>
            <w:hideMark/>
          </w:tcPr>
          <w:p w14:paraId="5112D071"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1276" w:type="dxa"/>
            <w:vAlign w:val="center"/>
            <w:hideMark/>
          </w:tcPr>
          <w:p w14:paraId="59D34D93"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1A53E808" w14:textId="0366B0E2"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0,03</w:t>
            </w:r>
          </w:p>
        </w:tc>
        <w:tc>
          <w:tcPr>
            <w:tcW w:w="709" w:type="dxa"/>
            <w:noWrap/>
            <w:vAlign w:val="center"/>
            <w:hideMark/>
          </w:tcPr>
          <w:p w14:paraId="1FF93667" w14:textId="52097FE0"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36A8C970" w14:textId="4C50228A"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5834F199" w14:textId="77777777" w:rsidTr="00E71C33">
        <w:trPr>
          <w:trHeight w:val="164"/>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55F33936"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IIN likmes izmaiņas kapitālam (procenti un ienākums no kapitāla pieauguma)</w:t>
            </w:r>
          </w:p>
        </w:tc>
        <w:tc>
          <w:tcPr>
            <w:tcW w:w="6935" w:type="dxa"/>
            <w:vAlign w:val="center"/>
            <w:hideMark/>
          </w:tcPr>
          <w:p w14:paraId="6EE69F30"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 likmes izmaiņas kapitālam (procenti un ienākums no kapitāla pieauguma)</w:t>
            </w:r>
          </w:p>
        </w:tc>
        <w:tc>
          <w:tcPr>
            <w:tcW w:w="1276" w:type="dxa"/>
            <w:vAlign w:val="center"/>
            <w:hideMark/>
          </w:tcPr>
          <w:p w14:paraId="2075D4B9"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636E806A" w14:textId="116FABBC"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0,04</w:t>
            </w:r>
          </w:p>
        </w:tc>
        <w:tc>
          <w:tcPr>
            <w:tcW w:w="709" w:type="dxa"/>
            <w:noWrap/>
            <w:vAlign w:val="center"/>
            <w:hideMark/>
          </w:tcPr>
          <w:p w14:paraId="21416017" w14:textId="69DA384E"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64101650" w14:textId="56515825"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1770D128" w14:textId="77777777" w:rsidTr="00E71C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02256210"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 xml:space="preserve">Patentmaksas režīma izmaiņas, nosakot vienotu  patentmaksas apmēru 50 </w:t>
            </w:r>
            <w:proofErr w:type="spellStart"/>
            <w:r w:rsidRPr="00C158E5">
              <w:rPr>
                <w:b w:val="0"/>
                <w:i/>
                <w:color w:val="auto"/>
                <w:sz w:val="20"/>
                <w:lang w:eastAsia="lv-LV"/>
              </w:rPr>
              <w:t>euro</w:t>
            </w:r>
            <w:proofErr w:type="spellEnd"/>
            <w:r w:rsidRPr="00C158E5">
              <w:rPr>
                <w:b w:val="0"/>
                <w:color w:val="auto"/>
                <w:sz w:val="20"/>
                <w:lang w:eastAsia="lv-LV"/>
              </w:rPr>
              <w:t xml:space="preserve">  un 100 </w:t>
            </w:r>
            <w:proofErr w:type="spellStart"/>
            <w:r w:rsidRPr="00C158E5">
              <w:rPr>
                <w:b w:val="0"/>
                <w:i/>
                <w:color w:val="auto"/>
                <w:sz w:val="20"/>
                <w:lang w:eastAsia="lv-LV"/>
              </w:rPr>
              <w:t>euro</w:t>
            </w:r>
            <w:proofErr w:type="spellEnd"/>
          </w:p>
        </w:tc>
        <w:tc>
          <w:tcPr>
            <w:tcW w:w="6935" w:type="dxa"/>
            <w:vMerge w:val="restart"/>
            <w:vAlign w:val="center"/>
            <w:hideMark/>
          </w:tcPr>
          <w:p w14:paraId="6F2FAD5E"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 xml:space="preserve">Patentmaksas režīms, nosakot vienotu  patentmaksas apmēru 50 </w:t>
            </w:r>
            <w:proofErr w:type="spellStart"/>
            <w:r w:rsidRPr="00C158E5">
              <w:rPr>
                <w:i/>
                <w:color w:val="auto"/>
                <w:sz w:val="20"/>
                <w:lang w:eastAsia="lv-LV"/>
              </w:rPr>
              <w:t>euro</w:t>
            </w:r>
            <w:proofErr w:type="spellEnd"/>
            <w:r w:rsidRPr="00C158E5">
              <w:rPr>
                <w:color w:val="auto"/>
                <w:sz w:val="20"/>
                <w:lang w:eastAsia="lv-LV"/>
              </w:rPr>
              <w:t xml:space="preserve">  un 100 </w:t>
            </w:r>
            <w:proofErr w:type="spellStart"/>
            <w:r w:rsidRPr="00C158E5">
              <w:rPr>
                <w:i/>
                <w:color w:val="auto"/>
                <w:sz w:val="20"/>
                <w:lang w:eastAsia="lv-LV"/>
              </w:rPr>
              <w:t>euro</w:t>
            </w:r>
            <w:proofErr w:type="spellEnd"/>
            <w:r w:rsidRPr="00C158E5">
              <w:rPr>
                <w:color w:val="auto"/>
                <w:sz w:val="20"/>
                <w:lang w:eastAsia="lv-LV"/>
              </w:rPr>
              <w:t>, atsakoties no pārāk detalizēta saimnieciskās darbības veidu sadalījuma, kā arī vienkāršojot to samaksu. Piemērot samazinātās patentmaksas režīmu arī personām ar I un II grupas invaliditāti</w:t>
            </w:r>
          </w:p>
        </w:tc>
        <w:tc>
          <w:tcPr>
            <w:tcW w:w="1276" w:type="dxa"/>
            <w:vAlign w:val="center"/>
            <w:hideMark/>
          </w:tcPr>
          <w:p w14:paraId="131AD9C7"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SOC</w:t>
            </w:r>
          </w:p>
        </w:tc>
        <w:tc>
          <w:tcPr>
            <w:tcW w:w="709" w:type="dxa"/>
            <w:noWrap/>
            <w:vAlign w:val="center"/>
            <w:hideMark/>
          </w:tcPr>
          <w:p w14:paraId="08215D9F" w14:textId="4645ECCC"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9" w:type="dxa"/>
            <w:noWrap/>
            <w:vAlign w:val="center"/>
            <w:hideMark/>
          </w:tcPr>
          <w:p w14:paraId="03114454" w14:textId="11AFD8C2"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4876FA65" w14:textId="45F266C3"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7EF42A49" w14:textId="77777777" w:rsidTr="00E71C33">
        <w:trPr>
          <w:trHeight w:val="301"/>
        </w:trPr>
        <w:tc>
          <w:tcPr>
            <w:cnfStyle w:val="001000000000" w:firstRow="0" w:lastRow="0" w:firstColumn="1" w:lastColumn="0" w:oddVBand="0" w:evenVBand="0" w:oddHBand="0" w:evenHBand="0" w:firstRowFirstColumn="0" w:firstRowLastColumn="0" w:lastRowFirstColumn="0" w:lastRowLastColumn="0"/>
            <w:tcW w:w="4967" w:type="dxa"/>
            <w:vMerge/>
            <w:vAlign w:val="center"/>
            <w:hideMark/>
          </w:tcPr>
          <w:p w14:paraId="5E14BB8E" w14:textId="77777777" w:rsidR="00C158E5" w:rsidRPr="00C158E5" w:rsidRDefault="00C158E5" w:rsidP="00592916">
            <w:pPr>
              <w:spacing w:after="0"/>
              <w:ind w:firstLine="0"/>
              <w:rPr>
                <w:b w:val="0"/>
                <w:color w:val="auto"/>
                <w:sz w:val="20"/>
                <w:lang w:eastAsia="lv-LV"/>
              </w:rPr>
            </w:pPr>
          </w:p>
        </w:tc>
        <w:tc>
          <w:tcPr>
            <w:tcW w:w="6935" w:type="dxa"/>
            <w:vMerge/>
            <w:vAlign w:val="center"/>
            <w:hideMark/>
          </w:tcPr>
          <w:p w14:paraId="5C6C1020"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76" w:type="dxa"/>
            <w:vAlign w:val="center"/>
            <w:hideMark/>
          </w:tcPr>
          <w:p w14:paraId="38B377CA"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580743E4" w14:textId="035A14B7"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9" w:type="dxa"/>
            <w:noWrap/>
            <w:vAlign w:val="center"/>
            <w:hideMark/>
          </w:tcPr>
          <w:p w14:paraId="29C474EB" w14:textId="03D8BF52"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70C63535" w14:textId="47BE799F"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668E65F8" w14:textId="77777777" w:rsidTr="00E71C3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967" w:type="dxa"/>
            <w:vMerge w:val="restart"/>
            <w:vAlign w:val="center"/>
            <w:hideMark/>
          </w:tcPr>
          <w:p w14:paraId="7807326B" w14:textId="600A83EC" w:rsidR="00C158E5" w:rsidRPr="00C158E5" w:rsidRDefault="00C158E5" w:rsidP="00592916">
            <w:pPr>
              <w:spacing w:after="0"/>
              <w:ind w:firstLine="0"/>
              <w:rPr>
                <w:b w:val="0"/>
                <w:color w:val="auto"/>
                <w:sz w:val="20"/>
                <w:lang w:eastAsia="lv-LV"/>
              </w:rPr>
            </w:pPr>
            <w:r w:rsidRPr="00C158E5">
              <w:rPr>
                <w:b w:val="0"/>
                <w:color w:val="auto"/>
                <w:sz w:val="20"/>
                <w:lang w:eastAsia="lv-LV"/>
              </w:rPr>
              <w:t>IIN likmes izlīdzināš</w:t>
            </w:r>
            <w:r>
              <w:rPr>
                <w:b w:val="0"/>
                <w:color w:val="auto"/>
                <w:sz w:val="20"/>
                <w:lang w:eastAsia="lv-LV"/>
              </w:rPr>
              <w:t>a</w:t>
            </w:r>
            <w:r w:rsidRPr="00C158E5">
              <w:rPr>
                <w:b w:val="0"/>
                <w:color w:val="auto"/>
                <w:sz w:val="20"/>
                <w:lang w:eastAsia="lv-LV"/>
              </w:rPr>
              <w:t>na saimnieciskās darbības veicējiem</w:t>
            </w:r>
          </w:p>
        </w:tc>
        <w:tc>
          <w:tcPr>
            <w:tcW w:w="6935" w:type="dxa"/>
            <w:vMerge w:val="restart"/>
            <w:vAlign w:val="center"/>
            <w:hideMark/>
          </w:tcPr>
          <w:p w14:paraId="47263579" w14:textId="1DEE7C03" w:rsidR="00C158E5" w:rsidRPr="00C158E5" w:rsidRDefault="00C158E5" w:rsidP="00247BB4">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Noteikts ierobežojums – saimnieciskās darbības izdevumos atļauts iekļaut summu, kas nepārsniedz 80% no saimnieciskās darbības ieņēmumiem</w:t>
            </w:r>
            <w:r w:rsidRPr="00C158E5">
              <w:rPr>
                <w:color w:val="auto"/>
                <w:sz w:val="20"/>
                <w:lang w:eastAsia="lv-LV"/>
              </w:rPr>
              <w:br/>
            </w:r>
            <w:proofErr w:type="spellStart"/>
            <w:r w:rsidRPr="00C158E5">
              <w:rPr>
                <w:color w:val="auto"/>
                <w:sz w:val="20"/>
                <w:lang w:eastAsia="lv-LV"/>
              </w:rPr>
              <w:t>Pašnodarbināto</w:t>
            </w:r>
            <w:proofErr w:type="spellEnd"/>
            <w:r w:rsidRPr="00C158E5">
              <w:rPr>
                <w:color w:val="auto"/>
                <w:sz w:val="20"/>
                <w:lang w:eastAsia="lv-LV"/>
              </w:rPr>
              <w:t xml:space="preserve"> apliekamajam ienākumam 430</w:t>
            </w:r>
            <w:r w:rsidR="00247BB4">
              <w:rPr>
                <w:i/>
                <w:color w:val="auto"/>
                <w:sz w:val="20"/>
                <w:lang w:eastAsia="lv-LV"/>
              </w:rPr>
              <w:t xml:space="preserve"> </w:t>
            </w:r>
            <w:proofErr w:type="spellStart"/>
            <w:r w:rsidR="00247BB4">
              <w:rPr>
                <w:i/>
                <w:color w:val="auto"/>
                <w:sz w:val="20"/>
                <w:lang w:eastAsia="lv-LV"/>
              </w:rPr>
              <w:t>euro</w:t>
            </w:r>
            <w:proofErr w:type="spellEnd"/>
            <w:r w:rsidRPr="00C158E5">
              <w:rPr>
                <w:color w:val="auto"/>
                <w:sz w:val="20"/>
                <w:lang w:eastAsia="lv-LV"/>
              </w:rPr>
              <w:t xml:space="preserve"> (vai brīvi izraudzītam apjomam) - VSAOI likme 31,13% un virs 430</w:t>
            </w:r>
            <w:r w:rsidR="00247BB4">
              <w:rPr>
                <w:i/>
                <w:color w:val="auto"/>
                <w:sz w:val="20"/>
                <w:lang w:eastAsia="lv-LV"/>
              </w:rPr>
              <w:t xml:space="preserve"> </w:t>
            </w:r>
            <w:proofErr w:type="spellStart"/>
            <w:r w:rsidR="00247BB4">
              <w:rPr>
                <w:i/>
                <w:color w:val="auto"/>
                <w:sz w:val="20"/>
                <w:lang w:eastAsia="lv-LV"/>
              </w:rPr>
              <w:t>euro</w:t>
            </w:r>
            <w:proofErr w:type="spellEnd"/>
            <w:r w:rsidRPr="00C158E5">
              <w:rPr>
                <w:color w:val="auto"/>
                <w:sz w:val="20"/>
                <w:lang w:eastAsia="lv-LV"/>
              </w:rPr>
              <w:t xml:space="preserve"> - VSAOI likme 5%</w:t>
            </w:r>
          </w:p>
        </w:tc>
        <w:tc>
          <w:tcPr>
            <w:tcW w:w="1276" w:type="dxa"/>
            <w:vAlign w:val="center"/>
            <w:hideMark/>
          </w:tcPr>
          <w:p w14:paraId="1FDE2D83"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SOC</w:t>
            </w:r>
          </w:p>
        </w:tc>
        <w:tc>
          <w:tcPr>
            <w:tcW w:w="709" w:type="dxa"/>
            <w:noWrap/>
            <w:vAlign w:val="center"/>
            <w:hideMark/>
          </w:tcPr>
          <w:p w14:paraId="2984CA2A" w14:textId="63B9E513"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0,02</w:t>
            </w:r>
          </w:p>
        </w:tc>
        <w:tc>
          <w:tcPr>
            <w:tcW w:w="709" w:type="dxa"/>
            <w:noWrap/>
            <w:vAlign w:val="center"/>
            <w:hideMark/>
          </w:tcPr>
          <w:p w14:paraId="664C8359" w14:textId="5F200E78"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2057E239" w14:textId="263C7269"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4C855BAF" w14:textId="77777777" w:rsidTr="00E71C33">
        <w:trPr>
          <w:trHeight w:val="431"/>
        </w:trPr>
        <w:tc>
          <w:tcPr>
            <w:cnfStyle w:val="001000000000" w:firstRow="0" w:lastRow="0" w:firstColumn="1" w:lastColumn="0" w:oddVBand="0" w:evenVBand="0" w:oddHBand="0" w:evenHBand="0" w:firstRowFirstColumn="0" w:firstRowLastColumn="0" w:lastRowFirstColumn="0" w:lastRowLastColumn="0"/>
            <w:tcW w:w="4967" w:type="dxa"/>
            <w:vMerge/>
            <w:hideMark/>
          </w:tcPr>
          <w:p w14:paraId="7FEABCF2" w14:textId="77777777" w:rsidR="00C158E5" w:rsidRPr="00C158E5" w:rsidRDefault="00C158E5" w:rsidP="00C158E5">
            <w:pPr>
              <w:spacing w:after="0"/>
              <w:ind w:firstLine="0"/>
              <w:jc w:val="left"/>
              <w:rPr>
                <w:b w:val="0"/>
                <w:color w:val="auto"/>
                <w:sz w:val="20"/>
                <w:lang w:eastAsia="lv-LV"/>
              </w:rPr>
            </w:pPr>
          </w:p>
        </w:tc>
        <w:tc>
          <w:tcPr>
            <w:tcW w:w="6935" w:type="dxa"/>
            <w:vMerge/>
            <w:vAlign w:val="center"/>
            <w:hideMark/>
          </w:tcPr>
          <w:p w14:paraId="6B5F98A8"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1276" w:type="dxa"/>
            <w:vAlign w:val="center"/>
            <w:hideMark/>
          </w:tcPr>
          <w:p w14:paraId="4D7051E7"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6902E1E8" w14:textId="24D3FAAA"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0,05</w:t>
            </w:r>
          </w:p>
        </w:tc>
        <w:tc>
          <w:tcPr>
            <w:tcW w:w="709" w:type="dxa"/>
            <w:noWrap/>
            <w:vAlign w:val="center"/>
            <w:hideMark/>
          </w:tcPr>
          <w:p w14:paraId="2EA17D10" w14:textId="37858DCC"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0447AB5A" w14:textId="508C6162"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3A14E1F5" w14:textId="77777777" w:rsidTr="00E71C3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967" w:type="dxa"/>
            <w:hideMark/>
          </w:tcPr>
          <w:p w14:paraId="331B270F"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 xml:space="preserve">Izložu vai azartspēļu laimestu, kas pārsniedz 3000 </w:t>
            </w:r>
            <w:proofErr w:type="spellStart"/>
            <w:r w:rsidRPr="00C158E5">
              <w:rPr>
                <w:b w:val="0"/>
                <w:i/>
                <w:color w:val="auto"/>
                <w:sz w:val="20"/>
                <w:lang w:eastAsia="lv-LV"/>
              </w:rPr>
              <w:t>euro</w:t>
            </w:r>
            <w:proofErr w:type="spellEnd"/>
            <w:r w:rsidRPr="00C158E5">
              <w:rPr>
                <w:b w:val="0"/>
                <w:color w:val="auto"/>
                <w:sz w:val="20"/>
                <w:lang w:eastAsia="lv-LV"/>
              </w:rPr>
              <w:t>, aplikšana ar IIN likmi - 20% (izņēmums - 100gades loterija)</w:t>
            </w:r>
          </w:p>
        </w:tc>
        <w:tc>
          <w:tcPr>
            <w:tcW w:w="6935" w:type="dxa"/>
            <w:vAlign w:val="center"/>
            <w:hideMark/>
          </w:tcPr>
          <w:p w14:paraId="33B6462A"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 xml:space="preserve">Izložu vai azartspēļu laimestu, kas pārsniedz 3000 </w:t>
            </w:r>
            <w:proofErr w:type="spellStart"/>
            <w:r w:rsidRPr="00C158E5">
              <w:rPr>
                <w:i/>
                <w:color w:val="auto"/>
                <w:sz w:val="20"/>
                <w:lang w:eastAsia="lv-LV"/>
              </w:rPr>
              <w:t>euro</w:t>
            </w:r>
            <w:proofErr w:type="spellEnd"/>
            <w:r w:rsidRPr="00C158E5">
              <w:rPr>
                <w:color w:val="auto"/>
                <w:sz w:val="20"/>
                <w:lang w:eastAsia="lv-LV"/>
              </w:rPr>
              <w:t>, aplikšana ar IIN likmi - 20% (izņēmums - 100gades loterija)</w:t>
            </w:r>
          </w:p>
        </w:tc>
        <w:tc>
          <w:tcPr>
            <w:tcW w:w="1276" w:type="dxa"/>
            <w:vAlign w:val="center"/>
            <w:hideMark/>
          </w:tcPr>
          <w:p w14:paraId="72AE7952"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2A71243E" w14:textId="06482165"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709" w:type="dxa"/>
            <w:noWrap/>
            <w:vAlign w:val="center"/>
            <w:hideMark/>
          </w:tcPr>
          <w:p w14:paraId="51883644" w14:textId="76B9EEB8"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71969D13" w14:textId="1875D0CA"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54E274EE" w14:textId="77777777" w:rsidTr="00E71C33">
        <w:trPr>
          <w:trHeight w:val="70"/>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4E2D37D0"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MUN dividenžu izmaksai IIN likme palielināšana no 10% uz 20%</w:t>
            </w:r>
          </w:p>
        </w:tc>
        <w:tc>
          <w:tcPr>
            <w:tcW w:w="6935" w:type="dxa"/>
            <w:vAlign w:val="center"/>
            <w:hideMark/>
          </w:tcPr>
          <w:p w14:paraId="37C30F2A"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MUN dividenžu izmaksai IIN likme palielināšana no 10% uz 20%</w:t>
            </w:r>
          </w:p>
        </w:tc>
        <w:tc>
          <w:tcPr>
            <w:tcW w:w="1276" w:type="dxa"/>
            <w:vAlign w:val="center"/>
            <w:hideMark/>
          </w:tcPr>
          <w:p w14:paraId="5129879D"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41446535" w14:textId="60C0BEC8"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709" w:type="dxa"/>
            <w:noWrap/>
            <w:vAlign w:val="center"/>
            <w:hideMark/>
          </w:tcPr>
          <w:p w14:paraId="77EB6D8E" w14:textId="67C76942"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708" w:type="dxa"/>
            <w:noWrap/>
            <w:vAlign w:val="center"/>
            <w:hideMark/>
          </w:tcPr>
          <w:p w14:paraId="1DD6CF7B" w14:textId="74B5E46F"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203F382B" w14:textId="77777777" w:rsidTr="00E71C3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0EACA0BC"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Iepriekšējo gadu nesadalīto dividenžu pārejas perioda (2 gadi) noteikšana</w:t>
            </w:r>
          </w:p>
        </w:tc>
        <w:tc>
          <w:tcPr>
            <w:tcW w:w="6935" w:type="dxa"/>
            <w:vAlign w:val="center"/>
            <w:hideMark/>
          </w:tcPr>
          <w:p w14:paraId="0F9F10B6"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Iepriekšējo gadu nesadalīto dividenžu pārejas perioda (2 gadi) noteikšana</w:t>
            </w:r>
          </w:p>
        </w:tc>
        <w:tc>
          <w:tcPr>
            <w:tcW w:w="1276" w:type="dxa"/>
            <w:vAlign w:val="center"/>
            <w:hideMark/>
          </w:tcPr>
          <w:p w14:paraId="6450C35F"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096408A1" w14:textId="028B1297"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0,46</w:t>
            </w:r>
          </w:p>
        </w:tc>
        <w:tc>
          <w:tcPr>
            <w:tcW w:w="709" w:type="dxa"/>
            <w:noWrap/>
            <w:vAlign w:val="center"/>
            <w:hideMark/>
          </w:tcPr>
          <w:p w14:paraId="5DABB84B" w14:textId="0391A79F"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1FC9EABE" w14:textId="0676AF7D"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-0,41</w:t>
            </w:r>
          </w:p>
        </w:tc>
      </w:tr>
      <w:tr w:rsidR="00C158E5" w:rsidRPr="00C158E5" w14:paraId="115EA0FD" w14:textId="77777777" w:rsidTr="00E71C33">
        <w:trPr>
          <w:trHeight w:val="70"/>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345A857D"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IIN 0% likmes noteikšana dividendēm</w:t>
            </w:r>
          </w:p>
        </w:tc>
        <w:tc>
          <w:tcPr>
            <w:tcW w:w="6935" w:type="dxa"/>
            <w:vAlign w:val="center"/>
            <w:hideMark/>
          </w:tcPr>
          <w:p w14:paraId="0FBFEB46"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 0% likmes noteikšana dividendēm</w:t>
            </w:r>
          </w:p>
        </w:tc>
        <w:tc>
          <w:tcPr>
            <w:tcW w:w="1276" w:type="dxa"/>
            <w:vAlign w:val="center"/>
            <w:hideMark/>
          </w:tcPr>
          <w:p w14:paraId="50B18E42"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46AB4BCC" w14:textId="061E26B2"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9" w:type="dxa"/>
            <w:noWrap/>
            <w:vAlign w:val="center"/>
            <w:hideMark/>
          </w:tcPr>
          <w:p w14:paraId="3487B870" w14:textId="6C3F088C"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-0,23</w:t>
            </w:r>
          </w:p>
        </w:tc>
        <w:tc>
          <w:tcPr>
            <w:tcW w:w="708" w:type="dxa"/>
            <w:noWrap/>
            <w:vAlign w:val="center"/>
            <w:hideMark/>
          </w:tcPr>
          <w:p w14:paraId="55BB66AB" w14:textId="2E1FFE29"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2547860E" w14:textId="77777777" w:rsidTr="00E71C3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7652CED7" w14:textId="181D96D9" w:rsidR="00C158E5" w:rsidRPr="00C158E5" w:rsidRDefault="00592916" w:rsidP="00592916">
            <w:pPr>
              <w:spacing w:after="0"/>
              <w:ind w:firstLine="0"/>
              <w:rPr>
                <w:b w:val="0"/>
                <w:color w:val="auto"/>
                <w:sz w:val="20"/>
                <w:lang w:eastAsia="lv-LV"/>
              </w:rPr>
            </w:pPr>
            <w:r>
              <w:rPr>
                <w:b w:val="0"/>
                <w:color w:val="auto"/>
                <w:sz w:val="20"/>
                <w:lang w:eastAsia="lv-LV"/>
              </w:rPr>
              <w:t>IIN likmes pal</w:t>
            </w:r>
            <w:r w:rsidR="00C158E5" w:rsidRPr="00C158E5">
              <w:rPr>
                <w:b w:val="0"/>
                <w:color w:val="auto"/>
                <w:sz w:val="20"/>
                <w:lang w:eastAsia="lv-LV"/>
              </w:rPr>
              <w:t>ielināšana ārvalstīs saņemtajām dividendēm no 10% līdz 20%</w:t>
            </w:r>
          </w:p>
        </w:tc>
        <w:tc>
          <w:tcPr>
            <w:tcW w:w="6935" w:type="dxa"/>
            <w:vAlign w:val="center"/>
            <w:hideMark/>
          </w:tcPr>
          <w:p w14:paraId="61D61281" w14:textId="196E2D6D"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IIN likmes pa</w:t>
            </w:r>
            <w:r w:rsidR="00592916">
              <w:rPr>
                <w:color w:val="auto"/>
                <w:sz w:val="20"/>
                <w:lang w:eastAsia="lv-LV"/>
              </w:rPr>
              <w:t>l</w:t>
            </w:r>
            <w:r w:rsidRPr="00C158E5">
              <w:rPr>
                <w:color w:val="auto"/>
                <w:sz w:val="20"/>
                <w:lang w:eastAsia="lv-LV"/>
              </w:rPr>
              <w:t>ielināšana ārvalstīs saņemtajām dividendēm no 10% līdz 20%</w:t>
            </w:r>
          </w:p>
        </w:tc>
        <w:tc>
          <w:tcPr>
            <w:tcW w:w="1276" w:type="dxa"/>
            <w:vAlign w:val="center"/>
            <w:hideMark/>
          </w:tcPr>
          <w:p w14:paraId="6C90B734" w14:textId="7777777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06D125A7" w14:textId="7C38A3ED"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0,01</w:t>
            </w:r>
          </w:p>
        </w:tc>
        <w:tc>
          <w:tcPr>
            <w:tcW w:w="709" w:type="dxa"/>
            <w:noWrap/>
            <w:vAlign w:val="center"/>
            <w:hideMark/>
          </w:tcPr>
          <w:p w14:paraId="209E308A" w14:textId="7A780C27"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6FB8F2CD" w14:textId="6A239FA4"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0934A021" w14:textId="77777777" w:rsidTr="00E71C33">
        <w:trPr>
          <w:trHeight w:val="1474"/>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43EE89FF"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IIN attaisnoto izdevumu pārskatīšana</w:t>
            </w:r>
          </w:p>
        </w:tc>
        <w:tc>
          <w:tcPr>
            <w:tcW w:w="6935" w:type="dxa"/>
            <w:vAlign w:val="center"/>
            <w:hideMark/>
          </w:tcPr>
          <w:p w14:paraId="3130DD58"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 xml:space="preserve">Attaisnotajiem izdevumiem par izglītības, medicīnas un ārstniecisko pakalpojumu izmantošanu (ieskaitot zobārstniecības un operāciju izdevumus) un ziedojumiem un dāvinājumiem piemērot kopējo limitu 600 </w:t>
            </w:r>
            <w:proofErr w:type="spellStart"/>
            <w:r w:rsidRPr="00C158E5">
              <w:rPr>
                <w:i/>
                <w:color w:val="auto"/>
                <w:sz w:val="20"/>
                <w:lang w:eastAsia="lv-LV"/>
              </w:rPr>
              <w:t>euro</w:t>
            </w:r>
            <w:proofErr w:type="spellEnd"/>
            <w:r w:rsidRPr="00C158E5">
              <w:rPr>
                <w:color w:val="auto"/>
                <w:sz w:val="20"/>
                <w:lang w:eastAsia="lv-LV"/>
              </w:rPr>
              <w:t xml:space="preserve"> gadā, bet ne vairāk kā 50% no gada apliekamajiem ienākumiem, iemaksām privātajos pensiju fondos un dzīvības apdrošināšanas prēmijām piemērot attaisnoto izdevumu limitu 4000 </w:t>
            </w:r>
            <w:proofErr w:type="spellStart"/>
            <w:r w:rsidRPr="00C158E5">
              <w:rPr>
                <w:i/>
                <w:color w:val="auto"/>
                <w:sz w:val="20"/>
                <w:lang w:eastAsia="lv-LV"/>
              </w:rPr>
              <w:t>euro</w:t>
            </w:r>
            <w:proofErr w:type="spellEnd"/>
            <w:r w:rsidRPr="00C158E5">
              <w:rPr>
                <w:color w:val="auto"/>
                <w:sz w:val="20"/>
                <w:lang w:eastAsia="lv-LV"/>
              </w:rPr>
              <w:t xml:space="preserve"> gadā, bet ne vairāk kā 10% no gada apliekamajiem ienākumiem </w:t>
            </w:r>
          </w:p>
        </w:tc>
        <w:tc>
          <w:tcPr>
            <w:tcW w:w="1276" w:type="dxa"/>
            <w:vAlign w:val="center"/>
            <w:hideMark/>
          </w:tcPr>
          <w:p w14:paraId="3AA84D6A" w14:textId="7777777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IIN</w:t>
            </w:r>
          </w:p>
        </w:tc>
        <w:tc>
          <w:tcPr>
            <w:tcW w:w="709" w:type="dxa"/>
            <w:noWrap/>
            <w:vAlign w:val="center"/>
            <w:hideMark/>
          </w:tcPr>
          <w:p w14:paraId="65AEAA2E" w14:textId="1F1C32E6"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0,03</w:t>
            </w:r>
          </w:p>
        </w:tc>
        <w:tc>
          <w:tcPr>
            <w:tcW w:w="709" w:type="dxa"/>
            <w:noWrap/>
            <w:vAlign w:val="center"/>
            <w:hideMark/>
          </w:tcPr>
          <w:p w14:paraId="78C39C45" w14:textId="37A77503"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034F030C" w14:textId="7A2498F8" w:rsidR="00C158E5" w:rsidRPr="00C158E5" w:rsidRDefault="00C158E5"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0,00</w:t>
            </w:r>
          </w:p>
        </w:tc>
      </w:tr>
      <w:tr w:rsidR="00592916" w:rsidRPr="00C158E5" w14:paraId="697D7C93" w14:textId="77777777" w:rsidTr="00E71C33">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3178" w:type="dxa"/>
            <w:gridSpan w:val="3"/>
            <w:vAlign w:val="center"/>
            <w:hideMark/>
          </w:tcPr>
          <w:p w14:paraId="10D65336" w14:textId="15723680" w:rsidR="00592916" w:rsidRPr="00C158E5" w:rsidRDefault="00592916" w:rsidP="00592916">
            <w:pPr>
              <w:spacing w:after="0"/>
              <w:ind w:firstLine="0"/>
              <w:jc w:val="right"/>
              <w:rPr>
                <w:bCs w:val="0"/>
                <w:color w:val="auto"/>
                <w:sz w:val="20"/>
                <w:lang w:eastAsia="lv-LV"/>
              </w:rPr>
            </w:pPr>
            <w:r w:rsidRPr="00C158E5">
              <w:rPr>
                <w:color w:val="auto"/>
                <w:sz w:val="20"/>
                <w:lang w:eastAsia="lv-LV"/>
              </w:rPr>
              <w:t>Ieņēmumu pasākumi kopā </w:t>
            </w:r>
          </w:p>
        </w:tc>
        <w:tc>
          <w:tcPr>
            <w:tcW w:w="709" w:type="dxa"/>
            <w:noWrap/>
            <w:vAlign w:val="center"/>
            <w:hideMark/>
          </w:tcPr>
          <w:p w14:paraId="0942FA6A" w14:textId="393ACB8E" w:rsidR="00592916" w:rsidRPr="00C158E5" w:rsidRDefault="00592916"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0,20</w:t>
            </w:r>
          </w:p>
        </w:tc>
        <w:tc>
          <w:tcPr>
            <w:tcW w:w="709" w:type="dxa"/>
            <w:noWrap/>
            <w:vAlign w:val="center"/>
            <w:hideMark/>
          </w:tcPr>
          <w:p w14:paraId="698D6609" w14:textId="3CB527EA" w:rsidR="00592916" w:rsidRPr="00C158E5" w:rsidRDefault="00592916"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-0,09</w:t>
            </w:r>
          </w:p>
        </w:tc>
        <w:tc>
          <w:tcPr>
            <w:tcW w:w="708" w:type="dxa"/>
            <w:noWrap/>
            <w:vAlign w:val="center"/>
            <w:hideMark/>
          </w:tcPr>
          <w:p w14:paraId="70904394" w14:textId="742733A9" w:rsidR="00592916" w:rsidRPr="00C158E5" w:rsidRDefault="00592916"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b/>
                <w:bCs/>
                <w:color w:val="auto"/>
                <w:sz w:val="20"/>
                <w:lang w:eastAsia="lv-LV"/>
              </w:rPr>
            </w:pPr>
            <w:r>
              <w:rPr>
                <w:b/>
                <w:bCs/>
                <w:color w:val="auto"/>
                <w:sz w:val="20"/>
                <w:lang w:eastAsia="lv-LV"/>
              </w:rPr>
              <w:t>-0,44</w:t>
            </w:r>
          </w:p>
        </w:tc>
      </w:tr>
      <w:tr w:rsidR="00C158E5" w:rsidRPr="00C158E5" w14:paraId="157DB685" w14:textId="77777777" w:rsidTr="00E71C33">
        <w:trPr>
          <w:trHeight w:val="315"/>
        </w:trPr>
        <w:tc>
          <w:tcPr>
            <w:cnfStyle w:val="001000000000" w:firstRow="0" w:lastRow="0" w:firstColumn="1" w:lastColumn="0" w:oddVBand="0" w:evenVBand="0" w:oddHBand="0" w:evenHBand="0" w:firstRowFirstColumn="0" w:firstRowLastColumn="0" w:lastRowFirstColumn="0" w:lastRowLastColumn="0"/>
            <w:tcW w:w="15304" w:type="dxa"/>
            <w:gridSpan w:val="6"/>
            <w:noWrap/>
            <w:hideMark/>
          </w:tcPr>
          <w:p w14:paraId="1948B613" w14:textId="77777777" w:rsidR="00C158E5" w:rsidRPr="00C158E5" w:rsidRDefault="00C158E5" w:rsidP="00C158E5">
            <w:pPr>
              <w:spacing w:after="0"/>
              <w:ind w:firstLine="0"/>
              <w:jc w:val="left"/>
              <w:rPr>
                <w:color w:val="auto"/>
                <w:sz w:val="20"/>
                <w:lang w:eastAsia="lv-LV"/>
              </w:rPr>
            </w:pPr>
          </w:p>
        </w:tc>
      </w:tr>
      <w:tr w:rsidR="00C158E5" w:rsidRPr="00C158E5" w14:paraId="0C8504CD" w14:textId="77777777" w:rsidTr="00E71C3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12CFC7F6"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Izdevumi minimālās darba algas palielināšanas nodrošināšanai</w:t>
            </w:r>
          </w:p>
        </w:tc>
        <w:tc>
          <w:tcPr>
            <w:tcW w:w="6935" w:type="dxa"/>
            <w:vAlign w:val="center"/>
            <w:hideMark/>
          </w:tcPr>
          <w:p w14:paraId="4836F252"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 xml:space="preserve">Izdevumi minimālās darba algas palielināšanas nodrošināšanai sakarā ar minimālās algas palielinājumu 2018.gadā no 380 uz 430 </w:t>
            </w:r>
            <w:proofErr w:type="spellStart"/>
            <w:r w:rsidRPr="00C158E5">
              <w:rPr>
                <w:i/>
                <w:iCs/>
                <w:color w:val="auto"/>
                <w:sz w:val="20"/>
                <w:lang w:eastAsia="lv-LV"/>
              </w:rPr>
              <w:t>euro</w:t>
            </w:r>
            <w:proofErr w:type="spellEnd"/>
          </w:p>
        </w:tc>
        <w:tc>
          <w:tcPr>
            <w:tcW w:w="1276" w:type="dxa"/>
            <w:noWrap/>
            <w:vAlign w:val="center"/>
            <w:hideMark/>
          </w:tcPr>
          <w:p w14:paraId="7EFB1857" w14:textId="34FAD44F"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709" w:type="dxa"/>
            <w:noWrap/>
            <w:vAlign w:val="center"/>
            <w:hideMark/>
          </w:tcPr>
          <w:p w14:paraId="01E1B8AC" w14:textId="60C50F69" w:rsidR="00C158E5" w:rsidRPr="00C158E5" w:rsidRDefault="00592916"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-0,11</w:t>
            </w:r>
          </w:p>
        </w:tc>
        <w:tc>
          <w:tcPr>
            <w:tcW w:w="709" w:type="dxa"/>
            <w:noWrap/>
            <w:vAlign w:val="center"/>
            <w:hideMark/>
          </w:tcPr>
          <w:p w14:paraId="4B7643B9" w14:textId="7A4B61F0" w:rsidR="00C158E5" w:rsidRPr="00C158E5" w:rsidRDefault="00592916"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1310F49E" w14:textId="5FE1C940" w:rsidR="00C158E5" w:rsidRPr="00C158E5" w:rsidRDefault="00592916"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r>
      <w:tr w:rsidR="00C158E5" w:rsidRPr="00C158E5" w14:paraId="7909CF5B" w14:textId="77777777" w:rsidTr="00E71C33">
        <w:trPr>
          <w:trHeight w:val="235"/>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6615F72D"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Speciālā budžeta papildus izdevumi</w:t>
            </w:r>
          </w:p>
        </w:tc>
        <w:tc>
          <w:tcPr>
            <w:tcW w:w="6935" w:type="dxa"/>
            <w:vAlign w:val="center"/>
            <w:hideMark/>
          </w:tcPr>
          <w:p w14:paraId="73B856DB"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 xml:space="preserve">Papildu izdevumi valsts speciālajā budžetā </w:t>
            </w:r>
            <w:proofErr w:type="spellStart"/>
            <w:r w:rsidRPr="00C158E5">
              <w:rPr>
                <w:color w:val="auto"/>
                <w:sz w:val="20"/>
                <w:lang w:eastAsia="lv-LV"/>
              </w:rPr>
              <w:t>siastībā</w:t>
            </w:r>
            <w:proofErr w:type="spellEnd"/>
            <w:r w:rsidRPr="00C158E5">
              <w:rPr>
                <w:color w:val="auto"/>
                <w:sz w:val="20"/>
                <w:lang w:eastAsia="lv-LV"/>
              </w:rPr>
              <w:t xml:space="preserve"> ar nodokļu reformu</w:t>
            </w:r>
          </w:p>
        </w:tc>
        <w:tc>
          <w:tcPr>
            <w:tcW w:w="1276" w:type="dxa"/>
            <w:noWrap/>
            <w:vAlign w:val="center"/>
            <w:hideMark/>
          </w:tcPr>
          <w:p w14:paraId="01E903C7" w14:textId="15AF9B11"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09" w:type="dxa"/>
            <w:noWrap/>
            <w:vAlign w:val="center"/>
            <w:hideMark/>
          </w:tcPr>
          <w:p w14:paraId="63429247" w14:textId="15F1DFDB" w:rsidR="00C158E5" w:rsidRPr="00C158E5" w:rsidRDefault="00592916"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-0,10</w:t>
            </w:r>
          </w:p>
        </w:tc>
        <w:tc>
          <w:tcPr>
            <w:tcW w:w="709" w:type="dxa"/>
            <w:noWrap/>
            <w:vAlign w:val="center"/>
            <w:hideMark/>
          </w:tcPr>
          <w:p w14:paraId="0BF2955A" w14:textId="1D235442" w:rsidR="00C158E5" w:rsidRPr="00C158E5" w:rsidRDefault="00592916"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-0,01</w:t>
            </w:r>
          </w:p>
        </w:tc>
        <w:tc>
          <w:tcPr>
            <w:tcW w:w="708" w:type="dxa"/>
            <w:noWrap/>
            <w:vAlign w:val="center"/>
            <w:hideMark/>
          </w:tcPr>
          <w:p w14:paraId="745842DB" w14:textId="551BC798" w:rsidR="00C158E5" w:rsidRPr="00C158E5" w:rsidRDefault="00592916"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-0,03</w:t>
            </w:r>
          </w:p>
        </w:tc>
      </w:tr>
      <w:tr w:rsidR="00C158E5" w:rsidRPr="00C158E5" w14:paraId="2ED0EAAA" w14:textId="77777777" w:rsidTr="00E71C33">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0864C362"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Izdevumi ceļu uzturēšanai</w:t>
            </w:r>
          </w:p>
        </w:tc>
        <w:tc>
          <w:tcPr>
            <w:tcW w:w="6935" w:type="dxa"/>
            <w:vAlign w:val="center"/>
            <w:hideMark/>
          </w:tcPr>
          <w:p w14:paraId="1CA83AAE"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Finansējuma pieaugums apjoma ziņā ir salīdzināms ar ieņēmumu pieaugumu no nodokļu reformas paketē pieņemto akcīzes nodokļa degvielai palielināšanu un konceptuāli iezīmē saiti starp jauniem politikas pasākumiem degvielas akcīzei un izdevumu dinamiku ceļu nozarei</w:t>
            </w:r>
          </w:p>
        </w:tc>
        <w:tc>
          <w:tcPr>
            <w:tcW w:w="1276" w:type="dxa"/>
            <w:noWrap/>
            <w:vAlign w:val="center"/>
            <w:hideMark/>
          </w:tcPr>
          <w:p w14:paraId="7CDFE1E6" w14:textId="0CDC8FC7"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709" w:type="dxa"/>
            <w:noWrap/>
            <w:vAlign w:val="center"/>
            <w:hideMark/>
          </w:tcPr>
          <w:p w14:paraId="33EA39B4" w14:textId="0E55EA5D" w:rsidR="00C158E5" w:rsidRPr="00C158E5" w:rsidRDefault="00592916"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-0,09</w:t>
            </w:r>
          </w:p>
        </w:tc>
        <w:tc>
          <w:tcPr>
            <w:tcW w:w="709" w:type="dxa"/>
            <w:noWrap/>
            <w:vAlign w:val="center"/>
            <w:hideMark/>
          </w:tcPr>
          <w:p w14:paraId="3BB47FB0" w14:textId="4FC73302" w:rsidR="00C158E5" w:rsidRPr="00C158E5" w:rsidRDefault="00592916"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8" w:type="dxa"/>
            <w:noWrap/>
            <w:vAlign w:val="center"/>
            <w:hideMark/>
          </w:tcPr>
          <w:p w14:paraId="16935FDA" w14:textId="1DAD2859" w:rsidR="00C158E5" w:rsidRPr="00C158E5" w:rsidRDefault="00592916"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-0,04</w:t>
            </w:r>
          </w:p>
        </w:tc>
      </w:tr>
      <w:tr w:rsidR="00C158E5" w:rsidRPr="00C158E5" w14:paraId="380FD34A" w14:textId="77777777" w:rsidTr="00E71C33">
        <w:trPr>
          <w:trHeight w:val="256"/>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1FC745A4"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Izdevumi veselībai</w:t>
            </w:r>
          </w:p>
        </w:tc>
        <w:tc>
          <w:tcPr>
            <w:tcW w:w="6935" w:type="dxa"/>
            <w:vAlign w:val="center"/>
            <w:hideMark/>
          </w:tcPr>
          <w:p w14:paraId="3AC75BCD" w14:textId="77777777" w:rsidR="00C158E5" w:rsidRPr="00C158E5" w:rsidRDefault="00C158E5" w:rsidP="00592916">
            <w:pPr>
              <w:spacing w:after="0"/>
              <w:ind w:firstLine="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C158E5">
              <w:rPr>
                <w:color w:val="auto"/>
                <w:sz w:val="20"/>
                <w:lang w:eastAsia="lv-LV"/>
              </w:rPr>
              <w:t>Palielināts finansējums veselībai sasaistot to VSAOI iemaksu palielinājumu un minimālo veselības maksājumu</w:t>
            </w:r>
          </w:p>
        </w:tc>
        <w:tc>
          <w:tcPr>
            <w:tcW w:w="1276" w:type="dxa"/>
            <w:noWrap/>
            <w:vAlign w:val="center"/>
            <w:hideMark/>
          </w:tcPr>
          <w:p w14:paraId="0D199C4B" w14:textId="04848C67" w:rsidR="00C158E5" w:rsidRPr="00C158E5" w:rsidRDefault="00C158E5" w:rsidP="00C158E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 w:val="20"/>
                <w:lang w:eastAsia="lv-LV"/>
              </w:rPr>
            </w:pPr>
          </w:p>
        </w:tc>
        <w:tc>
          <w:tcPr>
            <w:tcW w:w="709" w:type="dxa"/>
            <w:noWrap/>
            <w:vAlign w:val="center"/>
            <w:hideMark/>
          </w:tcPr>
          <w:p w14:paraId="2A8DB467" w14:textId="4BC03E28" w:rsidR="00C158E5" w:rsidRPr="00C158E5" w:rsidRDefault="00592916"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-0,30</w:t>
            </w:r>
          </w:p>
        </w:tc>
        <w:tc>
          <w:tcPr>
            <w:tcW w:w="709" w:type="dxa"/>
            <w:noWrap/>
            <w:vAlign w:val="center"/>
            <w:hideMark/>
          </w:tcPr>
          <w:p w14:paraId="194E8E04" w14:textId="50B3C297" w:rsidR="00C158E5" w:rsidRPr="00C158E5" w:rsidRDefault="00592916"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-0,15</w:t>
            </w:r>
          </w:p>
        </w:tc>
        <w:tc>
          <w:tcPr>
            <w:tcW w:w="708" w:type="dxa"/>
            <w:noWrap/>
            <w:vAlign w:val="center"/>
            <w:hideMark/>
          </w:tcPr>
          <w:p w14:paraId="75AAE493" w14:textId="2C4197F3" w:rsidR="00C158E5" w:rsidRPr="00C158E5" w:rsidRDefault="00592916"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 w:val="20"/>
                <w:lang w:eastAsia="lv-LV"/>
              </w:rPr>
            </w:pPr>
            <w:r>
              <w:rPr>
                <w:color w:val="auto"/>
                <w:sz w:val="20"/>
                <w:lang w:eastAsia="lv-LV"/>
              </w:rPr>
              <w:t>-0,14</w:t>
            </w:r>
          </w:p>
        </w:tc>
      </w:tr>
      <w:tr w:rsidR="00C158E5" w:rsidRPr="00C158E5" w14:paraId="6CB60BA7" w14:textId="77777777" w:rsidTr="00E71C33">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67" w:type="dxa"/>
            <w:vAlign w:val="center"/>
            <w:hideMark/>
          </w:tcPr>
          <w:p w14:paraId="52298956" w14:textId="77777777" w:rsidR="00C158E5" w:rsidRPr="00C158E5" w:rsidRDefault="00C158E5" w:rsidP="00592916">
            <w:pPr>
              <w:spacing w:after="0"/>
              <w:ind w:firstLine="0"/>
              <w:rPr>
                <w:b w:val="0"/>
                <w:color w:val="auto"/>
                <w:sz w:val="20"/>
                <w:lang w:eastAsia="lv-LV"/>
              </w:rPr>
            </w:pPr>
            <w:r w:rsidRPr="00C158E5">
              <w:rPr>
                <w:b w:val="0"/>
                <w:color w:val="auto"/>
                <w:sz w:val="20"/>
                <w:lang w:eastAsia="lv-LV"/>
              </w:rPr>
              <w:t xml:space="preserve">Kompensācija pašvaldībām </w:t>
            </w:r>
          </w:p>
        </w:tc>
        <w:tc>
          <w:tcPr>
            <w:tcW w:w="6935" w:type="dxa"/>
            <w:vAlign w:val="center"/>
            <w:hideMark/>
          </w:tcPr>
          <w:p w14:paraId="1E867EB6" w14:textId="77777777" w:rsidR="00C158E5" w:rsidRPr="00C158E5" w:rsidRDefault="00C158E5" w:rsidP="00592916">
            <w:pPr>
              <w:spacing w:after="0"/>
              <w:ind w:firstLine="0"/>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Kompensācija pašvaldībām saistībā nodokļu reformu, tiek nodrošināts, ka pašvaldību budžetu nodokļu ieņēmumi kopā ar speciālo dotāciju ir 19,6 procenti no kopbudžeta nodokļu ieņēmumiem</w:t>
            </w:r>
          </w:p>
        </w:tc>
        <w:tc>
          <w:tcPr>
            <w:tcW w:w="1276" w:type="dxa"/>
            <w:noWrap/>
            <w:vAlign w:val="center"/>
            <w:hideMark/>
          </w:tcPr>
          <w:p w14:paraId="28B7D71F" w14:textId="6C0B0D5A" w:rsidR="00C158E5" w:rsidRPr="00C158E5" w:rsidRDefault="00C158E5" w:rsidP="00C158E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 w:val="20"/>
                <w:lang w:eastAsia="lv-LV"/>
              </w:rPr>
            </w:pPr>
          </w:p>
        </w:tc>
        <w:tc>
          <w:tcPr>
            <w:tcW w:w="709" w:type="dxa"/>
            <w:noWrap/>
            <w:vAlign w:val="center"/>
            <w:hideMark/>
          </w:tcPr>
          <w:p w14:paraId="2FC49349" w14:textId="10A51502" w:rsidR="00C158E5" w:rsidRPr="00C158E5" w:rsidRDefault="00592916"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0,00</w:t>
            </w:r>
          </w:p>
        </w:tc>
        <w:tc>
          <w:tcPr>
            <w:tcW w:w="709" w:type="dxa"/>
            <w:noWrap/>
            <w:vAlign w:val="center"/>
            <w:hideMark/>
          </w:tcPr>
          <w:p w14:paraId="235314E3" w14:textId="2B0649B1" w:rsidR="00C158E5" w:rsidRPr="00C158E5" w:rsidRDefault="00592916"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Pr>
                <w:color w:val="auto"/>
                <w:sz w:val="20"/>
                <w:lang w:eastAsia="lv-LV"/>
              </w:rPr>
              <w:t>0,04</w:t>
            </w:r>
          </w:p>
        </w:tc>
        <w:tc>
          <w:tcPr>
            <w:tcW w:w="708" w:type="dxa"/>
            <w:noWrap/>
            <w:vAlign w:val="center"/>
            <w:hideMark/>
          </w:tcPr>
          <w:p w14:paraId="4555193D" w14:textId="590D733B" w:rsidR="00C158E5" w:rsidRPr="00C158E5" w:rsidRDefault="00C158E5" w:rsidP="00592916">
            <w:pPr>
              <w:spacing w:after="0"/>
              <w:ind w:firstLine="0"/>
              <w:jc w:val="right"/>
              <w:cnfStyle w:val="000000100000" w:firstRow="0" w:lastRow="0" w:firstColumn="0" w:lastColumn="0" w:oddVBand="0" w:evenVBand="0" w:oddHBand="1" w:evenHBand="0" w:firstRowFirstColumn="0" w:firstRowLastColumn="0" w:lastRowFirstColumn="0" w:lastRowLastColumn="0"/>
              <w:rPr>
                <w:color w:val="auto"/>
                <w:sz w:val="20"/>
                <w:lang w:eastAsia="lv-LV"/>
              </w:rPr>
            </w:pPr>
            <w:r w:rsidRPr="00C158E5">
              <w:rPr>
                <w:color w:val="auto"/>
                <w:sz w:val="20"/>
                <w:lang w:eastAsia="lv-LV"/>
              </w:rPr>
              <w:t>-0,</w:t>
            </w:r>
            <w:r w:rsidR="00592916">
              <w:rPr>
                <w:color w:val="auto"/>
                <w:sz w:val="20"/>
                <w:lang w:eastAsia="lv-LV"/>
              </w:rPr>
              <w:t>10</w:t>
            </w:r>
          </w:p>
        </w:tc>
      </w:tr>
      <w:tr w:rsidR="00592916" w:rsidRPr="00C158E5" w14:paraId="38BC89F1" w14:textId="77777777" w:rsidTr="00E71C33">
        <w:trPr>
          <w:trHeight w:val="74"/>
        </w:trPr>
        <w:tc>
          <w:tcPr>
            <w:cnfStyle w:val="001000000000" w:firstRow="0" w:lastRow="0" w:firstColumn="1" w:lastColumn="0" w:oddVBand="0" w:evenVBand="0" w:oddHBand="0" w:evenHBand="0" w:firstRowFirstColumn="0" w:firstRowLastColumn="0" w:lastRowFirstColumn="0" w:lastRowLastColumn="0"/>
            <w:tcW w:w="13178" w:type="dxa"/>
            <w:gridSpan w:val="3"/>
            <w:vAlign w:val="center"/>
            <w:hideMark/>
          </w:tcPr>
          <w:p w14:paraId="1A5CE6BB" w14:textId="0881D8AB" w:rsidR="00592916" w:rsidRPr="00C158E5" w:rsidRDefault="00592916" w:rsidP="00592916">
            <w:pPr>
              <w:spacing w:after="0"/>
              <w:ind w:firstLine="0"/>
              <w:jc w:val="right"/>
              <w:rPr>
                <w:b w:val="0"/>
                <w:bCs w:val="0"/>
                <w:color w:val="auto"/>
                <w:sz w:val="20"/>
                <w:lang w:eastAsia="lv-LV"/>
              </w:rPr>
            </w:pPr>
            <w:r w:rsidRPr="00C158E5">
              <w:rPr>
                <w:color w:val="auto"/>
                <w:sz w:val="20"/>
                <w:lang w:eastAsia="lv-LV"/>
              </w:rPr>
              <w:t>Izdevumu pasākumi kopā </w:t>
            </w:r>
          </w:p>
        </w:tc>
        <w:tc>
          <w:tcPr>
            <w:tcW w:w="709" w:type="dxa"/>
            <w:noWrap/>
            <w:vAlign w:val="center"/>
            <w:hideMark/>
          </w:tcPr>
          <w:p w14:paraId="790C5F88" w14:textId="75C3FBCF" w:rsidR="00592916" w:rsidRPr="00C158E5" w:rsidRDefault="00592916"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auto"/>
                <w:sz w:val="20"/>
                <w:lang w:eastAsia="lv-LV"/>
              </w:rPr>
              <w:t>-0,60</w:t>
            </w:r>
          </w:p>
        </w:tc>
        <w:tc>
          <w:tcPr>
            <w:tcW w:w="709" w:type="dxa"/>
            <w:noWrap/>
            <w:vAlign w:val="center"/>
            <w:hideMark/>
          </w:tcPr>
          <w:p w14:paraId="6AB9EF2C" w14:textId="44775DE5" w:rsidR="00592916" w:rsidRPr="00C158E5" w:rsidRDefault="00592916"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auto"/>
                <w:sz w:val="20"/>
                <w:lang w:eastAsia="lv-LV"/>
              </w:rPr>
              <w:t>-0,12</w:t>
            </w:r>
          </w:p>
        </w:tc>
        <w:tc>
          <w:tcPr>
            <w:tcW w:w="708" w:type="dxa"/>
            <w:noWrap/>
            <w:vAlign w:val="center"/>
            <w:hideMark/>
          </w:tcPr>
          <w:p w14:paraId="7A19541B" w14:textId="224F18CD" w:rsidR="00592916" w:rsidRPr="00C158E5" w:rsidRDefault="00592916" w:rsidP="00592916">
            <w:pPr>
              <w:spacing w:after="0"/>
              <w:ind w:firstLine="0"/>
              <w:jc w:val="right"/>
              <w:cnfStyle w:val="000000000000" w:firstRow="0" w:lastRow="0" w:firstColumn="0" w:lastColumn="0" w:oddVBand="0" w:evenVBand="0" w:oddHBand="0" w:evenHBand="0" w:firstRowFirstColumn="0" w:firstRowLastColumn="0" w:lastRowFirstColumn="0" w:lastRowLastColumn="0"/>
              <w:rPr>
                <w:b/>
                <w:bCs/>
                <w:color w:val="auto"/>
                <w:sz w:val="20"/>
                <w:lang w:eastAsia="lv-LV"/>
              </w:rPr>
            </w:pPr>
            <w:r>
              <w:rPr>
                <w:b/>
                <w:bCs/>
                <w:color w:val="auto"/>
                <w:sz w:val="20"/>
                <w:lang w:eastAsia="lv-LV"/>
              </w:rPr>
              <w:t>-0,31</w:t>
            </w:r>
          </w:p>
        </w:tc>
      </w:tr>
    </w:tbl>
    <w:p w14:paraId="5AE2872A" w14:textId="56C23706" w:rsidR="00E57139" w:rsidRDefault="00E57139" w:rsidP="00E57139">
      <w:pPr>
        <w:rPr>
          <w:lang w:eastAsia="x-none"/>
        </w:rPr>
      </w:pPr>
    </w:p>
    <w:p w14:paraId="0AFAD7BD" w14:textId="4366CF68" w:rsidR="00E57139" w:rsidRDefault="00E57139" w:rsidP="00E57139">
      <w:pPr>
        <w:rPr>
          <w:lang w:eastAsia="x-none"/>
        </w:rPr>
      </w:pPr>
    </w:p>
    <w:p w14:paraId="5A2F8E3D" w14:textId="77777777" w:rsidR="00314FA1" w:rsidRPr="00E57139" w:rsidRDefault="00314FA1" w:rsidP="00E57139">
      <w:pPr>
        <w:rPr>
          <w:lang w:eastAsia="x-none"/>
        </w:rPr>
        <w:sectPr w:rsidR="00314FA1" w:rsidRPr="00E57139" w:rsidSect="00925234">
          <w:pgSz w:w="16838" w:h="11906" w:orient="landscape"/>
          <w:pgMar w:top="1701" w:right="1418" w:bottom="1134" w:left="709" w:header="1077" w:footer="624" w:gutter="0"/>
          <w:cols w:space="708"/>
          <w:docGrid w:linePitch="360"/>
        </w:sectPr>
      </w:pPr>
    </w:p>
    <w:p w14:paraId="413EB0DB" w14:textId="77777777" w:rsidR="00375924" w:rsidRPr="001D5709" w:rsidRDefault="00375924" w:rsidP="0001052E">
      <w:pPr>
        <w:pStyle w:val="Heading1"/>
        <w:tabs>
          <w:tab w:val="left" w:pos="1276"/>
        </w:tabs>
        <w:spacing w:before="0" w:after="240"/>
        <w:ind w:left="1276" w:hanging="1276"/>
        <w:jc w:val="left"/>
        <w:rPr>
          <w:rFonts w:ascii="Times New Roman" w:hAnsi="Times New Roman"/>
          <w:color w:val="18185F"/>
          <w:sz w:val="24"/>
        </w:rPr>
      </w:pPr>
      <w:bookmarkStart w:id="29" w:name="_Toc494786360"/>
      <w:r w:rsidRPr="001D5709">
        <w:rPr>
          <w:rFonts w:ascii="Times New Roman" w:hAnsi="Times New Roman"/>
          <w:color w:val="18185F"/>
          <w:sz w:val="24"/>
        </w:rPr>
        <w:lastRenderedPageBreak/>
        <w:t>Tabula 6.a: Valstu specifiskās rekomendācijas</w:t>
      </w:r>
      <w:bookmarkEnd w:id="29"/>
    </w:p>
    <w:tbl>
      <w:tblPr>
        <w:tblStyle w:val="GridTable6Colorful-Accent11"/>
        <w:tblW w:w="15446" w:type="dxa"/>
        <w:tblLook w:val="04A0" w:firstRow="1" w:lastRow="0" w:firstColumn="1" w:lastColumn="0" w:noHBand="0" w:noVBand="1"/>
      </w:tblPr>
      <w:tblGrid>
        <w:gridCol w:w="704"/>
        <w:gridCol w:w="4253"/>
        <w:gridCol w:w="10489"/>
      </w:tblGrid>
      <w:tr w:rsidR="00465162" w:rsidRPr="00527336" w14:paraId="34234DFA" w14:textId="77777777" w:rsidTr="009F4532">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D0C3BDB" w14:textId="77777777" w:rsidR="00465162" w:rsidRPr="00527336" w:rsidRDefault="00465162" w:rsidP="009F4532">
            <w:pPr>
              <w:spacing w:after="0"/>
              <w:ind w:left="-5" w:firstLine="0"/>
              <w:jc w:val="center"/>
              <w:rPr>
                <w:b w:val="0"/>
                <w:color w:val="auto"/>
                <w:sz w:val="20"/>
              </w:rPr>
            </w:pPr>
            <w:r w:rsidRPr="00527336">
              <w:rPr>
                <w:color w:val="auto"/>
                <w:sz w:val="20"/>
              </w:rPr>
              <w:t>CSR Nr.</w:t>
            </w:r>
          </w:p>
        </w:tc>
        <w:tc>
          <w:tcPr>
            <w:tcW w:w="4253" w:type="dxa"/>
            <w:vAlign w:val="center"/>
          </w:tcPr>
          <w:p w14:paraId="49611B12" w14:textId="77777777" w:rsidR="00465162" w:rsidRPr="00527336" w:rsidRDefault="00465162" w:rsidP="009F4532">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527336">
              <w:rPr>
                <w:color w:val="auto"/>
                <w:sz w:val="20"/>
              </w:rPr>
              <w:t>Pasākumi</w:t>
            </w:r>
          </w:p>
        </w:tc>
        <w:tc>
          <w:tcPr>
            <w:tcW w:w="10489" w:type="dxa"/>
            <w:vAlign w:val="center"/>
          </w:tcPr>
          <w:p w14:paraId="2D586B90" w14:textId="77777777" w:rsidR="00465162" w:rsidRPr="00527336" w:rsidRDefault="00465162" w:rsidP="009F4532">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527336">
              <w:rPr>
                <w:color w:val="auto"/>
                <w:sz w:val="20"/>
              </w:rPr>
              <w:t>Apraksts</w:t>
            </w:r>
          </w:p>
        </w:tc>
      </w:tr>
      <w:tr w:rsidR="006B28DB" w:rsidRPr="00527336" w14:paraId="0E7A3D9A" w14:textId="77777777" w:rsidTr="001F7141">
        <w:trPr>
          <w:cnfStyle w:val="000000100000" w:firstRow="0" w:lastRow="0" w:firstColumn="0" w:lastColumn="0" w:oddVBand="0" w:evenVBand="0" w:oddHBand="1" w:evenHBand="0" w:firstRowFirstColumn="0" w:firstRowLastColumn="0" w:lastRowFirstColumn="0" w:lastRowLastColumn="0"/>
          <w:trHeight w:val="1706"/>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4973416B" w14:textId="77777777" w:rsidR="006B28DB" w:rsidRPr="00527336" w:rsidRDefault="006B28DB" w:rsidP="006B28DB">
            <w:pPr>
              <w:ind w:firstLine="0"/>
              <w:jc w:val="center"/>
              <w:rPr>
                <w:color w:val="auto"/>
                <w:sz w:val="20"/>
              </w:rPr>
            </w:pPr>
            <w:r w:rsidRPr="00527336">
              <w:rPr>
                <w:color w:val="auto"/>
                <w:sz w:val="20"/>
              </w:rPr>
              <w:t>1</w:t>
            </w:r>
          </w:p>
        </w:tc>
        <w:tc>
          <w:tcPr>
            <w:tcW w:w="4253" w:type="dxa"/>
          </w:tcPr>
          <w:p w14:paraId="65A1784A" w14:textId="53FAC9FF" w:rsidR="006B28DB" w:rsidRPr="006B28DB" w:rsidRDefault="006B28DB" w:rsidP="006B28DB">
            <w:pPr>
              <w:ind w:firstLine="0"/>
              <w:cnfStyle w:val="000000100000" w:firstRow="0" w:lastRow="0" w:firstColumn="0" w:lastColumn="0" w:oddVBand="0" w:evenVBand="0" w:oddHBand="1" w:evenHBand="0" w:firstRowFirstColumn="0" w:firstRowLastColumn="0" w:lastRowFirstColumn="0" w:lastRowLastColumn="0"/>
              <w:rPr>
                <w:color w:val="auto"/>
                <w:sz w:val="20"/>
              </w:rPr>
            </w:pPr>
            <w:r w:rsidRPr="006B28DB">
              <w:rPr>
                <w:color w:val="auto"/>
                <w:sz w:val="20"/>
                <w:szCs w:val="23"/>
              </w:rPr>
              <w:t xml:space="preserve">Īstenot savu fiskālo politiku atbilstīgi Stabilitātes un izaugsmes </w:t>
            </w:r>
            <w:proofErr w:type="spellStart"/>
            <w:r w:rsidRPr="006B28DB">
              <w:rPr>
                <w:color w:val="auto"/>
                <w:sz w:val="20"/>
                <w:szCs w:val="23"/>
              </w:rPr>
              <w:t>pakta</w:t>
            </w:r>
            <w:proofErr w:type="spellEnd"/>
            <w:r w:rsidRPr="006B28DB">
              <w:rPr>
                <w:color w:val="auto"/>
                <w:sz w:val="20"/>
                <w:szCs w:val="23"/>
              </w:rPr>
              <w:t xml:space="preserve"> preventīvās daļas prasībām, kas nozīmē 2018.gadā sasniegt savu vidējā termiņa budžeta mērķi, ņemot vērā pielaides saistībā ar sistēmiskās pensiju reformas un strukturālo reformu īstenošanu, attiecībā uz kurām ir piešķirtas pagaidu novirzes.</w:t>
            </w:r>
          </w:p>
        </w:tc>
        <w:tc>
          <w:tcPr>
            <w:tcW w:w="10489" w:type="dxa"/>
          </w:tcPr>
          <w:p w14:paraId="172BE278" w14:textId="7B047FFA" w:rsidR="009F4532" w:rsidRPr="00F92E2E" w:rsidRDefault="001137E4" w:rsidP="006B28D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F92E2E">
              <w:rPr>
                <w:color w:val="000000" w:themeColor="text1"/>
                <w:sz w:val="20"/>
              </w:rPr>
              <w:t>Likumprojekts “Par valsts budžetu 2018.gadam” un likumprojekts “Par vidēja termiņa budžeta ietvaru 2018., 2019. un 2020.gadam” ir izstrādāts atbilstoši Fiskālās disciplīnas likuma nosacījumiem, ņemot vērā Latvijai piešķirtās atkāp</w:t>
            </w:r>
            <w:r w:rsidR="00220758" w:rsidRPr="00F92E2E">
              <w:rPr>
                <w:color w:val="000000" w:themeColor="text1"/>
                <w:sz w:val="20"/>
              </w:rPr>
              <w:t>e</w:t>
            </w:r>
            <w:r w:rsidRPr="00F92E2E">
              <w:rPr>
                <w:color w:val="000000" w:themeColor="text1"/>
                <w:sz w:val="20"/>
              </w:rPr>
              <w:t xml:space="preserve">s no VTM, kas izriet no iemaksu palielināšanas 2.pensiju līmenī un saistībā ar veselības aprūpes sistēmas reformu. </w:t>
            </w:r>
            <w:r w:rsidR="00AF6FA5" w:rsidRPr="00F92E2E">
              <w:rPr>
                <w:color w:val="000000" w:themeColor="text1"/>
                <w:sz w:val="20"/>
              </w:rPr>
              <w:t>EK</w:t>
            </w:r>
            <w:r w:rsidR="009F4532" w:rsidRPr="00F92E2E">
              <w:rPr>
                <w:color w:val="000000" w:themeColor="text1"/>
                <w:sz w:val="20"/>
              </w:rPr>
              <w:t>, vērtējot Stabilitātes programmu 2017.-2020.gadam, vērsa uzmanību</w:t>
            </w:r>
            <w:r w:rsidR="008923EC" w:rsidRPr="00F92E2E">
              <w:rPr>
                <w:color w:val="000000" w:themeColor="text1"/>
                <w:sz w:val="20"/>
              </w:rPr>
              <w:t xml:space="preserve"> uz </w:t>
            </w:r>
            <w:r w:rsidR="00AF6FA5" w:rsidRPr="00F92E2E">
              <w:rPr>
                <w:color w:val="000000" w:themeColor="text1"/>
                <w:sz w:val="20"/>
              </w:rPr>
              <w:t xml:space="preserve">būtisku strukturālās budžeta bilances </w:t>
            </w:r>
            <w:r w:rsidR="008923EC" w:rsidRPr="00F92E2E">
              <w:rPr>
                <w:color w:val="000000" w:themeColor="text1"/>
                <w:sz w:val="20"/>
              </w:rPr>
              <w:t>novirzes</w:t>
            </w:r>
            <w:r w:rsidR="00AF6FA5" w:rsidRPr="00F92E2E">
              <w:rPr>
                <w:color w:val="000000" w:themeColor="text1"/>
                <w:sz w:val="20"/>
              </w:rPr>
              <w:t xml:space="preserve"> </w:t>
            </w:r>
            <w:r w:rsidR="008923EC" w:rsidRPr="00F92E2E">
              <w:rPr>
                <w:color w:val="000000" w:themeColor="text1"/>
                <w:sz w:val="20"/>
              </w:rPr>
              <w:t xml:space="preserve">risku 2018.gadā. </w:t>
            </w:r>
          </w:p>
          <w:p w14:paraId="7E90A797" w14:textId="28C00769" w:rsidR="006B28DB" w:rsidRPr="001137E4" w:rsidRDefault="001137E4" w:rsidP="002D47A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0"/>
                <w:highlight w:val="yellow"/>
              </w:rPr>
            </w:pPr>
            <w:r w:rsidRPr="00F92E2E">
              <w:rPr>
                <w:color w:val="000000" w:themeColor="text1"/>
                <w:sz w:val="20"/>
              </w:rPr>
              <w:t>V</w:t>
            </w:r>
            <w:r w:rsidR="006B28DB" w:rsidRPr="00F92E2E">
              <w:rPr>
                <w:color w:val="000000" w:themeColor="text1"/>
                <w:sz w:val="20"/>
              </w:rPr>
              <w:t xml:space="preserve">ispārējas valdības budžeta </w:t>
            </w:r>
            <w:r w:rsidRPr="00F92E2E">
              <w:rPr>
                <w:color w:val="000000" w:themeColor="text1"/>
                <w:sz w:val="20"/>
              </w:rPr>
              <w:t>strukturālā deficīta mērķis 2018</w:t>
            </w:r>
            <w:r w:rsidR="006B28DB" w:rsidRPr="00F92E2E">
              <w:rPr>
                <w:color w:val="000000" w:themeColor="text1"/>
                <w:sz w:val="20"/>
              </w:rPr>
              <w:t xml:space="preserve">.gadam </w:t>
            </w:r>
            <w:r w:rsidR="002D47AE" w:rsidRPr="00F92E2E">
              <w:rPr>
                <w:color w:val="000000" w:themeColor="text1"/>
                <w:sz w:val="20"/>
              </w:rPr>
              <w:t>ir</w:t>
            </w:r>
            <w:r w:rsidR="006B28DB" w:rsidRPr="00F92E2E">
              <w:rPr>
                <w:color w:val="000000" w:themeColor="text1"/>
                <w:sz w:val="20"/>
              </w:rPr>
              <w:t xml:space="preserve"> 1,</w:t>
            </w:r>
            <w:r w:rsidRPr="00F92E2E">
              <w:rPr>
                <w:color w:val="000000" w:themeColor="text1"/>
                <w:sz w:val="20"/>
              </w:rPr>
              <w:t>2</w:t>
            </w:r>
            <w:r w:rsidR="006B28DB" w:rsidRPr="00F92E2E">
              <w:rPr>
                <w:color w:val="000000" w:themeColor="text1"/>
                <w:sz w:val="20"/>
              </w:rPr>
              <w:t xml:space="preserve">% no IKP, kas ir </w:t>
            </w:r>
            <w:r w:rsidRPr="00F92E2E">
              <w:rPr>
                <w:color w:val="000000" w:themeColor="text1"/>
                <w:sz w:val="20"/>
              </w:rPr>
              <w:t xml:space="preserve">par 0,5% mazāks nekā tas tika noteikts Stabilitātes programmā 2017.-2020.gadam. </w:t>
            </w:r>
            <w:r w:rsidR="00A64E90" w:rsidRPr="00F92E2E">
              <w:rPr>
                <w:color w:val="000000" w:themeColor="text1"/>
                <w:sz w:val="20"/>
              </w:rPr>
              <w:t>Vienlaikus vispārējās valdības</w:t>
            </w:r>
            <w:r w:rsidR="0037618B" w:rsidRPr="00F92E2E">
              <w:rPr>
                <w:color w:val="000000" w:themeColor="text1"/>
                <w:sz w:val="20"/>
              </w:rPr>
              <w:t xml:space="preserve"> nominālais deficīts 2018.gadā </w:t>
            </w:r>
            <w:r w:rsidR="006D64B9" w:rsidRPr="00F92E2E">
              <w:rPr>
                <w:color w:val="000000" w:themeColor="text1"/>
                <w:sz w:val="20"/>
              </w:rPr>
              <w:t>ir 1,0</w:t>
            </w:r>
            <w:r w:rsidR="00A64E90" w:rsidRPr="00F92E2E">
              <w:rPr>
                <w:color w:val="000000" w:themeColor="text1"/>
                <w:sz w:val="20"/>
              </w:rPr>
              <w:t>% no IKP, kas saskaņā ar Latvijas prognozēm ļauj nodrošināt EK fiskālajā rekomendācijā noteikto</w:t>
            </w:r>
            <w:r w:rsidR="0037618B" w:rsidRPr="00F92E2E">
              <w:rPr>
                <w:color w:val="000000" w:themeColor="text1"/>
                <w:sz w:val="20"/>
              </w:rPr>
              <w:t>.</w:t>
            </w:r>
            <w:r w:rsidR="00A64E90" w:rsidRPr="00F92E2E">
              <w:rPr>
                <w:color w:val="000000" w:themeColor="text1"/>
                <w:sz w:val="20"/>
              </w:rPr>
              <w:t xml:space="preserve"> </w:t>
            </w:r>
            <w:r w:rsidRPr="00F92E2E">
              <w:rPr>
                <w:color w:val="000000" w:themeColor="text1"/>
                <w:sz w:val="20"/>
              </w:rPr>
              <w:t>Līdz ar to tiek novēr</w:t>
            </w:r>
            <w:r w:rsidR="00220758" w:rsidRPr="00F92E2E">
              <w:rPr>
                <w:color w:val="000000" w:themeColor="text1"/>
                <w:sz w:val="20"/>
              </w:rPr>
              <w:t>s</w:t>
            </w:r>
            <w:r w:rsidRPr="00F92E2E">
              <w:rPr>
                <w:color w:val="000000" w:themeColor="text1"/>
                <w:sz w:val="20"/>
              </w:rPr>
              <w:t>ts būtisks novirzes risks 2018.gadā.</w:t>
            </w:r>
          </w:p>
        </w:tc>
      </w:tr>
      <w:tr w:rsidR="006B28DB" w:rsidRPr="00527336" w14:paraId="1F7CC923" w14:textId="77777777" w:rsidTr="006B28DB">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0299E63C" w14:textId="77777777" w:rsidR="006B28DB" w:rsidRPr="00527336" w:rsidRDefault="006B28DB" w:rsidP="006B28DB">
            <w:pPr>
              <w:jc w:val="center"/>
              <w:rPr>
                <w:color w:val="auto"/>
                <w:sz w:val="20"/>
              </w:rPr>
            </w:pPr>
          </w:p>
        </w:tc>
        <w:tc>
          <w:tcPr>
            <w:tcW w:w="4253" w:type="dxa"/>
          </w:tcPr>
          <w:p w14:paraId="6522427E" w14:textId="21161B70" w:rsidR="006B28DB" w:rsidRPr="00AE561E" w:rsidRDefault="006B28DB" w:rsidP="00AE561E">
            <w:pPr>
              <w:spacing w:after="0"/>
              <w:ind w:firstLine="0"/>
              <w:cnfStyle w:val="000000000000" w:firstRow="0" w:lastRow="0" w:firstColumn="0" w:lastColumn="0" w:oddVBand="0" w:evenVBand="0" w:oddHBand="0" w:evenHBand="0" w:firstRowFirstColumn="0" w:firstRowLastColumn="0" w:lastRowFirstColumn="0" w:lastRowLastColumn="0"/>
              <w:rPr>
                <w:color w:val="auto"/>
                <w:sz w:val="20"/>
              </w:rPr>
            </w:pPr>
            <w:r w:rsidRPr="00AE561E">
              <w:rPr>
                <w:color w:val="auto"/>
                <w:sz w:val="20"/>
              </w:rPr>
              <w:t>Samazināt nodokļus zema atalgojuma saņēmējiem, novirzot nodokļus uz citiem avotiem, kas ir mazāk kaitējoši izaugsmei, un uzlabojot nodokļu saistību izpildi.</w:t>
            </w:r>
          </w:p>
        </w:tc>
        <w:tc>
          <w:tcPr>
            <w:tcW w:w="10489" w:type="dxa"/>
          </w:tcPr>
          <w:p w14:paraId="2DDC38CB" w14:textId="77777777" w:rsidR="00AE561E" w:rsidRPr="00AE561E" w:rsidRDefault="00AE561E" w:rsidP="00AE561E">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No 2018.gada 1.janvāra stāsies spēkā virkne likumdošanas izmaiņu, kas mazinās darbaspēka nodokļu slogu zema atalgojuma saņēmējiem. Proti:</w:t>
            </w:r>
          </w:p>
          <w:p w14:paraId="747B85AE" w14:textId="6565F4F4"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ieviešot progresīvās </w:t>
            </w:r>
            <w:r w:rsidR="001A1170">
              <w:rPr>
                <w:color w:val="auto"/>
                <w:sz w:val="20"/>
                <w:szCs w:val="20"/>
              </w:rPr>
              <w:t>IIN</w:t>
            </w:r>
            <w:r w:rsidRPr="00AE561E">
              <w:rPr>
                <w:color w:val="auto"/>
                <w:sz w:val="20"/>
                <w:szCs w:val="20"/>
              </w:rPr>
              <w:t xml:space="preserve"> likmes (pašreiz likme ir 23%):</w:t>
            </w:r>
          </w:p>
          <w:p w14:paraId="41C45E6B" w14:textId="77777777" w:rsidR="00AE561E" w:rsidRPr="00AE561E" w:rsidRDefault="002E22AB"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hyperlink r:id="rId57" w:history="1">
              <w:r w:rsidR="00AE561E" w:rsidRPr="00A273A1">
                <w:rPr>
                  <w:rStyle w:val="Hyperlink"/>
                  <w:color w:val="auto"/>
                  <w:sz w:val="20"/>
                  <w:szCs w:val="20"/>
                  <w:u w:val="none"/>
                </w:rPr>
                <w:t xml:space="preserve">20%  – ienākumiem līdz 20 000 </w:t>
              </w:r>
              <w:proofErr w:type="spellStart"/>
              <w:r w:rsidR="00AE561E" w:rsidRPr="00A273A1">
                <w:rPr>
                  <w:rStyle w:val="Hyperlink"/>
                  <w:i/>
                  <w:color w:val="auto"/>
                  <w:sz w:val="20"/>
                  <w:szCs w:val="20"/>
                  <w:u w:val="none"/>
                </w:rPr>
                <w:t>euro</w:t>
              </w:r>
              <w:proofErr w:type="spellEnd"/>
              <w:r w:rsidR="00AE561E" w:rsidRPr="00A273A1">
                <w:rPr>
                  <w:rStyle w:val="Hyperlink"/>
                  <w:color w:val="auto"/>
                  <w:sz w:val="20"/>
                  <w:szCs w:val="20"/>
                  <w:u w:val="none"/>
                </w:rPr>
                <w:t xml:space="preserve"> gadā</w:t>
              </w:r>
            </w:hyperlink>
            <w:r w:rsidR="00AE561E" w:rsidRPr="00AE561E">
              <w:rPr>
                <w:color w:val="auto"/>
                <w:sz w:val="20"/>
                <w:szCs w:val="20"/>
              </w:rPr>
              <w:t xml:space="preserve">; </w:t>
            </w:r>
          </w:p>
          <w:p w14:paraId="2567129A" w14:textId="77777777" w:rsidR="00AE561E" w:rsidRPr="00AE561E" w:rsidRDefault="00AE561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bCs/>
                <w:color w:val="auto"/>
                <w:sz w:val="20"/>
                <w:szCs w:val="20"/>
              </w:rPr>
              <w:t>23%</w:t>
            </w:r>
            <w:r w:rsidRPr="00AE561E">
              <w:rPr>
                <w:b/>
                <w:bCs/>
                <w:color w:val="auto"/>
                <w:sz w:val="20"/>
                <w:szCs w:val="20"/>
              </w:rPr>
              <w:t xml:space="preserve"> </w:t>
            </w:r>
            <w:r w:rsidRPr="00AE561E">
              <w:rPr>
                <w:color w:val="auto"/>
                <w:sz w:val="20"/>
                <w:szCs w:val="20"/>
              </w:rPr>
              <w:t xml:space="preserve">– ienākumiem no 20 000,01 līdz 55 000 </w:t>
            </w:r>
            <w:proofErr w:type="spellStart"/>
            <w:r w:rsidRPr="00AE561E">
              <w:rPr>
                <w:i/>
                <w:iCs/>
                <w:color w:val="auto"/>
                <w:sz w:val="20"/>
                <w:szCs w:val="20"/>
              </w:rPr>
              <w:t>euro</w:t>
            </w:r>
            <w:proofErr w:type="spellEnd"/>
            <w:r w:rsidRPr="00AE561E">
              <w:rPr>
                <w:color w:val="auto"/>
                <w:sz w:val="20"/>
                <w:szCs w:val="20"/>
              </w:rPr>
              <w:t xml:space="preserve"> gadā (pārsniegumam);</w:t>
            </w:r>
          </w:p>
          <w:p w14:paraId="7E416EB7" w14:textId="77777777" w:rsidR="00AE561E" w:rsidRPr="00AE561E" w:rsidRDefault="00AE561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31,4% – ienākumiem virs 55 000,01 </w:t>
            </w:r>
            <w:proofErr w:type="spellStart"/>
            <w:r w:rsidRPr="00AE561E">
              <w:rPr>
                <w:i/>
                <w:color w:val="auto"/>
                <w:sz w:val="20"/>
                <w:szCs w:val="20"/>
              </w:rPr>
              <w:t>euro</w:t>
            </w:r>
            <w:proofErr w:type="spellEnd"/>
            <w:r w:rsidRPr="00AE561E">
              <w:rPr>
                <w:color w:val="auto"/>
                <w:sz w:val="20"/>
                <w:szCs w:val="20"/>
              </w:rPr>
              <w:t xml:space="preserve"> gadā (pārsniegumam);</w:t>
            </w:r>
          </w:p>
          <w:p w14:paraId="2F415B57" w14:textId="07BF3B89"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būtiski paaugstinot ar </w:t>
            </w:r>
            <w:r w:rsidR="00B1224E">
              <w:rPr>
                <w:color w:val="auto"/>
                <w:sz w:val="20"/>
                <w:szCs w:val="20"/>
              </w:rPr>
              <w:t>IIN</w:t>
            </w:r>
            <w:r w:rsidRPr="00AE561E">
              <w:rPr>
                <w:color w:val="auto"/>
                <w:sz w:val="20"/>
                <w:szCs w:val="20"/>
              </w:rPr>
              <w:t xml:space="preserve"> neapliekamo diferencēto minimumu (atsakoties no diferencētā neapliekamā minimuma piemērošanas rezumējošā kārtība, un katru mēnesi piemērojot to pilnā apmērā jau taksācijas gada laikā): </w:t>
            </w:r>
            <w:r w:rsidRPr="00FE00D0">
              <w:rPr>
                <w:color w:val="auto"/>
                <w:sz w:val="20"/>
                <w:szCs w:val="20"/>
              </w:rPr>
              <w:t xml:space="preserve">2018.gadā atkarībā no ienākuma līmeņa tas svārstīsies no 0 līdz 200 </w:t>
            </w:r>
            <w:proofErr w:type="spellStart"/>
            <w:r w:rsidRPr="00FE00D0">
              <w:rPr>
                <w:i/>
                <w:color w:val="auto"/>
                <w:sz w:val="20"/>
                <w:szCs w:val="20"/>
              </w:rPr>
              <w:t>euro</w:t>
            </w:r>
            <w:proofErr w:type="spellEnd"/>
            <w:r w:rsidRPr="00FE00D0">
              <w:rPr>
                <w:color w:val="auto"/>
                <w:sz w:val="20"/>
                <w:szCs w:val="20"/>
              </w:rPr>
              <w:t xml:space="preserve"> mēnesī, 2019.gadā – no 0 līdz 230 </w:t>
            </w:r>
            <w:proofErr w:type="spellStart"/>
            <w:r w:rsidRPr="00FE00D0">
              <w:rPr>
                <w:i/>
                <w:color w:val="auto"/>
                <w:sz w:val="20"/>
                <w:szCs w:val="20"/>
              </w:rPr>
              <w:t>euro</w:t>
            </w:r>
            <w:proofErr w:type="spellEnd"/>
            <w:r w:rsidRPr="00FE00D0">
              <w:rPr>
                <w:color w:val="auto"/>
                <w:sz w:val="20"/>
                <w:szCs w:val="20"/>
              </w:rPr>
              <w:t xml:space="preserve"> mēnesī un 2020.gadā - no 0 līdz 250 </w:t>
            </w:r>
            <w:proofErr w:type="spellStart"/>
            <w:r w:rsidRPr="00FE00D0">
              <w:rPr>
                <w:i/>
                <w:color w:val="auto"/>
                <w:sz w:val="20"/>
                <w:szCs w:val="20"/>
              </w:rPr>
              <w:t>euro</w:t>
            </w:r>
            <w:proofErr w:type="spellEnd"/>
            <w:r w:rsidRPr="00FE00D0">
              <w:rPr>
                <w:color w:val="auto"/>
                <w:sz w:val="20"/>
                <w:szCs w:val="20"/>
              </w:rPr>
              <w:t xml:space="preserve"> mēnesī;</w:t>
            </w:r>
          </w:p>
          <w:p w14:paraId="7959F1FE" w14:textId="77777777"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paaugstinot atvieglojumu par apgādībā esošu personu uz 200 </w:t>
            </w:r>
            <w:proofErr w:type="spellStart"/>
            <w:r w:rsidRPr="00FE00D0">
              <w:rPr>
                <w:i/>
                <w:color w:val="auto"/>
                <w:sz w:val="20"/>
                <w:szCs w:val="20"/>
              </w:rPr>
              <w:t>euro</w:t>
            </w:r>
            <w:proofErr w:type="spellEnd"/>
            <w:r w:rsidRPr="00AE561E">
              <w:rPr>
                <w:color w:val="auto"/>
                <w:sz w:val="20"/>
                <w:szCs w:val="20"/>
              </w:rPr>
              <w:t xml:space="preserve"> mēnesī 2018.gadā, 230 </w:t>
            </w:r>
            <w:proofErr w:type="spellStart"/>
            <w:r w:rsidRPr="00FE00D0">
              <w:rPr>
                <w:i/>
                <w:color w:val="auto"/>
                <w:sz w:val="20"/>
                <w:szCs w:val="20"/>
              </w:rPr>
              <w:t>euro</w:t>
            </w:r>
            <w:proofErr w:type="spellEnd"/>
            <w:r w:rsidRPr="00AE561E">
              <w:rPr>
                <w:color w:val="auto"/>
                <w:sz w:val="20"/>
                <w:szCs w:val="20"/>
              </w:rPr>
              <w:t xml:space="preserve"> mēnesī 2019.gadā un 250 </w:t>
            </w:r>
            <w:proofErr w:type="spellStart"/>
            <w:r w:rsidRPr="00FE00D0">
              <w:rPr>
                <w:i/>
                <w:color w:val="auto"/>
                <w:sz w:val="20"/>
                <w:szCs w:val="20"/>
              </w:rPr>
              <w:t>euro</w:t>
            </w:r>
            <w:proofErr w:type="spellEnd"/>
            <w:r w:rsidRPr="00AE561E">
              <w:rPr>
                <w:color w:val="auto"/>
                <w:sz w:val="20"/>
                <w:szCs w:val="20"/>
              </w:rPr>
              <w:t xml:space="preserve"> mēnesī 2020.gadā (pašlaik 175 </w:t>
            </w:r>
            <w:proofErr w:type="spellStart"/>
            <w:r w:rsidRPr="00FE00D0">
              <w:rPr>
                <w:i/>
                <w:color w:val="auto"/>
                <w:sz w:val="20"/>
                <w:szCs w:val="20"/>
              </w:rPr>
              <w:t>euro</w:t>
            </w:r>
            <w:proofErr w:type="spellEnd"/>
            <w:r w:rsidRPr="00AE561E">
              <w:rPr>
                <w:color w:val="auto"/>
                <w:sz w:val="20"/>
                <w:szCs w:val="20"/>
              </w:rPr>
              <w:t xml:space="preserve"> mēnesī). Turklāt no 2018.gada 1.jūlija atvieglojums par apgādībā esošām personām tiek piešķirts arī par nestrādājošiem laulātiem, kuru apgādībā ir bērni;</w:t>
            </w:r>
          </w:p>
          <w:p w14:paraId="0AA591DE" w14:textId="77777777"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paaugstinot minimālo mēneša darba algu līdz 430 </w:t>
            </w:r>
            <w:proofErr w:type="spellStart"/>
            <w:r w:rsidRPr="00FE00D0">
              <w:rPr>
                <w:i/>
                <w:color w:val="auto"/>
                <w:sz w:val="20"/>
                <w:szCs w:val="20"/>
              </w:rPr>
              <w:t>euro</w:t>
            </w:r>
            <w:proofErr w:type="spellEnd"/>
            <w:r w:rsidRPr="00AE561E">
              <w:rPr>
                <w:color w:val="auto"/>
                <w:sz w:val="20"/>
                <w:szCs w:val="20"/>
              </w:rPr>
              <w:t xml:space="preserve"> (pašlaik 380 </w:t>
            </w:r>
            <w:proofErr w:type="spellStart"/>
            <w:r w:rsidRPr="00FE00D0">
              <w:rPr>
                <w:i/>
                <w:color w:val="auto"/>
                <w:sz w:val="20"/>
                <w:szCs w:val="20"/>
              </w:rPr>
              <w:t>euro</w:t>
            </w:r>
            <w:proofErr w:type="spellEnd"/>
            <w:r w:rsidRPr="00AE561E">
              <w:rPr>
                <w:color w:val="auto"/>
                <w:sz w:val="20"/>
                <w:szCs w:val="20"/>
              </w:rPr>
              <w:t>);</w:t>
            </w:r>
          </w:p>
          <w:p w14:paraId="0CD9970B" w14:textId="77777777"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paaugstinot neapliekamo minimumu pensionāriem līdz 250 </w:t>
            </w:r>
            <w:proofErr w:type="spellStart"/>
            <w:r w:rsidRPr="00FE00D0">
              <w:rPr>
                <w:i/>
                <w:color w:val="auto"/>
                <w:sz w:val="20"/>
                <w:szCs w:val="20"/>
              </w:rPr>
              <w:t>euro</w:t>
            </w:r>
            <w:proofErr w:type="spellEnd"/>
            <w:r w:rsidRPr="00AE561E">
              <w:rPr>
                <w:color w:val="auto"/>
                <w:sz w:val="20"/>
                <w:szCs w:val="20"/>
              </w:rPr>
              <w:t xml:space="preserve"> mēnesī 2018.gadā, 270 </w:t>
            </w:r>
            <w:proofErr w:type="spellStart"/>
            <w:r w:rsidRPr="00FE00D0">
              <w:rPr>
                <w:i/>
                <w:color w:val="auto"/>
                <w:sz w:val="20"/>
                <w:szCs w:val="20"/>
              </w:rPr>
              <w:t>euro</w:t>
            </w:r>
            <w:proofErr w:type="spellEnd"/>
            <w:r w:rsidRPr="00AE561E">
              <w:rPr>
                <w:color w:val="auto"/>
                <w:sz w:val="20"/>
                <w:szCs w:val="20"/>
              </w:rPr>
              <w:t xml:space="preserve"> mēnesī 2019.gadā un 300 </w:t>
            </w:r>
            <w:proofErr w:type="spellStart"/>
            <w:r w:rsidRPr="00FE00D0">
              <w:rPr>
                <w:i/>
                <w:color w:val="auto"/>
                <w:sz w:val="20"/>
                <w:szCs w:val="20"/>
              </w:rPr>
              <w:t>euro</w:t>
            </w:r>
            <w:proofErr w:type="spellEnd"/>
            <w:r w:rsidRPr="00AE561E">
              <w:rPr>
                <w:color w:val="auto"/>
                <w:sz w:val="20"/>
                <w:szCs w:val="20"/>
              </w:rPr>
              <w:t xml:space="preserve"> mēnesī 2020.gadā (pašlaik 235 </w:t>
            </w:r>
            <w:proofErr w:type="spellStart"/>
            <w:r w:rsidRPr="00FE00D0">
              <w:rPr>
                <w:i/>
                <w:color w:val="auto"/>
                <w:sz w:val="20"/>
                <w:szCs w:val="20"/>
              </w:rPr>
              <w:t>euro</w:t>
            </w:r>
            <w:proofErr w:type="spellEnd"/>
            <w:r w:rsidRPr="00AE561E">
              <w:rPr>
                <w:color w:val="auto"/>
                <w:sz w:val="20"/>
                <w:szCs w:val="20"/>
              </w:rPr>
              <w:t xml:space="preserve"> mēnesī).</w:t>
            </w:r>
          </w:p>
          <w:p w14:paraId="1284269D" w14:textId="77777777" w:rsidR="00AE561E" w:rsidRPr="00AE561E" w:rsidRDefault="00AE561E" w:rsidP="00AE561E">
            <w:pPr>
              <w:pStyle w:val="NormalWeb"/>
              <w:shd w:val="clear" w:color="auto" w:fill="FFFFFF" w:themeFill="background1"/>
              <w:tabs>
                <w:tab w:val="left" w:pos="1418"/>
              </w:tabs>
              <w:spacing w:before="0" w:beforeAutospacing="0" w:after="0" w:afterAutospacing="0"/>
              <w:ind w:left="900"/>
              <w:jc w:val="both"/>
              <w:cnfStyle w:val="000000000000" w:firstRow="0" w:lastRow="0" w:firstColumn="0" w:lastColumn="0" w:oddVBand="0" w:evenVBand="0" w:oddHBand="0" w:evenHBand="0" w:firstRowFirstColumn="0" w:firstRowLastColumn="0" w:lastRowFirstColumn="0" w:lastRowLastColumn="0"/>
              <w:rPr>
                <w:color w:val="auto"/>
                <w:sz w:val="20"/>
                <w:szCs w:val="20"/>
              </w:rPr>
            </w:pPr>
          </w:p>
          <w:p w14:paraId="72CA0F8D" w14:textId="77777777" w:rsidR="00AE561E" w:rsidRPr="00AE561E" w:rsidRDefault="00AE561E" w:rsidP="00AE561E">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AE561E">
              <w:rPr>
                <w:color w:val="auto"/>
                <w:sz w:val="20"/>
              </w:rPr>
              <w:t>Iepriekšminētās izmaiņas samazina kopējus nodokļu ieņēmumus valstī no darbaspēka nodokļiem, tāpēc vienlaikus tiek īstenoti šādi pasākumi, kuru mērķis ir nodrošināt nodokļa sloga pārvirzi no darba spēka uz patēriņu un kapitālu:</w:t>
            </w:r>
          </w:p>
          <w:p w14:paraId="4CC38F1B" w14:textId="77777777"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sakārtojot nekustamā īpašuma kadastrālās vērtības un pārskatot atsevišķu nekustamo īpašumu pielietojuma kategorijas;</w:t>
            </w:r>
          </w:p>
          <w:p w14:paraId="0555D475" w14:textId="77777777"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par 30% paaugstinot azartspēļu nodokļa likmes</w:t>
            </w:r>
            <w:r w:rsidRPr="00FE00D0">
              <w:rPr>
                <w:color w:val="auto"/>
                <w:sz w:val="20"/>
                <w:szCs w:val="20"/>
              </w:rPr>
              <w:t xml:space="preserve"> </w:t>
            </w:r>
            <w:r w:rsidRPr="00AE561E">
              <w:rPr>
                <w:color w:val="auto"/>
                <w:sz w:val="20"/>
                <w:szCs w:val="20"/>
              </w:rPr>
              <w:t xml:space="preserve">automātiem un spēļu galdiem; </w:t>
            </w:r>
          </w:p>
          <w:p w14:paraId="48C43138" w14:textId="77777777"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pakāpeniski paaugstinot akcīzes nodokļa likmes, saskaņojot tās ar nozares organizācijām un ņemot vērā akcīzes nodokļa likmju izmaiņas pārējās Baltijas valstīs;</w:t>
            </w:r>
          </w:p>
          <w:p w14:paraId="29A10B56" w14:textId="5C1D858C"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nosakot ierobežojumus </w:t>
            </w:r>
            <w:r w:rsidR="00111079">
              <w:rPr>
                <w:color w:val="auto"/>
                <w:sz w:val="20"/>
                <w:szCs w:val="20"/>
              </w:rPr>
              <w:t>IIN</w:t>
            </w:r>
            <w:r w:rsidRPr="00AE561E">
              <w:rPr>
                <w:color w:val="auto"/>
                <w:sz w:val="20"/>
                <w:szCs w:val="20"/>
              </w:rPr>
              <w:t xml:space="preserve"> attaisnotajiem izdevumiem;</w:t>
            </w:r>
          </w:p>
          <w:p w14:paraId="223C9B7D" w14:textId="79CC6C98"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saglabājot līdzšinējo </w:t>
            </w:r>
            <w:r w:rsidR="00111079">
              <w:rPr>
                <w:color w:val="auto"/>
                <w:sz w:val="20"/>
                <w:szCs w:val="20"/>
              </w:rPr>
              <w:t>TEN</w:t>
            </w:r>
            <w:r w:rsidRPr="00AE561E">
              <w:rPr>
                <w:color w:val="auto"/>
                <w:sz w:val="20"/>
                <w:szCs w:val="20"/>
              </w:rPr>
              <w:t xml:space="preserve"> maksāšanas kārtību arī 2019.gadā un turpmāk.</w:t>
            </w:r>
          </w:p>
          <w:p w14:paraId="6964CBEC" w14:textId="2D75BEE2" w:rsidR="00AE561E" w:rsidRPr="00AE561E" w:rsidRDefault="00AE561E" w:rsidP="00AE561E">
            <w:pPr>
              <w:tabs>
                <w:tab w:val="left" w:pos="993"/>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AE561E">
              <w:rPr>
                <w:color w:val="auto"/>
                <w:sz w:val="20"/>
              </w:rPr>
              <w:lastRenderedPageBreak/>
              <w:t>Ārpus nodokļu struktūras pasākumiem tiek rosināts pil</w:t>
            </w:r>
            <w:r w:rsidR="00FE00D0">
              <w:rPr>
                <w:color w:val="auto"/>
                <w:sz w:val="20"/>
              </w:rPr>
              <w:t>nveidot nodokļu administrēšanas</w:t>
            </w:r>
            <w:r w:rsidRPr="00AE561E">
              <w:rPr>
                <w:color w:val="auto"/>
                <w:sz w:val="20"/>
              </w:rPr>
              <w:t xml:space="preserve"> pasākumus un nodrošināt aktīvāku ēnu ekonomikas apkarošanu:</w:t>
            </w:r>
          </w:p>
          <w:p w14:paraId="5AF007CE" w14:textId="77777777"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īstenojot ēnu ekonomikas apkarošanas pasākumus, kuru pamatvirzieni izriet no ēnu ekonomikas apkarošanas plāna. Galvenie virzieni ēnu ekonomikas apkarošanai ir:</w:t>
            </w:r>
          </w:p>
          <w:p w14:paraId="45685954" w14:textId="0DC9339F" w:rsidR="00AE561E" w:rsidRPr="00AE561E" w:rsidRDefault="00B1224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PVN</w:t>
            </w:r>
            <w:r w:rsidR="00AE561E" w:rsidRPr="00AE561E">
              <w:rPr>
                <w:color w:val="auto"/>
                <w:sz w:val="20"/>
                <w:szCs w:val="20"/>
              </w:rPr>
              <w:t xml:space="preserve"> reversās maksāšanas kārtības piemērošanas paplašināšana (būvmateriālu,  sadzīves tehnikas un metālizstrādājumu tirdzniecībā);</w:t>
            </w:r>
          </w:p>
          <w:p w14:paraId="4F37D025" w14:textId="77777777" w:rsidR="00AE561E" w:rsidRPr="00AE561E" w:rsidRDefault="00AE561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reģistrācijas VID pievienotās vērtības nodokļa maksātāju reģistrā sliekšņa samazināšana no 50 000 </w:t>
            </w:r>
            <w:proofErr w:type="spellStart"/>
            <w:r w:rsidRPr="00FE00D0">
              <w:rPr>
                <w:i/>
                <w:color w:val="auto"/>
                <w:sz w:val="20"/>
                <w:szCs w:val="20"/>
              </w:rPr>
              <w:t>euro</w:t>
            </w:r>
            <w:proofErr w:type="spellEnd"/>
            <w:r w:rsidRPr="00AE561E">
              <w:rPr>
                <w:color w:val="auto"/>
                <w:sz w:val="20"/>
                <w:szCs w:val="20"/>
              </w:rPr>
              <w:t xml:space="preserve"> uz 40 000 </w:t>
            </w:r>
            <w:proofErr w:type="spellStart"/>
            <w:r w:rsidRPr="00FE00D0">
              <w:rPr>
                <w:i/>
                <w:color w:val="auto"/>
                <w:sz w:val="20"/>
                <w:szCs w:val="20"/>
              </w:rPr>
              <w:t>euro</w:t>
            </w:r>
            <w:proofErr w:type="spellEnd"/>
            <w:r w:rsidRPr="00AE561E">
              <w:rPr>
                <w:color w:val="auto"/>
                <w:sz w:val="20"/>
                <w:szCs w:val="20"/>
              </w:rPr>
              <w:t>;</w:t>
            </w:r>
          </w:p>
          <w:p w14:paraId="2B38F31C" w14:textId="3D30F81C" w:rsidR="00AE561E" w:rsidRPr="00AE561E" w:rsidRDefault="00B1224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PVN</w:t>
            </w:r>
            <w:r w:rsidR="00AE561E" w:rsidRPr="00AE561E">
              <w:rPr>
                <w:color w:val="auto"/>
                <w:sz w:val="20"/>
                <w:szCs w:val="20"/>
              </w:rPr>
              <w:t xml:space="preserve"> deklarācijā atšifrējamo darījumu sliekšņa samazināšana no 1430 </w:t>
            </w:r>
            <w:proofErr w:type="spellStart"/>
            <w:r w:rsidR="00AE561E" w:rsidRPr="00FE00D0">
              <w:rPr>
                <w:i/>
                <w:color w:val="auto"/>
                <w:sz w:val="20"/>
                <w:szCs w:val="20"/>
              </w:rPr>
              <w:t>euro</w:t>
            </w:r>
            <w:proofErr w:type="spellEnd"/>
            <w:r w:rsidR="00AE561E" w:rsidRPr="00AE561E">
              <w:rPr>
                <w:color w:val="auto"/>
                <w:sz w:val="20"/>
                <w:szCs w:val="20"/>
              </w:rPr>
              <w:t xml:space="preserve"> uz 150 </w:t>
            </w:r>
            <w:proofErr w:type="spellStart"/>
            <w:r w:rsidR="00AE561E" w:rsidRPr="00FE00D0">
              <w:rPr>
                <w:i/>
                <w:color w:val="auto"/>
                <w:sz w:val="20"/>
                <w:szCs w:val="20"/>
              </w:rPr>
              <w:t>euro</w:t>
            </w:r>
            <w:proofErr w:type="spellEnd"/>
            <w:r w:rsidR="00AE561E" w:rsidRPr="00AE561E">
              <w:rPr>
                <w:color w:val="auto"/>
                <w:sz w:val="20"/>
                <w:szCs w:val="20"/>
              </w:rPr>
              <w:t>;</w:t>
            </w:r>
          </w:p>
          <w:p w14:paraId="42D34094" w14:textId="77777777" w:rsidR="00AE561E" w:rsidRPr="00AE561E" w:rsidRDefault="00AE561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tiešsaistes tirdzniecības darījumu reģistra ieviešana u.c.; </w:t>
            </w:r>
          </w:p>
          <w:p w14:paraId="3D614B94" w14:textId="77777777" w:rsidR="00AE561E" w:rsidRPr="00AE561E" w:rsidRDefault="00AE561E" w:rsidP="00FE00D0">
            <w:pPr>
              <w:pStyle w:val="NormalWeb"/>
              <w:numPr>
                <w:ilvl w:val="0"/>
                <w:numId w:val="32"/>
              </w:numPr>
              <w:shd w:val="clear" w:color="auto" w:fill="FFFFFF" w:themeFill="background1"/>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īstenojot nodokļu administrēšanas pasākumus, galvenie no tiem:</w:t>
            </w:r>
          </w:p>
          <w:p w14:paraId="589D3020" w14:textId="77777777" w:rsidR="00AE561E" w:rsidRPr="00AE561E" w:rsidRDefault="00AE561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vienotā konta un uzkrājuma principa ieviešana; </w:t>
            </w:r>
          </w:p>
          <w:p w14:paraId="214C20C8" w14:textId="77777777" w:rsidR="00AE561E" w:rsidRPr="00AE561E" w:rsidRDefault="00AE561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saimnieciskās darbības ieņēmumu konta ieviešana mazajai uzņēmējdarbībai;</w:t>
            </w:r>
          </w:p>
          <w:p w14:paraId="00925461" w14:textId="77777777" w:rsidR="00AE561E" w:rsidRPr="00AE561E" w:rsidRDefault="00AE561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VID pakalpojumu pieejamība un kvalitāte; </w:t>
            </w:r>
          </w:p>
          <w:p w14:paraId="08BBB7CD" w14:textId="77777777" w:rsidR="00AE561E" w:rsidRPr="00AE561E" w:rsidRDefault="00AE561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 xml:space="preserve">padziļinātas sadarbības programmas reforma; </w:t>
            </w:r>
          </w:p>
          <w:p w14:paraId="2486ED8C" w14:textId="77777777" w:rsidR="00AE561E" w:rsidRPr="00AE561E" w:rsidRDefault="00AE561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grāmatvedības prasību pārskatīšana atkarībā no apgrozījuma, statusa un darbības veida;</w:t>
            </w:r>
          </w:p>
          <w:p w14:paraId="6753CA11" w14:textId="0F196423" w:rsidR="00AE561E" w:rsidRPr="00AE561E" w:rsidRDefault="008F16A0"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IIN</w:t>
            </w:r>
            <w:r w:rsidR="00AE561E" w:rsidRPr="00AE561E">
              <w:rPr>
                <w:color w:val="auto"/>
                <w:sz w:val="20"/>
                <w:szCs w:val="20"/>
              </w:rPr>
              <w:t xml:space="preserve"> attaisnoto izdevumu administrēšanas optimizācija; </w:t>
            </w:r>
          </w:p>
          <w:p w14:paraId="6E5DCC8A" w14:textId="147BEB32" w:rsidR="006B28DB" w:rsidRPr="00AE561E" w:rsidRDefault="00AE561E" w:rsidP="00FE00D0">
            <w:pPr>
              <w:pStyle w:val="NormalWeb"/>
              <w:numPr>
                <w:ilvl w:val="0"/>
                <w:numId w:val="33"/>
              </w:numPr>
              <w:shd w:val="clear" w:color="auto" w:fill="FFFFFF" w:themeFill="background1"/>
              <w:spacing w:before="0" w:beforeAutospacing="0" w:after="0" w:afterAutospacing="0"/>
              <w:ind w:left="1168"/>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E561E">
              <w:rPr>
                <w:color w:val="auto"/>
                <w:sz w:val="20"/>
                <w:szCs w:val="20"/>
              </w:rPr>
              <w:t>pilnveidojot piedziņas procesus un sodu politiku.</w:t>
            </w:r>
          </w:p>
        </w:tc>
      </w:tr>
      <w:tr w:rsidR="006B28DB" w:rsidRPr="00527336" w14:paraId="299CF349" w14:textId="77777777" w:rsidTr="006B2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14:paraId="113D1910" w14:textId="77777777" w:rsidR="006B28DB" w:rsidRPr="00527336" w:rsidRDefault="006B28DB" w:rsidP="006B28DB">
            <w:pPr>
              <w:ind w:firstLine="0"/>
              <w:jc w:val="center"/>
              <w:rPr>
                <w:color w:val="auto"/>
                <w:sz w:val="20"/>
              </w:rPr>
            </w:pPr>
            <w:r w:rsidRPr="00527336">
              <w:rPr>
                <w:color w:val="auto"/>
                <w:sz w:val="20"/>
              </w:rPr>
              <w:lastRenderedPageBreak/>
              <w:t>2</w:t>
            </w:r>
          </w:p>
        </w:tc>
        <w:tc>
          <w:tcPr>
            <w:tcW w:w="4253" w:type="dxa"/>
          </w:tcPr>
          <w:p w14:paraId="6FF72A04" w14:textId="4AF36875" w:rsidR="006B28DB" w:rsidRPr="006B28DB" w:rsidRDefault="006B28DB" w:rsidP="006B28DB">
            <w:pPr>
              <w:ind w:firstLine="0"/>
              <w:cnfStyle w:val="000000100000" w:firstRow="0" w:lastRow="0" w:firstColumn="0" w:lastColumn="0" w:oddVBand="0" w:evenVBand="0" w:oddHBand="1" w:evenHBand="0" w:firstRowFirstColumn="0" w:firstRowLastColumn="0" w:lastRowFirstColumn="0" w:lastRowLastColumn="0"/>
              <w:rPr>
                <w:color w:val="auto"/>
                <w:sz w:val="20"/>
              </w:rPr>
            </w:pPr>
            <w:r w:rsidRPr="006B28DB">
              <w:rPr>
                <w:color w:val="auto"/>
                <w:sz w:val="20"/>
                <w:szCs w:val="23"/>
              </w:rPr>
              <w:t xml:space="preserve">Uzlabot sociālās drošības tīkla adekvātumu un paaugstināt darbaspēka prasmes, paātrinot profesionālās izglītības mācību programmas reformu. </w:t>
            </w:r>
          </w:p>
        </w:tc>
        <w:tc>
          <w:tcPr>
            <w:tcW w:w="10489" w:type="dxa"/>
          </w:tcPr>
          <w:p w14:paraId="186CB366" w14:textId="787E69F5" w:rsidR="00A821E4" w:rsidRPr="00A821E4" w:rsidRDefault="00FE00D0" w:rsidP="00FE00D0">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No 2018.gada 1.</w:t>
            </w:r>
            <w:r w:rsidR="00A821E4" w:rsidRPr="00A821E4">
              <w:rPr>
                <w:color w:val="auto"/>
                <w:sz w:val="20"/>
              </w:rPr>
              <w:t xml:space="preserve">janvāra stājas spēkā grozījumi likumā “Par valsts pensijām”, kas paredz vecuma pensiju indeksāciju atkarībā no personas apdrošināšanas stāža, par kuru ir piešķirta (pārrēķināta) pensija, piemērojot nevis 50%, bet 70% no apdrošināšanas iemaksu algu summas reālā pieauguma procentiem, ja stāžs ir 40 un vairāk gadu. Attiecīgi 60% no apdrošināšanas iemaksu algu summas reālā pieauguma procentiem tiks piemērots, ja stāžs ir 30-39 gadi, kā arī pensijām, kas piešķirtas par darbu kaitīgos un smagos, vai sevišķi kaitīgos un smagos darba apstākļos. </w:t>
            </w:r>
          </w:p>
          <w:p w14:paraId="1D2B0016" w14:textId="48D18439" w:rsidR="00A821E4" w:rsidRPr="00A821E4" w:rsidRDefault="00A821E4" w:rsidP="00FE00D0">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A821E4">
              <w:rPr>
                <w:color w:val="auto"/>
                <w:sz w:val="20"/>
              </w:rPr>
              <w:t>Vienlaikus grozījumi paredz, ka personām, kurām vecuma pensija ir piešķirta līdz 1995</w:t>
            </w:r>
            <w:r w:rsidR="00FE00D0">
              <w:rPr>
                <w:color w:val="auto"/>
                <w:sz w:val="20"/>
              </w:rPr>
              <w:t>.gada 31.</w:t>
            </w:r>
            <w:r w:rsidRPr="00A821E4">
              <w:rPr>
                <w:color w:val="auto"/>
                <w:sz w:val="20"/>
              </w:rPr>
              <w:t>decembrim, kā arī personām, kurām piešķirta invaliditātes pensija un pensijas vecums</w:t>
            </w:r>
            <w:r w:rsidRPr="00A821E4" w:rsidDel="005B2874">
              <w:rPr>
                <w:color w:val="auto"/>
                <w:sz w:val="20"/>
              </w:rPr>
              <w:t xml:space="preserve"> </w:t>
            </w:r>
            <w:r w:rsidR="00FE00D0">
              <w:rPr>
                <w:color w:val="auto"/>
                <w:sz w:val="20"/>
              </w:rPr>
              <w:t>sasniegts līdz 1995.gada 31.</w:t>
            </w:r>
            <w:r w:rsidRPr="00A821E4">
              <w:rPr>
                <w:color w:val="auto"/>
                <w:sz w:val="20"/>
              </w:rPr>
              <w:t>decembrim, no 2018.</w:t>
            </w:r>
            <w:r w:rsidR="00FE00D0">
              <w:rPr>
                <w:color w:val="auto"/>
                <w:sz w:val="20"/>
              </w:rPr>
              <w:t>gada 1.</w:t>
            </w:r>
            <w:r w:rsidRPr="00A821E4">
              <w:rPr>
                <w:color w:val="auto"/>
                <w:sz w:val="20"/>
              </w:rPr>
              <w:t>jūlija par katru apdrošināšan</w:t>
            </w:r>
            <w:r w:rsidR="00FE00D0">
              <w:rPr>
                <w:color w:val="auto"/>
                <w:sz w:val="20"/>
              </w:rPr>
              <w:t>as gadu, kas uzkrāts līdz 1995.</w:t>
            </w:r>
            <w:r w:rsidRPr="00A821E4">
              <w:rPr>
                <w:color w:val="auto"/>
                <w:sz w:val="20"/>
              </w:rPr>
              <w:t xml:space="preserve">gadam (ieskaitot), nosaka piemaksu 1,50 </w:t>
            </w:r>
            <w:proofErr w:type="spellStart"/>
            <w:r w:rsidRPr="00FE00D0">
              <w:rPr>
                <w:i/>
                <w:color w:val="auto"/>
                <w:sz w:val="20"/>
              </w:rPr>
              <w:t>euro</w:t>
            </w:r>
            <w:proofErr w:type="spellEnd"/>
            <w:r w:rsidRPr="00A821E4">
              <w:rPr>
                <w:color w:val="auto"/>
                <w:sz w:val="20"/>
              </w:rPr>
              <w:t xml:space="preserve"> apmērā līdzšinējā 1 </w:t>
            </w:r>
            <w:proofErr w:type="spellStart"/>
            <w:r w:rsidRPr="00FE00D0">
              <w:rPr>
                <w:i/>
                <w:color w:val="auto"/>
                <w:sz w:val="20"/>
              </w:rPr>
              <w:t>euro</w:t>
            </w:r>
            <w:proofErr w:type="spellEnd"/>
            <w:r w:rsidRPr="00A821E4">
              <w:rPr>
                <w:color w:val="auto"/>
                <w:sz w:val="20"/>
              </w:rPr>
              <w:t xml:space="preserve"> vietā. </w:t>
            </w:r>
          </w:p>
          <w:p w14:paraId="02F735E9" w14:textId="5ED87056" w:rsidR="00A821E4" w:rsidRPr="008F16A0" w:rsidRDefault="00FE00D0" w:rsidP="008F16A0">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2018.</w:t>
            </w:r>
            <w:r w:rsidR="00A821E4" w:rsidRPr="00A821E4">
              <w:rPr>
                <w:color w:val="auto"/>
                <w:sz w:val="20"/>
              </w:rPr>
              <w:t>gadā tiks palielināts ģ</w:t>
            </w:r>
            <w:r w:rsidR="008F16A0">
              <w:rPr>
                <w:color w:val="auto"/>
                <w:sz w:val="20"/>
              </w:rPr>
              <w:t xml:space="preserve">imenes valsts pabalsta apmērs. </w:t>
            </w:r>
            <w:r w:rsidR="00A821E4" w:rsidRPr="00A821E4">
              <w:rPr>
                <w:color w:val="000000" w:themeColor="text1"/>
                <w:sz w:val="20"/>
              </w:rPr>
              <w:t>Ar 2018. gadu, audžuģimeņu un adoptētāju atbalstam un sociālās situācijas uzlabošanai, paredzēts:</w:t>
            </w:r>
          </w:p>
          <w:p w14:paraId="60DBD3F4" w14:textId="02CF3002" w:rsidR="00A821E4" w:rsidRPr="00A821E4" w:rsidRDefault="004415FB" w:rsidP="00FE00D0">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n</w:t>
            </w:r>
            <w:r w:rsidR="00A821E4" w:rsidRPr="00A821E4">
              <w:rPr>
                <w:color w:val="000000" w:themeColor="text1"/>
                <w:sz w:val="20"/>
              </w:rPr>
              <w:t xml:space="preserve">odrošināt valsts sociālo apdrošināšanu iemaksas pensiju, bezdarba un invaliditātes apdrošināšanai personām, kas saņem atlīdzību par audžuģimenes pienākumu pildīšanu; </w:t>
            </w:r>
          </w:p>
          <w:p w14:paraId="6C5F2D34" w14:textId="77777777" w:rsidR="00A821E4" w:rsidRPr="00A821E4" w:rsidRDefault="00A821E4" w:rsidP="00FE00D0">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821E4">
              <w:rPr>
                <w:color w:val="000000" w:themeColor="text1"/>
                <w:sz w:val="20"/>
              </w:rPr>
              <w:t xml:space="preserve">palielināt pabalsta apmēru par audžuģimenē esoša bērna uzturēšanu, nosakot to dubultā apmērā no minimālo uzturlīdzekļu apmēra; </w:t>
            </w:r>
          </w:p>
          <w:p w14:paraId="1A561483" w14:textId="35E87958" w:rsidR="00A821E4" w:rsidRPr="00A821E4" w:rsidRDefault="00A821E4" w:rsidP="00FE00D0">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821E4">
              <w:rPr>
                <w:color w:val="000000" w:themeColor="text1"/>
                <w:sz w:val="20"/>
              </w:rPr>
              <w:t xml:space="preserve">palielināt pabalsta apmēru par audžuģimenes pienākumu pildīšanu, izmaksājot par pirmo bērnu 171 </w:t>
            </w:r>
            <w:proofErr w:type="spellStart"/>
            <w:r w:rsidRPr="004415FB">
              <w:rPr>
                <w:i/>
                <w:color w:val="000000" w:themeColor="text1"/>
                <w:sz w:val="20"/>
              </w:rPr>
              <w:t>euro</w:t>
            </w:r>
            <w:proofErr w:type="spellEnd"/>
            <w:r w:rsidRPr="00A821E4">
              <w:rPr>
                <w:color w:val="000000" w:themeColor="text1"/>
                <w:sz w:val="20"/>
              </w:rPr>
              <w:t xml:space="preserve"> mēnesī, bet par nākamiem bērniem piemērojot koeficientu 0,3, t.i., par divu bērnu aprūpi 222</w:t>
            </w:r>
            <w:r w:rsidR="004415FB">
              <w:rPr>
                <w:color w:val="000000" w:themeColor="text1"/>
                <w:sz w:val="20"/>
              </w:rPr>
              <w:t xml:space="preserve"> </w:t>
            </w:r>
            <w:proofErr w:type="spellStart"/>
            <w:r w:rsidRPr="004415FB">
              <w:rPr>
                <w:i/>
                <w:color w:val="000000" w:themeColor="text1"/>
                <w:sz w:val="20"/>
              </w:rPr>
              <w:t>euro</w:t>
            </w:r>
            <w:proofErr w:type="spellEnd"/>
            <w:r w:rsidRPr="00A821E4">
              <w:rPr>
                <w:color w:val="000000" w:themeColor="text1"/>
                <w:sz w:val="20"/>
              </w:rPr>
              <w:t xml:space="preserve">, bet par trešo un nākamajiem 274 </w:t>
            </w:r>
            <w:proofErr w:type="spellStart"/>
            <w:r w:rsidRPr="004415FB">
              <w:rPr>
                <w:i/>
                <w:color w:val="000000" w:themeColor="text1"/>
                <w:sz w:val="20"/>
              </w:rPr>
              <w:t>euro</w:t>
            </w:r>
            <w:proofErr w:type="spellEnd"/>
            <w:r w:rsidRPr="00A821E4">
              <w:rPr>
                <w:color w:val="000000" w:themeColor="text1"/>
                <w:sz w:val="20"/>
              </w:rPr>
              <w:t xml:space="preserve"> apmērā;</w:t>
            </w:r>
          </w:p>
          <w:p w14:paraId="735D995D" w14:textId="77777777" w:rsidR="00A821E4" w:rsidRPr="00A821E4" w:rsidRDefault="00A821E4" w:rsidP="00FE00D0">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821E4">
              <w:rPr>
                <w:color w:val="000000" w:themeColor="text1"/>
                <w:sz w:val="20"/>
              </w:rPr>
              <w:t xml:space="preserve">palielināt atlīdzību par adoptējama bērna (līdz 8 gadu vecumam) aprūpi, t.i., strādājošām personām izmaksājot 70% no vidējās sociālās apdrošināšanas iemaksu algas, bet nenodarbinātām personām 171 </w:t>
            </w:r>
            <w:proofErr w:type="spellStart"/>
            <w:r w:rsidRPr="004415FB">
              <w:rPr>
                <w:i/>
                <w:color w:val="000000" w:themeColor="text1"/>
                <w:sz w:val="20"/>
              </w:rPr>
              <w:t>euro</w:t>
            </w:r>
            <w:proofErr w:type="spellEnd"/>
            <w:r w:rsidRPr="00A821E4">
              <w:rPr>
                <w:color w:val="000000" w:themeColor="text1"/>
                <w:sz w:val="20"/>
              </w:rPr>
              <w:t xml:space="preserve"> apmērā.  </w:t>
            </w:r>
          </w:p>
          <w:p w14:paraId="285D0409" w14:textId="5E34E9E4" w:rsidR="006B28DB" w:rsidRPr="004415FB" w:rsidRDefault="00A821E4" w:rsidP="004415FB">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A821E4">
              <w:rPr>
                <w:color w:val="auto"/>
                <w:sz w:val="20"/>
              </w:rPr>
              <w:lastRenderedPageBreak/>
              <w:t xml:space="preserve">Uzsāktas valdības un Latvijas Pašvaldību savienības sarunas par garantētā minimālā </w:t>
            </w:r>
            <w:r w:rsidR="004415FB">
              <w:rPr>
                <w:color w:val="auto"/>
                <w:sz w:val="20"/>
              </w:rPr>
              <w:t>ienākuma līmeņa paaugstināšanu.</w:t>
            </w:r>
          </w:p>
          <w:p w14:paraId="2C5BA81F" w14:textId="77777777" w:rsidR="001477D8" w:rsidRDefault="001477D8" w:rsidP="00A821E4">
            <w:pPr>
              <w:spacing w:after="0"/>
              <w:ind w:firstLine="0"/>
              <w:cnfStyle w:val="000000100000" w:firstRow="0" w:lastRow="0" w:firstColumn="0" w:lastColumn="0" w:oddVBand="0" w:evenVBand="0" w:oddHBand="1" w:evenHBand="0" w:firstRowFirstColumn="0" w:firstRowLastColumn="0" w:lastRowFirstColumn="0" w:lastRowLastColumn="0"/>
              <w:rPr>
                <w:color w:val="FF0000"/>
                <w:sz w:val="20"/>
              </w:rPr>
            </w:pPr>
          </w:p>
          <w:p w14:paraId="548CD0CE" w14:textId="13DF3B34" w:rsidR="001477D8" w:rsidRPr="001477D8" w:rsidRDefault="001477D8" w:rsidP="004415FB">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1477D8">
              <w:rPr>
                <w:color w:val="auto"/>
                <w:sz w:val="20"/>
              </w:rPr>
              <w:t>Turpinās profesionālās izglītības satura reforma, kas nodrošina pāreju no priekšmetos balstītā profesionālās izglītības mācību satura uz mācīšanās rezultātos balstītu, kā arī ievieš modulāro pieeju profesionālās izglītī</w:t>
            </w:r>
            <w:r w:rsidR="004415FB">
              <w:rPr>
                <w:color w:val="auto"/>
                <w:sz w:val="20"/>
              </w:rPr>
              <w:t>bas programmu īstenošanā. 2016.gada 16.</w:t>
            </w:r>
            <w:r w:rsidRPr="001477D8">
              <w:rPr>
                <w:color w:val="auto"/>
                <w:sz w:val="20"/>
              </w:rPr>
              <w:t xml:space="preserve">decembrī uzsākts </w:t>
            </w:r>
            <w:r w:rsidR="004415FB">
              <w:rPr>
                <w:color w:val="auto"/>
                <w:sz w:val="20"/>
              </w:rPr>
              <w:t>ES</w:t>
            </w:r>
            <w:r w:rsidRPr="001477D8">
              <w:rPr>
                <w:color w:val="auto"/>
                <w:sz w:val="20"/>
              </w:rPr>
              <w:t xml:space="preserve"> fondu </w:t>
            </w:r>
            <w:r w:rsidRPr="001477D8">
              <w:rPr>
                <w:iCs/>
                <w:color w:val="auto"/>
                <w:sz w:val="20"/>
              </w:rPr>
              <w:t>8.5.2</w:t>
            </w:r>
            <w:r w:rsidR="00F96D1B">
              <w:rPr>
                <w:iCs/>
                <w:color w:val="auto"/>
                <w:sz w:val="20"/>
              </w:rPr>
              <w:t>SAM</w:t>
            </w:r>
            <w:r w:rsidRPr="001477D8">
              <w:rPr>
                <w:iCs/>
                <w:color w:val="auto"/>
                <w:sz w:val="20"/>
              </w:rPr>
              <w:t xml:space="preserve"> “</w:t>
            </w:r>
            <w:r w:rsidRPr="001477D8">
              <w:rPr>
                <w:color w:val="auto"/>
                <w:sz w:val="20"/>
              </w:rPr>
              <w:t xml:space="preserve">Nodrošināt profesionālās izglītības atbilstību Eiropas kvalifikācijas </w:t>
            </w:r>
            <w:proofErr w:type="spellStart"/>
            <w:r w:rsidRPr="001477D8">
              <w:rPr>
                <w:color w:val="auto"/>
                <w:sz w:val="20"/>
              </w:rPr>
              <w:t>ietvarstruktūrai</w:t>
            </w:r>
            <w:proofErr w:type="spellEnd"/>
            <w:r w:rsidRPr="001477D8">
              <w:rPr>
                <w:color w:val="auto"/>
                <w:sz w:val="20"/>
              </w:rPr>
              <w:t>" projekts “Nozaru kvalifikācijas sistēmas pilnveide profesionālās izglītības attīstībai un kvalitātes nodrošināšanai” (turpmāk – proj</w:t>
            </w:r>
            <w:r w:rsidR="004415FB">
              <w:rPr>
                <w:color w:val="auto"/>
                <w:sz w:val="20"/>
              </w:rPr>
              <w:t>ekts), kura ietvaros līdz 2021.gada 31.</w:t>
            </w:r>
            <w:r w:rsidRPr="001477D8">
              <w:rPr>
                <w:color w:val="auto"/>
                <w:sz w:val="20"/>
              </w:rPr>
              <w:t xml:space="preserve">decembrim ir paredzēta nozaru kvalifikāciju sistēmas pilnveide, ietvaros, lai izstrādātu mainīgajām darba tirgus prasībām atbilstošu profesionālās izglītības saturu un nodrošinātu profesionālās izglītības atbilstību Eiropas kvalifikācijas </w:t>
            </w:r>
            <w:proofErr w:type="spellStart"/>
            <w:r w:rsidRPr="001477D8">
              <w:rPr>
                <w:color w:val="auto"/>
                <w:sz w:val="20"/>
              </w:rPr>
              <w:t>ietvarstruktūrai</w:t>
            </w:r>
            <w:proofErr w:type="spellEnd"/>
            <w:r w:rsidRPr="001477D8">
              <w:rPr>
                <w:color w:val="auto"/>
                <w:sz w:val="20"/>
              </w:rPr>
              <w:t>.</w:t>
            </w:r>
            <w:r w:rsidRPr="001477D8">
              <w:rPr>
                <w:iCs/>
                <w:color w:val="auto"/>
                <w:sz w:val="20"/>
              </w:rPr>
              <w:t xml:space="preserve"> Projekta īstenošana plānota līdz 2021.</w:t>
            </w:r>
            <w:r w:rsidR="004415FB">
              <w:rPr>
                <w:iCs/>
                <w:color w:val="auto"/>
                <w:sz w:val="20"/>
              </w:rPr>
              <w:t>gada 31.</w:t>
            </w:r>
            <w:r w:rsidRPr="001477D8">
              <w:rPr>
                <w:iCs/>
                <w:color w:val="auto"/>
                <w:sz w:val="20"/>
              </w:rPr>
              <w:t xml:space="preserve">decembrim. Projekta mērķa sasniegšanai plānotais attiecināmais finansējums ir 12,13 milj. </w:t>
            </w:r>
            <w:proofErr w:type="spellStart"/>
            <w:r w:rsidRPr="004415FB">
              <w:rPr>
                <w:i/>
                <w:iCs/>
                <w:color w:val="auto"/>
                <w:sz w:val="20"/>
              </w:rPr>
              <w:t>euro</w:t>
            </w:r>
            <w:proofErr w:type="spellEnd"/>
            <w:r w:rsidRPr="001477D8">
              <w:rPr>
                <w:iCs/>
                <w:color w:val="auto"/>
                <w:sz w:val="20"/>
              </w:rPr>
              <w:t xml:space="preserve">, t.sk. </w:t>
            </w:r>
            <w:r w:rsidR="004D3A7C">
              <w:rPr>
                <w:iCs/>
                <w:color w:val="auto"/>
                <w:sz w:val="20"/>
              </w:rPr>
              <w:t>ESF</w:t>
            </w:r>
            <w:r w:rsidRPr="001477D8">
              <w:rPr>
                <w:iCs/>
                <w:color w:val="auto"/>
                <w:sz w:val="20"/>
              </w:rPr>
              <w:t xml:space="preserve"> finansējums 10,31 milj. </w:t>
            </w:r>
            <w:proofErr w:type="spellStart"/>
            <w:r w:rsidRPr="004415FB">
              <w:rPr>
                <w:i/>
                <w:iCs/>
                <w:color w:val="auto"/>
                <w:sz w:val="20"/>
              </w:rPr>
              <w:t>euro</w:t>
            </w:r>
            <w:proofErr w:type="spellEnd"/>
            <w:r w:rsidRPr="001477D8">
              <w:rPr>
                <w:iCs/>
                <w:color w:val="auto"/>
                <w:sz w:val="20"/>
              </w:rPr>
              <w:t xml:space="preserve"> un valsts budžeta līdzfinansējums – 1,82 milj. </w:t>
            </w:r>
            <w:proofErr w:type="spellStart"/>
            <w:r w:rsidRPr="004415FB">
              <w:rPr>
                <w:i/>
                <w:iCs/>
                <w:color w:val="auto"/>
                <w:sz w:val="20"/>
              </w:rPr>
              <w:t>euro</w:t>
            </w:r>
            <w:proofErr w:type="spellEnd"/>
            <w:r w:rsidRPr="001477D8">
              <w:rPr>
                <w:iCs/>
                <w:color w:val="auto"/>
                <w:sz w:val="20"/>
              </w:rPr>
              <w:t>.</w:t>
            </w:r>
            <w:r w:rsidRPr="001477D8">
              <w:rPr>
                <w:color w:val="auto"/>
                <w:sz w:val="20"/>
              </w:rPr>
              <w:t xml:space="preserve"> Projekta ietvaros ir paredzēta 160 profesiju standartu un profesionālās kvalifikācijas prasību izstrāde vai pilnveide (90 līdz 2018.gadam), 184 modulāro profesionālās izglītības programmu izstrāde (10 līdz 2018.gadam) un ieviešana, profesionālās kvalifikācijas eksāmenu satura izstrāde 210 profesionālajām kvalifikācijām, kā arī paredzēts veikt attiecīgo mācību līdzekļu un metodiskos materiālu izstrādi. Projektu īstenos Valsts izglītības satura centrs sadarbībā ar Latvijas Darba devēju konfederāciju, Latvijas Brīvo arodbiedrību savienību, biedrību "Lauksaimnieku organizāciju sadarbības padome" un Izglītība</w:t>
            </w:r>
            <w:r w:rsidR="00F96D1B">
              <w:rPr>
                <w:color w:val="auto"/>
                <w:sz w:val="20"/>
              </w:rPr>
              <w:t>s un kvalitātes valsts dienestu.</w:t>
            </w:r>
          </w:p>
          <w:p w14:paraId="39335976" w14:textId="59D99246" w:rsidR="001477D8" w:rsidRPr="001477D8" w:rsidRDefault="004415FB" w:rsidP="004415FB">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2017.gada 22.</w:t>
            </w:r>
            <w:r w:rsidR="001477D8" w:rsidRPr="001477D8">
              <w:rPr>
                <w:color w:val="auto"/>
                <w:sz w:val="20"/>
              </w:rPr>
              <w:t>jūnijā tika pieņemti grozījumi Profesionālās izglītības likumā, definējot modulārās profesionālās izglītības pr</w:t>
            </w:r>
            <w:r>
              <w:rPr>
                <w:color w:val="auto"/>
                <w:sz w:val="20"/>
              </w:rPr>
              <w:t>ogrammas un saistītus terminus,</w:t>
            </w:r>
            <w:r w:rsidR="001477D8" w:rsidRPr="001477D8">
              <w:rPr>
                <w:color w:val="auto"/>
                <w:sz w:val="20"/>
              </w:rPr>
              <w:t xml:space="preserve"> nosakot izglītības veidus, kur var īstenot modulārās profesionālās izglītības programmas, kā arī par minēto programmu apgūšanu izsniedzamo profesionālo izglītību un profesionālo kvalifikāciju apliecinošos dokumentus. </w:t>
            </w:r>
          </w:p>
          <w:p w14:paraId="01FBC98E" w14:textId="38D2D34E" w:rsidR="001477D8" w:rsidRPr="001477D8" w:rsidRDefault="004415FB" w:rsidP="004415FB">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2016./2017.</w:t>
            </w:r>
            <w:r w:rsidR="001477D8" w:rsidRPr="001477D8">
              <w:rPr>
                <w:color w:val="auto"/>
                <w:sz w:val="20"/>
              </w:rPr>
              <w:t>mācību gadā tika uzsākta 30 modulāro programmu aprobācija, t.sk. 12 profesionālajās kvalifikācijās. Modulāro izglītības programmu īs</w:t>
            </w:r>
            <w:r>
              <w:rPr>
                <w:color w:val="auto"/>
                <w:sz w:val="20"/>
              </w:rPr>
              <w:t>tenošana un aprobācija no 2017.gada septembra ir uzsākta</w:t>
            </w:r>
            <w:r w:rsidR="001477D8" w:rsidRPr="001477D8">
              <w:rPr>
                <w:color w:val="auto"/>
                <w:sz w:val="20"/>
              </w:rPr>
              <w:t xml:space="preserve"> 24 </w:t>
            </w:r>
            <w:r w:rsidR="00A162A7">
              <w:rPr>
                <w:color w:val="auto"/>
                <w:sz w:val="20"/>
              </w:rPr>
              <w:t>IZM</w:t>
            </w:r>
            <w:r w:rsidR="001477D8" w:rsidRPr="001477D8">
              <w:rPr>
                <w:color w:val="auto"/>
                <w:sz w:val="20"/>
              </w:rPr>
              <w:t xml:space="preserve"> padotībā esošajās profesionālās izglītības iestādes ap </w:t>
            </w:r>
            <w:r w:rsidR="001477D8" w:rsidRPr="001477D8">
              <w:rPr>
                <w:color w:val="auto"/>
                <w:sz w:val="20"/>
                <w:shd w:val="clear" w:color="auto" w:fill="DAEEF3" w:themeFill="accent5" w:themeFillTint="33"/>
              </w:rPr>
              <w:t>80</w:t>
            </w:r>
            <w:r w:rsidR="001477D8" w:rsidRPr="001477D8">
              <w:rPr>
                <w:color w:val="auto"/>
                <w:sz w:val="20"/>
              </w:rPr>
              <w:t xml:space="preserve"> programmās t. sk.  </w:t>
            </w:r>
            <w:r w:rsidR="001477D8" w:rsidRPr="001477D8">
              <w:rPr>
                <w:color w:val="auto"/>
                <w:sz w:val="20"/>
                <w:shd w:val="clear" w:color="auto" w:fill="DAEEF3" w:themeFill="accent5" w:themeFillTint="33"/>
              </w:rPr>
              <w:t>28</w:t>
            </w:r>
            <w:r w:rsidR="001477D8" w:rsidRPr="001477D8">
              <w:rPr>
                <w:color w:val="auto"/>
                <w:sz w:val="20"/>
              </w:rPr>
              <w:t xml:space="preserve"> profesionālajās kvalifikācijās.</w:t>
            </w:r>
          </w:p>
          <w:p w14:paraId="336FFD37" w14:textId="1965CC41" w:rsidR="001477D8" w:rsidRPr="001477D8" w:rsidRDefault="004415FB" w:rsidP="004415FB">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2017.gada 24.</w:t>
            </w:r>
            <w:r w:rsidR="001477D8" w:rsidRPr="001477D8">
              <w:rPr>
                <w:color w:val="auto"/>
                <w:sz w:val="20"/>
              </w:rPr>
              <w:t xml:space="preserve">jūlijā noslēgts līgums </w:t>
            </w:r>
            <w:r w:rsidR="001477D8" w:rsidRPr="001477D8">
              <w:rPr>
                <w:iCs/>
                <w:color w:val="auto"/>
                <w:sz w:val="20"/>
              </w:rPr>
              <w:t xml:space="preserve">par nozaru kvalifikāciju struktūras analīzi atbilstoši </w:t>
            </w:r>
            <w:r w:rsidR="00F96D1B" w:rsidRPr="001477D8">
              <w:rPr>
                <w:color w:val="auto"/>
                <w:sz w:val="20"/>
              </w:rPr>
              <w:t xml:space="preserve">Eiropas kvalifikācijas </w:t>
            </w:r>
            <w:proofErr w:type="spellStart"/>
            <w:r w:rsidR="00F96D1B" w:rsidRPr="001477D8">
              <w:rPr>
                <w:color w:val="auto"/>
                <w:sz w:val="20"/>
              </w:rPr>
              <w:t>ietvarstruktūrai</w:t>
            </w:r>
            <w:proofErr w:type="spellEnd"/>
            <w:r w:rsidR="001477D8" w:rsidRPr="001477D8">
              <w:rPr>
                <w:iCs/>
                <w:color w:val="auto"/>
                <w:sz w:val="20"/>
              </w:rPr>
              <w:t>.</w:t>
            </w:r>
            <w:r>
              <w:rPr>
                <w:color w:val="auto"/>
                <w:sz w:val="20"/>
              </w:rPr>
              <w:t xml:space="preserve"> 2017.</w:t>
            </w:r>
            <w:r w:rsidR="001477D8" w:rsidRPr="001477D8">
              <w:rPr>
                <w:color w:val="auto"/>
                <w:sz w:val="20"/>
              </w:rPr>
              <w:t>gada aprīļa beigās un maija sākumā noslēgti sadarbības līgumi ar sadarbības partneriem un uzsākta 60 profesiju standartu un profesionālās kvalifikācijas prasību izstrāde (saraksts saskaņots ar Profesionālās izglītības un nodarbinātības trīspusēj</w:t>
            </w:r>
            <w:r>
              <w:rPr>
                <w:color w:val="auto"/>
                <w:sz w:val="20"/>
              </w:rPr>
              <w:t xml:space="preserve">ās sadarbības </w:t>
            </w:r>
            <w:proofErr w:type="spellStart"/>
            <w:r>
              <w:rPr>
                <w:color w:val="auto"/>
                <w:sz w:val="20"/>
              </w:rPr>
              <w:t>apakšpadomi</w:t>
            </w:r>
            <w:proofErr w:type="spellEnd"/>
            <w:r>
              <w:rPr>
                <w:color w:val="auto"/>
                <w:sz w:val="20"/>
              </w:rPr>
              <w:t xml:space="preserve"> 2017.gada 12.</w:t>
            </w:r>
            <w:r w:rsidR="001477D8" w:rsidRPr="001477D8">
              <w:rPr>
                <w:color w:val="auto"/>
                <w:sz w:val="20"/>
              </w:rPr>
              <w:t xml:space="preserve">aprīlī). Norit darbs pie </w:t>
            </w:r>
            <w:r w:rsidR="001477D8" w:rsidRPr="001477D8">
              <w:rPr>
                <w:bCs/>
                <w:color w:val="auto"/>
                <w:sz w:val="20"/>
              </w:rPr>
              <w:t>profesionālās kvalifikācijas eksāmenu metodikas</w:t>
            </w:r>
            <w:r w:rsidR="001477D8" w:rsidRPr="001477D8">
              <w:rPr>
                <w:b/>
                <w:bCs/>
                <w:color w:val="auto"/>
                <w:sz w:val="20"/>
              </w:rPr>
              <w:t xml:space="preserve"> </w:t>
            </w:r>
            <w:r w:rsidR="001477D8" w:rsidRPr="001477D8">
              <w:rPr>
                <w:color w:val="auto"/>
                <w:sz w:val="20"/>
              </w:rPr>
              <w:t xml:space="preserve">izstrādes sadarbībā ar </w:t>
            </w:r>
            <w:r w:rsidR="00F96D1B" w:rsidRPr="001477D8">
              <w:rPr>
                <w:color w:val="auto"/>
                <w:sz w:val="20"/>
              </w:rPr>
              <w:t>Izglītības un kvalitātes valsts dienestu</w:t>
            </w:r>
            <w:r w:rsidR="001477D8" w:rsidRPr="001477D8">
              <w:rPr>
                <w:color w:val="auto"/>
                <w:sz w:val="20"/>
              </w:rPr>
              <w:t>. Noslēdzies iepirkums par modulāro profesionālās izglītības programmu izstrādi pirmajām 45 kvalifikācijām, kvalifikāciju nosaukumi saskaņoti Nozar</w:t>
            </w:r>
            <w:r>
              <w:rPr>
                <w:color w:val="auto"/>
                <w:sz w:val="20"/>
              </w:rPr>
              <w:t>u ekspertu padomēm. 2017.gada 4.</w:t>
            </w:r>
            <w:r w:rsidR="001477D8" w:rsidRPr="001477D8">
              <w:rPr>
                <w:color w:val="auto"/>
                <w:sz w:val="20"/>
              </w:rPr>
              <w:t>augustā izsludināts iepirkums mācību līdzekļu izstrādei, kā arī tiek apzinātas nepieciešamās simulācijas iekārtas.</w:t>
            </w:r>
          </w:p>
          <w:p w14:paraId="7813C5EC" w14:textId="3A2919D6" w:rsidR="001477D8" w:rsidRPr="004171A5" w:rsidRDefault="001477D8" w:rsidP="008F16A0">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1477D8">
              <w:rPr>
                <w:color w:val="auto"/>
                <w:sz w:val="20"/>
              </w:rPr>
              <w:t>Notiek modulāro izglītības programmu aprobācijas semināri, kā arī regulāri tiek sniegtas konsultācijas profesionālās izglītības iestāžu pārstāvjiem par profesionālās izglītības satura aktualizēšanu pārejai uz sasniedzamajiem rezultātiem un kompetencēs balstītām mod</w:t>
            </w:r>
            <w:r w:rsidR="004415FB">
              <w:rPr>
                <w:color w:val="auto"/>
                <w:sz w:val="20"/>
              </w:rPr>
              <w:t>ulārajām programmām (līdz 2017.</w:t>
            </w:r>
            <w:r w:rsidRPr="001477D8">
              <w:rPr>
                <w:color w:val="auto"/>
                <w:sz w:val="20"/>
              </w:rPr>
              <w:t>augustam sniegtas 283 konsultācijas).</w:t>
            </w:r>
          </w:p>
        </w:tc>
      </w:tr>
      <w:tr w:rsidR="006B28DB" w:rsidRPr="00527336" w14:paraId="17530C3E" w14:textId="77777777" w:rsidTr="008F16A0">
        <w:trPr>
          <w:trHeight w:val="274"/>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052DF770" w14:textId="77777777" w:rsidR="006B28DB" w:rsidRPr="00527336" w:rsidRDefault="006B28DB" w:rsidP="006B28DB">
            <w:pPr>
              <w:jc w:val="center"/>
              <w:rPr>
                <w:color w:val="auto"/>
                <w:sz w:val="20"/>
              </w:rPr>
            </w:pPr>
          </w:p>
        </w:tc>
        <w:tc>
          <w:tcPr>
            <w:tcW w:w="4253" w:type="dxa"/>
          </w:tcPr>
          <w:p w14:paraId="4F7A34D7" w14:textId="1DED3420" w:rsidR="006B28DB" w:rsidRPr="006B28DB" w:rsidRDefault="006B28DB" w:rsidP="006B28DB">
            <w:pPr>
              <w:ind w:firstLine="0"/>
              <w:cnfStyle w:val="000000000000" w:firstRow="0" w:lastRow="0" w:firstColumn="0" w:lastColumn="0" w:oddVBand="0" w:evenVBand="0" w:oddHBand="0" w:evenHBand="0" w:firstRowFirstColumn="0" w:firstRowLastColumn="0" w:lastRowFirstColumn="0" w:lastRowLastColumn="0"/>
              <w:rPr>
                <w:color w:val="auto"/>
                <w:sz w:val="20"/>
              </w:rPr>
            </w:pPr>
            <w:r w:rsidRPr="006B28DB">
              <w:rPr>
                <w:color w:val="auto"/>
                <w:sz w:val="20"/>
                <w:szCs w:val="23"/>
              </w:rPr>
              <w:t>Palielināt veselības aprūpes izmaksu efektivitāti un piekļuvi tai, tostarp samazinot tiešos maksājumus un ilgo gaidīšanas laiku.</w:t>
            </w:r>
          </w:p>
        </w:tc>
        <w:tc>
          <w:tcPr>
            <w:tcW w:w="10489" w:type="dxa"/>
          </w:tcPr>
          <w:p w14:paraId="65AE587E" w14:textId="42062F06" w:rsidR="005E6E9E" w:rsidRPr="005E6E9E" w:rsidRDefault="005E6E9E" w:rsidP="00F96D1B">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5E6E9E">
              <w:rPr>
                <w:color w:val="auto"/>
                <w:sz w:val="20"/>
              </w:rPr>
              <w:t xml:space="preserve">Ar </w:t>
            </w:r>
            <w:r>
              <w:rPr>
                <w:color w:val="auto"/>
                <w:sz w:val="20"/>
              </w:rPr>
              <w:t>MK</w:t>
            </w:r>
            <w:r w:rsidRPr="005E6E9E">
              <w:rPr>
                <w:color w:val="auto"/>
                <w:sz w:val="20"/>
              </w:rPr>
              <w:t xml:space="preserve"> 2017.gada 22.augusta sēdes lēmumu (prot. Nr.40, 43.§) tika atbalstīts papildus finansējums:</w:t>
            </w:r>
          </w:p>
          <w:p w14:paraId="6C85BB7A" w14:textId="56EDFE71" w:rsidR="005E6E9E" w:rsidRPr="00B1224E" w:rsidRDefault="005E6E9E" w:rsidP="00F96D1B">
            <w:pPr>
              <w:pStyle w:val="ListParagraph"/>
              <w:numPr>
                <w:ilvl w:val="0"/>
                <w:numId w:val="37"/>
              </w:numPr>
              <w:spacing w:after="0" w:line="240" w:lineRule="auto"/>
              <w:ind w:left="743" w:hanging="218"/>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1224E">
              <w:rPr>
                <w:rFonts w:ascii="Times New Roman" w:hAnsi="Times New Roman"/>
                <w:color w:val="auto"/>
                <w:sz w:val="20"/>
              </w:rPr>
              <w:t>neatliekamās palīdzības, tai skaitā dzemdību nodrošināšanas plāna, īstenošanai 7</w:t>
            </w:r>
            <w:r w:rsidR="006936CB">
              <w:rPr>
                <w:rFonts w:ascii="Times New Roman" w:hAnsi="Times New Roman"/>
                <w:color w:val="auto"/>
                <w:sz w:val="20"/>
                <w:lang w:val="lv-LV"/>
              </w:rPr>
              <w:t>,8 milj.</w:t>
            </w:r>
            <w:r w:rsidRPr="00B1224E">
              <w:rPr>
                <w:rFonts w:ascii="Times New Roman" w:hAnsi="Times New Roman"/>
                <w:color w:val="auto"/>
                <w:sz w:val="20"/>
              </w:rPr>
              <w:t xml:space="preserve"> </w:t>
            </w:r>
            <w:proofErr w:type="spellStart"/>
            <w:r w:rsidRPr="00B1224E">
              <w:rPr>
                <w:rFonts w:ascii="Times New Roman" w:hAnsi="Times New Roman"/>
                <w:i/>
                <w:color w:val="auto"/>
                <w:sz w:val="20"/>
              </w:rPr>
              <w:t>euro</w:t>
            </w:r>
            <w:proofErr w:type="spellEnd"/>
            <w:r w:rsidRPr="00B1224E">
              <w:rPr>
                <w:rFonts w:ascii="Times New Roman" w:hAnsi="Times New Roman"/>
                <w:color w:val="auto"/>
                <w:sz w:val="20"/>
              </w:rPr>
              <w:t xml:space="preserve"> ik gadu;</w:t>
            </w:r>
          </w:p>
          <w:p w14:paraId="61763220" w14:textId="460D5683" w:rsidR="005E6E9E" w:rsidRPr="00F92E2E" w:rsidRDefault="005E6E9E" w:rsidP="00F96D1B">
            <w:pPr>
              <w:pStyle w:val="ListParagraph"/>
              <w:numPr>
                <w:ilvl w:val="0"/>
                <w:numId w:val="37"/>
              </w:numPr>
              <w:spacing w:after="0" w:line="240" w:lineRule="auto"/>
              <w:ind w:left="743" w:hanging="218"/>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92E2E">
              <w:rPr>
                <w:rFonts w:ascii="Times New Roman" w:hAnsi="Times New Roman"/>
                <w:color w:val="auto"/>
                <w:sz w:val="20"/>
              </w:rPr>
              <w:t xml:space="preserve">darba devēja </w:t>
            </w:r>
            <w:r w:rsidR="008F16A0" w:rsidRPr="00F92E2E">
              <w:rPr>
                <w:rFonts w:ascii="Times New Roman" w:hAnsi="Times New Roman"/>
                <w:color w:val="auto"/>
                <w:sz w:val="20"/>
                <w:lang w:val="lv-LV"/>
              </w:rPr>
              <w:t>VSAOI</w:t>
            </w:r>
            <w:r w:rsidRPr="00F92E2E">
              <w:rPr>
                <w:rFonts w:ascii="Times New Roman" w:hAnsi="Times New Roman"/>
                <w:color w:val="auto"/>
                <w:sz w:val="20"/>
              </w:rPr>
              <w:t xml:space="preserve"> palielinājuma nodrošināšanai saistībā ar pieņemtajiem grozījumiem likumā "Par valsts sociālo apdrošināšanu" 2018.gadā 230 221 </w:t>
            </w:r>
            <w:proofErr w:type="spellStart"/>
            <w:r w:rsidRPr="00F92E2E">
              <w:rPr>
                <w:rFonts w:ascii="Times New Roman" w:hAnsi="Times New Roman"/>
                <w:i/>
                <w:color w:val="auto"/>
                <w:sz w:val="20"/>
              </w:rPr>
              <w:t>euro</w:t>
            </w:r>
            <w:proofErr w:type="spellEnd"/>
            <w:r w:rsidRPr="00F92E2E">
              <w:rPr>
                <w:rFonts w:ascii="Times New Roman" w:hAnsi="Times New Roman"/>
                <w:color w:val="auto"/>
                <w:sz w:val="20"/>
              </w:rPr>
              <w:t xml:space="preserve">, 2019.gadā un turpmāk ik gadu 229 666 </w:t>
            </w:r>
            <w:proofErr w:type="spellStart"/>
            <w:r w:rsidRPr="00F92E2E">
              <w:rPr>
                <w:rFonts w:ascii="Times New Roman" w:hAnsi="Times New Roman"/>
                <w:i/>
                <w:color w:val="auto"/>
                <w:sz w:val="20"/>
              </w:rPr>
              <w:t>euro</w:t>
            </w:r>
            <w:proofErr w:type="spellEnd"/>
            <w:r w:rsidRPr="00F92E2E">
              <w:rPr>
                <w:rFonts w:ascii="Times New Roman" w:hAnsi="Times New Roman"/>
                <w:color w:val="auto"/>
                <w:sz w:val="20"/>
              </w:rPr>
              <w:t>;</w:t>
            </w:r>
          </w:p>
          <w:p w14:paraId="0E6DEABE" w14:textId="3445182C" w:rsidR="005E6E9E" w:rsidRPr="00F92E2E" w:rsidRDefault="005E6E9E" w:rsidP="00F96D1B">
            <w:pPr>
              <w:pStyle w:val="ListParagraph"/>
              <w:numPr>
                <w:ilvl w:val="0"/>
                <w:numId w:val="37"/>
              </w:numPr>
              <w:spacing w:after="0" w:line="240" w:lineRule="auto"/>
              <w:ind w:left="743" w:hanging="218"/>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92E2E">
              <w:rPr>
                <w:rFonts w:ascii="Times New Roman" w:hAnsi="Times New Roman"/>
                <w:color w:val="auto"/>
                <w:sz w:val="20"/>
              </w:rPr>
              <w:t xml:space="preserve">minimālās algas paaugstināšanas līdz 430 </w:t>
            </w:r>
            <w:proofErr w:type="spellStart"/>
            <w:r w:rsidRPr="00F92E2E">
              <w:rPr>
                <w:rFonts w:ascii="Times New Roman" w:hAnsi="Times New Roman"/>
                <w:i/>
                <w:color w:val="auto"/>
                <w:sz w:val="20"/>
              </w:rPr>
              <w:t>euro</w:t>
            </w:r>
            <w:proofErr w:type="spellEnd"/>
            <w:r w:rsidRPr="00F92E2E">
              <w:rPr>
                <w:rFonts w:ascii="Times New Roman" w:hAnsi="Times New Roman"/>
                <w:color w:val="auto"/>
                <w:sz w:val="20"/>
              </w:rPr>
              <w:t xml:space="preserve"> nodrošināšanai 356 273 </w:t>
            </w:r>
            <w:proofErr w:type="spellStart"/>
            <w:r w:rsidRPr="00F92E2E">
              <w:rPr>
                <w:rFonts w:ascii="Times New Roman" w:hAnsi="Times New Roman"/>
                <w:i/>
                <w:color w:val="auto"/>
                <w:sz w:val="20"/>
              </w:rPr>
              <w:t>euro</w:t>
            </w:r>
            <w:proofErr w:type="spellEnd"/>
            <w:r w:rsidRPr="00F92E2E">
              <w:rPr>
                <w:rFonts w:ascii="Times New Roman" w:hAnsi="Times New Roman"/>
                <w:color w:val="auto"/>
                <w:sz w:val="20"/>
              </w:rPr>
              <w:t xml:space="preserve"> ik gadu;</w:t>
            </w:r>
          </w:p>
          <w:p w14:paraId="29D32AD4" w14:textId="520A38E6" w:rsidR="005E6E9E" w:rsidRPr="00B1224E" w:rsidRDefault="005E6E9E" w:rsidP="00F96D1B">
            <w:pPr>
              <w:pStyle w:val="ListParagraph"/>
              <w:numPr>
                <w:ilvl w:val="0"/>
                <w:numId w:val="37"/>
              </w:numPr>
              <w:spacing w:after="0" w:line="240" w:lineRule="auto"/>
              <w:ind w:left="743" w:hanging="218"/>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1224E">
              <w:rPr>
                <w:rFonts w:ascii="Times New Roman" w:hAnsi="Times New Roman"/>
                <w:color w:val="auto"/>
                <w:sz w:val="20"/>
              </w:rPr>
              <w:lastRenderedPageBreak/>
              <w:t>minimālajai algai piesaistītiem valsts sociālā nodrošinājuma pasākumiem (t.sk. dotācijai valsts apmaksāto veselības aprūpes pakalpojumu sniegšanai) 9</w:t>
            </w:r>
            <w:r w:rsidR="006936CB">
              <w:rPr>
                <w:rFonts w:ascii="Times New Roman" w:hAnsi="Times New Roman"/>
                <w:color w:val="auto"/>
                <w:sz w:val="20"/>
                <w:lang w:val="lv-LV"/>
              </w:rPr>
              <w:t>,6 milj.</w:t>
            </w:r>
            <w:r w:rsidRPr="00B1224E">
              <w:rPr>
                <w:rFonts w:ascii="Times New Roman" w:hAnsi="Times New Roman"/>
                <w:color w:val="auto"/>
                <w:sz w:val="20"/>
              </w:rPr>
              <w:t xml:space="preserve"> </w:t>
            </w:r>
            <w:proofErr w:type="spellStart"/>
            <w:r w:rsidRPr="00B1224E">
              <w:rPr>
                <w:rFonts w:ascii="Times New Roman" w:hAnsi="Times New Roman"/>
                <w:i/>
                <w:color w:val="auto"/>
                <w:sz w:val="20"/>
              </w:rPr>
              <w:t>euro</w:t>
            </w:r>
            <w:proofErr w:type="spellEnd"/>
            <w:r w:rsidRPr="00B1224E">
              <w:rPr>
                <w:rFonts w:ascii="Times New Roman" w:hAnsi="Times New Roman"/>
                <w:color w:val="auto"/>
                <w:sz w:val="20"/>
              </w:rPr>
              <w:t xml:space="preserve"> ik gadu;</w:t>
            </w:r>
          </w:p>
          <w:p w14:paraId="251EDC83" w14:textId="19CEF545" w:rsidR="005E6E9E" w:rsidRPr="006936CB" w:rsidRDefault="005E6E9E" w:rsidP="006936CB">
            <w:pPr>
              <w:pStyle w:val="ListParagraph"/>
              <w:numPr>
                <w:ilvl w:val="0"/>
                <w:numId w:val="37"/>
              </w:numPr>
              <w:spacing w:after="0" w:line="240" w:lineRule="auto"/>
              <w:ind w:left="743" w:hanging="218"/>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1224E">
              <w:rPr>
                <w:rFonts w:ascii="Times New Roman" w:hAnsi="Times New Roman"/>
                <w:color w:val="auto"/>
                <w:sz w:val="20"/>
              </w:rPr>
              <w:t xml:space="preserve">atbilstoši valsts pamatbudžetā plānotajiem ieņēmumiem no </w:t>
            </w:r>
            <w:r w:rsidR="008F16A0" w:rsidRPr="006936CB">
              <w:rPr>
                <w:rFonts w:ascii="Times New Roman" w:hAnsi="Times New Roman"/>
                <w:color w:val="auto"/>
                <w:sz w:val="20"/>
                <w:lang w:val="lv-LV"/>
              </w:rPr>
              <w:t>VSAOI</w:t>
            </w:r>
            <w:r w:rsidRPr="006936CB">
              <w:rPr>
                <w:rStyle w:val="FootnoteReference"/>
                <w:rFonts w:ascii="Times New Roman" w:hAnsi="Times New Roman"/>
                <w:color w:val="auto"/>
              </w:rPr>
              <w:footnoteReference w:id="3"/>
            </w:r>
            <w:r w:rsidRPr="006936CB">
              <w:rPr>
                <w:rFonts w:ascii="Times New Roman" w:hAnsi="Times New Roman"/>
                <w:color w:val="auto"/>
                <w:sz w:val="20"/>
              </w:rPr>
              <w:t xml:space="preserve"> sadales veselības aprūpes finansēšanai 2018.gadam 85</w:t>
            </w:r>
            <w:r w:rsidR="006936CB" w:rsidRPr="006936CB">
              <w:rPr>
                <w:rFonts w:ascii="Times New Roman" w:hAnsi="Times New Roman"/>
                <w:color w:val="auto"/>
                <w:sz w:val="20"/>
                <w:lang w:val="lv-LV"/>
              </w:rPr>
              <w:t>,3 milj.</w:t>
            </w:r>
            <w:r w:rsidRPr="006936CB">
              <w:rPr>
                <w:rFonts w:ascii="Times New Roman" w:hAnsi="Times New Roman"/>
                <w:color w:val="auto"/>
                <w:sz w:val="20"/>
              </w:rPr>
              <w:t xml:space="preserve"> </w:t>
            </w:r>
            <w:proofErr w:type="spellStart"/>
            <w:r w:rsidRPr="006936CB">
              <w:rPr>
                <w:rFonts w:ascii="Times New Roman" w:hAnsi="Times New Roman"/>
                <w:i/>
                <w:color w:val="auto"/>
                <w:sz w:val="20"/>
              </w:rPr>
              <w:t>euro</w:t>
            </w:r>
            <w:proofErr w:type="spellEnd"/>
            <w:r w:rsidRPr="006936CB">
              <w:rPr>
                <w:rFonts w:ascii="Times New Roman" w:hAnsi="Times New Roman"/>
                <w:color w:val="auto"/>
                <w:sz w:val="20"/>
              </w:rPr>
              <w:t>, 2019.gadam 99</w:t>
            </w:r>
            <w:r w:rsidR="006936CB" w:rsidRPr="006936CB">
              <w:rPr>
                <w:rFonts w:ascii="Times New Roman" w:hAnsi="Times New Roman"/>
                <w:color w:val="auto"/>
                <w:sz w:val="20"/>
                <w:lang w:val="lv-LV"/>
              </w:rPr>
              <w:t>,6 milj.</w:t>
            </w:r>
            <w:r w:rsidRPr="006936CB">
              <w:rPr>
                <w:rFonts w:ascii="Times New Roman" w:hAnsi="Times New Roman"/>
                <w:color w:val="auto"/>
                <w:sz w:val="20"/>
              </w:rPr>
              <w:t xml:space="preserve"> </w:t>
            </w:r>
            <w:proofErr w:type="spellStart"/>
            <w:r w:rsidRPr="006936CB">
              <w:rPr>
                <w:rFonts w:ascii="Times New Roman" w:hAnsi="Times New Roman"/>
                <w:i/>
                <w:color w:val="auto"/>
                <w:sz w:val="20"/>
              </w:rPr>
              <w:t>euro</w:t>
            </w:r>
            <w:proofErr w:type="spellEnd"/>
            <w:r w:rsidRPr="006936CB">
              <w:rPr>
                <w:rFonts w:ascii="Times New Roman" w:hAnsi="Times New Roman"/>
                <w:color w:val="auto"/>
                <w:sz w:val="20"/>
              </w:rPr>
              <w:t xml:space="preserve"> un 2020.gadam 105</w:t>
            </w:r>
            <w:r w:rsidR="006936CB" w:rsidRPr="006936CB">
              <w:rPr>
                <w:rFonts w:ascii="Times New Roman" w:hAnsi="Times New Roman"/>
                <w:color w:val="auto"/>
                <w:sz w:val="20"/>
                <w:lang w:val="lv-LV"/>
              </w:rPr>
              <w:t>,5 milj.</w:t>
            </w:r>
            <w:r w:rsidRPr="006936CB">
              <w:rPr>
                <w:rFonts w:ascii="Times New Roman" w:hAnsi="Times New Roman"/>
                <w:color w:val="auto"/>
                <w:sz w:val="20"/>
              </w:rPr>
              <w:t xml:space="preserve"> </w:t>
            </w:r>
            <w:proofErr w:type="spellStart"/>
            <w:r w:rsidRPr="006936CB">
              <w:rPr>
                <w:rFonts w:ascii="Times New Roman" w:hAnsi="Times New Roman"/>
                <w:i/>
                <w:color w:val="auto"/>
                <w:sz w:val="20"/>
              </w:rPr>
              <w:t>euro</w:t>
            </w:r>
            <w:proofErr w:type="spellEnd"/>
            <w:r w:rsidRPr="006936CB">
              <w:rPr>
                <w:rFonts w:ascii="Times New Roman" w:hAnsi="Times New Roman"/>
                <w:color w:val="auto"/>
                <w:sz w:val="20"/>
              </w:rPr>
              <w:t xml:space="preserve"> apmērā, paredzot finanšu ministram tiesības pārdalīt 2018.gadam rezervēto finansējumu atbilstoši MK pieņemtam lēmumam. No vispārējā veselības aprūpes finansējuma palielinājuma 2018.gadā 85,3 milj. </w:t>
            </w:r>
            <w:proofErr w:type="spellStart"/>
            <w:r w:rsidRPr="006936CB">
              <w:rPr>
                <w:rFonts w:ascii="Times New Roman" w:hAnsi="Times New Roman"/>
                <w:i/>
                <w:color w:val="auto"/>
                <w:sz w:val="20"/>
              </w:rPr>
              <w:t>euro</w:t>
            </w:r>
            <w:proofErr w:type="spellEnd"/>
            <w:r w:rsidRPr="006936CB">
              <w:rPr>
                <w:rFonts w:ascii="Times New Roman" w:hAnsi="Times New Roman"/>
                <w:i/>
                <w:color w:val="auto"/>
                <w:sz w:val="20"/>
              </w:rPr>
              <w:t xml:space="preserve"> </w:t>
            </w:r>
            <w:r w:rsidRPr="006936CB">
              <w:rPr>
                <w:rFonts w:ascii="Times New Roman" w:hAnsi="Times New Roman"/>
                <w:color w:val="auto"/>
                <w:sz w:val="20"/>
              </w:rPr>
              <w:t>plānots novirzīt ārstniecības personu atalgojuma palielināšanai.</w:t>
            </w:r>
          </w:p>
          <w:p w14:paraId="2BFE4ABC" w14:textId="55905593" w:rsidR="005E6E9E" w:rsidRPr="00B1224E" w:rsidRDefault="005E6E9E" w:rsidP="00F96D1B">
            <w:pPr>
              <w:pStyle w:val="ListParagraph"/>
              <w:numPr>
                <w:ilvl w:val="0"/>
                <w:numId w:val="37"/>
              </w:numPr>
              <w:spacing w:after="0" w:line="240" w:lineRule="auto"/>
              <w:ind w:left="743" w:hanging="218"/>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1224E">
              <w:rPr>
                <w:rFonts w:ascii="Times New Roman" w:hAnsi="Times New Roman"/>
                <w:color w:val="auto"/>
                <w:sz w:val="20"/>
              </w:rPr>
              <w:t>veselības aprūpes sistēmas reformas ieviešanai atbilstoši EK pieļautajai deficīta atkāpei 2018.gadam 113</w:t>
            </w:r>
            <w:r w:rsidR="006936CB">
              <w:rPr>
                <w:rFonts w:ascii="Times New Roman" w:hAnsi="Times New Roman"/>
                <w:color w:val="auto"/>
                <w:sz w:val="20"/>
                <w:lang w:val="lv-LV"/>
              </w:rPr>
              <w:t>,4 milj.</w:t>
            </w:r>
            <w:r w:rsidRPr="00B1224E">
              <w:rPr>
                <w:rFonts w:ascii="Times New Roman" w:hAnsi="Times New Roman"/>
                <w:color w:val="auto"/>
                <w:sz w:val="20"/>
              </w:rPr>
              <w:t xml:space="preserve"> </w:t>
            </w:r>
            <w:proofErr w:type="spellStart"/>
            <w:r w:rsidRPr="00B1224E">
              <w:rPr>
                <w:rFonts w:ascii="Times New Roman" w:hAnsi="Times New Roman"/>
                <w:i/>
                <w:color w:val="auto"/>
                <w:sz w:val="20"/>
              </w:rPr>
              <w:t>euro</w:t>
            </w:r>
            <w:proofErr w:type="spellEnd"/>
            <w:r w:rsidRPr="00B1224E">
              <w:rPr>
                <w:rFonts w:ascii="Times New Roman" w:hAnsi="Times New Roman"/>
                <w:color w:val="auto"/>
                <w:sz w:val="20"/>
              </w:rPr>
              <w:t xml:space="preserve"> un 2019.gadam 149</w:t>
            </w:r>
            <w:r w:rsidR="006936CB">
              <w:rPr>
                <w:rFonts w:ascii="Times New Roman" w:hAnsi="Times New Roman"/>
                <w:color w:val="auto"/>
                <w:sz w:val="20"/>
                <w:lang w:val="lv-LV"/>
              </w:rPr>
              <w:t>,9 milj.</w:t>
            </w:r>
            <w:r w:rsidRPr="00B1224E">
              <w:rPr>
                <w:rFonts w:ascii="Times New Roman" w:hAnsi="Times New Roman"/>
                <w:color w:val="auto"/>
                <w:sz w:val="20"/>
              </w:rPr>
              <w:t xml:space="preserve"> </w:t>
            </w:r>
            <w:proofErr w:type="spellStart"/>
            <w:r w:rsidRPr="00B1224E">
              <w:rPr>
                <w:rFonts w:ascii="Times New Roman" w:hAnsi="Times New Roman"/>
                <w:i/>
                <w:color w:val="auto"/>
                <w:sz w:val="20"/>
              </w:rPr>
              <w:t>euro</w:t>
            </w:r>
            <w:proofErr w:type="spellEnd"/>
            <w:r w:rsidRPr="00B1224E">
              <w:rPr>
                <w:rFonts w:ascii="Times New Roman" w:hAnsi="Times New Roman"/>
                <w:color w:val="auto"/>
                <w:sz w:val="20"/>
              </w:rPr>
              <w:t xml:space="preserve"> apmērā, paredzot finanšu ministram tiesības 2018.gadam rezervēto finansējumu pārdalīt Veselības ministrijai pēc tam, kad MK ir apstiprinājis finansējumu veselības reformas pasākumu īstenošanai 2018.gadā. Piešķirto finansējumu reformu ieviešanai 2018.gadā tiek plānots novirzīt veselības aprūpes pakalpojumu pieejamības uzlabošanai (ambulatoriem un stacionāriem pakalpojumiem), primārai veselības aprūpei, onkoloģisko saslimšanu diagnostikas un ārstēšanas pieejamības uzlabošanai, infekcijas slimību izplatības mazināšanai un sirds-asinsvadu programmai.</w:t>
            </w:r>
          </w:p>
          <w:p w14:paraId="08A98C1F" w14:textId="101EC8FC" w:rsidR="005E6E9E" w:rsidRPr="005E6E9E" w:rsidRDefault="005E6E9E" w:rsidP="00F96D1B">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5E6E9E">
              <w:rPr>
                <w:color w:val="auto"/>
                <w:sz w:val="20"/>
              </w:rPr>
              <w:t xml:space="preserve">Ar </w:t>
            </w:r>
            <w:r>
              <w:rPr>
                <w:color w:val="auto"/>
                <w:sz w:val="20"/>
              </w:rPr>
              <w:t>MK</w:t>
            </w:r>
            <w:r w:rsidRPr="005E6E9E">
              <w:rPr>
                <w:color w:val="auto"/>
                <w:sz w:val="20"/>
              </w:rPr>
              <w:t xml:space="preserve"> 2017.gada 20.jūnija sēdes lēmumu (prot. Nr.31, 28.§) tika atbalstīts papildus  finansējums, lai </w:t>
            </w:r>
            <w:r w:rsidRPr="00A273A1">
              <w:rPr>
                <w:color w:val="auto"/>
                <w:sz w:val="20"/>
              </w:rPr>
              <w:t>nodrošinātu pakāpenisku atteikšanos no pagarinātā normālā darba laika ārstniecības personām un neatliekamās medicīniskās palīdzības brigāžu personālam, kas nav ārstniecības personas</w:t>
            </w:r>
            <w:r w:rsidRPr="005E6E9E">
              <w:rPr>
                <w:color w:val="auto"/>
                <w:sz w:val="20"/>
              </w:rPr>
              <w:t>, 3</w:t>
            </w:r>
            <w:r w:rsidR="006936CB">
              <w:rPr>
                <w:color w:val="auto"/>
                <w:sz w:val="20"/>
              </w:rPr>
              <w:t>,8 milj.</w:t>
            </w:r>
            <w:r w:rsidRPr="005E6E9E">
              <w:rPr>
                <w:color w:val="auto"/>
                <w:sz w:val="20"/>
              </w:rPr>
              <w:t xml:space="preserve"> </w:t>
            </w:r>
            <w:proofErr w:type="spellStart"/>
            <w:r w:rsidRPr="005E6E9E">
              <w:rPr>
                <w:i/>
                <w:color w:val="auto"/>
                <w:sz w:val="20"/>
              </w:rPr>
              <w:t>euro</w:t>
            </w:r>
            <w:proofErr w:type="spellEnd"/>
            <w:r w:rsidRPr="005E6E9E">
              <w:rPr>
                <w:color w:val="auto"/>
                <w:sz w:val="20"/>
              </w:rPr>
              <w:t xml:space="preserve"> apmērā ik gadu.</w:t>
            </w:r>
          </w:p>
          <w:p w14:paraId="70C1CB2D" w14:textId="3F3EB7F0" w:rsidR="005E6E9E" w:rsidRPr="005E6E9E" w:rsidRDefault="005E6E9E" w:rsidP="00F96D1B">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5E6E9E">
              <w:rPr>
                <w:color w:val="auto"/>
                <w:sz w:val="20"/>
              </w:rPr>
              <w:t xml:space="preserve">Ar </w:t>
            </w:r>
            <w:r>
              <w:rPr>
                <w:color w:val="auto"/>
                <w:sz w:val="20"/>
              </w:rPr>
              <w:t>MK</w:t>
            </w:r>
            <w:r w:rsidRPr="005E6E9E">
              <w:rPr>
                <w:color w:val="auto"/>
                <w:sz w:val="20"/>
              </w:rPr>
              <w:t xml:space="preserve"> 2017.gada 8.septembra un 2017.gada 12.septembra sēdes lēmumu (prot. Nr.44, 1.§, prot. Nr.45, 53.§) tika atbalstīti priekšlikumi par finansējuma novirzīšanu ministrijām šādiem prioritārajiem pasākumiem:</w:t>
            </w:r>
          </w:p>
          <w:p w14:paraId="559C64AC" w14:textId="59FAF5EA" w:rsidR="005E6E9E" w:rsidRPr="00B1224E" w:rsidRDefault="005E6E9E" w:rsidP="00F96D1B">
            <w:pPr>
              <w:pStyle w:val="ListParagraph"/>
              <w:numPr>
                <w:ilvl w:val="0"/>
                <w:numId w:val="37"/>
              </w:numPr>
              <w:spacing w:after="0" w:line="240" w:lineRule="auto"/>
              <w:ind w:left="743" w:hanging="218"/>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1224E">
              <w:rPr>
                <w:rFonts w:ascii="Times New Roman" w:hAnsi="Times New Roman"/>
                <w:color w:val="auto"/>
                <w:sz w:val="20"/>
              </w:rPr>
              <w:t xml:space="preserve">Insulīna pastāvīgas ievades nodrošināšana provizoriski 167 bērniem ar  diagnozi "Insulīnatkarīgs cukura diabēts", tādējādi samazinot cukura diabēta vēlīno komplikāciju un </w:t>
            </w:r>
            <w:proofErr w:type="spellStart"/>
            <w:r w:rsidRPr="00B1224E">
              <w:rPr>
                <w:rFonts w:ascii="Times New Roman" w:hAnsi="Times New Roman"/>
                <w:color w:val="auto"/>
                <w:sz w:val="20"/>
              </w:rPr>
              <w:t>hipoglikēmijas</w:t>
            </w:r>
            <w:proofErr w:type="spellEnd"/>
            <w:r w:rsidRPr="00B1224E">
              <w:rPr>
                <w:rFonts w:ascii="Times New Roman" w:hAnsi="Times New Roman"/>
                <w:color w:val="auto"/>
                <w:sz w:val="20"/>
              </w:rPr>
              <w:t xml:space="preserve"> risku. Atbalstīts finansējums 710 000 </w:t>
            </w:r>
            <w:proofErr w:type="spellStart"/>
            <w:r w:rsidRPr="00B1224E">
              <w:rPr>
                <w:rFonts w:ascii="Times New Roman" w:hAnsi="Times New Roman"/>
                <w:i/>
                <w:color w:val="auto"/>
                <w:sz w:val="20"/>
              </w:rPr>
              <w:t>euro</w:t>
            </w:r>
            <w:proofErr w:type="spellEnd"/>
            <w:r w:rsidRPr="00B1224E">
              <w:rPr>
                <w:rFonts w:ascii="Times New Roman" w:hAnsi="Times New Roman"/>
                <w:color w:val="auto"/>
                <w:sz w:val="20"/>
              </w:rPr>
              <w:t xml:space="preserve"> apmērā 2018.gadā.</w:t>
            </w:r>
          </w:p>
          <w:p w14:paraId="0048C5C1" w14:textId="12623F65" w:rsidR="005E6E9E" w:rsidRPr="00B1224E" w:rsidRDefault="005E6E9E" w:rsidP="00F96D1B">
            <w:pPr>
              <w:pStyle w:val="ListParagraph"/>
              <w:numPr>
                <w:ilvl w:val="0"/>
                <w:numId w:val="37"/>
              </w:numPr>
              <w:spacing w:after="0" w:line="240" w:lineRule="auto"/>
              <w:ind w:left="743" w:hanging="218"/>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1224E">
              <w:rPr>
                <w:rFonts w:ascii="Times New Roman" w:hAnsi="Times New Roman"/>
                <w:color w:val="auto"/>
                <w:sz w:val="20"/>
              </w:rPr>
              <w:t xml:space="preserve">Neatkarīgas, efektīvas  un starptautiskajām prasībām atbilstošas antidopinga struktūras izveide Valsts sporta medicīnas centrā. Tiks īstenoti dopinga </w:t>
            </w:r>
            <w:proofErr w:type="spellStart"/>
            <w:r w:rsidRPr="00B1224E">
              <w:rPr>
                <w:rFonts w:ascii="Times New Roman" w:hAnsi="Times New Roman"/>
                <w:color w:val="auto"/>
                <w:sz w:val="20"/>
              </w:rPr>
              <w:t>prevencijas</w:t>
            </w:r>
            <w:proofErr w:type="spellEnd"/>
            <w:r w:rsidRPr="00B1224E">
              <w:rPr>
                <w:rFonts w:ascii="Times New Roman" w:hAnsi="Times New Roman"/>
                <w:color w:val="auto"/>
                <w:sz w:val="20"/>
              </w:rPr>
              <w:t xml:space="preserve"> pasākumi, novērsti dopinga pārkāpumi Latvijas sportā un nodrošināta pastāvīga Latvijas sporta sistēmas atbilstība Latvijai saistošo starptautisko antidopinga normatīvu prasībām.</w:t>
            </w:r>
            <w:r w:rsidRPr="00B1224E">
              <w:rPr>
                <w:rFonts w:ascii="Times New Roman" w:hAnsi="Times New Roman"/>
                <w:sz w:val="20"/>
              </w:rPr>
              <w:t xml:space="preserve"> </w:t>
            </w:r>
            <w:r w:rsidRPr="00B1224E">
              <w:rPr>
                <w:rFonts w:ascii="Times New Roman" w:hAnsi="Times New Roman"/>
                <w:color w:val="auto"/>
                <w:sz w:val="20"/>
              </w:rPr>
              <w:t xml:space="preserve">Atbalstīts finansējums  600 000 </w:t>
            </w:r>
            <w:proofErr w:type="spellStart"/>
            <w:r w:rsidRPr="00B1224E">
              <w:rPr>
                <w:rFonts w:ascii="Times New Roman" w:hAnsi="Times New Roman"/>
                <w:i/>
                <w:color w:val="auto"/>
                <w:sz w:val="20"/>
              </w:rPr>
              <w:t>euro</w:t>
            </w:r>
            <w:proofErr w:type="spellEnd"/>
            <w:r w:rsidRPr="00B1224E">
              <w:rPr>
                <w:rFonts w:ascii="Times New Roman" w:hAnsi="Times New Roman"/>
                <w:color w:val="auto"/>
                <w:sz w:val="20"/>
              </w:rPr>
              <w:t xml:space="preserve"> apmērā ik gadu.</w:t>
            </w:r>
          </w:p>
          <w:p w14:paraId="1E49FBF1" w14:textId="282B1FD9" w:rsidR="006B28DB" w:rsidRPr="004171A5" w:rsidRDefault="005E6E9E" w:rsidP="006936CB">
            <w:pPr>
              <w:pStyle w:val="ListParagraph"/>
              <w:numPr>
                <w:ilvl w:val="0"/>
                <w:numId w:val="37"/>
              </w:numPr>
              <w:spacing w:after="0" w:line="240" w:lineRule="auto"/>
              <w:ind w:left="743" w:hanging="218"/>
              <w:contextualSpacing w:val="0"/>
              <w:jc w:val="both"/>
              <w:cnfStyle w:val="000000000000" w:firstRow="0" w:lastRow="0" w:firstColumn="0" w:lastColumn="0" w:oddVBand="0" w:evenVBand="0" w:oddHBand="0" w:evenHBand="0" w:firstRowFirstColumn="0" w:firstRowLastColumn="0" w:lastRowFirstColumn="0" w:lastRowLastColumn="0"/>
              <w:rPr>
                <w:rFonts w:eastAsiaTheme="minorHAnsi" w:cstheme="minorBidi"/>
                <w:color w:val="000000" w:themeColor="text1"/>
                <w:sz w:val="20"/>
              </w:rPr>
            </w:pPr>
            <w:r w:rsidRPr="00B1224E">
              <w:rPr>
                <w:rFonts w:ascii="Times New Roman" w:hAnsi="Times New Roman"/>
                <w:color w:val="auto"/>
                <w:sz w:val="20"/>
              </w:rPr>
              <w:t>Rīgas Stradiņa universitātes mācībspēku darba samaksas paaugstināšana pedagogu darba samaksas reformas ietvaros, lai Rīgas Stradiņa universitātes pedagogiem nodrošinātu darba samaksas pieaugumu tādā pašā apmērā, kā pārējo valsts augstskolu pedagogiem.</w:t>
            </w:r>
            <w:r w:rsidRPr="00B1224E">
              <w:rPr>
                <w:rFonts w:ascii="Times New Roman" w:hAnsi="Times New Roman"/>
                <w:color w:val="FF0000"/>
                <w:sz w:val="20"/>
              </w:rPr>
              <w:t xml:space="preserve"> </w:t>
            </w:r>
            <w:r w:rsidRPr="00B1224E">
              <w:rPr>
                <w:rFonts w:ascii="Times New Roman" w:hAnsi="Times New Roman"/>
                <w:color w:val="auto"/>
                <w:sz w:val="20"/>
              </w:rPr>
              <w:t xml:space="preserve">Atbalstīts finansējums  697 200 </w:t>
            </w:r>
            <w:proofErr w:type="spellStart"/>
            <w:r w:rsidRPr="00B1224E">
              <w:rPr>
                <w:rFonts w:ascii="Times New Roman" w:hAnsi="Times New Roman"/>
                <w:i/>
                <w:color w:val="auto"/>
                <w:sz w:val="20"/>
              </w:rPr>
              <w:t>euro</w:t>
            </w:r>
            <w:proofErr w:type="spellEnd"/>
            <w:r w:rsidRPr="00B1224E">
              <w:rPr>
                <w:rFonts w:ascii="Times New Roman" w:hAnsi="Times New Roman"/>
                <w:color w:val="auto"/>
                <w:sz w:val="20"/>
              </w:rPr>
              <w:t xml:space="preserve"> apmērā 2018.gadā, turpmāk ik gadu 1</w:t>
            </w:r>
            <w:r w:rsidR="006936CB">
              <w:rPr>
                <w:rFonts w:ascii="Times New Roman" w:hAnsi="Times New Roman"/>
                <w:color w:val="auto"/>
                <w:sz w:val="20"/>
                <w:lang w:val="lv-LV"/>
              </w:rPr>
              <w:t>,4 milj.</w:t>
            </w:r>
            <w:r w:rsidRPr="00B1224E">
              <w:rPr>
                <w:rFonts w:ascii="Times New Roman" w:hAnsi="Times New Roman"/>
                <w:color w:val="auto"/>
                <w:sz w:val="20"/>
              </w:rPr>
              <w:t xml:space="preserve"> </w:t>
            </w:r>
            <w:proofErr w:type="spellStart"/>
            <w:r w:rsidRPr="00B1224E">
              <w:rPr>
                <w:rFonts w:ascii="Times New Roman" w:hAnsi="Times New Roman"/>
                <w:i/>
                <w:color w:val="auto"/>
                <w:sz w:val="20"/>
              </w:rPr>
              <w:t>euro</w:t>
            </w:r>
            <w:proofErr w:type="spellEnd"/>
            <w:r w:rsidR="00CC5D97">
              <w:rPr>
                <w:rFonts w:ascii="Times New Roman" w:hAnsi="Times New Roman"/>
                <w:color w:val="auto"/>
                <w:sz w:val="20"/>
              </w:rPr>
              <w:t xml:space="preserve"> apmērā</w:t>
            </w:r>
            <w:r w:rsidR="00CC5D97">
              <w:rPr>
                <w:rFonts w:ascii="Times New Roman" w:hAnsi="Times New Roman"/>
                <w:color w:val="auto"/>
                <w:sz w:val="20"/>
                <w:lang w:val="lv-LV"/>
              </w:rPr>
              <w:t>.</w:t>
            </w:r>
          </w:p>
        </w:tc>
      </w:tr>
      <w:tr w:rsidR="006B28DB" w:rsidRPr="00527336" w14:paraId="6E1F6BC3" w14:textId="77777777" w:rsidTr="001F7141">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E16B93C" w14:textId="1BA8A363" w:rsidR="006B28DB" w:rsidRPr="00527336" w:rsidRDefault="006B28DB" w:rsidP="006B28DB">
            <w:pPr>
              <w:ind w:firstLine="0"/>
              <w:jc w:val="center"/>
              <w:rPr>
                <w:color w:val="auto"/>
                <w:sz w:val="20"/>
              </w:rPr>
            </w:pPr>
            <w:r w:rsidRPr="00527336">
              <w:rPr>
                <w:color w:val="auto"/>
                <w:sz w:val="20"/>
              </w:rPr>
              <w:lastRenderedPageBreak/>
              <w:t>3</w:t>
            </w:r>
          </w:p>
        </w:tc>
        <w:tc>
          <w:tcPr>
            <w:tcW w:w="4253" w:type="dxa"/>
            <w:vAlign w:val="center"/>
          </w:tcPr>
          <w:p w14:paraId="58CD122E" w14:textId="5451F841" w:rsidR="006B28DB" w:rsidRPr="006B28DB" w:rsidRDefault="006B28DB" w:rsidP="006B28DB">
            <w:pPr>
              <w:ind w:firstLine="0"/>
              <w:cnfStyle w:val="000000100000" w:firstRow="0" w:lastRow="0" w:firstColumn="0" w:lastColumn="0" w:oddVBand="0" w:evenVBand="0" w:oddHBand="1" w:evenHBand="0" w:firstRowFirstColumn="0" w:firstRowLastColumn="0" w:lastRowFirstColumn="0" w:lastRowLastColumn="0"/>
              <w:rPr>
                <w:color w:val="auto"/>
                <w:sz w:val="20"/>
              </w:rPr>
            </w:pPr>
            <w:r w:rsidRPr="006B28DB">
              <w:rPr>
                <w:color w:val="auto"/>
                <w:sz w:val="20"/>
                <w:szCs w:val="23"/>
              </w:rPr>
              <w:t>Palielināt publiskā sektora efektivitāti un atbildību, jo īpaši, vienkāršojot administratīvās procedūras un nostiprinot interešu konfliktu novēršanas sistēmu, tostarp maksātnespējas administratoriem.</w:t>
            </w:r>
          </w:p>
        </w:tc>
        <w:tc>
          <w:tcPr>
            <w:tcW w:w="10489" w:type="dxa"/>
          </w:tcPr>
          <w:p w14:paraId="4197ACBF" w14:textId="1D938DBB" w:rsidR="00530CD5" w:rsidRPr="00530CD5" w:rsidRDefault="00530CD5" w:rsidP="00530CD5">
            <w:pPr>
              <w:spacing w:after="0"/>
              <w:cnfStyle w:val="000000100000" w:firstRow="0" w:lastRow="0" w:firstColumn="0" w:lastColumn="0" w:oddVBand="0" w:evenVBand="0" w:oddHBand="1" w:evenHBand="0" w:firstRowFirstColumn="0" w:firstRowLastColumn="0" w:lastRowFirstColumn="0" w:lastRowLastColumn="0"/>
              <w:rPr>
                <w:color w:val="000000"/>
                <w:sz w:val="20"/>
              </w:rPr>
            </w:pPr>
            <w:r w:rsidRPr="00530CD5">
              <w:rPr>
                <w:color w:val="000000"/>
                <w:sz w:val="20"/>
              </w:rPr>
              <w:t>Nesenas izmaiņas Maksātnespējas likumā paredz kompleksu risinājumu maksātnespējas procesa</w:t>
            </w:r>
            <w:r w:rsidRPr="00530CD5">
              <w:rPr>
                <w:b/>
                <w:bCs/>
                <w:color w:val="000000"/>
                <w:sz w:val="20"/>
              </w:rPr>
              <w:t xml:space="preserve"> </w:t>
            </w:r>
            <w:r w:rsidRPr="00530CD5">
              <w:rPr>
                <w:color w:val="000000"/>
                <w:sz w:val="20"/>
              </w:rPr>
              <w:t xml:space="preserve">administratora darbības un maksātnespējas procesa norises likumības kontroles efektivitātes paaugstināšanai, kā arī ir papildināts ar regulējumu, kas noteic informācijas par tiesiskās aizsardzības procesiem un maksātnespējas procesiem, kā arī tiesiskās aizsardzības procesa uzraugošajām personām un maksātnespējas administratoriem apstrādi un publicēšanu. Līdz ar to tika pieņemti vairāki </w:t>
            </w:r>
            <w:r w:rsidR="00A162A7">
              <w:rPr>
                <w:color w:val="000000"/>
                <w:sz w:val="20"/>
              </w:rPr>
              <w:t>MK</w:t>
            </w:r>
            <w:r w:rsidRPr="00530CD5">
              <w:rPr>
                <w:color w:val="000000"/>
                <w:sz w:val="20"/>
              </w:rPr>
              <w:t xml:space="preserve"> noteikumi, lai noteiktu konkrētu kārtību minēto izmaiņu piemērošanai praksē.</w:t>
            </w:r>
          </w:p>
          <w:p w14:paraId="341D14D7" w14:textId="77777777" w:rsidR="006B28DB" w:rsidRDefault="00530CD5" w:rsidP="00530CD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sz w:val="20"/>
              </w:rPr>
            </w:pPr>
            <w:r w:rsidRPr="00530CD5">
              <w:rPr>
                <w:color w:val="000000"/>
                <w:sz w:val="20"/>
              </w:rPr>
              <w:lastRenderedPageBreak/>
              <w:t>Papildus ir mainīts tiesiskās aizsardzības procesa regulējums, ieviešot tiesiskās aizsardzības procesa uzraugošo personu, kuras galvenais mērķis tiesiskās aizsardzības procesa laikā būs pildīt kreditoru uzticības personas funkcijas, uzraugot tiesiskās aizsardzības procesa pasākumu plāna izpildi, un informēt par to kreditorus, tādējādi paplašinot kreditoru lomu tiesiskās aizsardzības procesa īstenošanas uzraudzībā.</w:t>
            </w:r>
          </w:p>
          <w:p w14:paraId="18228088" w14:textId="56EFBA97" w:rsidR="00A821E4" w:rsidRPr="00A821E4" w:rsidRDefault="004415FB" w:rsidP="00A821E4">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2017.gada</w:t>
            </w:r>
            <w:r w:rsidR="00A821E4" w:rsidRPr="00A821E4">
              <w:rPr>
                <w:color w:val="000000"/>
                <w:sz w:val="20"/>
              </w:rPr>
              <w:t xml:space="preserve"> 26.jūlijā Valsts sekretāru sanāksmē tika uzsaukts Valsts pārvaldes reformu plāna 2020 projekts, kura mērķis ir veidot efektīvu, atbildīgu un elastīgu valsts pārvaldi, t.sk. stiprinot uz rezultātu orientētu darbu, ieviešot “nulles birokrātijas” pieeju un samazinot administratīvo slogu </w:t>
            </w:r>
            <w:proofErr w:type="spellStart"/>
            <w:r w:rsidR="00A821E4" w:rsidRPr="00A821E4">
              <w:rPr>
                <w:color w:val="000000"/>
                <w:sz w:val="20"/>
              </w:rPr>
              <w:t>starpiestāžu</w:t>
            </w:r>
            <w:proofErr w:type="spellEnd"/>
            <w:r w:rsidR="00A821E4" w:rsidRPr="00A821E4">
              <w:rPr>
                <w:color w:val="000000"/>
                <w:sz w:val="20"/>
              </w:rPr>
              <w:t xml:space="preserve"> sadarbībā. </w:t>
            </w:r>
          </w:p>
          <w:p w14:paraId="4E3F5151" w14:textId="7B7F2457" w:rsidR="00A821E4" w:rsidRPr="004171A5" w:rsidRDefault="000F3CD8" w:rsidP="000F3CD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sz w:val="20"/>
              </w:rPr>
              <w:t>Ņemot vērā minēto, 2018.gada budžeta un 2018. – 2020.</w:t>
            </w:r>
            <w:r w:rsidR="00A821E4" w:rsidRPr="00A821E4">
              <w:rPr>
                <w:color w:val="000000"/>
                <w:sz w:val="20"/>
              </w:rPr>
              <w:t xml:space="preserve">gada vidēja termiņa budžeta projektu ietvaros </w:t>
            </w:r>
            <w:r>
              <w:rPr>
                <w:color w:val="000000"/>
                <w:sz w:val="20"/>
              </w:rPr>
              <w:t>MK</w:t>
            </w:r>
            <w:r w:rsidR="00A821E4" w:rsidRPr="00A821E4">
              <w:rPr>
                <w:color w:val="000000"/>
                <w:sz w:val="20"/>
              </w:rPr>
              <w:t xml:space="preserve"> apstiprinājis finansējuma piešķiršanu ekspertu piesaistei reformu novērtēšanai un Valsts kancelejas nodarbināto kapacitātes stiprināšanai (budžets apstiprināms Saeimā).</w:t>
            </w:r>
            <w:r w:rsidR="00A821E4">
              <w:rPr>
                <w:sz w:val="22"/>
              </w:rPr>
              <w:t xml:space="preserve">  </w:t>
            </w:r>
          </w:p>
        </w:tc>
      </w:tr>
    </w:tbl>
    <w:p w14:paraId="3E6137B8" w14:textId="77777777" w:rsidR="00B2042D" w:rsidRPr="00B2042D" w:rsidRDefault="00B2042D" w:rsidP="00B2042D">
      <w:pPr>
        <w:rPr>
          <w:lang w:val="x-none" w:eastAsia="x-none"/>
        </w:rPr>
      </w:pPr>
    </w:p>
    <w:p w14:paraId="2491BAFF" w14:textId="503C411B" w:rsidR="0001052E" w:rsidRPr="001D5709" w:rsidRDefault="0001052E" w:rsidP="0001052E">
      <w:pPr>
        <w:pStyle w:val="Heading1"/>
        <w:tabs>
          <w:tab w:val="left" w:pos="1276"/>
        </w:tabs>
        <w:spacing w:before="0" w:after="240"/>
        <w:ind w:left="1276" w:hanging="1276"/>
        <w:jc w:val="left"/>
        <w:rPr>
          <w:rFonts w:ascii="Times New Roman" w:hAnsi="Times New Roman"/>
          <w:color w:val="18185F"/>
          <w:sz w:val="24"/>
        </w:rPr>
      </w:pPr>
      <w:bookmarkStart w:id="30" w:name="_Toc494786361"/>
      <w:r w:rsidRPr="001D5709">
        <w:rPr>
          <w:rFonts w:ascii="Times New Roman" w:hAnsi="Times New Roman"/>
          <w:color w:val="18185F"/>
          <w:sz w:val="24"/>
        </w:rPr>
        <w:t xml:space="preserve">Tabula 6.b: </w:t>
      </w:r>
      <w:r w:rsidRPr="00B16CD6">
        <w:rPr>
          <w:rFonts w:ascii="Times New Roman" w:hAnsi="Times New Roman"/>
          <w:color w:val="18185F"/>
          <w:sz w:val="24"/>
        </w:rPr>
        <w:t>ES Str</w:t>
      </w:r>
      <w:r w:rsidR="00923FA1">
        <w:rPr>
          <w:rFonts w:ascii="Times New Roman" w:hAnsi="Times New Roman"/>
          <w:color w:val="18185F"/>
          <w:sz w:val="24"/>
        </w:rPr>
        <w:t xml:space="preserve">atēģijas noteiktie mērķi </w:t>
      </w:r>
      <w:r w:rsidR="00B407CB">
        <w:rPr>
          <w:rFonts w:ascii="Times New Roman" w:hAnsi="Times New Roman"/>
          <w:color w:val="18185F"/>
          <w:sz w:val="24"/>
          <w:lang w:val="lv-LV"/>
        </w:rPr>
        <w:t>attiecībā</w:t>
      </w:r>
      <w:r w:rsidRPr="00B16CD6">
        <w:rPr>
          <w:rFonts w:ascii="Times New Roman" w:hAnsi="Times New Roman"/>
          <w:color w:val="18185F"/>
          <w:sz w:val="24"/>
        </w:rPr>
        <w:t xml:space="preserve"> uz izaugsmi un darbu</w:t>
      </w:r>
      <w:bookmarkEnd w:id="30"/>
    </w:p>
    <w:tbl>
      <w:tblPr>
        <w:tblStyle w:val="GridTable6Colorful-Accent11"/>
        <w:tblW w:w="15446" w:type="dxa"/>
        <w:tblLayout w:type="fixed"/>
        <w:tblLook w:val="04A0" w:firstRow="1" w:lastRow="0" w:firstColumn="1" w:lastColumn="0" w:noHBand="0" w:noVBand="1"/>
      </w:tblPr>
      <w:tblGrid>
        <w:gridCol w:w="2122"/>
        <w:gridCol w:w="3260"/>
        <w:gridCol w:w="10064"/>
      </w:tblGrid>
      <w:tr w:rsidR="00D251AD" w:rsidRPr="00527336" w14:paraId="27374744" w14:textId="77777777" w:rsidTr="00C34C62">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5BF7EBD" w14:textId="77777777" w:rsidR="00D251AD" w:rsidRPr="00527336" w:rsidRDefault="00D251AD" w:rsidP="00945E73">
            <w:pPr>
              <w:spacing w:after="0"/>
              <w:ind w:firstLine="0"/>
              <w:jc w:val="center"/>
              <w:rPr>
                <w:b w:val="0"/>
                <w:color w:val="auto"/>
                <w:sz w:val="20"/>
              </w:rPr>
            </w:pPr>
            <w:r w:rsidRPr="00527336">
              <w:rPr>
                <w:color w:val="auto"/>
                <w:sz w:val="20"/>
              </w:rPr>
              <w:t>Nacionālie 2020 mērķi</w:t>
            </w:r>
          </w:p>
        </w:tc>
        <w:tc>
          <w:tcPr>
            <w:tcW w:w="3260" w:type="dxa"/>
            <w:vAlign w:val="center"/>
          </w:tcPr>
          <w:p w14:paraId="1E6DD1AF" w14:textId="77777777" w:rsidR="00D251AD" w:rsidRPr="00527336" w:rsidRDefault="00D251AD" w:rsidP="00945E73">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527336">
              <w:rPr>
                <w:color w:val="auto"/>
                <w:sz w:val="20"/>
              </w:rPr>
              <w:t>Pasākumi</w:t>
            </w:r>
          </w:p>
        </w:tc>
        <w:tc>
          <w:tcPr>
            <w:tcW w:w="10064" w:type="dxa"/>
            <w:vAlign w:val="center"/>
          </w:tcPr>
          <w:p w14:paraId="7611E2D0" w14:textId="77777777" w:rsidR="00D251AD" w:rsidRPr="00527336" w:rsidRDefault="00D251AD" w:rsidP="00945E73">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527336">
              <w:rPr>
                <w:color w:val="auto"/>
                <w:sz w:val="20"/>
              </w:rPr>
              <w:t>Apraksts</w:t>
            </w:r>
          </w:p>
        </w:tc>
      </w:tr>
      <w:tr w:rsidR="006B28DB" w:rsidRPr="00527336" w14:paraId="20DB74FB"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B5BF5E" w14:textId="77777777" w:rsidR="006B28DB" w:rsidRPr="00527336" w:rsidRDefault="006B28DB" w:rsidP="006B28DB">
            <w:pPr>
              <w:ind w:firstLine="0"/>
              <w:rPr>
                <w:b w:val="0"/>
                <w:color w:val="auto"/>
                <w:sz w:val="20"/>
              </w:rPr>
            </w:pPr>
            <w:r w:rsidRPr="00527336">
              <w:rPr>
                <w:color w:val="auto"/>
                <w:sz w:val="20"/>
              </w:rPr>
              <w:t>Nacionālais 2020 nodarbinātības mērķis (73,0%)</w:t>
            </w:r>
          </w:p>
        </w:tc>
        <w:tc>
          <w:tcPr>
            <w:tcW w:w="3260" w:type="dxa"/>
          </w:tcPr>
          <w:p w14:paraId="2240C5CD" w14:textId="77777777" w:rsidR="006B28DB" w:rsidRPr="006B28DB" w:rsidRDefault="006B28DB" w:rsidP="00222993">
            <w:pPr>
              <w:pStyle w:val="ListParagraph"/>
              <w:numPr>
                <w:ilvl w:val="0"/>
                <w:numId w:val="4"/>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Bezdarbnieku apmācību pasākumu pilnveidošana;</w:t>
            </w:r>
          </w:p>
          <w:p w14:paraId="29F11C6C" w14:textId="77777777" w:rsidR="006B28DB" w:rsidRPr="006B28DB" w:rsidRDefault="006B28DB" w:rsidP="00222993">
            <w:pPr>
              <w:pStyle w:val="ListParagraph"/>
              <w:numPr>
                <w:ilvl w:val="0"/>
                <w:numId w:val="4"/>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Atbalsta pasākumu jauniešu bezdarba mazināšanai īstenošana;</w:t>
            </w:r>
          </w:p>
          <w:p w14:paraId="21DC11A2" w14:textId="77777777" w:rsidR="006B28DB" w:rsidRPr="006B28DB" w:rsidRDefault="006B28DB" w:rsidP="00222993">
            <w:pPr>
              <w:pStyle w:val="ListParagraph"/>
              <w:numPr>
                <w:ilvl w:val="0"/>
                <w:numId w:val="4"/>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Ilgstošo bezdarbnieku un sociālās palīdzības klientu efektīva atgriešana darba tirgū un atbalsts reģionālajai mobilitātei;</w:t>
            </w:r>
          </w:p>
          <w:p w14:paraId="129D48C0" w14:textId="77777777" w:rsidR="006B28DB" w:rsidRPr="006B28DB" w:rsidRDefault="006B28DB" w:rsidP="00222993">
            <w:pPr>
              <w:pStyle w:val="ListParagraph"/>
              <w:numPr>
                <w:ilvl w:val="0"/>
                <w:numId w:val="4"/>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Gados vecāko iedzīvotāju darbspējas saglabāšana un nodarbinātības sekmēšana;</w:t>
            </w:r>
          </w:p>
          <w:p w14:paraId="36FC9982" w14:textId="77777777" w:rsidR="006B28DB" w:rsidRPr="006B28DB" w:rsidRDefault="006B28DB" w:rsidP="00222993">
            <w:pPr>
              <w:pStyle w:val="ListParagraph"/>
              <w:numPr>
                <w:ilvl w:val="0"/>
                <w:numId w:val="4"/>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 xml:space="preserve">Nodarbinātības dienesta darba </w:t>
            </w:r>
            <w:proofErr w:type="spellStart"/>
            <w:r w:rsidRPr="006B28DB">
              <w:rPr>
                <w:rFonts w:ascii="Times New Roman" w:hAnsi="Times New Roman"/>
                <w:color w:val="auto"/>
                <w:sz w:val="20"/>
                <w:szCs w:val="22"/>
              </w:rPr>
              <w:t>efektivizācija</w:t>
            </w:r>
            <w:proofErr w:type="spellEnd"/>
            <w:r w:rsidRPr="006B28DB">
              <w:rPr>
                <w:rFonts w:ascii="Times New Roman" w:hAnsi="Times New Roman"/>
                <w:color w:val="auto"/>
                <w:sz w:val="20"/>
                <w:szCs w:val="22"/>
              </w:rPr>
              <w:t>;</w:t>
            </w:r>
          </w:p>
          <w:p w14:paraId="2C07C846" w14:textId="1399ED11" w:rsidR="006B28DB" w:rsidRPr="006B28DB" w:rsidRDefault="006B28DB" w:rsidP="00222993">
            <w:pPr>
              <w:pStyle w:val="ListParagraph"/>
              <w:numPr>
                <w:ilvl w:val="0"/>
                <w:numId w:val="4"/>
              </w:numPr>
              <w:spacing w:after="0" w:line="240" w:lineRule="auto"/>
              <w:ind w:left="175" w:hanging="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roofErr w:type="spellStart"/>
            <w:r w:rsidRPr="006B28DB">
              <w:rPr>
                <w:rFonts w:ascii="Times New Roman" w:hAnsi="Times New Roman"/>
                <w:color w:val="auto"/>
                <w:sz w:val="20"/>
                <w:szCs w:val="22"/>
              </w:rPr>
              <w:t>Pašnodarbinātības</w:t>
            </w:r>
            <w:proofErr w:type="spellEnd"/>
            <w:r w:rsidRPr="006B28DB">
              <w:rPr>
                <w:rFonts w:ascii="Times New Roman" w:hAnsi="Times New Roman"/>
                <w:color w:val="auto"/>
                <w:sz w:val="20"/>
                <w:szCs w:val="22"/>
              </w:rPr>
              <w:t xml:space="preserve"> un uzņēmējdarbības sekmēšana.</w:t>
            </w:r>
          </w:p>
        </w:tc>
        <w:tc>
          <w:tcPr>
            <w:tcW w:w="10064" w:type="dxa"/>
          </w:tcPr>
          <w:p w14:paraId="49E2E797" w14:textId="790F82BE" w:rsidR="006B28DB" w:rsidRPr="004519A5" w:rsidRDefault="00E81049" w:rsidP="000F3CD8">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0F3CD8">
              <w:rPr>
                <w:color w:val="000000"/>
                <w:sz w:val="20"/>
              </w:rPr>
              <w:t xml:space="preserve">Skatīt </w:t>
            </w:r>
            <w:r w:rsidR="00D900DA">
              <w:rPr>
                <w:color w:val="000000"/>
                <w:sz w:val="20"/>
              </w:rPr>
              <w:t>N</w:t>
            </w:r>
            <w:r w:rsidR="000F3CD8">
              <w:rPr>
                <w:color w:val="000000"/>
                <w:sz w:val="20"/>
              </w:rPr>
              <w:t>acionālo reformu programmu.</w:t>
            </w:r>
          </w:p>
        </w:tc>
      </w:tr>
      <w:tr w:rsidR="006B28DB" w:rsidRPr="00527336" w14:paraId="706F3FED" w14:textId="77777777" w:rsidTr="00C34C62">
        <w:tc>
          <w:tcPr>
            <w:cnfStyle w:val="001000000000" w:firstRow="0" w:lastRow="0" w:firstColumn="1" w:lastColumn="0" w:oddVBand="0" w:evenVBand="0" w:oddHBand="0" w:evenHBand="0" w:firstRowFirstColumn="0" w:firstRowLastColumn="0" w:lastRowFirstColumn="0" w:lastRowLastColumn="0"/>
            <w:tcW w:w="2122" w:type="dxa"/>
          </w:tcPr>
          <w:p w14:paraId="1E2394F5" w14:textId="3E6EEFF3" w:rsidR="006B28DB" w:rsidRPr="00527336" w:rsidRDefault="006B28DB" w:rsidP="006B28DB">
            <w:pPr>
              <w:ind w:firstLine="0"/>
              <w:rPr>
                <w:b w:val="0"/>
                <w:color w:val="auto"/>
                <w:sz w:val="20"/>
              </w:rPr>
            </w:pPr>
            <w:r w:rsidRPr="00527336">
              <w:rPr>
                <w:color w:val="auto"/>
                <w:sz w:val="20"/>
              </w:rPr>
              <w:t>Nacionālais 2020 P&amp;A mērķis</w:t>
            </w:r>
            <w:r w:rsidRPr="00527336">
              <w:rPr>
                <w:b w:val="0"/>
                <w:color w:val="auto"/>
                <w:sz w:val="20"/>
              </w:rPr>
              <w:t xml:space="preserve"> </w:t>
            </w:r>
            <w:r w:rsidRPr="00527336">
              <w:rPr>
                <w:color w:val="auto"/>
                <w:sz w:val="20"/>
              </w:rPr>
              <w:t>(1,5% no IKP)</w:t>
            </w:r>
          </w:p>
        </w:tc>
        <w:tc>
          <w:tcPr>
            <w:tcW w:w="3260" w:type="dxa"/>
          </w:tcPr>
          <w:p w14:paraId="0E2B6CDA" w14:textId="6A296774" w:rsidR="006B28DB" w:rsidRPr="006B28DB" w:rsidRDefault="00AF4FFC" w:rsidP="00222993">
            <w:pPr>
              <w:pStyle w:val="ListParagraph"/>
              <w:numPr>
                <w:ilvl w:val="0"/>
                <w:numId w:val="10"/>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Pr>
                <w:rFonts w:ascii="Times New Roman" w:hAnsi="Times New Roman"/>
                <w:color w:val="auto"/>
                <w:sz w:val="20"/>
                <w:szCs w:val="22"/>
              </w:rPr>
              <w:t xml:space="preserve">ZTAI </w:t>
            </w:r>
            <w:r w:rsidR="006B28DB" w:rsidRPr="006B28DB">
              <w:rPr>
                <w:rFonts w:ascii="Times New Roman" w:hAnsi="Times New Roman"/>
                <w:color w:val="auto"/>
                <w:sz w:val="20"/>
                <w:szCs w:val="22"/>
              </w:rPr>
              <w:t xml:space="preserve">nozares konkurētspējas paaugstināšana; </w:t>
            </w:r>
          </w:p>
          <w:p w14:paraId="32FB9E0B" w14:textId="77777777" w:rsidR="006B28DB" w:rsidRPr="006B28DB" w:rsidRDefault="006B28DB" w:rsidP="00222993">
            <w:pPr>
              <w:pStyle w:val="ListParagraph"/>
              <w:numPr>
                <w:ilvl w:val="0"/>
                <w:numId w:val="10"/>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ZTAI nozares sasaiste ar sabiedrības un tautsaimniecības attīstības vajadzībām;</w:t>
            </w:r>
          </w:p>
          <w:p w14:paraId="79EAE455" w14:textId="77777777" w:rsidR="006B28DB" w:rsidRPr="006B28DB" w:rsidRDefault="006B28DB" w:rsidP="00222993">
            <w:pPr>
              <w:pStyle w:val="ListParagraph"/>
              <w:numPr>
                <w:ilvl w:val="0"/>
                <w:numId w:val="10"/>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ZTIA nozares efektīva pārvaldība;</w:t>
            </w:r>
          </w:p>
          <w:p w14:paraId="37351D9D" w14:textId="77777777" w:rsidR="006B28DB" w:rsidRDefault="006B28DB" w:rsidP="00222993">
            <w:pPr>
              <w:pStyle w:val="ListParagraph"/>
              <w:numPr>
                <w:ilvl w:val="0"/>
                <w:numId w:val="10"/>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lastRenderedPageBreak/>
              <w:t>Atbalsts inovatīvu komersantu attīstībai;</w:t>
            </w:r>
          </w:p>
          <w:p w14:paraId="40C8924B" w14:textId="38C9F7D3" w:rsidR="006B28DB" w:rsidRPr="006B28DB" w:rsidRDefault="006B28DB" w:rsidP="00222993">
            <w:pPr>
              <w:pStyle w:val="ListParagraph"/>
              <w:numPr>
                <w:ilvl w:val="0"/>
                <w:numId w:val="10"/>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Sabiedrības izpratnes veicināšana, zinātnes un inovācijas popularizēšana.</w:t>
            </w:r>
          </w:p>
        </w:tc>
        <w:tc>
          <w:tcPr>
            <w:tcW w:w="10064" w:type="dxa"/>
          </w:tcPr>
          <w:p w14:paraId="45D554FC" w14:textId="2466901F" w:rsidR="001477D8" w:rsidRPr="00F92E2E" w:rsidRDefault="001477D8" w:rsidP="001477D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F92E2E">
              <w:rPr>
                <w:color w:val="auto"/>
                <w:sz w:val="20"/>
              </w:rPr>
              <w:lastRenderedPageBreak/>
              <w:t>Zinātnes politikā ir veikt</w:t>
            </w:r>
            <w:r w:rsidR="000F3CD8" w:rsidRPr="00F92E2E">
              <w:rPr>
                <w:color w:val="auto"/>
                <w:sz w:val="20"/>
              </w:rPr>
              <w:t>as būtiskas reformas kopš 2014.</w:t>
            </w:r>
            <w:r w:rsidRPr="00F92E2E">
              <w:rPr>
                <w:color w:val="auto"/>
                <w:sz w:val="20"/>
              </w:rPr>
              <w:t>gada – ir konsolidētas zinātniskās institūcijas, nosacījumi zinātnes bāzes finansējuma piešķiršanai atspoguļo politikas nostādnes</w:t>
            </w:r>
            <w:r w:rsidR="00F96D1B" w:rsidRPr="00F92E2E">
              <w:rPr>
                <w:color w:val="auto"/>
                <w:sz w:val="20"/>
              </w:rPr>
              <w:t xml:space="preserve"> </w:t>
            </w:r>
            <w:r w:rsidRPr="00F92E2E">
              <w:rPr>
                <w:color w:val="auto"/>
                <w:sz w:val="20"/>
              </w:rPr>
              <w:t xml:space="preserve">- tiek ņemts vērā piesaistītais finansējums no komersantiem, no starptautiskajiem projektiem u.c. ES Struktūrfondu ieguldījumi tiek mērķtiecīgi veikti 14 labākajās zinātniskajās institūcijās, kā arī tiek īstenotas </w:t>
            </w:r>
            <w:proofErr w:type="spellStart"/>
            <w:r w:rsidRPr="00F92E2E">
              <w:rPr>
                <w:color w:val="auto"/>
                <w:sz w:val="20"/>
              </w:rPr>
              <w:t>grantu</w:t>
            </w:r>
            <w:proofErr w:type="spellEnd"/>
            <w:r w:rsidRPr="00F92E2E">
              <w:rPr>
                <w:color w:val="auto"/>
                <w:sz w:val="20"/>
              </w:rPr>
              <w:t xml:space="preserve"> programmas- praktis</w:t>
            </w:r>
            <w:r w:rsidR="00B83956" w:rsidRPr="00F92E2E">
              <w:rPr>
                <w:color w:val="auto"/>
                <w:sz w:val="20"/>
              </w:rPr>
              <w:t>kās ievirzes pētījumi (1.1.1.1.</w:t>
            </w:r>
            <w:r w:rsidRPr="00F92E2E">
              <w:rPr>
                <w:color w:val="auto"/>
                <w:sz w:val="20"/>
              </w:rPr>
              <w:t xml:space="preserve">pasākums “Praktiskas ievirzes pētījumi”), </w:t>
            </w:r>
            <w:proofErr w:type="spellStart"/>
            <w:r w:rsidRPr="00F92E2E">
              <w:rPr>
                <w:color w:val="auto"/>
                <w:sz w:val="20"/>
              </w:rPr>
              <w:t>pēcdoktorantūras</w:t>
            </w:r>
            <w:proofErr w:type="spellEnd"/>
            <w:r w:rsidR="00B83956" w:rsidRPr="00F92E2E">
              <w:rPr>
                <w:color w:val="auto"/>
                <w:sz w:val="20"/>
              </w:rPr>
              <w:t xml:space="preserve"> pētniecības atbalsts (1.1.1.2.</w:t>
            </w:r>
            <w:r w:rsidRPr="00F92E2E">
              <w:rPr>
                <w:color w:val="auto"/>
                <w:sz w:val="20"/>
              </w:rPr>
              <w:t>pasākums “</w:t>
            </w:r>
            <w:proofErr w:type="spellStart"/>
            <w:r w:rsidRPr="00F92E2E">
              <w:rPr>
                <w:color w:val="auto"/>
                <w:sz w:val="20"/>
              </w:rPr>
              <w:t>Pēcdoktorantūras</w:t>
            </w:r>
            <w:proofErr w:type="spellEnd"/>
            <w:r w:rsidRPr="00F92E2E">
              <w:rPr>
                <w:color w:val="auto"/>
                <w:sz w:val="20"/>
              </w:rPr>
              <w:t xml:space="preserve"> pētniecības atbalsts”), tiek plānots 2018.gadā uzsākt programmu “Inovācij</w:t>
            </w:r>
            <w:r w:rsidR="00B83956" w:rsidRPr="00F92E2E">
              <w:rPr>
                <w:color w:val="auto"/>
                <w:sz w:val="20"/>
              </w:rPr>
              <w:t>as granti studentiem” (1.1.1.3.</w:t>
            </w:r>
            <w:r w:rsidRPr="00F92E2E">
              <w:rPr>
                <w:color w:val="auto"/>
                <w:sz w:val="20"/>
              </w:rPr>
              <w:t xml:space="preserve">pasākums “Inovācijas granti studentiem”). </w:t>
            </w:r>
          </w:p>
          <w:p w14:paraId="242A2F53" w14:textId="4AC44621" w:rsidR="001477D8" w:rsidRPr="001477D8" w:rsidRDefault="001477D8" w:rsidP="001477D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lastRenderedPageBreak/>
              <w:t>Fundamentāliem</w:t>
            </w:r>
            <w:r w:rsidR="000F3CD8">
              <w:rPr>
                <w:color w:val="auto"/>
                <w:sz w:val="20"/>
              </w:rPr>
              <w:t xml:space="preserve"> un lietišķiem pētījumiem 2018.</w:t>
            </w:r>
            <w:r w:rsidRPr="001477D8">
              <w:rPr>
                <w:color w:val="auto"/>
                <w:sz w:val="20"/>
              </w:rPr>
              <w:t xml:space="preserve">gadā tiek plānots palielināt finansējumu aptuveni divas reizes līdz 9,5 milj. </w:t>
            </w:r>
            <w:proofErr w:type="spellStart"/>
            <w:r w:rsidRPr="000F3CD8">
              <w:rPr>
                <w:i/>
                <w:color w:val="auto"/>
                <w:sz w:val="20"/>
              </w:rPr>
              <w:t>euro</w:t>
            </w:r>
            <w:proofErr w:type="spellEnd"/>
            <w:r w:rsidRPr="001477D8">
              <w:rPr>
                <w:color w:val="auto"/>
                <w:sz w:val="20"/>
              </w:rPr>
              <w:t xml:space="preserve"> pētniecībai visās OECD zinātņu nozaru grupās, lai pakāpeniski veidotu stabilu zināšanu bāzi un </w:t>
            </w:r>
            <w:proofErr w:type="spellStart"/>
            <w:r w:rsidRPr="001477D8">
              <w:rPr>
                <w:color w:val="auto"/>
                <w:sz w:val="20"/>
              </w:rPr>
              <w:t>cilvēkkapitālu</w:t>
            </w:r>
            <w:proofErr w:type="spellEnd"/>
            <w:r w:rsidRPr="001477D8">
              <w:rPr>
                <w:color w:val="auto"/>
                <w:sz w:val="20"/>
              </w:rPr>
              <w:t>. Vienlaikus fundamentālo un lietišķo pētījumu programmai šogad tiek izstrādāti jauni MK noteikumi, kas novērsīs interešu konfliktu projektu izvērtēšanā un sekmēs resursu koncentrāciju un izcilību. Paredzams, ka jaunie noteikumi valsts pētījumu programmu īstenošanai tiks apstiprināti līdz 2017.</w:t>
            </w:r>
            <w:r w:rsidR="000F3CD8">
              <w:rPr>
                <w:color w:val="auto"/>
                <w:sz w:val="20"/>
              </w:rPr>
              <w:t>gada beigām. 2018.</w:t>
            </w:r>
            <w:r w:rsidRPr="001477D8">
              <w:rPr>
                <w:color w:val="auto"/>
                <w:sz w:val="20"/>
              </w:rPr>
              <w:t>gadā ir plānots izsludināt jaunus konkursus fundamentālajiem un lietišķiem pētījumu projektiem, kā arī valsts pētījumu programmām.</w:t>
            </w:r>
          </w:p>
          <w:p w14:paraId="01664C96" w14:textId="7A896077" w:rsidR="001477D8" w:rsidRPr="001477D8" w:rsidRDefault="001477D8" w:rsidP="001477D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(1) Lai paaugstinātu ZTAI nozares konkurētspēju, resursi tiek koncentrēti labākajos valsts zinātniskajos institūtos un universitā</w:t>
            </w:r>
            <w:r w:rsidR="00690BCA">
              <w:rPr>
                <w:color w:val="auto"/>
                <w:sz w:val="20"/>
              </w:rPr>
              <w:t>tēs, kā arī zināšanu centros. Ši</w:t>
            </w:r>
            <w:r w:rsidRPr="001477D8">
              <w:rPr>
                <w:color w:val="auto"/>
                <w:sz w:val="20"/>
              </w:rPr>
              <w:t xml:space="preserve">m mērķim tām zinātniskajām institūcijām, kuras saņēma pozitīvo vērtējumu starptautiskajā zinātnes novērtējumā, tiek turpināts piešķirt zinātnes bāzes finansējumu. Zinātnes bāzes finansējumā ir ieviesti uz ekselenci vērsti kritēriji: 10% no finansējuma tiek piešķirts tām zinātniskajām institūcijām, kas starptautiskajā zinātnes </w:t>
            </w:r>
            <w:proofErr w:type="spellStart"/>
            <w:r w:rsidRPr="001477D8">
              <w:rPr>
                <w:color w:val="auto"/>
                <w:sz w:val="20"/>
              </w:rPr>
              <w:t>izvērtējumā</w:t>
            </w:r>
            <w:proofErr w:type="spellEnd"/>
            <w:r w:rsidRPr="001477D8">
              <w:rPr>
                <w:color w:val="auto"/>
                <w:sz w:val="20"/>
              </w:rPr>
              <w:t xml:space="preserve"> saņēmušas augstu novērtējumu. Paredzēts, ka nākamais starptautiskais zinātnes </w:t>
            </w:r>
            <w:proofErr w:type="spellStart"/>
            <w:r w:rsidR="000F3CD8">
              <w:rPr>
                <w:color w:val="auto"/>
                <w:sz w:val="20"/>
              </w:rPr>
              <w:t>izvērtējums</w:t>
            </w:r>
            <w:proofErr w:type="spellEnd"/>
            <w:r w:rsidR="000F3CD8">
              <w:rPr>
                <w:color w:val="auto"/>
                <w:sz w:val="20"/>
              </w:rPr>
              <w:t xml:space="preserve"> tiks īstenots 2019.</w:t>
            </w:r>
            <w:r w:rsidRPr="001477D8">
              <w:rPr>
                <w:color w:val="auto"/>
                <w:sz w:val="20"/>
              </w:rPr>
              <w:t>gadā.</w:t>
            </w:r>
          </w:p>
          <w:p w14:paraId="4C94CA44" w14:textId="74F35E89" w:rsidR="001477D8" w:rsidRPr="001477D8" w:rsidRDefault="000F3CD8" w:rsidP="001477D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Līdz 2020.</w:t>
            </w:r>
            <w:r w:rsidR="001477D8" w:rsidRPr="001477D8">
              <w:rPr>
                <w:color w:val="auto"/>
                <w:sz w:val="20"/>
              </w:rPr>
              <w:t>gadam spēcīgākajās zinātniskajās institūcijās ir paredzēts ieguldīt ES fondu līdzfinansējumu zinātnisko in</w:t>
            </w:r>
            <w:r w:rsidR="00CC5D97">
              <w:rPr>
                <w:color w:val="auto"/>
                <w:sz w:val="20"/>
              </w:rPr>
              <w:t>stitūtu infrastruktūrā 1.1.1.4.</w:t>
            </w:r>
            <w:r w:rsidR="001477D8" w:rsidRPr="001477D8">
              <w:rPr>
                <w:color w:val="auto"/>
                <w:sz w:val="20"/>
              </w:rPr>
              <w:t>pasākuma "P&amp;A infrastruktūras attīstīšana viedās specializācijas jomās un zinātnisko institūciju institucionālās kapacitātes stiprināšana" ietvaros. Atbalsts ir paredzēts spēcīgākajām 14 Latvijas zinātniskajām institūcijām to institucionālās kapacitātes stiprināšanai, pētniecības infrastruktūras attīstībai un pētniecības resursu koncentrēšanai. Šobrīd notiek projektu iesniegumu vērtēšana, un tos paredzēts uzsākt 2017.gada 4.ceturksnī.</w:t>
            </w:r>
          </w:p>
          <w:p w14:paraId="03208041" w14:textId="2131D4BF" w:rsidR="001477D8" w:rsidRPr="001477D8" w:rsidRDefault="001477D8" w:rsidP="001477D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Ieguldījumu nozares konkurētspējas paaugstināšanā daļ</w:t>
            </w:r>
            <w:r w:rsidR="000F3CD8">
              <w:rPr>
                <w:color w:val="auto"/>
                <w:sz w:val="20"/>
              </w:rPr>
              <w:t>ēji sniedz ES fondu 2014.-2020.</w:t>
            </w:r>
            <w:r w:rsidRPr="001477D8">
              <w:rPr>
                <w:color w:val="auto"/>
                <w:sz w:val="20"/>
              </w:rPr>
              <w:t xml:space="preserve">gada plānošanas perioda ietvaros plānotais atbalsts </w:t>
            </w:r>
            <w:proofErr w:type="spellStart"/>
            <w:r w:rsidRPr="001477D8">
              <w:rPr>
                <w:color w:val="auto"/>
                <w:sz w:val="20"/>
              </w:rPr>
              <w:t>pēcdoktorantūras</w:t>
            </w:r>
            <w:proofErr w:type="spellEnd"/>
            <w:r w:rsidRPr="001477D8">
              <w:rPr>
                <w:color w:val="auto"/>
                <w:sz w:val="20"/>
              </w:rPr>
              <w:t xml:space="preserve"> pētniecībai, kopumā 64,029 milj. </w:t>
            </w:r>
            <w:proofErr w:type="spellStart"/>
            <w:r w:rsidRPr="000F3CD8">
              <w:rPr>
                <w:i/>
                <w:color w:val="auto"/>
                <w:sz w:val="20"/>
              </w:rPr>
              <w:t>euro</w:t>
            </w:r>
            <w:proofErr w:type="spellEnd"/>
            <w:r w:rsidRPr="001477D8">
              <w:rPr>
                <w:color w:val="auto"/>
                <w:sz w:val="20"/>
              </w:rPr>
              <w:t xml:space="preserve">. </w:t>
            </w:r>
            <w:r w:rsidRPr="001477D8">
              <w:rPr>
                <w:bCs/>
                <w:color w:val="auto"/>
                <w:sz w:val="20"/>
              </w:rPr>
              <w:t>Darbības programmas „Iz</w:t>
            </w:r>
            <w:r w:rsidR="00CC5D97">
              <w:rPr>
                <w:bCs/>
                <w:color w:val="auto"/>
                <w:sz w:val="20"/>
              </w:rPr>
              <w:t>augsme un nodarbinātība” 1.1.1.</w:t>
            </w:r>
            <w:r w:rsidRPr="001477D8">
              <w:rPr>
                <w:bCs/>
                <w:color w:val="auto"/>
                <w:sz w:val="20"/>
              </w:rPr>
              <w:t>SAM „Palielināt Latvijas zinātnisko institūciju pētniecisko un inovatīvo kapacitāti un spēju piesaistīt ārējo finansējumu, ieguldot cilvēkresur</w:t>
            </w:r>
            <w:r w:rsidR="00CC5D97">
              <w:rPr>
                <w:bCs/>
                <w:color w:val="auto"/>
                <w:sz w:val="20"/>
              </w:rPr>
              <w:t>sos un infrastruktūrā” 1.1.1.2.</w:t>
            </w:r>
            <w:r w:rsidRPr="001477D8">
              <w:rPr>
                <w:bCs/>
                <w:color w:val="auto"/>
                <w:sz w:val="20"/>
              </w:rPr>
              <w:t>pasākuma „</w:t>
            </w:r>
            <w:proofErr w:type="spellStart"/>
            <w:r w:rsidRPr="001477D8">
              <w:rPr>
                <w:bCs/>
                <w:color w:val="auto"/>
                <w:sz w:val="20"/>
              </w:rPr>
              <w:t>Pēcdoktorantūras</w:t>
            </w:r>
            <w:proofErr w:type="spellEnd"/>
            <w:r w:rsidRPr="001477D8">
              <w:rPr>
                <w:bCs/>
                <w:color w:val="auto"/>
                <w:sz w:val="20"/>
              </w:rPr>
              <w:t xml:space="preserve"> pētniecības atbalsts” ietvaros ir noslēgusies pirmā pētniecības pieteikumu atlases kārta un tiek slēgti līgumi par 141 pieteikumu īstenošanu par kopējo summu 19,17 milj. </w:t>
            </w:r>
            <w:proofErr w:type="spellStart"/>
            <w:r w:rsidRPr="000F3CD8">
              <w:rPr>
                <w:bCs/>
                <w:i/>
                <w:color w:val="auto"/>
                <w:sz w:val="20"/>
              </w:rPr>
              <w:t>euro</w:t>
            </w:r>
            <w:proofErr w:type="spellEnd"/>
            <w:r w:rsidRPr="001477D8">
              <w:rPr>
                <w:bCs/>
                <w:color w:val="auto"/>
                <w:sz w:val="20"/>
              </w:rPr>
              <w:t>.</w:t>
            </w:r>
          </w:p>
          <w:p w14:paraId="10E4EB9F" w14:textId="69C44DDD" w:rsidR="001477D8" w:rsidRPr="001477D8" w:rsidRDefault="001477D8" w:rsidP="001477D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6936CB">
              <w:rPr>
                <w:color w:val="auto"/>
                <w:sz w:val="20"/>
              </w:rPr>
              <w:t xml:space="preserve">Latvijas dalībnieki – zinātnieki, augstskolas, zinātniskās institūcijas, uzņēmēji u.c. – sadarbībā ar citu valstu pārstāvjiem sekmīgi piedalās ES pētniecības, tehnoloģiju attīstības un inovāciju programmās (Septītā </w:t>
            </w:r>
            <w:proofErr w:type="spellStart"/>
            <w:r w:rsidRPr="006936CB">
              <w:rPr>
                <w:color w:val="auto"/>
                <w:sz w:val="20"/>
              </w:rPr>
              <w:t>ietvarprogramma</w:t>
            </w:r>
            <w:proofErr w:type="spellEnd"/>
            <w:r w:rsidRPr="006936CB">
              <w:rPr>
                <w:color w:val="auto"/>
                <w:sz w:val="20"/>
              </w:rPr>
              <w:t>, programma “Apvārsnis 2020”, EURATOM, EUROSTARS 2, EUREKA, BONUS, ARTEMIS, ECSEL, IMI, un COST), saņemot augstus novērtējumus konkursos iesniegtajiem projektu pieteikumiem. Lai sniegtu atbalstu šo projektu īstenošanai Latvijā, pakāpeniski tika palielināts pieejamā finansējuma apmērs valsts budžeta programmas 70.00.00 "Citu Eiropas Savienības politiku instrumentu projektu un pasākumu īstenošana" apakšprogrammas 70.06.00 “Dalība Eiropas Savienības pētniecības un tehnoloģiju a</w:t>
            </w:r>
            <w:r w:rsidR="002A677B">
              <w:rPr>
                <w:color w:val="auto"/>
                <w:sz w:val="20"/>
              </w:rPr>
              <w:t>ttīstības programmās” ietvaros.</w:t>
            </w:r>
          </w:p>
          <w:p w14:paraId="392FFA79" w14:textId="1F1B851B" w:rsidR="001477D8" w:rsidRPr="001477D8" w:rsidRDefault="001477D8" w:rsidP="001477D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(2) IZM vērtējumā nozares sasaiste ar sabiedrības un tautsaimniecības attīstības vajadzībām būtu nepieciešama arī citu nozares resoru aktīva dalība valsts pasūtījuma definēšanā zinātnisku pēt</w:t>
            </w:r>
            <w:r w:rsidR="00B83956">
              <w:rPr>
                <w:color w:val="auto"/>
                <w:sz w:val="20"/>
              </w:rPr>
              <w:t>ījumu veikšanai, kā</w:t>
            </w:r>
            <w:r w:rsidRPr="001477D8">
              <w:rPr>
                <w:color w:val="auto"/>
                <w:sz w:val="20"/>
              </w:rPr>
              <w:t xml:space="preserve"> arī tam nepieciešamā finansējuma nodrošināšana savu budžetu ietvaros. Kā piemēru nozares ministriju iesaistei valsts pētījumu programmu īstenošanā var minēt EM un IZM plānoto valsts pētījumu programmu enerģētikas jomā, kas tiks īstenota saskaņā ar EM Enerģētikas </w:t>
            </w:r>
            <w:r w:rsidR="00B83956">
              <w:rPr>
                <w:color w:val="auto"/>
                <w:sz w:val="20"/>
              </w:rPr>
              <w:t>attīstības pamatnostādnēm 2018.</w:t>
            </w:r>
            <w:r w:rsidRPr="001477D8">
              <w:rPr>
                <w:color w:val="auto"/>
                <w:sz w:val="20"/>
              </w:rPr>
              <w:t xml:space="preserve">gadā un nodrošinās nepieciešamās zināšanas un jaunas tehnoloģijas konkrētās nozares vajadzībām. Tāpat paredzēta latviešu valodas valsts pētījumu programmu (atbildīgā nozares ministrija IZM) u.c. </w:t>
            </w:r>
          </w:p>
          <w:p w14:paraId="00A8B7EC" w14:textId="7A47FC11" w:rsidR="001477D8" w:rsidRPr="001477D8" w:rsidRDefault="001477D8" w:rsidP="001477D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 xml:space="preserve">ES fondu Pētniecības, tehnoloģiju attīstības un inovāciju prioritārā virziena apakškomitejā prezentēts sākotnējais studentu inovāciju </w:t>
            </w:r>
            <w:proofErr w:type="spellStart"/>
            <w:r w:rsidRPr="001477D8">
              <w:rPr>
                <w:color w:val="auto"/>
                <w:sz w:val="20"/>
              </w:rPr>
              <w:t>gra</w:t>
            </w:r>
            <w:r w:rsidR="00B83956">
              <w:rPr>
                <w:color w:val="auto"/>
                <w:sz w:val="20"/>
              </w:rPr>
              <w:t>ntu</w:t>
            </w:r>
            <w:proofErr w:type="spellEnd"/>
            <w:r w:rsidR="00B83956">
              <w:rPr>
                <w:color w:val="auto"/>
                <w:sz w:val="20"/>
              </w:rPr>
              <w:t xml:space="preserve"> programmas modelis 1.1.1.3.</w:t>
            </w:r>
            <w:r w:rsidRPr="001477D8">
              <w:rPr>
                <w:color w:val="auto"/>
                <w:sz w:val="20"/>
              </w:rPr>
              <w:t xml:space="preserve">pasākuma “Inovācijas granti studentiem” ietvaros, kā arī notikušas </w:t>
            </w:r>
            <w:r w:rsidRPr="001477D8">
              <w:rPr>
                <w:color w:val="auto"/>
                <w:sz w:val="20"/>
              </w:rPr>
              <w:lastRenderedPageBreak/>
              <w:t xml:space="preserve">vairākas diskusijas ar uzņēmumu, t.sk. </w:t>
            </w:r>
            <w:r w:rsidRPr="001477D8">
              <w:rPr>
                <w:i/>
                <w:color w:val="auto"/>
                <w:sz w:val="20"/>
              </w:rPr>
              <w:t>start-</w:t>
            </w:r>
            <w:proofErr w:type="spellStart"/>
            <w:r w:rsidRPr="001477D8">
              <w:rPr>
                <w:i/>
                <w:color w:val="auto"/>
                <w:sz w:val="20"/>
              </w:rPr>
              <w:t>up</w:t>
            </w:r>
            <w:proofErr w:type="spellEnd"/>
            <w:r w:rsidRPr="001477D8">
              <w:rPr>
                <w:color w:val="auto"/>
                <w:sz w:val="20"/>
              </w:rPr>
              <w:t>, darba devēju organizāciju un zinātnisko institūciju pārstāvjiem par programmas ieviešanas nosacījumiem.</w:t>
            </w:r>
          </w:p>
          <w:p w14:paraId="63A4828B" w14:textId="11236BEB" w:rsidR="001477D8" w:rsidRPr="001477D8" w:rsidRDefault="00B83956" w:rsidP="001477D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(3) Turpinās 2015.</w:t>
            </w:r>
            <w:r w:rsidR="001477D8" w:rsidRPr="001477D8">
              <w:rPr>
                <w:color w:val="auto"/>
                <w:sz w:val="20"/>
              </w:rPr>
              <w:t xml:space="preserve">gadā uzsāktā RIS3 monitoringa sistēmas ieviešana un īstenošana. </w:t>
            </w:r>
          </w:p>
          <w:p w14:paraId="3930F5F9" w14:textId="5575873F" w:rsidR="001477D8" w:rsidRPr="001477D8" w:rsidRDefault="001477D8" w:rsidP="001477D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Ir veikts ZTAI un RIS3 starpposma (la</w:t>
            </w:r>
            <w:r w:rsidR="00B83956">
              <w:rPr>
                <w:color w:val="auto"/>
                <w:sz w:val="20"/>
              </w:rPr>
              <w:t>ika periods no 2014. līdz 2016.</w:t>
            </w:r>
            <w:r w:rsidR="00690BCA">
              <w:rPr>
                <w:color w:val="auto"/>
                <w:sz w:val="20"/>
              </w:rPr>
              <w:t xml:space="preserve">gadam) </w:t>
            </w:r>
            <w:proofErr w:type="spellStart"/>
            <w:r w:rsidR="00690BCA">
              <w:rPr>
                <w:color w:val="auto"/>
                <w:sz w:val="20"/>
              </w:rPr>
              <w:t>izvērtējums</w:t>
            </w:r>
            <w:proofErr w:type="spellEnd"/>
            <w:r w:rsidRPr="001477D8">
              <w:rPr>
                <w:color w:val="auto"/>
                <w:sz w:val="20"/>
              </w:rPr>
              <w:t xml:space="preserve"> (informatīvais ziņojums "Viedās specializācijas stratēģijas monitorings", izsludināts Valsts sekretāru sanāksmē 08.06.2017., VSS-621 ), kurā ir ietverta informācija par Latvijas ekonomikas attīstības tendencēm, mērķiem un izaicinājumiem, RIS3 programmu un pasākumu īstenošanas gaitu un virzību uz mērķu sasniegšanu, kā arī  RIS3 rādītāju analīze un turpmāko pasākumu plāns.</w:t>
            </w:r>
          </w:p>
          <w:p w14:paraId="265930D8" w14:textId="25ED1294" w:rsidR="001477D8" w:rsidRPr="001477D8" w:rsidRDefault="00690BCA" w:rsidP="001477D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I</w:t>
            </w:r>
            <w:r w:rsidR="001477D8" w:rsidRPr="001477D8">
              <w:rPr>
                <w:color w:val="auto"/>
                <w:sz w:val="20"/>
              </w:rPr>
              <w:t>zstrādes procesā</w:t>
            </w:r>
            <w:r>
              <w:rPr>
                <w:color w:val="auto"/>
                <w:sz w:val="20"/>
              </w:rPr>
              <w:t xml:space="preserve"> ir</w:t>
            </w:r>
            <w:r w:rsidR="001477D8" w:rsidRPr="001477D8">
              <w:rPr>
                <w:color w:val="auto"/>
                <w:sz w:val="20"/>
              </w:rPr>
              <w:t xml:space="preserve"> </w:t>
            </w:r>
            <w:proofErr w:type="spellStart"/>
            <w:r w:rsidR="001477D8" w:rsidRPr="001477D8">
              <w:rPr>
                <w:color w:val="auto"/>
                <w:sz w:val="20"/>
              </w:rPr>
              <w:t>izvērtējums</w:t>
            </w:r>
            <w:proofErr w:type="spellEnd"/>
            <w:r w:rsidR="001477D8" w:rsidRPr="001477D8">
              <w:rPr>
                <w:color w:val="auto"/>
                <w:sz w:val="20"/>
              </w:rPr>
              <w:t xml:space="preserve"> par ES fondu 2007. –</w:t>
            </w:r>
            <w:r w:rsidR="00B83956">
              <w:rPr>
                <w:color w:val="auto"/>
                <w:sz w:val="20"/>
              </w:rPr>
              <w:t xml:space="preserve"> 2013.</w:t>
            </w:r>
            <w:r w:rsidR="001477D8" w:rsidRPr="001477D8">
              <w:rPr>
                <w:color w:val="auto"/>
                <w:sz w:val="20"/>
              </w:rPr>
              <w:t>gada plānošanas perioda zinātnes, pētniecības un inovāciju atbalsta aktivitāšu ietekmi uz 21 pētījuma noteikto zinātnisko institūciju darbību, ilgtspēju, kā arī atbalsta aktivitāšu ietvaros iegūto rezultātu ilgtspēju, ņemot vērā ES fondu 2014.-2020.gada plānošanas periodā plānotos pasākumus pētniecībās, attīstības un inovācijas atbalstam (</w:t>
            </w:r>
            <w:proofErr w:type="spellStart"/>
            <w:r w:rsidR="00B83956">
              <w:rPr>
                <w:color w:val="auto"/>
                <w:sz w:val="20"/>
              </w:rPr>
              <w:t>izvērtējums</w:t>
            </w:r>
            <w:proofErr w:type="spellEnd"/>
            <w:r w:rsidR="00B83956">
              <w:rPr>
                <w:color w:val="auto"/>
                <w:sz w:val="20"/>
              </w:rPr>
              <w:t xml:space="preserve"> tiks pabeigts 2017.</w:t>
            </w:r>
            <w:r w:rsidR="001477D8" w:rsidRPr="001477D8">
              <w:rPr>
                <w:color w:val="auto"/>
                <w:sz w:val="20"/>
              </w:rPr>
              <w:t xml:space="preserve">gada III ceturksnī). </w:t>
            </w:r>
          </w:p>
          <w:p w14:paraId="54542080" w14:textId="77777777" w:rsidR="00BC0B69" w:rsidRPr="00690BCA" w:rsidRDefault="00B83956" w:rsidP="00BC0B6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690BCA">
              <w:rPr>
                <w:color w:val="auto"/>
                <w:sz w:val="20"/>
              </w:rPr>
              <w:t xml:space="preserve">(4) </w:t>
            </w:r>
            <w:r w:rsidR="00BC0B69" w:rsidRPr="00690BCA">
              <w:rPr>
                <w:color w:val="auto"/>
                <w:sz w:val="20"/>
                <w:szCs w:val="22"/>
              </w:rPr>
              <w:t>2017.gadā tiek turpināts īstenot šādas aktivitātes, kas paredz atbalstu inovatīvu komersantu attīstībai:</w:t>
            </w:r>
          </w:p>
          <w:p w14:paraId="3A6FB587" w14:textId="65295D81" w:rsidR="00BC0B69" w:rsidRPr="00690BCA" w:rsidRDefault="00BC0B69" w:rsidP="00BC0B69">
            <w:pPr>
              <w:numPr>
                <w:ilvl w:val="0"/>
                <w:numId w:val="38"/>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690BCA">
              <w:rPr>
                <w:color w:val="auto"/>
                <w:sz w:val="20"/>
                <w:szCs w:val="22"/>
              </w:rPr>
              <w:t xml:space="preserve">Tehnoloģiju </w:t>
            </w:r>
            <w:proofErr w:type="spellStart"/>
            <w:r w:rsidRPr="00690BCA">
              <w:rPr>
                <w:color w:val="auto"/>
                <w:sz w:val="20"/>
                <w:szCs w:val="22"/>
              </w:rPr>
              <w:t>pārneses</w:t>
            </w:r>
            <w:proofErr w:type="spellEnd"/>
            <w:r w:rsidRPr="00690BCA">
              <w:rPr>
                <w:color w:val="auto"/>
                <w:sz w:val="20"/>
                <w:szCs w:val="22"/>
              </w:rPr>
              <w:t xml:space="preserve"> programmas ietvaros 2017.gada februārī tika izsludināta projektu pieteikumu atlase inovācijas </w:t>
            </w:r>
            <w:proofErr w:type="spellStart"/>
            <w:r w:rsidRPr="00690BCA">
              <w:rPr>
                <w:color w:val="auto"/>
                <w:sz w:val="20"/>
                <w:szCs w:val="22"/>
              </w:rPr>
              <w:t>vaučera</w:t>
            </w:r>
            <w:proofErr w:type="spellEnd"/>
            <w:r w:rsidRPr="00690BCA">
              <w:rPr>
                <w:color w:val="auto"/>
                <w:sz w:val="20"/>
                <w:szCs w:val="22"/>
              </w:rPr>
              <w:t xml:space="preserve"> atbalstam par kopējo finansējumu 7 milj. </w:t>
            </w:r>
            <w:proofErr w:type="spellStart"/>
            <w:r w:rsidR="00690BCA" w:rsidRPr="00690BCA">
              <w:rPr>
                <w:i/>
                <w:color w:val="auto"/>
                <w:sz w:val="20"/>
                <w:szCs w:val="22"/>
              </w:rPr>
              <w:t>euro</w:t>
            </w:r>
            <w:proofErr w:type="spellEnd"/>
            <w:r w:rsidRPr="00690BCA">
              <w:rPr>
                <w:color w:val="auto"/>
                <w:sz w:val="20"/>
                <w:szCs w:val="22"/>
              </w:rPr>
              <w:t>. Līdz 2017.gada septembrim ir apstiprināti 8 projekti inovāciju veicināšanai mikro, mazajos un vidējos komersantos paredzot atbalstu P&amp;A aktivitāšu veikšanai, lai izstrādātu jaunus vai uzlabotus produktus un tehnoloģijas.</w:t>
            </w:r>
          </w:p>
          <w:p w14:paraId="6A93CC84" w14:textId="4D313247" w:rsidR="00BC0B69" w:rsidRPr="00690BCA" w:rsidRDefault="00BC0B69" w:rsidP="00BC0B69">
            <w:pPr>
              <w:numPr>
                <w:ilvl w:val="0"/>
                <w:numId w:val="38"/>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690BCA">
              <w:rPr>
                <w:color w:val="auto"/>
                <w:sz w:val="20"/>
                <w:szCs w:val="22"/>
              </w:rPr>
              <w:t xml:space="preserve">2016.gadā tika izstrādāta un apstiprināta atbalsta programma “Atbalsts jaunu produktu ieviešanai ražošanā”. Programmas mērķis ir veicināt komersantu produktivitātes un konkurētspējas paaugstināšanu, izstrādājot un ieviešot jaunus produktus un tehnoloģijas ražošanā, kā arī palielinot privātā sektora ieguldījumus pētniecībā, attīstībā un inovācijās. Atbalsts tiek piešķirts eksperimentālu tehnoloģiju izgatavošanai vai iegādei, kā arī uzstādīšanai un testēšanai reālā ražošanas vidē, nodrošinot, ka vismaz 20% no eksperimentālās tehnoloģijas ir unikālas komponentes, ne vairāk kā 80% no eksperimentālās tehnoloģijas komponentēm vai iekārtām ir izvēlētas no tirgū jau nopērkamām. </w:t>
            </w:r>
            <w:r w:rsidRPr="00690BCA">
              <w:rPr>
                <w:color w:val="000000"/>
                <w:sz w:val="20"/>
                <w:szCs w:val="22"/>
              </w:rPr>
              <w:t>Projektu iesniegumu atlases pirmās kārtas ietvaros (12.07.-12.09.2016) tika saņemts 41 projekta iesnie</w:t>
            </w:r>
            <w:r w:rsidR="00690BCA" w:rsidRPr="00690BCA">
              <w:rPr>
                <w:color w:val="000000"/>
                <w:sz w:val="20"/>
                <w:szCs w:val="22"/>
              </w:rPr>
              <w:t>gums par ERAF finansējumu 53,13</w:t>
            </w:r>
            <w:r w:rsidRPr="00690BCA">
              <w:rPr>
                <w:color w:val="000000"/>
                <w:sz w:val="20"/>
                <w:szCs w:val="22"/>
              </w:rPr>
              <w:t xml:space="preserve"> milj. </w:t>
            </w:r>
            <w:proofErr w:type="spellStart"/>
            <w:r w:rsidR="00690BCA" w:rsidRPr="00690BCA">
              <w:rPr>
                <w:i/>
                <w:color w:val="000000"/>
                <w:sz w:val="20"/>
                <w:szCs w:val="22"/>
              </w:rPr>
              <w:t>euro</w:t>
            </w:r>
            <w:proofErr w:type="spellEnd"/>
            <w:r w:rsidRPr="00690BCA">
              <w:rPr>
                <w:color w:val="000000"/>
                <w:sz w:val="20"/>
                <w:szCs w:val="22"/>
              </w:rPr>
              <w:t xml:space="preserve">, no tiem apstiprināti 18 projekti par ERAF finansējumu 25,8 milj. </w:t>
            </w:r>
            <w:proofErr w:type="spellStart"/>
            <w:r w:rsidR="00690BCA" w:rsidRPr="00690BCA">
              <w:rPr>
                <w:i/>
                <w:color w:val="000000"/>
                <w:sz w:val="20"/>
                <w:szCs w:val="22"/>
              </w:rPr>
              <w:t>euro</w:t>
            </w:r>
            <w:proofErr w:type="spellEnd"/>
            <w:r w:rsidRPr="00690BCA">
              <w:rPr>
                <w:color w:val="000000"/>
                <w:sz w:val="20"/>
                <w:szCs w:val="22"/>
              </w:rPr>
              <w:t xml:space="preserve">. 2017.gada oktobrī plānots izsludināt otro projektu kārtu par kopējo finansējumu 34,2 milj. </w:t>
            </w:r>
            <w:proofErr w:type="spellStart"/>
            <w:r w:rsidR="00690BCA" w:rsidRPr="00690BCA">
              <w:rPr>
                <w:i/>
                <w:color w:val="000000"/>
                <w:sz w:val="20"/>
                <w:szCs w:val="22"/>
              </w:rPr>
              <w:t>euro</w:t>
            </w:r>
            <w:proofErr w:type="spellEnd"/>
            <w:r w:rsidRPr="00690BCA">
              <w:rPr>
                <w:color w:val="000000"/>
                <w:sz w:val="20"/>
                <w:szCs w:val="22"/>
              </w:rPr>
              <w:t xml:space="preserve"> apmērā. Līdz 2022.gada beigām programmā paredzēts atbalstīt 30 komersantus, kas saņem </w:t>
            </w:r>
            <w:proofErr w:type="spellStart"/>
            <w:r w:rsidRPr="00690BCA">
              <w:rPr>
                <w:color w:val="000000"/>
                <w:sz w:val="20"/>
                <w:szCs w:val="22"/>
              </w:rPr>
              <w:t>grantus</w:t>
            </w:r>
            <w:proofErr w:type="spellEnd"/>
            <w:r w:rsidRPr="00690BCA">
              <w:rPr>
                <w:color w:val="000000"/>
                <w:sz w:val="20"/>
                <w:szCs w:val="22"/>
              </w:rPr>
              <w:t xml:space="preserve">, lai tirgū laistu jaunus produktus. Vienlaikus paredzēts, ka programmas īstenošanas rezultātā tiks piesaistītas privātās investīcijas vismaz 10,59 milj. </w:t>
            </w:r>
            <w:proofErr w:type="spellStart"/>
            <w:r w:rsidR="00690BCA" w:rsidRPr="00690BCA">
              <w:rPr>
                <w:i/>
                <w:color w:val="000000"/>
                <w:sz w:val="20"/>
                <w:szCs w:val="22"/>
              </w:rPr>
              <w:t>euro</w:t>
            </w:r>
            <w:proofErr w:type="spellEnd"/>
            <w:r w:rsidRPr="00690BCA">
              <w:rPr>
                <w:color w:val="000000"/>
                <w:sz w:val="20"/>
                <w:szCs w:val="22"/>
              </w:rPr>
              <w:t xml:space="preserve"> apmērā.</w:t>
            </w:r>
          </w:p>
          <w:p w14:paraId="4319C0F0" w14:textId="4D26DDB0" w:rsidR="00BC0B69" w:rsidRPr="00690BCA" w:rsidRDefault="00BC0B69" w:rsidP="00BC0B69">
            <w:pPr>
              <w:numPr>
                <w:ilvl w:val="0"/>
                <w:numId w:val="38"/>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690BCA">
              <w:rPr>
                <w:color w:val="auto"/>
                <w:sz w:val="20"/>
                <w:szCs w:val="22"/>
              </w:rPr>
              <w:t xml:space="preserve">2016.gada nogalē tika izstrādāts </w:t>
            </w:r>
            <w:proofErr w:type="spellStart"/>
            <w:r w:rsidRPr="00690BCA">
              <w:rPr>
                <w:color w:val="auto"/>
                <w:sz w:val="20"/>
                <w:szCs w:val="22"/>
              </w:rPr>
              <w:t>Jaunuzņēmumu</w:t>
            </w:r>
            <w:proofErr w:type="spellEnd"/>
            <w:r w:rsidRPr="00690BCA">
              <w:rPr>
                <w:color w:val="auto"/>
                <w:sz w:val="20"/>
                <w:szCs w:val="22"/>
              </w:rPr>
              <w:t xml:space="preserve"> atbalsta likums, kura ietvaros sākot ar 2017.gadu ir pieejams specifisks atbalsts start-</w:t>
            </w:r>
            <w:proofErr w:type="spellStart"/>
            <w:r w:rsidRPr="00690BCA">
              <w:rPr>
                <w:color w:val="auto"/>
                <w:sz w:val="20"/>
                <w:szCs w:val="22"/>
              </w:rPr>
              <w:t>up</w:t>
            </w:r>
            <w:proofErr w:type="spellEnd"/>
            <w:r w:rsidRPr="00690BCA">
              <w:rPr>
                <w:color w:val="auto"/>
                <w:sz w:val="20"/>
                <w:szCs w:val="22"/>
              </w:rPr>
              <w:t xml:space="preserve"> uzņēmumiem (nodokļu atlaides un granti augstas kvalifikācijas darbinieku piesaistei). Sadarbībā ar start-</w:t>
            </w:r>
            <w:proofErr w:type="spellStart"/>
            <w:r w:rsidRPr="00690BCA">
              <w:rPr>
                <w:color w:val="auto"/>
                <w:sz w:val="20"/>
                <w:szCs w:val="22"/>
              </w:rPr>
              <w:t>up</w:t>
            </w:r>
            <w:proofErr w:type="spellEnd"/>
            <w:r w:rsidRPr="00690BCA">
              <w:rPr>
                <w:color w:val="auto"/>
                <w:sz w:val="20"/>
                <w:szCs w:val="22"/>
              </w:rPr>
              <w:t xml:space="preserve"> asociāciju sākot no 2017.gada 1 maija ir ieviesta Start-</w:t>
            </w:r>
            <w:proofErr w:type="spellStart"/>
            <w:r w:rsidRPr="00690BCA">
              <w:rPr>
                <w:color w:val="auto"/>
                <w:sz w:val="20"/>
                <w:szCs w:val="22"/>
              </w:rPr>
              <w:t>up</w:t>
            </w:r>
            <w:proofErr w:type="spellEnd"/>
            <w:r w:rsidRPr="00690BCA">
              <w:rPr>
                <w:color w:val="auto"/>
                <w:sz w:val="20"/>
                <w:szCs w:val="22"/>
              </w:rPr>
              <w:t xml:space="preserve"> vīza, gada beigās uzsāks darbību 3 jauni akseleratori, kā arī 2018.gada sākumā uzņēmumiem būs pieejams riska kapitāla atbalsts 60 milj. </w:t>
            </w:r>
            <w:proofErr w:type="spellStart"/>
            <w:r w:rsidR="00690BCA" w:rsidRPr="00690BCA">
              <w:rPr>
                <w:i/>
                <w:color w:val="auto"/>
                <w:sz w:val="20"/>
                <w:szCs w:val="22"/>
              </w:rPr>
              <w:t>euro</w:t>
            </w:r>
            <w:proofErr w:type="spellEnd"/>
            <w:r w:rsidRPr="00690BCA">
              <w:rPr>
                <w:color w:val="auto"/>
                <w:sz w:val="20"/>
                <w:szCs w:val="22"/>
              </w:rPr>
              <w:t xml:space="preserve"> apmērā.</w:t>
            </w:r>
          </w:p>
          <w:p w14:paraId="4E0BA0FC" w14:textId="74B7EB0D" w:rsidR="00BC0B69" w:rsidRPr="00690BCA" w:rsidRDefault="00BC0B69" w:rsidP="00BC0B69">
            <w:pPr>
              <w:numPr>
                <w:ilvl w:val="0"/>
                <w:numId w:val="38"/>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20"/>
                <w:szCs w:val="22"/>
              </w:rPr>
            </w:pPr>
            <w:r w:rsidRPr="00690BCA">
              <w:rPr>
                <w:color w:val="auto"/>
                <w:sz w:val="20"/>
                <w:szCs w:val="22"/>
              </w:rPr>
              <w:t xml:space="preserve">2017.gadā turpinājās Norvēģijas finanšu instrumenta programmas “Inovācijas “zaļās” ražošanas jomā” īstenošana. Programmas ietvaros atbalsts līdz 30.aprīlim bija pieejams </w:t>
            </w:r>
            <w:proofErr w:type="spellStart"/>
            <w:r w:rsidRPr="00690BCA">
              <w:rPr>
                <w:color w:val="auto"/>
                <w:sz w:val="20"/>
                <w:szCs w:val="22"/>
              </w:rPr>
              <w:t>pirmsinkubācijas</w:t>
            </w:r>
            <w:proofErr w:type="spellEnd"/>
            <w:r w:rsidRPr="00690BCA">
              <w:rPr>
                <w:color w:val="auto"/>
                <w:sz w:val="20"/>
                <w:szCs w:val="22"/>
              </w:rPr>
              <w:t xml:space="preserve"> un inkubācijas pakalpojumiem Zaļo tehnoloģiju inkubatorā. Kopumā </w:t>
            </w:r>
            <w:proofErr w:type="spellStart"/>
            <w:r w:rsidRPr="00690BCA">
              <w:rPr>
                <w:color w:val="auto"/>
                <w:sz w:val="20"/>
                <w:szCs w:val="22"/>
              </w:rPr>
              <w:t>pirmsinkubācijā</w:t>
            </w:r>
            <w:proofErr w:type="spellEnd"/>
            <w:r w:rsidRPr="00690BCA">
              <w:rPr>
                <w:color w:val="auto"/>
                <w:sz w:val="20"/>
                <w:szCs w:val="22"/>
              </w:rPr>
              <w:t xml:space="preserve"> tika atbalstītas 24 idejas un inkubācijas procesā 153 komersanti par kopējo summu 2,67 milj. </w:t>
            </w:r>
            <w:proofErr w:type="spellStart"/>
            <w:r w:rsidR="00690BCA" w:rsidRPr="00690BCA">
              <w:rPr>
                <w:i/>
                <w:color w:val="auto"/>
                <w:sz w:val="20"/>
                <w:szCs w:val="22"/>
              </w:rPr>
              <w:t>euro</w:t>
            </w:r>
            <w:proofErr w:type="spellEnd"/>
            <w:r w:rsidRPr="00690BCA">
              <w:rPr>
                <w:color w:val="auto"/>
                <w:sz w:val="20"/>
                <w:szCs w:val="22"/>
              </w:rPr>
              <w:t>. Papildus tika sniegts atbalsts uzņēmumiem jaunu vai ievērojami uzlabotu vides produktu izstrādei, komercializ</w:t>
            </w:r>
            <w:r w:rsidR="00690BCA" w:rsidRPr="00690BCA">
              <w:rPr>
                <w:color w:val="auto"/>
                <w:sz w:val="20"/>
                <w:szCs w:val="22"/>
              </w:rPr>
              <w:t>ēšanai un ieviešanai ražošanā (n</w:t>
            </w:r>
            <w:r w:rsidRPr="00690BCA">
              <w:rPr>
                <w:color w:val="auto"/>
                <w:sz w:val="20"/>
                <w:szCs w:val="22"/>
              </w:rPr>
              <w:t xml:space="preserve">eliela apjoma </w:t>
            </w:r>
            <w:proofErr w:type="spellStart"/>
            <w:r w:rsidRPr="00690BCA">
              <w:rPr>
                <w:color w:val="auto"/>
                <w:sz w:val="20"/>
                <w:szCs w:val="22"/>
              </w:rPr>
              <w:t>grantu</w:t>
            </w:r>
            <w:proofErr w:type="spellEnd"/>
            <w:r w:rsidRPr="00690BCA">
              <w:rPr>
                <w:color w:val="auto"/>
                <w:sz w:val="20"/>
                <w:szCs w:val="22"/>
              </w:rPr>
              <w:t xml:space="preserve"> shēmas ietvaros atbalstīti 22 projekti par kopējo summu 2,2 milj. </w:t>
            </w:r>
            <w:proofErr w:type="spellStart"/>
            <w:r w:rsidR="00690BCA" w:rsidRPr="00690BCA">
              <w:rPr>
                <w:i/>
                <w:color w:val="auto"/>
                <w:sz w:val="20"/>
                <w:szCs w:val="22"/>
              </w:rPr>
              <w:t>euro</w:t>
            </w:r>
            <w:proofErr w:type="spellEnd"/>
            <w:r w:rsidRPr="00690BCA">
              <w:rPr>
                <w:color w:val="auto"/>
                <w:sz w:val="20"/>
                <w:szCs w:val="22"/>
              </w:rPr>
              <w:t xml:space="preserve"> un Atklātā konkursa ietvaros atbalstīti 13 projekti par 5 milj. </w:t>
            </w:r>
            <w:proofErr w:type="spellStart"/>
            <w:r w:rsidR="00690BCA" w:rsidRPr="00690BCA">
              <w:rPr>
                <w:i/>
                <w:color w:val="auto"/>
                <w:sz w:val="20"/>
                <w:szCs w:val="22"/>
              </w:rPr>
              <w:t>euro</w:t>
            </w:r>
            <w:proofErr w:type="spellEnd"/>
            <w:r w:rsidRPr="00690BCA">
              <w:rPr>
                <w:color w:val="auto"/>
                <w:sz w:val="20"/>
                <w:szCs w:val="22"/>
              </w:rPr>
              <w:t>).</w:t>
            </w:r>
          </w:p>
          <w:p w14:paraId="2F2BCFAB" w14:textId="77777777" w:rsidR="00BC0B69" w:rsidRPr="00690BCA" w:rsidRDefault="00BC0B69" w:rsidP="00BC0B69">
            <w:pPr>
              <w:numPr>
                <w:ilvl w:val="0"/>
                <w:numId w:val="38"/>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690BCA">
              <w:rPr>
                <w:color w:val="auto"/>
                <w:sz w:val="20"/>
                <w:szCs w:val="22"/>
              </w:rPr>
              <w:lastRenderedPageBreak/>
              <w:t xml:space="preserve">Līdz 2017.gada 31.decembrim pieejams atbalsts Divpusējas sadarbības fonda ietvaros, lai veicinātu sadarbību ar Norvēģiju inovācijas un uzņēmējdarbības jomās. Programmā kopumā pieejamais finansējums ir 12,6 milj. </w:t>
            </w:r>
            <w:proofErr w:type="spellStart"/>
            <w:r w:rsidRPr="00690BCA">
              <w:rPr>
                <w:i/>
                <w:color w:val="auto"/>
                <w:sz w:val="20"/>
                <w:szCs w:val="22"/>
              </w:rPr>
              <w:t>euro</w:t>
            </w:r>
            <w:proofErr w:type="spellEnd"/>
            <w:r w:rsidRPr="00690BCA">
              <w:rPr>
                <w:color w:val="auto"/>
                <w:sz w:val="20"/>
                <w:szCs w:val="22"/>
              </w:rPr>
              <w:t xml:space="preserve"> (2012.-2017.).</w:t>
            </w:r>
          </w:p>
          <w:p w14:paraId="3ECAB115" w14:textId="77777777" w:rsidR="00BC0B69" w:rsidRPr="00690BCA" w:rsidRDefault="00BC0B69" w:rsidP="00BC0B69">
            <w:pPr>
              <w:numPr>
                <w:ilvl w:val="0"/>
                <w:numId w:val="38"/>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690BCA">
              <w:rPr>
                <w:color w:val="auto"/>
                <w:sz w:val="20"/>
                <w:szCs w:val="22"/>
              </w:rPr>
              <w:t>Atbalstam darba devēju pasūtītām mācībām darbinieku kvalifikācijas celšanai ir izstrādāti šādi pasākumi:</w:t>
            </w:r>
          </w:p>
          <w:p w14:paraId="1894D6D2" w14:textId="77777777" w:rsidR="00F96D1B" w:rsidRDefault="00BC0B69" w:rsidP="00F96D1B">
            <w:pPr>
              <w:numPr>
                <w:ilvl w:val="1"/>
                <w:numId w:val="38"/>
              </w:numPr>
              <w:autoSpaceDE w:val="0"/>
              <w:autoSpaceDN w:val="0"/>
              <w:adjustRightInd w:val="0"/>
              <w:spacing w:after="0"/>
              <w:ind w:left="1174"/>
              <w:cnfStyle w:val="000000000000" w:firstRow="0" w:lastRow="0" w:firstColumn="0" w:lastColumn="0" w:oddVBand="0" w:evenVBand="0" w:oddHBand="0" w:evenHBand="0" w:firstRowFirstColumn="0" w:firstRowLastColumn="0" w:lastRowFirstColumn="0" w:lastRowLastColumn="0"/>
              <w:rPr>
                <w:color w:val="auto"/>
                <w:sz w:val="20"/>
                <w:szCs w:val="22"/>
              </w:rPr>
            </w:pPr>
            <w:r w:rsidRPr="00690BCA">
              <w:rPr>
                <w:color w:val="auto"/>
                <w:sz w:val="20"/>
                <w:szCs w:val="22"/>
                <w:u w:val="single"/>
              </w:rPr>
              <w:t>Atbalsts nodarbināto apmācībām</w:t>
            </w:r>
            <w:r w:rsidRPr="00690BCA">
              <w:rPr>
                <w:color w:val="auto"/>
                <w:sz w:val="20"/>
                <w:szCs w:val="22"/>
              </w:rPr>
              <w:t xml:space="preserve">. Atbalsts tiek sniegts komersantu nodarbināto apmācībām. Pasākuma mērķis ir nodrošināt komersantus ar atbilstošas kvalifikācijas darbaspēku, kas sekmētu darba ražīguma pieaugumu un jaunu vai uzlabotu produktu un tehnoloģiju izstrādi un ieviešanu ražošanā. 2016.gada martā noslēdzās projektu iesniegumu atlase, kuras ietvaros tika apstiprināti 10 projekti, kurus īsteno lielākās nozaru asociācijas. Kopējais pieejamais ERAF finansējums programmas ietvaros ir 18,0 milj. </w:t>
            </w:r>
            <w:proofErr w:type="spellStart"/>
            <w:r w:rsidR="00690BCA" w:rsidRPr="00690BCA">
              <w:rPr>
                <w:i/>
                <w:color w:val="auto"/>
                <w:sz w:val="20"/>
                <w:szCs w:val="22"/>
              </w:rPr>
              <w:t>euro</w:t>
            </w:r>
            <w:proofErr w:type="spellEnd"/>
            <w:r w:rsidRPr="00690BCA">
              <w:rPr>
                <w:color w:val="auto"/>
                <w:sz w:val="20"/>
                <w:szCs w:val="22"/>
              </w:rPr>
              <w:t>. Programmas ietvaros līdz 2018.gadam plānots apmācīt 5620 nodarbinātos.</w:t>
            </w:r>
          </w:p>
          <w:p w14:paraId="4F52B802" w14:textId="7FEF0393" w:rsidR="00BC0B69" w:rsidRPr="00F96D1B" w:rsidRDefault="00BC0B69" w:rsidP="00F96D1B">
            <w:pPr>
              <w:numPr>
                <w:ilvl w:val="1"/>
                <w:numId w:val="38"/>
              </w:numPr>
              <w:autoSpaceDE w:val="0"/>
              <w:autoSpaceDN w:val="0"/>
              <w:adjustRightInd w:val="0"/>
              <w:spacing w:after="0"/>
              <w:ind w:left="1174"/>
              <w:cnfStyle w:val="000000000000" w:firstRow="0" w:lastRow="0" w:firstColumn="0" w:lastColumn="0" w:oddVBand="0" w:evenVBand="0" w:oddHBand="0" w:evenHBand="0" w:firstRowFirstColumn="0" w:firstRowLastColumn="0" w:lastRowFirstColumn="0" w:lastRowLastColumn="0"/>
              <w:rPr>
                <w:color w:val="auto"/>
                <w:sz w:val="20"/>
                <w:szCs w:val="22"/>
              </w:rPr>
            </w:pPr>
            <w:r w:rsidRPr="00F96D1B">
              <w:rPr>
                <w:color w:val="auto"/>
                <w:sz w:val="20"/>
                <w:szCs w:val="22"/>
                <w:u w:val="single"/>
              </w:rPr>
              <w:t>Atbalsts IKT un netehnoloģiskām apmācībām, kā arī apmācībām, lai sekmētu investoru piesaisti</w:t>
            </w:r>
            <w:r w:rsidRPr="00F96D1B">
              <w:rPr>
                <w:color w:val="auto"/>
                <w:sz w:val="20"/>
                <w:szCs w:val="22"/>
              </w:rPr>
              <w:t xml:space="preserve">. Pasākums ir izstrādāts ar mērķi veicināt </w:t>
            </w:r>
            <w:proofErr w:type="spellStart"/>
            <w:r w:rsidRPr="00F96D1B">
              <w:rPr>
                <w:color w:val="auto"/>
                <w:sz w:val="20"/>
                <w:szCs w:val="22"/>
              </w:rPr>
              <w:t>pašnodarbināto</w:t>
            </w:r>
            <w:proofErr w:type="spellEnd"/>
            <w:r w:rsidRPr="00F96D1B">
              <w:rPr>
                <w:color w:val="auto"/>
                <w:sz w:val="20"/>
                <w:szCs w:val="22"/>
              </w:rPr>
              <w:t xml:space="preserve"> personu, sīko (mikro), mazo, vidējo un lielo komersantu produktivitāti un darba efektivitāti, paaugstinot to darbinieku kvalifikāciju un prasmes informācijas un komunikācijas tehnoloģiju jomā, nodrošināt komersantus ar atbilstošas kvalifikācijas darbaspēku, sekmējot netehnoloģisko inovāciju ieviešanu komersantos, kā arī nodrošināt atbalstu apmācībām, veicinot investoru piesaisti valstij. Ierobežotas projektu iesniegumu atlase rezultātā 2016.gadā tika atlasīta </w:t>
            </w:r>
            <w:hyperlink r:id="rId58" w:history="1">
              <w:r w:rsidR="00F96D1B" w:rsidRPr="00F96D1B">
                <w:rPr>
                  <w:color w:val="auto"/>
                  <w:sz w:val="20"/>
                  <w:szCs w:val="22"/>
                </w:rPr>
                <w:t>Latvijas Tirdzniecības un rūpniecības kamera</w:t>
              </w:r>
            </w:hyperlink>
            <w:r w:rsidR="00F96D1B">
              <w:rPr>
                <w:color w:val="auto"/>
                <w:sz w:val="20"/>
                <w:szCs w:val="22"/>
              </w:rPr>
              <w:t xml:space="preserve">, </w:t>
            </w:r>
            <w:r w:rsidR="00F96D1B" w:rsidRPr="00F96D1B">
              <w:rPr>
                <w:color w:val="auto"/>
                <w:sz w:val="20"/>
                <w:szCs w:val="22"/>
              </w:rPr>
              <w:t>Latvijas Informācijas un komunikācijas tehnoloģijas asociācija</w:t>
            </w:r>
            <w:r w:rsidR="00F96D1B">
              <w:rPr>
                <w:color w:val="auto"/>
                <w:sz w:val="20"/>
                <w:szCs w:val="22"/>
              </w:rPr>
              <w:t xml:space="preserve"> un </w:t>
            </w:r>
            <w:r w:rsidR="00F96D1B" w:rsidRPr="00F96D1B">
              <w:rPr>
                <w:color w:val="auto"/>
                <w:sz w:val="20"/>
                <w:szCs w:val="22"/>
              </w:rPr>
              <w:t>Latvijas Investīciju un attīstības aģentūra</w:t>
            </w:r>
            <w:r w:rsidRPr="00F96D1B">
              <w:rPr>
                <w:color w:val="auto"/>
                <w:sz w:val="20"/>
                <w:szCs w:val="22"/>
              </w:rPr>
              <w:t xml:space="preserve">, lai nodrošinātu veiksmīgu programmas īstenošanu. Kopējais pieejamais ERAF finansējums programmas ietvaros ir 6,9 milj. </w:t>
            </w:r>
            <w:proofErr w:type="spellStart"/>
            <w:r w:rsidR="00690BCA" w:rsidRPr="00F96D1B">
              <w:rPr>
                <w:i/>
                <w:color w:val="auto"/>
                <w:sz w:val="20"/>
                <w:szCs w:val="22"/>
              </w:rPr>
              <w:t>euro</w:t>
            </w:r>
            <w:proofErr w:type="spellEnd"/>
            <w:r w:rsidRPr="00F96D1B">
              <w:rPr>
                <w:color w:val="auto"/>
                <w:sz w:val="20"/>
                <w:szCs w:val="22"/>
              </w:rPr>
              <w:t>. Programmas ietvaros līdz 2018.gadam plānots apmācīt 5540 nodarbinātos.</w:t>
            </w:r>
          </w:p>
          <w:p w14:paraId="336A078F" w14:textId="02E06121" w:rsidR="00BC0B69" w:rsidRPr="00690BCA" w:rsidRDefault="00BC0B69" w:rsidP="00BC0B69">
            <w:pPr>
              <w:numPr>
                <w:ilvl w:val="0"/>
                <w:numId w:val="38"/>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szCs w:val="22"/>
                <w:lang w:val="en-GB"/>
              </w:rPr>
            </w:pPr>
            <w:r w:rsidRPr="00690BCA">
              <w:rPr>
                <w:color w:val="auto"/>
                <w:sz w:val="20"/>
                <w:szCs w:val="22"/>
              </w:rPr>
              <w:t xml:space="preserve">Uzņēmumi Latvijā kopš 2014.gada 1.jūlija var izmantot </w:t>
            </w:r>
            <w:r w:rsidR="00690BCA" w:rsidRPr="00690BCA">
              <w:rPr>
                <w:color w:val="auto"/>
                <w:sz w:val="20"/>
                <w:szCs w:val="22"/>
              </w:rPr>
              <w:t>UIN</w:t>
            </w:r>
            <w:r w:rsidRPr="00690BCA">
              <w:rPr>
                <w:color w:val="auto"/>
                <w:sz w:val="20"/>
                <w:szCs w:val="22"/>
              </w:rPr>
              <w:t xml:space="preserve"> stimulu uzņēmumu P&amp;A izmaksām, kas var tikt norakstītas tajā gadā, kad tās radušās, piemērojot vērtību palielinošu koeficientu „3”. Pamatojoties uz Centrālās statistikas</w:t>
            </w:r>
            <w:r w:rsidR="00690BCA" w:rsidRPr="00690BCA">
              <w:rPr>
                <w:color w:val="auto"/>
                <w:sz w:val="20"/>
                <w:szCs w:val="22"/>
              </w:rPr>
              <w:t xml:space="preserve"> pārvaldes</w:t>
            </w:r>
            <w:r w:rsidRPr="00690BCA">
              <w:rPr>
                <w:color w:val="auto"/>
                <w:sz w:val="20"/>
                <w:szCs w:val="22"/>
              </w:rPr>
              <w:t xml:space="preserve"> datiem, 2014.gadā UIN atlaidi izmantoja 86 uzņēmumi, kopumā deklarējot izmaksas par kopējo summu 1,33 milj. </w:t>
            </w:r>
            <w:proofErr w:type="spellStart"/>
            <w:r w:rsidR="00690BCA" w:rsidRPr="00690BCA">
              <w:rPr>
                <w:i/>
                <w:color w:val="auto"/>
                <w:sz w:val="20"/>
                <w:szCs w:val="22"/>
              </w:rPr>
              <w:t>euro</w:t>
            </w:r>
            <w:proofErr w:type="spellEnd"/>
            <w:r w:rsidRPr="00690BCA">
              <w:rPr>
                <w:color w:val="auto"/>
                <w:sz w:val="20"/>
                <w:szCs w:val="22"/>
              </w:rPr>
              <w:t>. 2015.gadā nodokļa atvieglojumu izmantojuši 30 uzņēmumi par kopējo summu 4,2 milj</w:t>
            </w:r>
            <w:r w:rsidR="00690BCA" w:rsidRPr="00690BCA">
              <w:rPr>
                <w:color w:val="auto"/>
                <w:sz w:val="20"/>
                <w:szCs w:val="22"/>
              </w:rPr>
              <w:t>.</w:t>
            </w:r>
            <w:r w:rsidRPr="00690BCA">
              <w:rPr>
                <w:color w:val="auto"/>
                <w:sz w:val="20"/>
                <w:szCs w:val="22"/>
              </w:rPr>
              <w:t xml:space="preserve"> </w:t>
            </w:r>
            <w:proofErr w:type="spellStart"/>
            <w:r w:rsidR="00690BCA" w:rsidRPr="00690BCA">
              <w:rPr>
                <w:i/>
                <w:color w:val="auto"/>
                <w:sz w:val="20"/>
                <w:szCs w:val="22"/>
              </w:rPr>
              <w:t>euro</w:t>
            </w:r>
            <w:proofErr w:type="spellEnd"/>
            <w:r w:rsidRPr="00690BCA">
              <w:rPr>
                <w:color w:val="auto"/>
                <w:sz w:val="20"/>
                <w:szCs w:val="22"/>
              </w:rPr>
              <w:t xml:space="preserve"> apmērā. </w:t>
            </w:r>
            <w:r w:rsidRPr="00690BCA">
              <w:rPr>
                <w:color w:val="auto"/>
                <w:sz w:val="20"/>
                <w:szCs w:val="22"/>
                <w:lang w:val="en-GB"/>
              </w:rPr>
              <w:t xml:space="preserve">2016.gada </w:t>
            </w:r>
            <w:proofErr w:type="spellStart"/>
            <w:r w:rsidRPr="00690BCA">
              <w:rPr>
                <w:color w:val="auto"/>
                <w:sz w:val="20"/>
                <w:szCs w:val="22"/>
                <w:lang w:val="en-GB"/>
              </w:rPr>
              <w:t>dati</w:t>
            </w:r>
            <w:proofErr w:type="spellEnd"/>
            <w:r w:rsidRPr="00690BCA">
              <w:rPr>
                <w:color w:val="auto"/>
                <w:sz w:val="20"/>
                <w:szCs w:val="22"/>
                <w:lang w:val="en-GB"/>
              </w:rPr>
              <w:t xml:space="preserve"> </w:t>
            </w:r>
            <w:proofErr w:type="spellStart"/>
            <w:r w:rsidRPr="00690BCA">
              <w:rPr>
                <w:color w:val="auto"/>
                <w:sz w:val="20"/>
                <w:szCs w:val="22"/>
                <w:lang w:val="en-GB"/>
              </w:rPr>
              <w:t>būs</w:t>
            </w:r>
            <w:proofErr w:type="spellEnd"/>
            <w:r w:rsidRPr="00690BCA">
              <w:rPr>
                <w:color w:val="auto"/>
                <w:sz w:val="20"/>
                <w:szCs w:val="22"/>
                <w:lang w:val="en-GB"/>
              </w:rPr>
              <w:t xml:space="preserve"> </w:t>
            </w:r>
            <w:proofErr w:type="spellStart"/>
            <w:r w:rsidRPr="00690BCA">
              <w:rPr>
                <w:color w:val="auto"/>
                <w:sz w:val="20"/>
                <w:szCs w:val="22"/>
                <w:lang w:val="en-GB"/>
              </w:rPr>
              <w:t>pieejami</w:t>
            </w:r>
            <w:proofErr w:type="spellEnd"/>
            <w:r w:rsidRPr="00690BCA">
              <w:rPr>
                <w:color w:val="auto"/>
                <w:sz w:val="20"/>
                <w:szCs w:val="22"/>
                <w:lang w:val="en-GB"/>
              </w:rPr>
              <w:t xml:space="preserve"> 2017.gada </w:t>
            </w:r>
            <w:proofErr w:type="spellStart"/>
            <w:r w:rsidRPr="00690BCA">
              <w:rPr>
                <w:color w:val="auto"/>
                <w:sz w:val="20"/>
                <w:szCs w:val="22"/>
                <w:lang w:val="en-GB"/>
              </w:rPr>
              <w:t>nogalē</w:t>
            </w:r>
            <w:proofErr w:type="spellEnd"/>
            <w:r w:rsidRPr="00690BCA">
              <w:rPr>
                <w:color w:val="auto"/>
                <w:sz w:val="20"/>
                <w:szCs w:val="22"/>
                <w:lang w:val="en-GB"/>
              </w:rPr>
              <w:t>.</w:t>
            </w:r>
          </w:p>
          <w:p w14:paraId="5B97FA6E" w14:textId="79300FC9" w:rsidR="006B28DB" w:rsidRPr="00E0721A" w:rsidRDefault="00B83956" w:rsidP="00B8395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(5) 2018.</w:t>
            </w:r>
            <w:r w:rsidR="001477D8" w:rsidRPr="001477D8">
              <w:rPr>
                <w:color w:val="auto"/>
                <w:sz w:val="20"/>
              </w:rPr>
              <w:t>gadā pirmoreiz notiks mērķtiecīga komunikācijas kampaņa zinātnes popularizēšan</w:t>
            </w:r>
            <w:r>
              <w:rPr>
                <w:color w:val="auto"/>
                <w:sz w:val="20"/>
              </w:rPr>
              <w:t>ai, kura tiks īstenota 1.1.1.5.</w:t>
            </w:r>
            <w:r w:rsidR="001477D8" w:rsidRPr="001477D8">
              <w:rPr>
                <w:color w:val="auto"/>
                <w:sz w:val="20"/>
              </w:rPr>
              <w:t xml:space="preserve">pasākuma “Atbalsts starptautiskās sadarbības projektiem pētniecībā un inovācijās” ietvaros. Jūnijā apstiprināti un stājušies </w:t>
            </w:r>
            <w:r>
              <w:rPr>
                <w:color w:val="auto"/>
                <w:sz w:val="20"/>
              </w:rPr>
              <w:t>spēkā MK noteikumi par 1.1.1.5.</w:t>
            </w:r>
            <w:r w:rsidR="001477D8" w:rsidRPr="001477D8">
              <w:rPr>
                <w:color w:val="auto"/>
                <w:sz w:val="20"/>
              </w:rPr>
              <w:t>pasākuma “Atbalsts starptautiskās sadarbības projektiem pētniecībā un inovācijās” īstenošanu un š.g. augustā izsludināta</w:t>
            </w:r>
            <w:r>
              <w:rPr>
                <w:color w:val="auto"/>
                <w:sz w:val="20"/>
              </w:rPr>
              <w:t xml:space="preserve"> projektu iesniegumu atlases 1.</w:t>
            </w:r>
            <w:r w:rsidR="001477D8" w:rsidRPr="001477D8">
              <w:rPr>
                <w:color w:val="auto"/>
                <w:sz w:val="20"/>
              </w:rPr>
              <w:t xml:space="preserve">kārta. Tās ietvaros paredzēts stiprināt Latvijas pētniecības un attīstības interešu pārstāvniecību programmas "Apvārsnis 2020" </w:t>
            </w:r>
            <w:proofErr w:type="spellStart"/>
            <w:r w:rsidR="001477D8" w:rsidRPr="001477D8">
              <w:rPr>
                <w:color w:val="auto"/>
                <w:sz w:val="20"/>
              </w:rPr>
              <w:t>programmkomitejās</w:t>
            </w:r>
            <w:proofErr w:type="spellEnd"/>
            <w:r w:rsidR="001477D8" w:rsidRPr="001477D8">
              <w:rPr>
                <w:color w:val="auto"/>
                <w:sz w:val="20"/>
              </w:rPr>
              <w:t xml:space="preserve"> un citās starptautiskās programmās; nacionāla līmeņa pasākumi starptautiskās sadarbības tīklu paplašināšanai, tostarp sadarbība ar Latvijas diasporu ārvalstīs.</w:t>
            </w:r>
          </w:p>
        </w:tc>
      </w:tr>
      <w:tr w:rsidR="006B28DB" w:rsidRPr="00527336" w14:paraId="0AA4B291"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6F44B80" w14:textId="77777777" w:rsidR="006B28DB" w:rsidRPr="00527336" w:rsidRDefault="006B28DB" w:rsidP="006B28DB">
            <w:pPr>
              <w:ind w:firstLine="0"/>
              <w:rPr>
                <w:b w:val="0"/>
                <w:color w:val="auto"/>
                <w:sz w:val="20"/>
              </w:rPr>
            </w:pPr>
            <w:r w:rsidRPr="00527336">
              <w:rPr>
                <w:color w:val="auto"/>
                <w:sz w:val="20"/>
              </w:rPr>
              <w:lastRenderedPageBreak/>
              <w:t>Nacionālais SEG emisijas</w:t>
            </w:r>
            <w:r w:rsidRPr="00527336">
              <w:rPr>
                <w:b w:val="0"/>
                <w:color w:val="auto"/>
                <w:sz w:val="20"/>
              </w:rPr>
              <w:t xml:space="preserve"> </w:t>
            </w:r>
            <w:r w:rsidRPr="00527336">
              <w:rPr>
                <w:color w:val="auto"/>
                <w:sz w:val="20"/>
              </w:rPr>
              <w:t xml:space="preserve">ierobežošanas mērķis (12,2 </w:t>
            </w:r>
            <w:proofErr w:type="spellStart"/>
            <w:r w:rsidRPr="00527336">
              <w:rPr>
                <w:color w:val="auto"/>
                <w:sz w:val="20"/>
              </w:rPr>
              <w:t>Mt</w:t>
            </w:r>
            <w:proofErr w:type="spellEnd"/>
            <w:r w:rsidRPr="00527336">
              <w:rPr>
                <w:color w:val="auto"/>
                <w:sz w:val="20"/>
              </w:rPr>
              <w:t xml:space="preserve"> CO</w:t>
            </w:r>
            <w:r w:rsidRPr="00527336">
              <w:rPr>
                <w:color w:val="auto"/>
                <w:sz w:val="20"/>
                <w:vertAlign w:val="subscript"/>
              </w:rPr>
              <w:t>2</w:t>
            </w:r>
            <w:r w:rsidRPr="00527336">
              <w:rPr>
                <w:color w:val="auto"/>
                <w:sz w:val="20"/>
              </w:rPr>
              <w:t>)</w:t>
            </w:r>
          </w:p>
        </w:tc>
        <w:tc>
          <w:tcPr>
            <w:tcW w:w="3260" w:type="dxa"/>
          </w:tcPr>
          <w:p w14:paraId="394F0CD0" w14:textId="77777777" w:rsidR="006B28DB" w:rsidRPr="006B28DB" w:rsidRDefault="006B28DB" w:rsidP="00222993">
            <w:pPr>
              <w:pStyle w:val="ListParagraph"/>
              <w:numPr>
                <w:ilvl w:val="0"/>
                <w:numId w:val="7"/>
              </w:numPr>
              <w:spacing w:after="0" w:line="240" w:lineRule="auto"/>
              <w:ind w:left="180" w:hanging="2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Ne-ETS nozaru emisiju ierobežošana;</w:t>
            </w:r>
          </w:p>
          <w:p w14:paraId="6F650BF8" w14:textId="28AB4A7A" w:rsidR="006B28DB" w:rsidRPr="006B28DB" w:rsidRDefault="006B28DB" w:rsidP="00222993">
            <w:pPr>
              <w:pStyle w:val="ListParagraph"/>
              <w:numPr>
                <w:ilvl w:val="0"/>
                <w:numId w:val="7"/>
              </w:numPr>
              <w:spacing w:after="0" w:line="240" w:lineRule="auto"/>
              <w:ind w:left="180" w:hanging="219"/>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6B28DB">
              <w:rPr>
                <w:rFonts w:ascii="Times New Roman" w:hAnsi="Times New Roman"/>
                <w:color w:val="auto"/>
                <w:sz w:val="20"/>
                <w:szCs w:val="22"/>
              </w:rPr>
              <w:t>Pētniecība, inovācijas, sabiedrības informēšana.</w:t>
            </w:r>
          </w:p>
        </w:tc>
        <w:tc>
          <w:tcPr>
            <w:tcW w:w="10064" w:type="dxa"/>
          </w:tcPr>
          <w:p w14:paraId="112E7B4A" w14:textId="77777777" w:rsidR="00F60BE5" w:rsidRPr="00F60BE5" w:rsidRDefault="00F60BE5" w:rsidP="00F60BE5">
            <w:pPr>
              <w:spacing w:after="0"/>
              <w:cnfStyle w:val="000000100000" w:firstRow="0" w:lastRow="0" w:firstColumn="0" w:lastColumn="0" w:oddVBand="0" w:evenVBand="0" w:oddHBand="1" w:evenHBand="0" w:firstRowFirstColumn="0" w:firstRowLastColumn="0" w:lastRowFirstColumn="0" w:lastRowLastColumn="0"/>
              <w:rPr>
                <w:color w:val="auto"/>
                <w:sz w:val="20"/>
                <w:szCs w:val="22"/>
              </w:rPr>
            </w:pPr>
            <w:r w:rsidRPr="00F60BE5">
              <w:rPr>
                <w:color w:val="auto"/>
                <w:sz w:val="20"/>
                <w:szCs w:val="22"/>
              </w:rPr>
              <w:t xml:space="preserve">1. Latvijas kopējais SEG emisiju apjoms 2005.-2015.gadā ir palielināts par 0,06%, un 2015.gadā ir 11,3 </w:t>
            </w:r>
            <w:proofErr w:type="spellStart"/>
            <w:r w:rsidRPr="00F60BE5">
              <w:rPr>
                <w:color w:val="auto"/>
                <w:sz w:val="20"/>
                <w:szCs w:val="22"/>
              </w:rPr>
              <w:t>Mt</w:t>
            </w:r>
            <w:proofErr w:type="spellEnd"/>
            <w:r w:rsidRPr="00F60BE5">
              <w:rPr>
                <w:color w:val="auto"/>
                <w:sz w:val="20"/>
                <w:szCs w:val="22"/>
              </w:rPr>
              <w:t xml:space="preserve"> CO</w:t>
            </w:r>
            <w:r w:rsidRPr="00F60BE5">
              <w:rPr>
                <w:color w:val="auto"/>
                <w:sz w:val="20"/>
                <w:vertAlign w:val="subscript"/>
              </w:rPr>
              <w:t>2</w:t>
            </w:r>
            <w:r w:rsidRPr="00F60BE5">
              <w:rPr>
                <w:color w:val="auto"/>
                <w:sz w:val="20"/>
                <w:szCs w:val="22"/>
              </w:rPr>
              <w:t xml:space="preserve"> </w:t>
            </w:r>
            <w:proofErr w:type="spellStart"/>
            <w:r w:rsidRPr="00F60BE5">
              <w:rPr>
                <w:color w:val="auto"/>
                <w:sz w:val="20"/>
                <w:szCs w:val="22"/>
              </w:rPr>
              <w:t>ekv</w:t>
            </w:r>
            <w:proofErr w:type="spellEnd"/>
            <w:r w:rsidRPr="00F60BE5">
              <w:rPr>
                <w:color w:val="auto"/>
                <w:sz w:val="20"/>
                <w:szCs w:val="22"/>
              </w:rPr>
              <w:t xml:space="preserve">., kas ir par 7,2% mazāks apjoms nekā noteiktais mērķis - 12,2 </w:t>
            </w:r>
            <w:proofErr w:type="spellStart"/>
            <w:r w:rsidRPr="00F60BE5">
              <w:rPr>
                <w:color w:val="auto"/>
                <w:sz w:val="20"/>
                <w:szCs w:val="22"/>
              </w:rPr>
              <w:t>Mt</w:t>
            </w:r>
            <w:proofErr w:type="spellEnd"/>
            <w:r w:rsidRPr="00F60BE5">
              <w:rPr>
                <w:color w:val="auto"/>
                <w:sz w:val="20"/>
                <w:szCs w:val="22"/>
              </w:rPr>
              <w:t xml:space="preserve"> CO</w:t>
            </w:r>
            <w:r w:rsidRPr="00F60BE5">
              <w:rPr>
                <w:color w:val="auto"/>
                <w:sz w:val="20"/>
                <w:vertAlign w:val="subscript"/>
              </w:rPr>
              <w:t>2</w:t>
            </w:r>
            <w:r w:rsidRPr="00F60BE5">
              <w:rPr>
                <w:color w:val="auto"/>
                <w:sz w:val="20"/>
                <w:szCs w:val="22"/>
              </w:rPr>
              <w:t xml:space="preserve"> </w:t>
            </w:r>
            <w:proofErr w:type="spellStart"/>
            <w:r w:rsidRPr="00F60BE5">
              <w:rPr>
                <w:color w:val="auto"/>
                <w:sz w:val="20"/>
                <w:szCs w:val="22"/>
              </w:rPr>
              <w:t>ekv</w:t>
            </w:r>
            <w:proofErr w:type="spellEnd"/>
            <w:r w:rsidRPr="00F60BE5">
              <w:rPr>
                <w:color w:val="auto"/>
                <w:sz w:val="20"/>
                <w:szCs w:val="22"/>
              </w:rPr>
              <w:t>.</w:t>
            </w:r>
          </w:p>
          <w:p w14:paraId="3F3C6EF2" w14:textId="77777777" w:rsidR="00F60BE5" w:rsidRPr="00F60BE5" w:rsidRDefault="00F60BE5" w:rsidP="00F60BE5">
            <w:pPr>
              <w:spacing w:after="0"/>
              <w:cnfStyle w:val="000000100000" w:firstRow="0" w:lastRow="0" w:firstColumn="0" w:lastColumn="0" w:oddVBand="0" w:evenVBand="0" w:oddHBand="1" w:evenHBand="0" w:firstRowFirstColumn="0" w:firstRowLastColumn="0" w:lastRowFirstColumn="0" w:lastRowLastColumn="0"/>
              <w:rPr>
                <w:color w:val="auto"/>
                <w:sz w:val="20"/>
                <w:szCs w:val="22"/>
              </w:rPr>
            </w:pPr>
            <w:r w:rsidRPr="00F60BE5">
              <w:rPr>
                <w:color w:val="auto"/>
                <w:sz w:val="20"/>
                <w:szCs w:val="22"/>
              </w:rPr>
              <w:t xml:space="preserve">Latvijai ir atļauts ne-ETS nozaru emisiju apjomu palielināt periodā no 2005.gada līdz 2020.gadam par 17% salīdzinot ar ne-ETS nozaru emisiju apjomu 2005.gadā. Latvijā 2015.gadā ne-ETS nozaru SEG emisiju apjoms ir palielināts par 6,5% un 2015.gadā ES emisijas kvotu tirdzniecības sistēmā neiekļauto SEG emisiju apjoms bija 9,0 </w:t>
            </w:r>
            <w:proofErr w:type="spellStart"/>
            <w:r w:rsidRPr="00F60BE5">
              <w:rPr>
                <w:color w:val="auto"/>
                <w:sz w:val="20"/>
                <w:szCs w:val="22"/>
              </w:rPr>
              <w:t>Mt</w:t>
            </w:r>
            <w:proofErr w:type="spellEnd"/>
            <w:r w:rsidRPr="00F60BE5">
              <w:rPr>
                <w:color w:val="auto"/>
                <w:sz w:val="20"/>
                <w:szCs w:val="22"/>
              </w:rPr>
              <w:t xml:space="preserve"> CO</w:t>
            </w:r>
            <w:r w:rsidRPr="00F60BE5">
              <w:rPr>
                <w:color w:val="auto"/>
                <w:sz w:val="20"/>
                <w:vertAlign w:val="subscript"/>
              </w:rPr>
              <w:t>2</w:t>
            </w:r>
            <w:r w:rsidRPr="00F60BE5">
              <w:rPr>
                <w:color w:val="auto"/>
                <w:sz w:val="20"/>
                <w:szCs w:val="22"/>
              </w:rPr>
              <w:t xml:space="preserve"> </w:t>
            </w:r>
            <w:proofErr w:type="spellStart"/>
            <w:r w:rsidRPr="00F60BE5">
              <w:rPr>
                <w:color w:val="auto"/>
                <w:sz w:val="20"/>
                <w:szCs w:val="22"/>
              </w:rPr>
              <w:t>ekv</w:t>
            </w:r>
            <w:proofErr w:type="spellEnd"/>
            <w:r w:rsidRPr="00F60BE5">
              <w:rPr>
                <w:color w:val="auto"/>
                <w:sz w:val="20"/>
                <w:szCs w:val="22"/>
              </w:rPr>
              <w:t>., kas ir par 4,6% mazāk nekā Latvijai ar Eiropas Parlamenta un Padomes lēmumu Nr.406/2009/EK noteiktais 2015.gada mērķis.</w:t>
            </w:r>
          </w:p>
          <w:p w14:paraId="68BBE09C" w14:textId="166DDE99" w:rsidR="006B28DB" w:rsidRPr="00F60BE5" w:rsidRDefault="00F60BE5" w:rsidP="00F60BE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F60BE5">
              <w:rPr>
                <w:color w:val="auto"/>
                <w:sz w:val="20"/>
                <w:szCs w:val="22"/>
              </w:rPr>
              <w:lastRenderedPageBreak/>
              <w:t>Tiek</w:t>
            </w:r>
            <w:r w:rsidR="002A677B">
              <w:rPr>
                <w:color w:val="auto"/>
                <w:sz w:val="20"/>
                <w:szCs w:val="22"/>
              </w:rPr>
              <w:t xml:space="preserve"> prognozēts, ka Latvija izpildī</w:t>
            </w:r>
            <w:r w:rsidRPr="00F60BE5">
              <w:rPr>
                <w:color w:val="auto"/>
                <w:sz w:val="20"/>
                <w:szCs w:val="22"/>
              </w:rPr>
              <w:t>s SEG emisiju samazināšanas mērķus, kas noteikti nacionālajos politikas plānošanas dokumentos un ES tiesību aktos.</w:t>
            </w:r>
          </w:p>
        </w:tc>
      </w:tr>
      <w:tr w:rsidR="006B28DB" w:rsidRPr="00527336" w14:paraId="39AA8F23" w14:textId="77777777" w:rsidTr="00C34C62">
        <w:tc>
          <w:tcPr>
            <w:cnfStyle w:val="001000000000" w:firstRow="0" w:lastRow="0" w:firstColumn="1" w:lastColumn="0" w:oddVBand="0" w:evenVBand="0" w:oddHBand="0" w:evenHBand="0" w:firstRowFirstColumn="0" w:firstRowLastColumn="0" w:lastRowFirstColumn="0" w:lastRowLastColumn="0"/>
            <w:tcW w:w="2122" w:type="dxa"/>
          </w:tcPr>
          <w:p w14:paraId="6B631BBF" w14:textId="77777777" w:rsidR="006B28DB" w:rsidRPr="00527336" w:rsidRDefault="006B28DB" w:rsidP="006B28DB">
            <w:pPr>
              <w:ind w:firstLine="0"/>
              <w:rPr>
                <w:b w:val="0"/>
                <w:color w:val="auto"/>
                <w:sz w:val="20"/>
              </w:rPr>
            </w:pPr>
            <w:r w:rsidRPr="00527336">
              <w:rPr>
                <w:color w:val="auto"/>
                <w:sz w:val="20"/>
              </w:rPr>
              <w:lastRenderedPageBreak/>
              <w:t>Atjaunojamās enerģijas mērķis (40,0%)</w:t>
            </w:r>
          </w:p>
        </w:tc>
        <w:tc>
          <w:tcPr>
            <w:tcW w:w="3260" w:type="dxa"/>
          </w:tcPr>
          <w:p w14:paraId="29FB7F34" w14:textId="77777777" w:rsidR="006B28DB" w:rsidRPr="006B28DB" w:rsidRDefault="006B28DB" w:rsidP="00222993">
            <w:pPr>
              <w:pStyle w:val="ListParagraph"/>
              <w:numPr>
                <w:ilvl w:val="0"/>
                <w:numId w:val="12"/>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Tiesiskās bāzes sakārtošana;</w:t>
            </w:r>
          </w:p>
          <w:p w14:paraId="30AD867B" w14:textId="77777777" w:rsidR="006B28DB" w:rsidRDefault="006B28DB" w:rsidP="00222993">
            <w:pPr>
              <w:pStyle w:val="ListParagraph"/>
              <w:numPr>
                <w:ilvl w:val="0"/>
                <w:numId w:val="12"/>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Finanšu resursu pieejamības nodrošināšana atjaunojamās enerģijas ražošanai;</w:t>
            </w:r>
          </w:p>
          <w:p w14:paraId="3474F5D6" w14:textId="1C101976" w:rsidR="006B28DB" w:rsidRPr="006B28DB" w:rsidRDefault="006B28DB" w:rsidP="00222993">
            <w:pPr>
              <w:pStyle w:val="ListParagraph"/>
              <w:numPr>
                <w:ilvl w:val="0"/>
                <w:numId w:val="12"/>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Pasākumi atjaunojamo energoresursu 10% mērķa sasniegšanai transporta sektorā.</w:t>
            </w:r>
          </w:p>
        </w:tc>
        <w:tc>
          <w:tcPr>
            <w:tcW w:w="10064" w:type="dxa"/>
          </w:tcPr>
          <w:p w14:paraId="4FB79C98" w14:textId="19BB0D99" w:rsidR="00BC0B69" w:rsidRPr="00BC0B69" w:rsidRDefault="00690BCA" w:rsidP="00BC0B69">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Pr>
                <w:color w:val="auto"/>
                <w:sz w:val="20"/>
                <w:szCs w:val="22"/>
              </w:rPr>
              <w:t xml:space="preserve"> (1) </w:t>
            </w:r>
            <w:r w:rsidR="00BC0B69" w:rsidRPr="00BC0B69">
              <w:rPr>
                <w:color w:val="auto"/>
                <w:sz w:val="20"/>
                <w:szCs w:val="22"/>
              </w:rPr>
              <w:t xml:space="preserve">2017.gadā </w:t>
            </w:r>
            <w:r w:rsidR="00764833">
              <w:rPr>
                <w:color w:val="auto"/>
                <w:sz w:val="20"/>
                <w:szCs w:val="22"/>
              </w:rPr>
              <w:t>tiek</w:t>
            </w:r>
            <w:r w:rsidR="00BC0B69" w:rsidRPr="00BC0B69">
              <w:rPr>
                <w:color w:val="auto"/>
                <w:sz w:val="20"/>
                <w:szCs w:val="22"/>
              </w:rPr>
              <w:t xml:space="preserve"> turpināts darbs pie esošā atbalsta mehānisma elektroenerģijas ražošanai no AER un koģenerācijā efektivitātes izvērtēšanas un sagatavoti priekšlikumi turpmākajiem risinājumiem. </w:t>
            </w:r>
          </w:p>
          <w:p w14:paraId="496753B1" w14:textId="7D665CDE" w:rsidR="00BC0B69" w:rsidRPr="00BC0B69" w:rsidRDefault="00BC0B69" w:rsidP="00BC0B69">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BC0B69">
              <w:rPr>
                <w:color w:val="auto"/>
                <w:sz w:val="20"/>
                <w:szCs w:val="22"/>
              </w:rPr>
              <w:t xml:space="preserve">2017.gada 13.jūnijā, pēc saskaņojuma saņemšanas no </w:t>
            </w:r>
            <w:r w:rsidR="00A76FF6">
              <w:rPr>
                <w:color w:val="auto"/>
                <w:sz w:val="20"/>
                <w:szCs w:val="22"/>
              </w:rPr>
              <w:t>EK, stājās spēkā 2015.</w:t>
            </w:r>
            <w:r w:rsidRPr="00BC0B69">
              <w:rPr>
                <w:color w:val="auto"/>
                <w:sz w:val="20"/>
                <w:szCs w:val="22"/>
              </w:rPr>
              <w:t xml:space="preserve">gada </w:t>
            </w:r>
            <w:r w:rsidR="00A76FF6">
              <w:rPr>
                <w:color w:val="auto"/>
                <w:sz w:val="20"/>
                <w:szCs w:val="22"/>
              </w:rPr>
              <w:t>14.</w:t>
            </w:r>
            <w:r w:rsidRPr="00BC0B69">
              <w:rPr>
                <w:color w:val="auto"/>
                <w:sz w:val="20"/>
                <w:szCs w:val="22"/>
              </w:rPr>
              <w:t>jūlija noteikumi Nr.395 “Kārtība, kādā energoietilpīgi apstrādes rūpniecības uzņēmumi iegūst tiesības uz samazinātu līdzdalību obligātā iepirkuma komponentes maksājumam”, kas paredz atbalstu energoietilpīgiem apstrādes rūpniecības uzņēmumiem attiecībā uz elektroenerģijas obligātā iepirkuma atjaunojamo energoresursu daļu.</w:t>
            </w:r>
          </w:p>
          <w:p w14:paraId="1C0284BF" w14:textId="082206E7" w:rsidR="00BC0B69" w:rsidRPr="00BC0B69" w:rsidRDefault="00BC0B69" w:rsidP="00BC0B69">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sidRPr="00BC0B69">
              <w:rPr>
                <w:color w:val="auto"/>
                <w:sz w:val="20"/>
                <w:szCs w:val="22"/>
              </w:rPr>
              <w:t xml:space="preserve">2017.gada 22.septembrī pieņemts </w:t>
            </w:r>
            <w:r w:rsidR="00A76FF6">
              <w:rPr>
                <w:color w:val="auto"/>
                <w:sz w:val="20"/>
                <w:szCs w:val="22"/>
              </w:rPr>
              <w:t>MK rīkojums Nr.</w:t>
            </w:r>
            <w:r w:rsidRPr="00BC0B69">
              <w:rPr>
                <w:color w:val="auto"/>
                <w:sz w:val="20"/>
                <w:szCs w:val="22"/>
              </w:rPr>
              <w:t xml:space="preserve">530 par konceptuālo ziņojumu “Kompleksi pasākumi elektroenerģijas tirgus attīstībai”, ar ko konceptuāli apstiprināts valsts saistību samazināšanas risinājums pret koģenerācijas elektrostacijām ar uzstādīto elektrisko jaudu virs 100MW. Tas paredzēts kā brīvprātīgs risinājums, ļaujot elektrostacijām pretendēt uz daļēju atbalsta maksājuma saņemšanu vienā diskontētā maksājumā, ievērojot ES atbalsta nosacījumus un līdzšinējās saistības līdz atbalsta perioda beigām. Risinājuma rezultātā paredzēts atbalsta intensitātes samazinājums atlikušajam atbalsta periodam.  </w:t>
            </w:r>
          </w:p>
          <w:p w14:paraId="70A4FFA3" w14:textId="43D82316" w:rsidR="00BC0B69" w:rsidRPr="00BC0B69" w:rsidRDefault="00C7489A" w:rsidP="00BC0B69">
            <w:pPr>
              <w:spacing w:after="0"/>
              <w:cnfStyle w:val="000000000000" w:firstRow="0" w:lastRow="0" w:firstColumn="0" w:lastColumn="0" w:oddVBand="0" w:evenVBand="0" w:oddHBand="0" w:evenHBand="0" w:firstRowFirstColumn="0" w:firstRowLastColumn="0" w:lastRowFirstColumn="0" w:lastRowLastColumn="0"/>
              <w:rPr>
                <w:color w:val="auto"/>
                <w:sz w:val="20"/>
                <w:szCs w:val="22"/>
                <w:highlight w:val="green"/>
              </w:rPr>
            </w:pPr>
            <w:r>
              <w:rPr>
                <w:color w:val="auto"/>
                <w:sz w:val="20"/>
                <w:szCs w:val="22"/>
              </w:rPr>
              <w:t xml:space="preserve"> (2) </w:t>
            </w:r>
            <w:r w:rsidR="00BC0B69" w:rsidRPr="00BC0B69">
              <w:rPr>
                <w:color w:val="auto"/>
                <w:sz w:val="20"/>
                <w:szCs w:val="22"/>
              </w:rPr>
              <w:t xml:space="preserve">Ražotājiem, kas elektroenerģiju ražo no </w:t>
            </w:r>
            <w:r w:rsidR="00EB5172">
              <w:rPr>
                <w:color w:val="auto"/>
                <w:sz w:val="20"/>
                <w:szCs w:val="22"/>
              </w:rPr>
              <w:t>AER</w:t>
            </w:r>
            <w:r w:rsidR="00BC0B69" w:rsidRPr="00BC0B69">
              <w:rPr>
                <w:color w:val="auto"/>
                <w:sz w:val="20"/>
                <w:szCs w:val="22"/>
              </w:rPr>
              <w:t xml:space="preserve"> un to pārdod obligātā iepirkuma ietvaros, kopējais atbalsta</w:t>
            </w:r>
            <w:r w:rsidR="00A76FF6">
              <w:rPr>
                <w:color w:val="auto"/>
                <w:sz w:val="20"/>
                <w:szCs w:val="22"/>
              </w:rPr>
              <w:t xml:space="preserve"> apjoms virs tirgus cenas 2016.</w:t>
            </w:r>
            <w:r w:rsidR="00BC0B69" w:rsidRPr="00BC0B69">
              <w:rPr>
                <w:color w:val="auto"/>
                <w:sz w:val="20"/>
                <w:szCs w:val="22"/>
              </w:rPr>
              <w:t>gadā ir 97,1 milj.</w:t>
            </w:r>
            <w:r w:rsidR="00A76FF6">
              <w:rPr>
                <w:color w:val="auto"/>
                <w:sz w:val="20"/>
                <w:szCs w:val="22"/>
              </w:rPr>
              <w:t xml:space="preserve"> </w:t>
            </w:r>
            <w:proofErr w:type="spellStart"/>
            <w:r w:rsidR="00A76FF6">
              <w:rPr>
                <w:i/>
                <w:color w:val="auto"/>
                <w:sz w:val="20"/>
                <w:szCs w:val="22"/>
              </w:rPr>
              <w:t>euro</w:t>
            </w:r>
            <w:proofErr w:type="spellEnd"/>
            <w:r w:rsidR="00BC0B69" w:rsidRPr="00BC0B69">
              <w:rPr>
                <w:color w:val="auto"/>
                <w:sz w:val="20"/>
                <w:szCs w:val="22"/>
              </w:rPr>
              <w:t>,</w:t>
            </w:r>
            <w:r w:rsidR="00A76FF6">
              <w:rPr>
                <w:color w:val="auto"/>
                <w:sz w:val="20"/>
                <w:szCs w:val="22"/>
              </w:rPr>
              <w:t xml:space="preserve"> kas ir par 2% mazāk nekā 2015.</w:t>
            </w:r>
            <w:r w:rsidR="00BC0B69" w:rsidRPr="00BC0B69">
              <w:rPr>
                <w:color w:val="auto"/>
                <w:sz w:val="20"/>
                <w:szCs w:val="22"/>
              </w:rPr>
              <w:t>gadā. Šis samazinājums saistīts ar dabasgāzes cenas pazemināšanos. Savukārt atbalsta mehānisma ietvaros kopējais iepirktai</w:t>
            </w:r>
            <w:r w:rsidR="00A76FF6">
              <w:rPr>
                <w:color w:val="auto"/>
                <w:sz w:val="20"/>
                <w:szCs w:val="22"/>
              </w:rPr>
              <w:t>s elektroenerģijas apjoms 2016.gadā, salīdzinot ar 2015.</w:t>
            </w:r>
            <w:r w:rsidR="00BC0B69" w:rsidRPr="00BC0B69">
              <w:rPr>
                <w:color w:val="auto"/>
                <w:sz w:val="20"/>
                <w:szCs w:val="22"/>
              </w:rPr>
              <w:t>gadu, ir par 9% lielāks.</w:t>
            </w:r>
          </w:p>
          <w:p w14:paraId="18A12454" w14:textId="07FE57EE" w:rsidR="00BC0B69" w:rsidRPr="00BC0B69" w:rsidRDefault="00C7489A" w:rsidP="00BC0B69">
            <w:pPr>
              <w:spacing w:after="0"/>
              <w:cnfStyle w:val="000000000000" w:firstRow="0" w:lastRow="0" w:firstColumn="0" w:lastColumn="0" w:oddVBand="0" w:evenVBand="0" w:oddHBand="0" w:evenHBand="0" w:firstRowFirstColumn="0" w:firstRowLastColumn="0" w:lastRowFirstColumn="0" w:lastRowLastColumn="0"/>
              <w:rPr>
                <w:color w:val="auto"/>
                <w:sz w:val="20"/>
                <w:szCs w:val="22"/>
              </w:rPr>
            </w:pPr>
            <w:r>
              <w:rPr>
                <w:color w:val="auto"/>
                <w:sz w:val="20"/>
                <w:szCs w:val="22"/>
              </w:rPr>
              <w:t xml:space="preserve"> (3) </w:t>
            </w:r>
            <w:r w:rsidR="00BC0B69" w:rsidRPr="00BC0B69">
              <w:rPr>
                <w:color w:val="auto"/>
                <w:sz w:val="20"/>
                <w:szCs w:val="22"/>
              </w:rPr>
              <w:t xml:space="preserve">2017.gada 21.jūlijā pieņemts </w:t>
            </w:r>
            <w:r w:rsidR="00A76FF6">
              <w:rPr>
                <w:color w:val="auto"/>
                <w:sz w:val="20"/>
                <w:szCs w:val="22"/>
              </w:rPr>
              <w:t>MK</w:t>
            </w:r>
            <w:r w:rsidR="00BC0B69" w:rsidRPr="00BC0B69">
              <w:rPr>
                <w:color w:val="auto"/>
                <w:sz w:val="20"/>
                <w:szCs w:val="22"/>
              </w:rPr>
              <w:t xml:space="preserve"> rīkojums Nr. 379  par konceptuālo ziņojumu "Par atjaunojamo energoresursu izmantošanu transporta sektorā". Ar to cita starpā tiek paredzēts pienāk</w:t>
            </w:r>
            <w:r w:rsidR="00A76FF6">
              <w:rPr>
                <w:color w:val="auto"/>
                <w:sz w:val="20"/>
                <w:szCs w:val="22"/>
              </w:rPr>
              <w:t>ums degvielas tirgotājiem 2020.</w:t>
            </w:r>
            <w:r w:rsidR="00BC0B69" w:rsidRPr="00BC0B69">
              <w:rPr>
                <w:color w:val="auto"/>
                <w:sz w:val="20"/>
                <w:szCs w:val="22"/>
              </w:rPr>
              <w:t xml:space="preserve">gadā no tirgū realizētā degvielas apjoma nodrošināt 8,5% biodegvielu piejaukumu. Pārējos 1,5% plānots sasniegt ar elektroenerģijas izmantošanu transportā. Šobrīd notiek darbs pie normatīvās bāzes aktualizēšanas, t.sk. Transporta enerģētikas likuma izstrādes. </w:t>
            </w:r>
          </w:p>
          <w:p w14:paraId="57A3957C" w14:textId="2E9A8B83" w:rsidR="006B28DB" w:rsidRPr="00F60BE5" w:rsidRDefault="00BC0B69" w:rsidP="00EB5172">
            <w:pPr>
              <w:pStyle w:val="CommentText"/>
              <w:tabs>
                <w:tab w:val="left" w:pos="5173"/>
              </w:tabs>
              <w:spacing w:after="0"/>
              <w:cnfStyle w:val="000000000000" w:firstRow="0" w:lastRow="0" w:firstColumn="0" w:lastColumn="0" w:oddVBand="0" w:evenVBand="0" w:oddHBand="0" w:evenHBand="0" w:firstRowFirstColumn="0" w:firstRowLastColumn="0" w:lastRowFirstColumn="0" w:lastRowLastColumn="0"/>
              <w:rPr>
                <w:color w:val="auto"/>
              </w:rPr>
            </w:pPr>
            <w:r w:rsidRPr="00BC0B69">
              <w:rPr>
                <w:color w:val="auto"/>
                <w:szCs w:val="22"/>
              </w:rPr>
              <w:t xml:space="preserve">Saistībā ar finanšu resursu pieejamības nodrošināšanu atjaunojamās enerģijas ražošanai </w:t>
            </w:r>
            <w:r w:rsidR="00F96D1B">
              <w:rPr>
                <w:color w:val="auto"/>
                <w:szCs w:val="22"/>
                <w:lang w:val="lv-LV"/>
              </w:rPr>
              <w:t>EM</w:t>
            </w:r>
            <w:r w:rsidRPr="00BC0B69">
              <w:rPr>
                <w:color w:val="auto"/>
                <w:szCs w:val="22"/>
              </w:rPr>
              <w:t xml:space="preserve"> ir atbildīga par ES fondu 4.3.1.</w:t>
            </w:r>
            <w:r w:rsidR="00A76FF6">
              <w:rPr>
                <w:color w:val="auto"/>
                <w:szCs w:val="22"/>
                <w:lang w:val="lv-LV"/>
              </w:rPr>
              <w:t>SAM</w:t>
            </w:r>
            <w:r w:rsidRPr="00BC0B69">
              <w:rPr>
                <w:color w:val="auto"/>
                <w:szCs w:val="22"/>
              </w:rPr>
              <w:t xml:space="preserve"> “Veicināt energoefektivitāti un vietējo AER izmantošanu centralizētajā siltumapgādē” īstenošanu. Šīs atbalsta programmas ietvaros atbalsts tiek sniegts centralizētās siltumapgādes sistēmas komersantiem atbalstot pāreju uz </w:t>
            </w:r>
            <w:r w:rsidR="00EB5172">
              <w:rPr>
                <w:color w:val="auto"/>
                <w:szCs w:val="22"/>
                <w:lang w:val="lv-LV"/>
              </w:rPr>
              <w:t>AER</w:t>
            </w:r>
            <w:r w:rsidRPr="00BC0B69">
              <w:rPr>
                <w:color w:val="auto"/>
                <w:szCs w:val="22"/>
              </w:rPr>
              <w:t xml:space="preserve">, kā arī uzlabojot energoefektivitāti </w:t>
            </w:r>
            <w:proofErr w:type="spellStart"/>
            <w:r w:rsidRPr="00BC0B69">
              <w:rPr>
                <w:color w:val="auto"/>
                <w:szCs w:val="22"/>
              </w:rPr>
              <w:t>siltumavotos</w:t>
            </w:r>
            <w:proofErr w:type="spellEnd"/>
            <w:r w:rsidRPr="00BC0B69">
              <w:rPr>
                <w:color w:val="auto"/>
                <w:szCs w:val="22"/>
              </w:rPr>
              <w:t xml:space="preserve">, kur jau šobrīd tiek izmantoti </w:t>
            </w:r>
            <w:r w:rsidR="00EB5172">
              <w:rPr>
                <w:color w:val="auto"/>
                <w:szCs w:val="22"/>
                <w:lang w:val="lv-LV"/>
              </w:rPr>
              <w:t>AER</w:t>
            </w:r>
            <w:r w:rsidRPr="00BC0B69">
              <w:rPr>
                <w:color w:val="auto"/>
                <w:szCs w:val="22"/>
              </w:rPr>
              <w:t>. Sīkāku informāciju lūdzu skatīt pie nākamā punkta.</w:t>
            </w:r>
          </w:p>
        </w:tc>
      </w:tr>
      <w:tr w:rsidR="006B28DB" w:rsidRPr="00527336" w14:paraId="594061C3"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F420A6E" w14:textId="77777777" w:rsidR="006B28DB" w:rsidRPr="00527336" w:rsidRDefault="006B28DB" w:rsidP="006B28DB">
            <w:pPr>
              <w:ind w:firstLine="0"/>
              <w:rPr>
                <w:b w:val="0"/>
                <w:color w:val="auto"/>
                <w:sz w:val="20"/>
              </w:rPr>
            </w:pPr>
            <w:r w:rsidRPr="00527336">
              <w:rPr>
                <w:color w:val="auto"/>
                <w:sz w:val="20"/>
              </w:rPr>
              <w:t xml:space="preserve">Nacionālais energoefektivitātes mērķis (0,670 </w:t>
            </w:r>
            <w:proofErr w:type="spellStart"/>
            <w:r w:rsidRPr="00527336">
              <w:rPr>
                <w:color w:val="auto"/>
                <w:sz w:val="20"/>
              </w:rPr>
              <w:t>Mtoe</w:t>
            </w:r>
            <w:proofErr w:type="spellEnd"/>
            <w:r w:rsidRPr="00527336">
              <w:rPr>
                <w:color w:val="auto"/>
                <w:sz w:val="20"/>
              </w:rPr>
              <w:t>)</w:t>
            </w:r>
          </w:p>
        </w:tc>
        <w:tc>
          <w:tcPr>
            <w:tcW w:w="3260" w:type="dxa"/>
          </w:tcPr>
          <w:p w14:paraId="73688C0A" w14:textId="77777777" w:rsidR="006B28DB" w:rsidRPr="006B28DB" w:rsidRDefault="006B28DB" w:rsidP="00222993">
            <w:pPr>
              <w:pStyle w:val="ListParagraph"/>
              <w:numPr>
                <w:ilvl w:val="0"/>
                <w:numId w:val="11"/>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Energoefektivitātes paaugstināšana mājokļos un rūpnieciskajā ražošanā;</w:t>
            </w:r>
          </w:p>
          <w:p w14:paraId="0CD14164" w14:textId="77777777" w:rsidR="006B28DB" w:rsidRPr="006B28DB" w:rsidRDefault="006B28DB" w:rsidP="00222993">
            <w:pPr>
              <w:pStyle w:val="ListParagraph"/>
              <w:numPr>
                <w:ilvl w:val="0"/>
                <w:numId w:val="11"/>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Energoefektivitātes paaugstināšana sabiedriskajās ēkās;</w:t>
            </w:r>
          </w:p>
          <w:p w14:paraId="52C64037" w14:textId="77777777" w:rsidR="006B28DB" w:rsidRPr="006B28DB" w:rsidRDefault="006B28DB" w:rsidP="00222993">
            <w:pPr>
              <w:pStyle w:val="ListParagraph"/>
              <w:numPr>
                <w:ilvl w:val="0"/>
                <w:numId w:val="11"/>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Efektīvas apgaismojuma infrastruktūras ieviešana pašvaldību publiskajās teritorijās;</w:t>
            </w:r>
          </w:p>
          <w:p w14:paraId="4F814F60" w14:textId="77777777" w:rsidR="006B28DB" w:rsidRDefault="006B28DB" w:rsidP="00222993">
            <w:pPr>
              <w:pStyle w:val="ListParagraph"/>
              <w:numPr>
                <w:ilvl w:val="0"/>
                <w:numId w:val="11"/>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Energoefektivitātes paaugstināšana siltumenerģijas ražošanā;</w:t>
            </w:r>
          </w:p>
          <w:p w14:paraId="1D394118" w14:textId="6B62FC98" w:rsidR="006B28DB" w:rsidRPr="006B28DB" w:rsidRDefault="006B28DB" w:rsidP="00222993">
            <w:pPr>
              <w:pStyle w:val="ListParagraph"/>
              <w:numPr>
                <w:ilvl w:val="0"/>
                <w:numId w:val="11"/>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lastRenderedPageBreak/>
              <w:t>Atbalsts energoietilpīgiem komersantiem.</w:t>
            </w:r>
          </w:p>
        </w:tc>
        <w:tc>
          <w:tcPr>
            <w:tcW w:w="10064" w:type="dxa"/>
          </w:tcPr>
          <w:p w14:paraId="21E50416" w14:textId="77777777" w:rsidR="00BC0B69" w:rsidRPr="00271789" w:rsidRDefault="00BC0B69" w:rsidP="00C7489A">
            <w:pPr>
              <w:pStyle w:val="CommentText"/>
              <w:tabs>
                <w:tab w:val="left" w:pos="5173"/>
              </w:tabs>
              <w:spacing w:after="0"/>
              <w:cnfStyle w:val="000000100000" w:firstRow="0" w:lastRow="0" w:firstColumn="0" w:lastColumn="0" w:oddVBand="0" w:evenVBand="0" w:oddHBand="1" w:evenHBand="0" w:firstRowFirstColumn="0" w:firstRowLastColumn="0" w:lastRowFirstColumn="0" w:lastRowLastColumn="0"/>
              <w:rPr>
                <w:color w:val="auto"/>
                <w:szCs w:val="22"/>
              </w:rPr>
            </w:pPr>
            <w:r w:rsidRPr="00271789">
              <w:rPr>
                <w:color w:val="auto"/>
                <w:szCs w:val="22"/>
              </w:rPr>
              <w:lastRenderedPageBreak/>
              <w:t xml:space="preserve">Latvija virzās uz noteikto mērķi 2020.gadā panākt enerģijas ietaupījumu 0,67 </w:t>
            </w:r>
            <w:proofErr w:type="spellStart"/>
            <w:r w:rsidRPr="00271789">
              <w:rPr>
                <w:color w:val="auto"/>
                <w:szCs w:val="22"/>
              </w:rPr>
              <w:t>Mtoe</w:t>
            </w:r>
            <w:proofErr w:type="spellEnd"/>
            <w:r w:rsidRPr="00271789">
              <w:rPr>
                <w:color w:val="auto"/>
                <w:szCs w:val="22"/>
              </w:rPr>
              <w:t xml:space="preserve"> apmērā (kopējais enerģijas ietaupījums gan gala patēriņā, gan pārveidošanas sektorā). Jau pašlaik ir panākts bruto iekšzemes enerģijas patēriņa samazinājums no 4,57 </w:t>
            </w:r>
            <w:proofErr w:type="spellStart"/>
            <w:r w:rsidRPr="00271789">
              <w:rPr>
                <w:color w:val="auto"/>
                <w:szCs w:val="22"/>
              </w:rPr>
              <w:t>Mtoe</w:t>
            </w:r>
            <w:proofErr w:type="spellEnd"/>
            <w:r w:rsidRPr="00271789">
              <w:rPr>
                <w:color w:val="auto"/>
                <w:szCs w:val="22"/>
              </w:rPr>
              <w:t xml:space="preserve"> 2008.gadā līdz 4,27 </w:t>
            </w:r>
            <w:proofErr w:type="spellStart"/>
            <w:r w:rsidRPr="00271789">
              <w:rPr>
                <w:color w:val="auto"/>
                <w:szCs w:val="22"/>
              </w:rPr>
              <w:t>Mtoe</w:t>
            </w:r>
            <w:proofErr w:type="spellEnd"/>
            <w:r w:rsidRPr="00271789">
              <w:rPr>
                <w:color w:val="auto"/>
                <w:szCs w:val="22"/>
              </w:rPr>
              <w:t xml:space="preserve"> 2015.gadā (samazinājums par 0,3 </w:t>
            </w:r>
            <w:proofErr w:type="spellStart"/>
            <w:r w:rsidRPr="00271789">
              <w:rPr>
                <w:color w:val="auto"/>
                <w:szCs w:val="22"/>
              </w:rPr>
              <w:t>Mtoe</w:t>
            </w:r>
            <w:proofErr w:type="spellEnd"/>
            <w:r w:rsidRPr="00271789">
              <w:rPr>
                <w:color w:val="auto"/>
                <w:szCs w:val="22"/>
              </w:rPr>
              <w:t>), kur būtiska nozīme ir arī energoefektivitātes pasākumu īstenošanai.</w:t>
            </w:r>
          </w:p>
          <w:p w14:paraId="69DA817A" w14:textId="425ABF35" w:rsidR="00BC0B69" w:rsidRPr="00C7489A" w:rsidRDefault="00BC0B69" w:rsidP="00C7489A">
            <w:pPr>
              <w:pStyle w:val="CommentText"/>
              <w:tabs>
                <w:tab w:val="left" w:pos="5173"/>
              </w:tabs>
              <w:spacing w:after="0"/>
              <w:cnfStyle w:val="000000100000" w:firstRow="0" w:lastRow="0" w:firstColumn="0" w:lastColumn="0" w:oddVBand="0" w:evenVBand="0" w:oddHBand="1" w:evenHBand="0" w:firstRowFirstColumn="0" w:firstRowLastColumn="0" w:lastRowFirstColumn="0" w:lastRowLastColumn="0"/>
              <w:rPr>
                <w:color w:val="auto"/>
                <w:szCs w:val="22"/>
              </w:rPr>
            </w:pPr>
            <w:r w:rsidRPr="00C7489A">
              <w:rPr>
                <w:color w:val="auto"/>
                <w:szCs w:val="22"/>
              </w:rPr>
              <w:t xml:space="preserve">Lai nodrošinātu Latvijas pāreju uz ekonomiku ar zemu oglekļa emisijas līmeni visās nozarēs, </w:t>
            </w:r>
            <w:r w:rsidR="00F96D1B">
              <w:rPr>
                <w:color w:val="auto"/>
                <w:szCs w:val="22"/>
                <w:lang w:val="lv-LV"/>
              </w:rPr>
              <w:t>EM</w:t>
            </w:r>
            <w:r w:rsidRPr="00C7489A">
              <w:rPr>
                <w:color w:val="auto"/>
                <w:szCs w:val="22"/>
              </w:rPr>
              <w:t xml:space="preserve"> </w:t>
            </w:r>
            <w:r w:rsidR="00A76FF6" w:rsidRPr="00C7489A">
              <w:rPr>
                <w:color w:val="auto"/>
                <w:szCs w:val="22"/>
              </w:rPr>
              <w:t>ES</w:t>
            </w:r>
            <w:r w:rsidRPr="00C7489A">
              <w:rPr>
                <w:color w:val="auto"/>
                <w:szCs w:val="22"/>
              </w:rPr>
              <w:t xml:space="preserve"> struktūrfondu un Kohēzijas fonda 2014.-2020.gada plānošanas periodā ir atbildīga par šādu </w:t>
            </w:r>
            <w:r w:rsidR="00C7489A">
              <w:rPr>
                <w:color w:val="auto"/>
                <w:szCs w:val="22"/>
                <w:lang w:val="lv-LV"/>
              </w:rPr>
              <w:t>SAM</w:t>
            </w:r>
            <w:r w:rsidRPr="00C7489A">
              <w:rPr>
                <w:color w:val="auto"/>
                <w:szCs w:val="22"/>
              </w:rPr>
              <w:t xml:space="preserve"> un </w:t>
            </w:r>
            <w:r w:rsidR="00C7489A">
              <w:rPr>
                <w:color w:val="auto"/>
                <w:szCs w:val="22"/>
                <w:lang w:val="lv-LV"/>
              </w:rPr>
              <w:t>SAM</w:t>
            </w:r>
            <w:r w:rsidRPr="00C7489A">
              <w:rPr>
                <w:color w:val="auto"/>
                <w:szCs w:val="22"/>
              </w:rPr>
              <w:t xml:space="preserve"> pasākumu īstenošanu par kopējo ES fondu finansējumu 333,55 milj. </w:t>
            </w:r>
            <w:proofErr w:type="spellStart"/>
            <w:r w:rsidR="00A76FF6" w:rsidRPr="00C7489A">
              <w:rPr>
                <w:i/>
                <w:color w:val="auto"/>
                <w:szCs w:val="22"/>
              </w:rPr>
              <w:t>euro</w:t>
            </w:r>
            <w:proofErr w:type="spellEnd"/>
            <w:r w:rsidRPr="00C7489A">
              <w:rPr>
                <w:color w:val="auto"/>
                <w:szCs w:val="22"/>
              </w:rPr>
              <w:t xml:space="preserve"> apmērā:</w:t>
            </w:r>
          </w:p>
          <w:p w14:paraId="7498A7E3" w14:textId="24A1A887" w:rsidR="00C7489A" w:rsidRDefault="00692BFA" w:rsidP="00C7489A">
            <w:pPr>
              <w:pStyle w:val="CommentText"/>
              <w:numPr>
                <w:ilvl w:val="0"/>
                <w:numId w:val="41"/>
              </w:numPr>
              <w:tabs>
                <w:tab w:val="left" w:pos="5173"/>
              </w:tabs>
              <w:spacing w:after="0"/>
              <w:ind w:left="748"/>
              <w:cnfStyle w:val="000000100000" w:firstRow="0" w:lastRow="0" w:firstColumn="0" w:lastColumn="0" w:oddVBand="0" w:evenVBand="0" w:oddHBand="1" w:evenHBand="0" w:firstRowFirstColumn="0" w:firstRowLastColumn="0" w:lastRowFirstColumn="0" w:lastRowLastColumn="0"/>
              <w:rPr>
                <w:color w:val="auto"/>
                <w:szCs w:val="22"/>
              </w:rPr>
            </w:pPr>
            <w:r w:rsidRPr="00C7489A">
              <w:rPr>
                <w:color w:val="auto"/>
                <w:szCs w:val="22"/>
              </w:rPr>
              <w:t>4.1.1.</w:t>
            </w:r>
            <w:r w:rsidR="00A76FF6" w:rsidRPr="00C7489A">
              <w:rPr>
                <w:color w:val="auto"/>
                <w:szCs w:val="22"/>
              </w:rPr>
              <w:t>SAM</w:t>
            </w:r>
            <w:r w:rsidR="00BC0B69" w:rsidRPr="00C7489A">
              <w:rPr>
                <w:color w:val="auto"/>
                <w:szCs w:val="22"/>
              </w:rPr>
              <w:t xml:space="preserve"> “Veicināt  efektīvu  energoresursu  izmantošanu,  enerģijas patēriņa samazināšanu un pāreju uz AER </w:t>
            </w:r>
            <w:r w:rsidR="00C7489A">
              <w:rPr>
                <w:color w:val="auto"/>
                <w:szCs w:val="22"/>
              </w:rPr>
              <w:t xml:space="preserve">apstrādes rūpniecības nozarē”. </w:t>
            </w:r>
            <w:r w:rsidR="00BC0B69" w:rsidRPr="00C7489A">
              <w:rPr>
                <w:color w:val="auto"/>
                <w:szCs w:val="22"/>
              </w:rPr>
              <w:t xml:space="preserve">4.1.1.SAM kopējais pieejamais Kohēzijas fonda finansējums ir 32,55 milj. </w:t>
            </w:r>
            <w:proofErr w:type="spellStart"/>
            <w:r w:rsidR="00A76FF6" w:rsidRPr="00BE1D2F">
              <w:rPr>
                <w:i/>
                <w:color w:val="auto"/>
                <w:szCs w:val="22"/>
              </w:rPr>
              <w:t>eur</w:t>
            </w:r>
            <w:r w:rsidR="00BE1D2F" w:rsidRPr="00BE1D2F">
              <w:rPr>
                <w:i/>
                <w:color w:val="auto"/>
                <w:szCs w:val="22"/>
                <w:lang w:val="lv-LV"/>
              </w:rPr>
              <w:t>o</w:t>
            </w:r>
            <w:proofErr w:type="spellEnd"/>
            <w:r w:rsidR="00BC0B69" w:rsidRPr="00C7489A">
              <w:rPr>
                <w:color w:val="auto"/>
                <w:szCs w:val="22"/>
              </w:rPr>
              <w:t xml:space="preserve">. Atbalsts </w:t>
            </w:r>
            <w:proofErr w:type="spellStart"/>
            <w:r w:rsidR="00BC0B69" w:rsidRPr="00C7489A">
              <w:rPr>
                <w:color w:val="auto"/>
                <w:szCs w:val="22"/>
              </w:rPr>
              <w:t>grantu</w:t>
            </w:r>
            <w:proofErr w:type="spellEnd"/>
            <w:r w:rsidR="00BC0B69" w:rsidRPr="00C7489A">
              <w:rPr>
                <w:color w:val="auto"/>
                <w:szCs w:val="22"/>
              </w:rPr>
              <w:t xml:space="preserve"> veidā tiek sniegts sīkajiem (mikro), mazajiem, vidējiem un lielajiem komersantiem, kas veic </w:t>
            </w:r>
            <w:r w:rsidR="00BC0B69" w:rsidRPr="00C7489A">
              <w:rPr>
                <w:color w:val="auto"/>
                <w:szCs w:val="22"/>
              </w:rPr>
              <w:lastRenderedPageBreak/>
              <w:t xml:space="preserve">saimniecisko darbību apstrādes rūpniecības nozarēs.  4.1.1. SAM ir noslēgusies pirmā projektu iesniegumu atlases kārta, kuras ietvaros tika iesniegti 37 projektu iesniegumi, pieprasot </w:t>
            </w:r>
            <w:r w:rsidR="00F96D1B">
              <w:rPr>
                <w:color w:val="auto"/>
                <w:szCs w:val="22"/>
                <w:lang w:val="lv-LV"/>
              </w:rPr>
              <w:t>Kohēzijas fonda</w:t>
            </w:r>
            <w:r w:rsidR="00BC0B69" w:rsidRPr="00C7489A">
              <w:rPr>
                <w:color w:val="auto"/>
                <w:szCs w:val="22"/>
              </w:rPr>
              <w:t xml:space="preserve"> finansējumu 9,14 milj. </w:t>
            </w:r>
            <w:proofErr w:type="spellStart"/>
            <w:r w:rsidR="00A76FF6" w:rsidRPr="00C7489A">
              <w:rPr>
                <w:i/>
                <w:color w:val="auto"/>
                <w:szCs w:val="22"/>
              </w:rPr>
              <w:t>euro</w:t>
            </w:r>
            <w:proofErr w:type="spellEnd"/>
            <w:r w:rsidR="00BC0B69" w:rsidRPr="00C7489A">
              <w:rPr>
                <w:color w:val="auto"/>
                <w:szCs w:val="22"/>
              </w:rPr>
              <w:t xml:space="preserve"> apmērā. Šobrīd ir veikta projektu pirmreizējā izvērtēšana un projektu iesniegumi tiek precizēti. </w:t>
            </w:r>
          </w:p>
          <w:p w14:paraId="75B9D598" w14:textId="7F4C8932" w:rsidR="00C7489A" w:rsidRDefault="00BC0B69" w:rsidP="00C7489A">
            <w:pPr>
              <w:pStyle w:val="CommentText"/>
              <w:tabs>
                <w:tab w:val="left" w:pos="5173"/>
              </w:tabs>
              <w:spacing w:after="0"/>
              <w:ind w:left="748" w:firstLine="0"/>
              <w:cnfStyle w:val="000000100000" w:firstRow="0" w:lastRow="0" w:firstColumn="0" w:lastColumn="0" w:oddVBand="0" w:evenVBand="0" w:oddHBand="1" w:evenHBand="0" w:firstRowFirstColumn="0" w:firstRowLastColumn="0" w:lastRowFirstColumn="0" w:lastRowLastColumn="0"/>
              <w:rPr>
                <w:color w:val="auto"/>
                <w:szCs w:val="22"/>
              </w:rPr>
            </w:pPr>
            <w:r w:rsidRPr="00C7489A">
              <w:rPr>
                <w:color w:val="auto"/>
                <w:szCs w:val="22"/>
              </w:rPr>
              <w:t xml:space="preserve">Papildus tam </w:t>
            </w:r>
            <w:r w:rsidR="00F96D1B">
              <w:rPr>
                <w:color w:val="auto"/>
                <w:szCs w:val="22"/>
                <w:lang w:val="lv-LV"/>
              </w:rPr>
              <w:t>EM</w:t>
            </w:r>
            <w:r w:rsidRPr="00C7489A">
              <w:rPr>
                <w:color w:val="auto"/>
                <w:szCs w:val="22"/>
              </w:rPr>
              <w:t xml:space="preserve"> šobrīd izstrādā 2.atlases kārtas projektu iesniegumu vērtēšanas kritērijus un īstenošanas nosacījumus. Plānots, ka 4.1.1.SAM 2.kārtas īstenošanu regulējošie </w:t>
            </w:r>
            <w:r w:rsidR="00A76FF6" w:rsidRPr="00C7489A">
              <w:rPr>
                <w:color w:val="auto"/>
                <w:szCs w:val="22"/>
              </w:rPr>
              <w:t>MK</w:t>
            </w:r>
            <w:r w:rsidRPr="00C7489A">
              <w:rPr>
                <w:color w:val="auto"/>
                <w:szCs w:val="22"/>
              </w:rPr>
              <w:t xml:space="preserve"> noteikumi tiks apstiprināti 2017.gada beigās un projektu pieteikumu atlase tiks uzsākta 2018.gada pirmajā ceturksnī.</w:t>
            </w:r>
          </w:p>
          <w:p w14:paraId="19176460" w14:textId="78E97DB8" w:rsidR="00C7489A" w:rsidRDefault="00BC0B69" w:rsidP="00C7489A">
            <w:pPr>
              <w:pStyle w:val="CommentText"/>
              <w:numPr>
                <w:ilvl w:val="0"/>
                <w:numId w:val="41"/>
              </w:numPr>
              <w:tabs>
                <w:tab w:val="left" w:pos="5173"/>
              </w:tabs>
              <w:spacing w:after="0"/>
              <w:ind w:left="748"/>
              <w:cnfStyle w:val="000000100000" w:firstRow="0" w:lastRow="0" w:firstColumn="0" w:lastColumn="0" w:oddVBand="0" w:evenVBand="0" w:oddHBand="1" w:evenHBand="0" w:firstRowFirstColumn="0" w:firstRowLastColumn="0" w:lastRowFirstColumn="0" w:lastRowLastColumn="0"/>
              <w:rPr>
                <w:color w:val="auto"/>
                <w:szCs w:val="22"/>
              </w:rPr>
            </w:pPr>
            <w:r w:rsidRPr="00C7489A">
              <w:rPr>
                <w:color w:val="auto"/>
                <w:szCs w:val="22"/>
              </w:rPr>
              <w:t xml:space="preserve">4.2.1.1. </w:t>
            </w:r>
            <w:r w:rsidR="00A76FF6" w:rsidRPr="00C7489A">
              <w:rPr>
                <w:color w:val="auto"/>
                <w:szCs w:val="22"/>
              </w:rPr>
              <w:t>SAM</w:t>
            </w:r>
            <w:r w:rsidRPr="00C7489A">
              <w:rPr>
                <w:color w:val="auto"/>
                <w:szCs w:val="22"/>
              </w:rPr>
              <w:t xml:space="preserve"> pasākums “Veicināt energoefektivitātes paaugstināšanu dzīv</w:t>
            </w:r>
            <w:r w:rsidR="00C7489A">
              <w:rPr>
                <w:color w:val="auto"/>
                <w:szCs w:val="22"/>
              </w:rPr>
              <w:t>ojamās ēkās”.</w:t>
            </w:r>
            <w:r w:rsidR="00692BFA">
              <w:rPr>
                <w:color w:val="auto"/>
                <w:szCs w:val="22"/>
                <w:lang w:val="lv-LV"/>
              </w:rPr>
              <w:t xml:space="preserve"> </w:t>
            </w:r>
            <w:r w:rsidRPr="00C7489A">
              <w:rPr>
                <w:color w:val="auto"/>
                <w:szCs w:val="22"/>
              </w:rPr>
              <w:t xml:space="preserve">4.2.1.1.SAM pasākuma īstenošanai kopējais publiskais finansējums ir 166,47 milj. </w:t>
            </w:r>
            <w:proofErr w:type="spellStart"/>
            <w:r w:rsidR="00A76FF6" w:rsidRPr="00C7489A">
              <w:rPr>
                <w:i/>
                <w:color w:val="auto"/>
                <w:szCs w:val="22"/>
              </w:rPr>
              <w:t>euro</w:t>
            </w:r>
            <w:proofErr w:type="spellEnd"/>
            <w:r w:rsidRPr="00C7489A">
              <w:rPr>
                <w:color w:val="auto"/>
                <w:szCs w:val="22"/>
              </w:rPr>
              <w:t xml:space="preserve"> (ERAF finansējums 141,49 milj. </w:t>
            </w:r>
            <w:proofErr w:type="spellStart"/>
            <w:r w:rsidR="00A76FF6" w:rsidRPr="00F96D1B">
              <w:rPr>
                <w:i/>
                <w:color w:val="auto"/>
                <w:szCs w:val="22"/>
              </w:rPr>
              <w:t>euro</w:t>
            </w:r>
            <w:proofErr w:type="spellEnd"/>
            <w:r w:rsidRPr="00C7489A">
              <w:rPr>
                <w:color w:val="auto"/>
                <w:szCs w:val="22"/>
              </w:rPr>
              <w:t xml:space="preserve"> un valsts budžeta līdzfinansējums 24,97 milj. </w:t>
            </w:r>
            <w:proofErr w:type="spellStart"/>
            <w:r w:rsidR="00A76FF6" w:rsidRPr="00C7489A">
              <w:rPr>
                <w:i/>
                <w:color w:val="auto"/>
                <w:szCs w:val="22"/>
              </w:rPr>
              <w:t>euro</w:t>
            </w:r>
            <w:proofErr w:type="spellEnd"/>
            <w:r w:rsidRPr="00C7489A">
              <w:rPr>
                <w:color w:val="auto"/>
                <w:szCs w:val="22"/>
              </w:rPr>
              <w:t xml:space="preserve">). 4.2.1.1.SAM pasākuma ietvaros 2016.gada nogalē </w:t>
            </w:r>
            <w:proofErr w:type="spellStart"/>
            <w:r w:rsidRPr="00C7489A">
              <w:rPr>
                <w:color w:val="auto"/>
                <w:szCs w:val="22"/>
              </w:rPr>
              <w:t>Altum</w:t>
            </w:r>
            <w:proofErr w:type="spellEnd"/>
            <w:r w:rsidRPr="00C7489A">
              <w:rPr>
                <w:color w:val="auto"/>
                <w:szCs w:val="22"/>
              </w:rPr>
              <w:t xml:space="preserve"> uzsāka atbalsta sniegšanu dzīvokļu īpašniekiem </w:t>
            </w:r>
            <w:proofErr w:type="spellStart"/>
            <w:r w:rsidRPr="00C7489A">
              <w:rPr>
                <w:color w:val="auto"/>
                <w:szCs w:val="22"/>
              </w:rPr>
              <w:t>grantu</w:t>
            </w:r>
            <w:proofErr w:type="spellEnd"/>
            <w:r w:rsidRPr="00C7489A">
              <w:rPr>
                <w:color w:val="auto"/>
                <w:szCs w:val="22"/>
              </w:rPr>
              <w:t xml:space="preserve">, aizdevumu un garantiju veidā. Uz </w:t>
            </w:r>
            <w:r w:rsidR="00692BFA">
              <w:rPr>
                <w:color w:val="auto"/>
                <w:szCs w:val="22"/>
                <w:lang w:val="lv-LV"/>
              </w:rPr>
              <w:t xml:space="preserve"> 2017.gada 12.septembri </w:t>
            </w:r>
            <w:proofErr w:type="spellStart"/>
            <w:r w:rsidRPr="00C7489A">
              <w:rPr>
                <w:color w:val="auto"/>
                <w:szCs w:val="22"/>
              </w:rPr>
              <w:t>Altum</w:t>
            </w:r>
            <w:proofErr w:type="spellEnd"/>
            <w:r w:rsidRPr="00C7489A">
              <w:rPr>
                <w:color w:val="auto"/>
                <w:szCs w:val="22"/>
              </w:rPr>
              <w:t xml:space="preserve"> bija iesniegta 210 projektu tehniskā dokumentācija, pieņemti 20 lēmumi par </w:t>
            </w:r>
            <w:proofErr w:type="spellStart"/>
            <w:r w:rsidRPr="00C7489A">
              <w:rPr>
                <w:color w:val="auto"/>
                <w:szCs w:val="22"/>
              </w:rPr>
              <w:t>grantu</w:t>
            </w:r>
            <w:proofErr w:type="spellEnd"/>
            <w:r w:rsidRPr="00C7489A">
              <w:rPr>
                <w:color w:val="auto"/>
                <w:szCs w:val="22"/>
              </w:rPr>
              <w:t xml:space="preserve"> piešķiršanu 2,9 milj. </w:t>
            </w:r>
            <w:proofErr w:type="spellStart"/>
            <w:r w:rsidR="00A76FF6" w:rsidRPr="00C7489A">
              <w:rPr>
                <w:i/>
                <w:color w:val="auto"/>
                <w:szCs w:val="22"/>
              </w:rPr>
              <w:t>euro</w:t>
            </w:r>
            <w:proofErr w:type="spellEnd"/>
            <w:r w:rsidRPr="00C7489A">
              <w:rPr>
                <w:color w:val="auto"/>
                <w:szCs w:val="22"/>
              </w:rPr>
              <w:t xml:space="preserve"> apmērā (publiskais finansējums), ir piešķirtas 12 </w:t>
            </w:r>
            <w:proofErr w:type="spellStart"/>
            <w:r w:rsidRPr="00C7489A">
              <w:rPr>
                <w:color w:val="auto"/>
                <w:szCs w:val="22"/>
              </w:rPr>
              <w:t>Altum</w:t>
            </w:r>
            <w:proofErr w:type="spellEnd"/>
            <w:r w:rsidRPr="00C7489A">
              <w:rPr>
                <w:color w:val="auto"/>
                <w:szCs w:val="22"/>
              </w:rPr>
              <w:t xml:space="preserve"> garantijas (publiskais finansējums 1,5 milj. </w:t>
            </w:r>
            <w:proofErr w:type="spellStart"/>
            <w:r w:rsidR="00A76FF6" w:rsidRPr="00C7489A">
              <w:rPr>
                <w:i/>
                <w:color w:val="auto"/>
                <w:szCs w:val="22"/>
              </w:rPr>
              <w:t>euro</w:t>
            </w:r>
            <w:proofErr w:type="spellEnd"/>
            <w:r w:rsidRPr="00C7489A">
              <w:rPr>
                <w:color w:val="auto"/>
                <w:szCs w:val="22"/>
              </w:rPr>
              <w:t xml:space="preserve">) aizdevumu saņemšanai komercbankās, kā arī piešķirti 2 </w:t>
            </w:r>
            <w:proofErr w:type="spellStart"/>
            <w:r w:rsidRPr="00C7489A">
              <w:rPr>
                <w:color w:val="auto"/>
                <w:szCs w:val="22"/>
              </w:rPr>
              <w:t>Altum</w:t>
            </w:r>
            <w:proofErr w:type="spellEnd"/>
            <w:r w:rsidRPr="00C7489A">
              <w:rPr>
                <w:color w:val="auto"/>
                <w:szCs w:val="22"/>
              </w:rPr>
              <w:t xml:space="preserve"> aizdevumi 0,2 milj. </w:t>
            </w:r>
            <w:proofErr w:type="spellStart"/>
            <w:r w:rsidR="00A76FF6" w:rsidRPr="00C7489A">
              <w:rPr>
                <w:i/>
                <w:color w:val="auto"/>
                <w:szCs w:val="22"/>
              </w:rPr>
              <w:t>euro</w:t>
            </w:r>
            <w:proofErr w:type="spellEnd"/>
            <w:r w:rsidRPr="00C7489A">
              <w:rPr>
                <w:color w:val="auto"/>
                <w:szCs w:val="22"/>
              </w:rPr>
              <w:t xml:space="preserve"> apmērā. </w:t>
            </w:r>
          </w:p>
          <w:p w14:paraId="62AA50FD" w14:textId="5BAAE1D8" w:rsidR="00C7489A" w:rsidRPr="00C7489A" w:rsidRDefault="00BC0B69" w:rsidP="00C7489A">
            <w:pPr>
              <w:pStyle w:val="CommentText"/>
              <w:numPr>
                <w:ilvl w:val="0"/>
                <w:numId w:val="41"/>
              </w:numPr>
              <w:tabs>
                <w:tab w:val="left" w:pos="5173"/>
              </w:tabs>
              <w:spacing w:after="0"/>
              <w:ind w:left="748"/>
              <w:cnfStyle w:val="000000100000" w:firstRow="0" w:lastRow="0" w:firstColumn="0" w:lastColumn="0" w:oddVBand="0" w:evenVBand="0" w:oddHBand="1" w:evenHBand="0" w:firstRowFirstColumn="0" w:firstRowLastColumn="0" w:lastRowFirstColumn="0" w:lastRowLastColumn="0"/>
              <w:rPr>
                <w:color w:val="auto"/>
                <w:szCs w:val="22"/>
              </w:rPr>
            </w:pPr>
            <w:r w:rsidRPr="00C7489A">
              <w:rPr>
                <w:color w:val="auto"/>
                <w:szCs w:val="22"/>
              </w:rPr>
              <w:t xml:space="preserve">4.2.1.2. </w:t>
            </w:r>
            <w:r w:rsidR="00A76FF6" w:rsidRPr="00C7489A">
              <w:rPr>
                <w:color w:val="auto"/>
                <w:szCs w:val="22"/>
              </w:rPr>
              <w:t>SAM</w:t>
            </w:r>
            <w:r w:rsidRPr="00C7489A">
              <w:rPr>
                <w:color w:val="auto"/>
                <w:szCs w:val="22"/>
              </w:rPr>
              <w:t xml:space="preserve"> pasākums “Veicināt energoefektivit</w:t>
            </w:r>
            <w:r w:rsidR="00A76FF6" w:rsidRPr="00C7489A">
              <w:rPr>
                <w:color w:val="auto"/>
                <w:szCs w:val="22"/>
              </w:rPr>
              <w:t>ātes paaugstināšanu valsts ēkās</w:t>
            </w:r>
            <w:r w:rsidR="00692BFA">
              <w:rPr>
                <w:color w:val="auto"/>
                <w:szCs w:val="22"/>
                <w:lang w:val="lv-LV"/>
              </w:rPr>
              <w:t>”</w:t>
            </w:r>
            <w:r w:rsidRPr="00C7489A">
              <w:rPr>
                <w:color w:val="auto"/>
                <w:szCs w:val="22"/>
              </w:rPr>
              <w:t>.</w:t>
            </w:r>
            <w:r w:rsidR="00C7489A" w:rsidRPr="00C7489A">
              <w:rPr>
                <w:color w:val="auto"/>
                <w:szCs w:val="22"/>
                <w:lang w:val="lv-LV"/>
              </w:rPr>
              <w:t xml:space="preserve"> </w:t>
            </w:r>
            <w:r w:rsidRPr="00C7489A">
              <w:rPr>
                <w:color w:val="auto"/>
                <w:szCs w:val="22"/>
              </w:rPr>
              <w:t xml:space="preserve">4.2.1.2.SAM pasākuma īstenošanai atvēlēts publiskais finansējums 115,12 milj. </w:t>
            </w:r>
            <w:proofErr w:type="spellStart"/>
            <w:r w:rsidR="00A76FF6" w:rsidRPr="00C7489A">
              <w:rPr>
                <w:i/>
                <w:color w:val="auto"/>
                <w:szCs w:val="22"/>
              </w:rPr>
              <w:t>euro</w:t>
            </w:r>
            <w:proofErr w:type="spellEnd"/>
            <w:r w:rsidRPr="00C7489A">
              <w:rPr>
                <w:color w:val="auto"/>
                <w:szCs w:val="22"/>
              </w:rPr>
              <w:t xml:space="preserve"> apmērā (ERAF finansējums 97,85 milj. </w:t>
            </w:r>
            <w:proofErr w:type="spellStart"/>
            <w:r w:rsidR="00A76FF6" w:rsidRPr="00C7489A">
              <w:rPr>
                <w:i/>
                <w:color w:val="auto"/>
                <w:szCs w:val="22"/>
              </w:rPr>
              <w:t>euro</w:t>
            </w:r>
            <w:proofErr w:type="spellEnd"/>
            <w:r w:rsidRPr="00C7489A">
              <w:rPr>
                <w:color w:val="auto"/>
                <w:szCs w:val="22"/>
              </w:rPr>
              <w:t xml:space="preserve">, valsts budžets – 17,26 milj. </w:t>
            </w:r>
            <w:proofErr w:type="spellStart"/>
            <w:r w:rsidR="00A76FF6" w:rsidRPr="00C7489A">
              <w:rPr>
                <w:i/>
                <w:color w:val="auto"/>
                <w:szCs w:val="22"/>
              </w:rPr>
              <w:t>euro</w:t>
            </w:r>
            <w:proofErr w:type="spellEnd"/>
            <w:r w:rsidRPr="00C7489A">
              <w:rPr>
                <w:color w:val="auto"/>
                <w:szCs w:val="22"/>
              </w:rPr>
              <w:t xml:space="preserve">). 4.2.1.2.SAM pasākuma nosacījumi ir izstrādāti un tiešās valsts pārvaldes iestādes, to padotības iestādes, valsts augstskolas, valsts zinātniskie institūti un valsts kapitālsabiedrības, kuras apsaimnieko valsts nekustamos īpašumus, var iesniegt projektu iesniegumus. Līdz </w:t>
            </w:r>
            <w:r w:rsidR="00692BFA">
              <w:rPr>
                <w:color w:val="auto"/>
                <w:szCs w:val="22"/>
                <w:lang w:val="lv-LV"/>
              </w:rPr>
              <w:t>2017.gada 13.septembrim</w:t>
            </w:r>
            <w:r w:rsidRPr="00C7489A">
              <w:rPr>
                <w:color w:val="auto"/>
                <w:szCs w:val="22"/>
              </w:rPr>
              <w:t xml:space="preserve"> </w:t>
            </w:r>
            <w:r w:rsidR="00F96D1B" w:rsidRPr="00F96D1B">
              <w:rPr>
                <w:color w:val="auto"/>
                <w:szCs w:val="22"/>
              </w:rPr>
              <w:t>Cen</w:t>
            </w:r>
            <w:r w:rsidR="00F96D1B">
              <w:rPr>
                <w:color w:val="auto"/>
                <w:szCs w:val="22"/>
              </w:rPr>
              <w:t>trālā finanšu un līgumu aģentūr</w:t>
            </w:r>
            <w:r w:rsidR="00F96D1B">
              <w:rPr>
                <w:color w:val="auto"/>
                <w:szCs w:val="22"/>
                <w:lang w:val="lv-LV"/>
              </w:rPr>
              <w:t>ā</w:t>
            </w:r>
            <w:r w:rsidR="00F96D1B" w:rsidRPr="00C7489A">
              <w:rPr>
                <w:color w:val="auto"/>
                <w:szCs w:val="22"/>
              </w:rPr>
              <w:t xml:space="preserve"> </w:t>
            </w:r>
            <w:r w:rsidRPr="00C7489A">
              <w:rPr>
                <w:color w:val="auto"/>
                <w:szCs w:val="22"/>
              </w:rPr>
              <w:t xml:space="preserve">ir iesniegti 29 projektu iesniegumi, pieprasot ERAF finansējumu 14,75 milj. </w:t>
            </w:r>
            <w:proofErr w:type="spellStart"/>
            <w:r w:rsidR="00A76FF6" w:rsidRPr="00C7489A">
              <w:rPr>
                <w:i/>
                <w:color w:val="auto"/>
                <w:szCs w:val="22"/>
              </w:rPr>
              <w:t>euro</w:t>
            </w:r>
            <w:proofErr w:type="spellEnd"/>
            <w:r w:rsidRPr="00C7489A">
              <w:rPr>
                <w:color w:val="auto"/>
                <w:szCs w:val="22"/>
              </w:rPr>
              <w:t xml:space="preserve"> apmērā, kā arī ir noslēgti 5 līgumi par projektu īstenošanu par ERAF finansējumu 1,5 milj. </w:t>
            </w:r>
            <w:proofErr w:type="spellStart"/>
            <w:r w:rsidR="00A76FF6" w:rsidRPr="00C7489A">
              <w:rPr>
                <w:i/>
                <w:color w:val="auto"/>
                <w:szCs w:val="22"/>
              </w:rPr>
              <w:t>euro</w:t>
            </w:r>
            <w:proofErr w:type="spellEnd"/>
            <w:r w:rsidRPr="00C7489A">
              <w:rPr>
                <w:color w:val="auto"/>
                <w:szCs w:val="22"/>
              </w:rPr>
              <w:t xml:space="preserve"> apmērā. </w:t>
            </w:r>
          </w:p>
          <w:p w14:paraId="22D9E1E3" w14:textId="7ACC7BF8" w:rsidR="00C7489A" w:rsidRPr="00C7489A" w:rsidRDefault="00BC0B69" w:rsidP="00C7489A">
            <w:pPr>
              <w:pStyle w:val="CommentText"/>
              <w:tabs>
                <w:tab w:val="left" w:pos="5173"/>
              </w:tabs>
              <w:spacing w:after="0"/>
              <w:ind w:left="748" w:firstLine="0"/>
              <w:cnfStyle w:val="000000100000" w:firstRow="0" w:lastRow="0" w:firstColumn="0" w:lastColumn="0" w:oddVBand="0" w:evenVBand="0" w:oddHBand="1" w:evenHBand="0" w:firstRowFirstColumn="0" w:firstRowLastColumn="0" w:lastRowFirstColumn="0" w:lastRowLastColumn="0"/>
              <w:rPr>
                <w:color w:val="auto"/>
                <w:szCs w:val="22"/>
              </w:rPr>
            </w:pPr>
            <w:r w:rsidRPr="00C7489A">
              <w:rPr>
                <w:color w:val="auto"/>
                <w:szCs w:val="22"/>
              </w:rPr>
              <w:t xml:space="preserve">Papildus </w:t>
            </w:r>
            <w:r w:rsidR="00F96D1B">
              <w:rPr>
                <w:color w:val="auto"/>
                <w:szCs w:val="22"/>
                <w:lang w:val="lv-LV"/>
              </w:rPr>
              <w:t>EM</w:t>
            </w:r>
            <w:r w:rsidRPr="00C7489A">
              <w:rPr>
                <w:color w:val="auto"/>
                <w:szCs w:val="22"/>
              </w:rPr>
              <w:t xml:space="preserve"> strādā pie 4.2.1.2.SAM pasākuma 2.kārtas īstenošanas nosacījumu izstrādes, kur projektu iesniegumus varēs iesniegt nevalstiskās organizācijas sociālā un kultūras jomā, valsts kapitālsabiedrības veselības, kultūras, sporta un izglītības jomā. Plānots, ka 2.kārtas nosacījumi tiks apstiprināti </w:t>
            </w:r>
            <w:r w:rsidR="00A76FF6" w:rsidRPr="00C7489A">
              <w:rPr>
                <w:color w:val="auto"/>
                <w:szCs w:val="22"/>
              </w:rPr>
              <w:t>MK</w:t>
            </w:r>
            <w:r w:rsidRPr="00C7489A">
              <w:rPr>
                <w:color w:val="auto"/>
                <w:szCs w:val="22"/>
              </w:rPr>
              <w:t xml:space="preserve"> 2017.gada oktobrī un projektu iesniegumu atlase tiks uzsākta 2017.gada nogalē. </w:t>
            </w:r>
          </w:p>
          <w:p w14:paraId="68231D83" w14:textId="7FC1EA2A" w:rsidR="00C7489A" w:rsidRPr="00C7489A" w:rsidRDefault="00BC0B69" w:rsidP="00C7489A">
            <w:pPr>
              <w:pStyle w:val="CommentText"/>
              <w:numPr>
                <w:ilvl w:val="0"/>
                <w:numId w:val="41"/>
              </w:numPr>
              <w:tabs>
                <w:tab w:val="left" w:pos="5173"/>
              </w:tabs>
              <w:spacing w:after="0"/>
              <w:ind w:left="748"/>
              <w:cnfStyle w:val="000000100000" w:firstRow="0" w:lastRow="0" w:firstColumn="0" w:lastColumn="0" w:oddVBand="0" w:evenVBand="0" w:oddHBand="1" w:evenHBand="0" w:firstRowFirstColumn="0" w:firstRowLastColumn="0" w:lastRowFirstColumn="0" w:lastRowLastColumn="0"/>
              <w:rPr>
                <w:color w:val="auto"/>
                <w:szCs w:val="22"/>
              </w:rPr>
            </w:pPr>
            <w:r w:rsidRPr="00C7489A">
              <w:rPr>
                <w:color w:val="auto"/>
                <w:szCs w:val="22"/>
              </w:rPr>
              <w:t xml:space="preserve">4.3.1. </w:t>
            </w:r>
            <w:r w:rsidR="00A76FF6" w:rsidRPr="00C7489A">
              <w:rPr>
                <w:color w:val="auto"/>
                <w:szCs w:val="22"/>
              </w:rPr>
              <w:t>SAM</w:t>
            </w:r>
            <w:r w:rsidRPr="00C7489A">
              <w:rPr>
                <w:color w:val="auto"/>
                <w:szCs w:val="22"/>
              </w:rPr>
              <w:t xml:space="preserve"> “Veicināt energoefektivitāti un vietējo AER izmantošanu centralizētajā siltumapgādē”.</w:t>
            </w:r>
            <w:r w:rsidR="00C7489A" w:rsidRPr="00C7489A">
              <w:rPr>
                <w:color w:val="auto"/>
                <w:szCs w:val="22"/>
                <w:lang w:val="lv-LV"/>
              </w:rPr>
              <w:t xml:space="preserve"> </w:t>
            </w:r>
            <w:r w:rsidRPr="00C7489A">
              <w:rPr>
                <w:color w:val="auto"/>
                <w:szCs w:val="22"/>
              </w:rPr>
              <w:t xml:space="preserve">4.3.1.SAM īstenošanai kopējais pieejamais </w:t>
            </w:r>
            <w:r w:rsidR="00F96D1B">
              <w:rPr>
                <w:color w:val="auto"/>
                <w:szCs w:val="22"/>
                <w:lang w:val="lv-LV"/>
              </w:rPr>
              <w:t>Kohēzijas fonda</w:t>
            </w:r>
            <w:r w:rsidRPr="00C7489A">
              <w:rPr>
                <w:color w:val="auto"/>
                <w:szCs w:val="22"/>
              </w:rPr>
              <w:t xml:space="preserve"> finansējums ir 53,2 milj. </w:t>
            </w:r>
            <w:proofErr w:type="spellStart"/>
            <w:r w:rsidR="00A76FF6" w:rsidRPr="00C7489A">
              <w:rPr>
                <w:i/>
                <w:color w:val="auto"/>
                <w:szCs w:val="22"/>
              </w:rPr>
              <w:t>euro</w:t>
            </w:r>
            <w:proofErr w:type="spellEnd"/>
            <w:r w:rsidRPr="00C7489A">
              <w:rPr>
                <w:color w:val="auto"/>
                <w:szCs w:val="22"/>
              </w:rPr>
              <w:t xml:space="preserve">. Atbalsts energoapgādes  komersantiem,  kas  nodarbojas  ar centralizēto siltumapgādi, tiek sniegts </w:t>
            </w:r>
            <w:proofErr w:type="spellStart"/>
            <w:r w:rsidRPr="00C7489A">
              <w:rPr>
                <w:color w:val="auto"/>
                <w:szCs w:val="22"/>
              </w:rPr>
              <w:t>grantu</w:t>
            </w:r>
            <w:proofErr w:type="spellEnd"/>
            <w:r w:rsidRPr="00C7489A">
              <w:rPr>
                <w:color w:val="auto"/>
                <w:szCs w:val="22"/>
              </w:rPr>
              <w:t xml:space="preserve"> veidā. Projektu iesniegumu atlases 1.kārta noslēdzās 2017.gada jūlijā. Tika iesniegti 85 projektu iesniegumi, pieprasot </w:t>
            </w:r>
            <w:r w:rsidR="00405107">
              <w:rPr>
                <w:color w:val="auto"/>
                <w:szCs w:val="22"/>
                <w:lang w:val="lv-LV"/>
              </w:rPr>
              <w:t>Kohēzijas fonda</w:t>
            </w:r>
            <w:r w:rsidRPr="00C7489A">
              <w:rPr>
                <w:color w:val="auto"/>
                <w:szCs w:val="22"/>
              </w:rPr>
              <w:t xml:space="preserve"> finansējumu 45,84 milj. </w:t>
            </w:r>
            <w:proofErr w:type="spellStart"/>
            <w:r w:rsidR="00A76FF6" w:rsidRPr="00C7489A">
              <w:rPr>
                <w:i/>
                <w:color w:val="auto"/>
                <w:szCs w:val="22"/>
              </w:rPr>
              <w:t>euro</w:t>
            </w:r>
            <w:proofErr w:type="spellEnd"/>
            <w:r w:rsidRPr="00C7489A">
              <w:rPr>
                <w:color w:val="auto"/>
                <w:szCs w:val="22"/>
              </w:rPr>
              <w:t xml:space="preserve"> apmērā. Šobrīd tiek veikta projektu iesniegumu vērtēšana.</w:t>
            </w:r>
          </w:p>
          <w:p w14:paraId="318EF4EC" w14:textId="313C0F48" w:rsidR="00BC0B69" w:rsidRPr="00C7489A" w:rsidRDefault="00BC0B69" w:rsidP="00C7489A">
            <w:pPr>
              <w:pStyle w:val="CommentText"/>
              <w:tabs>
                <w:tab w:val="left" w:pos="5173"/>
              </w:tabs>
              <w:spacing w:after="0"/>
              <w:ind w:left="748" w:firstLine="0"/>
              <w:cnfStyle w:val="000000100000" w:firstRow="0" w:lastRow="0" w:firstColumn="0" w:lastColumn="0" w:oddVBand="0" w:evenVBand="0" w:oddHBand="1" w:evenHBand="0" w:firstRowFirstColumn="0" w:firstRowLastColumn="0" w:lastRowFirstColumn="0" w:lastRowLastColumn="0"/>
              <w:rPr>
                <w:color w:val="auto"/>
                <w:szCs w:val="22"/>
              </w:rPr>
            </w:pPr>
            <w:r w:rsidRPr="00C7489A">
              <w:rPr>
                <w:color w:val="auto"/>
                <w:szCs w:val="22"/>
              </w:rPr>
              <w:t>2017.gada augustā tika apstiprināti arī 4.3.1.SAM 2.projektu iesniegumu atlases kārtas atbalsta nosacījumi, kur projektu iesniegumu atlasi plānots uzsākt 2017.gada nogalē.</w:t>
            </w:r>
          </w:p>
          <w:p w14:paraId="5549D8D6" w14:textId="77777777" w:rsidR="00C7489A" w:rsidRDefault="00C7489A" w:rsidP="00B57546">
            <w:pPr>
              <w:spacing w:after="0"/>
              <w:cnfStyle w:val="000000100000" w:firstRow="0" w:lastRow="0" w:firstColumn="0" w:lastColumn="0" w:oddVBand="0" w:evenVBand="0" w:oddHBand="1" w:evenHBand="0" w:firstRowFirstColumn="0" w:firstRowLastColumn="0" w:lastRowFirstColumn="0" w:lastRowLastColumn="0"/>
              <w:rPr>
                <w:color w:val="auto"/>
                <w:sz w:val="20"/>
              </w:rPr>
            </w:pPr>
          </w:p>
          <w:p w14:paraId="5A8D9B1A" w14:textId="1D0BB4FC" w:rsidR="00F60BE5" w:rsidRPr="002A677B" w:rsidRDefault="00F60BE5" w:rsidP="00B57546">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A677B">
              <w:rPr>
                <w:color w:val="auto"/>
                <w:sz w:val="20"/>
              </w:rPr>
              <w:t>Pēc Klimata pārmaiņu finansēšanas instrumenta noslēgšanās VARAM pārskata periodā ir uzsākusi jaunas atbalsta programmas – </w:t>
            </w:r>
            <w:r w:rsidR="004D3A7C" w:rsidRPr="002A677B">
              <w:rPr>
                <w:color w:val="auto"/>
                <w:sz w:val="20"/>
              </w:rPr>
              <w:t>EKII –</w:t>
            </w:r>
            <w:r w:rsidRPr="002A677B">
              <w:rPr>
                <w:color w:val="auto"/>
                <w:sz w:val="20"/>
              </w:rPr>
              <w:t> īstenošanu. Pārskata periodā EKII ietvaros tika organizēta projektu iesniegumu iesniegšana divos projekt</w:t>
            </w:r>
            <w:r w:rsidR="00B57546" w:rsidRPr="002A677B">
              <w:rPr>
                <w:color w:val="auto"/>
                <w:sz w:val="20"/>
              </w:rPr>
              <w:t>u konkursos, kā rezultātā 2016.</w:t>
            </w:r>
            <w:r w:rsidRPr="002A677B">
              <w:rPr>
                <w:color w:val="auto"/>
                <w:sz w:val="20"/>
              </w:rPr>
              <w:t>gada rudenī tika noslēgti līgumi par projektu īstenošanu ar visiem apstiprināto projektu finansējuma saņēmējiem: projektu konkursa „Siltumnīcefekta gāzu emisiju samazināšana valsts  nozīmes aizsargājamos arhitektūras pieminekļos” ietvaros tika noslēgti 9 līgumi par</w:t>
            </w:r>
            <w:r w:rsidR="00B57546" w:rsidRPr="002A677B">
              <w:rPr>
                <w:color w:val="auto"/>
                <w:sz w:val="20"/>
              </w:rPr>
              <w:t xml:space="preserve"> projektu īstenošanu par kopējo</w:t>
            </w:r>
            <w:r w:rsidRPr="002A677B">
              <w:rPr>
                <w:color w:val="auto"/>
                <w:sz w:val="20"/>
              </w:rPr>
              <w:t xml:space="preserve"> atbalsta summu 8,86 milj. </w:t>
            </w:r>
            <w:proofErr w:type="spellStart"/>
            <w:r w:rsidR="00B57546" w:rsidRPr="002A677B">
              <w:rPr>
                <w:i/>
                <w:color w:val="auto"/>
                <w:sz w:val="20"/>
              </w:rPr>
              <w:t>euro</w:t>
            </w:r>
            <w:proofErr w:type="spellEnd"/>
            <w:r w:rsidRPr="002A677B">
              <w:rPr>
                <w:color w:val="auto"/>
                <w:sz w:val="20"/>
              </w:rPr>
              <w:t xml:space="preserve">, </w:t>
            </w:r>
            <w:r w:rsidRPr="002A677B">
              <w:rPr>
                <w:color w:val="auto"/>
                <w:sz w:val="20"/>
              </w:rPr>
              <w:lastRenderedPageBreak/>
              <w:t xml:space="preserve">savukārt projektu konkursa „Siltumnīcefekta gāzu emisiju samazināšana zema enerģijas patēriņa ēkas” tika noslēgti 7 līgumi par projektu īstenošanu par kopējo EKII atbalsta summu 23milj. </w:t>
            </w:r>
            <w:proofErr w:type="spellStart"/>
            <w:r w:rsidR="00B57546" w:rsidRPr="002A677B">
              <w:rPr>
                <w:i/>
                <w:color w:val="auto"/>
                <w:sz w:val="20"/>
              </w:rPr>
              <w:t>euro</w:t>
            </w:r>
            <w:proofErr w:type="spellEnd"/>
            <w:r w:rsidRPr="002A677B">
              <w:rPr>
                <w:color w:val="auto"/>
                <w:sz w:val="20"/>
              </w:rPr>
              <w:t>.</w:t>
            </w:r>
          </w:p>
          <w:p w14:paraId="058418DA" w14:textId="77777777" w:rsidR="00F60BE5" w:rsidRPr="002A677B" w:rsidRDefault="00F60BE5" w:rsidP="00B57546">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A677B">
              <w:rPr>
                <w:color w:val="auto"/>
                <w:sz w:val="20"/>
              </w:rPr>
              <w:t>Abu projektu konkursu ietvaros kopējais plānotais oglekļa dioksīda emisiju samazinājums būs 1005 tonnas.</w:t>
            </w:r>
          </w:p>
          <w:p w14:paraId="2B00D036" w14:textId="7DA835AE" w:rsidR="006B28DB" w:rsidRPr="00EB5172" w:rsidRDefault="00F60BE5" w:rsidP="00AF4FFC">
            <w:pPr>
              <w:spacing w:after="0"/>
              <w:cnfStyle w:val="000000100000" w:firstRow="0" w:lastRow="0" w:firstColumn="0" w:lastColumn="0" w:oddVBand="0" w:evenVBand="0" w:oddHBand="1" w:evenHBand="0" w:firstRowFirstColumn="0" w:firstRowLastColumn="0" w:lastRowFirstColumn="0" w:lastRowLastColumn="0"/>
              <w:rPr>
                <w:strike/>
                <w:color w:val="auto"/>
                <w:sz w:val="20"/>
              </w:rPr>
            </w:pPr>
            <w:r w:rsidRPr="002A677B">
              <w:rPr>
                <w:color w:val="auto"/>
                <w:sz w:val="20"/>
              </w:rPr>
              <w:t xml:space="preserve">Projektu īstenošana </w:t>
            </w:r>
            <w:r w:rsidR="00AF4FFC" w:rsidRPr="002A677B">
              <w:rPr>
                <w:color w:val="auto"/>
                <w:sz w:val="20"/>
              </w:rPr>
              <w:t>Klimata pārmaiņu finanšu instrumenta</w:t>
            </w:r>
            <w:r w:rsidRPr="002A677B">
              <w:rPr>
                <w:color w:val="auto"/>
                <w:sz w:val="20"/>
              </w:rPr>
              <w:t xml:space="preserve"> ietvaros ir noslēgusies 2015.gadā un jauni projektu konkursi netiks īstenoti. Arī citu VARAM kompetences jomā esošo finanšu instrumentu ietvaros nav plānots atbalsts efektīva apgaismojuma infrastruktūras ieviešanai pašvaldību publiskajās teritorijās. Šobrīd notiek p</w:t>
            </w:r>
            <w:r w:rsidR="00BC0B69" w:rsidRPr="002A677B">
              <w:rPr>
                <w:color w:val="auto"/>
                <w:sz w:val="20"/>
              </w:rPr>
              <w:t>rojektu rezultātu monitorings.</w:t>
            </w:r>
            <w:r w:rsidR="00BC0B69" w:rsidRPr="00EB5172">
              <w:rPr>
                <w:strike/>
                <w:color w:val="auto"/>
                <w:sz w:val="20"/>
              </w:rPr>
              <w:t xml:space="preserve"> </w:t>
            </w:r>
          </w:p>
        </w:tc>
      </w:tr>
      <w:tr w:rsidR="006B28DB" w:rsidRPr="00527336" w14:paraId="6ACE3B55" w14:textId="77777777" w:rsidTr="00C34C62">
        <w:tc>
          <w:tcPr>
            <w:cnfStyle w:val="001000000000" w:firstRow="0" w:lastRow="0" w:firstColumn="1" w:lastColumn="0" w:oddVBand="0" w:evenVBand="0" w:oddHBand="0" w:evenHBand="0" w:firstRowFirstColumn="0" w:firstRowLastColumn="0" w:lastRowFirstColumn="0" w:lastRowLastColumn="0"/>
            <w:tcW w:w="2122" w:type="dxa"/>
          </w:tcPr>
          <w:p w14:paraId="15F34DE2" w14:textId="77777777" w:rsidR="006B28DB" w:rsidRPr="00527336" w:rsidRDefault="006B28DB" w:rsidP="006B28DB">
            <w:pPr>
              <w:ind w:firstLine="0"/>
              <w:rPr>
                <w:b w:val="0"/>
                <w:color w:val="auto"/>
                <w:sz w:val="20"/>
              </w:rPr>
            </w:pPr>
            <w:r w:rsidRPr="00527336">
              <w:rPr>
                <w:color w:val="auto"/>
                <w:sz w:val="20"/>
              </w:rPr>
              <w:lastRenderedPageBreak/>
              <w:t>Nacionālais mērķis attiecībā uz jauniešiem, kuri priekšlaicīgi pārtraukuši mācības (13,4% (10,0%))</w:t>
            </w:r>
          </w:p>
        </w:tc>
        <w:tc>
          <w:tcPr>
            <w:tcW w:w="3260" w:type="dxa"/>
          </w:tcPr>
          <w:p w14:paraId="74528EE2" w14:textId="77777777" w:rsidR="006B28DB" w:rsidRPr="006B28DB" w:rsidRDefault="006B28DB" w:rsidP="00222993">
            <w:pPr>
              <w:pStyle w:val="ListParagraph"/>
              <w:numPr>
                <w:ilvl w:val="0"/>
                <w:numId w:val="13"/>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6B28DB">
              <w:rPr>
                <w:rFonts w:ascii="Times New Roman" w:hAnsi="Times New Roman"/>
                <w:color w:val="auto"/>
                <w:sz w:val="20"/>
                <w:szCs w:val="22"/>
              </w:rPr>
              <w:t>Pamata</w:t>
            </w:r>
            <w:r w:rsidRPr="006B28DB">
              <w:rPr>
                <w:rFonts w:ascii="Times New Roman" w:hAnsi="Times New Roman"/>
                <w:color w:val="auto"/>
                <w:sz w:val="20"/>
              </w:rPr>
              <w:t xml:space="preserve"> un vidējās izglītības pieejamības nodrošināšana;</w:t>
            </w:r>
          </w:p>
          <w:p w14:paraId="1E406F70" w14:textId="77777777" w:rsidR="006B28DB" w:rsidRPr="006B28DB" w:rsidRDefault="006B28DB" w:rsidP="00222993">
            <w:pPr>
              <w:pStyle w:val="ListParagraph"/>
              <w:numPr>
                <w:ilvl w:val="0"/>
                <w:numId w:val="13"/>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Modernu mācību metožu ieviešana;</w:t>
            </w:r>
          </w:p>
          <w:p w14:paraId="28FFCE91" w14:textId="77777777" w:rsidR="006B28DB" w:rsidRPr="006B28DB" w:rsidRDefault="006B28DB" w:rsidP="00222993">
            <w:pPr>
              <w:pStyle w:val="ListParagraph"/>
              <w:numPr>
                <w:ilvl w:val="0"/>
                <w:numId w:val="13"/>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Strukturālo izmaiņu īstenošana profesionālajā izglītībā;</w:t>
            </w:r>
          </w:p>
          <w:p w14:paraId="2C9CCC16" w14:textId="77777777" w:rsidR="006B28DB" w:rsidRDefault="006B28DB" w:rsidP="00222993">
            <w:pPr>
              <w:pStyle w:val="ListParagraph"/>
              <w:numPr>
                <w:ilvl w:val="0"/>
                <w:numId w:val="13"/>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Profesionālās izglīt</w:t>
            </w:r>
            <w:r>
              <w:rPr>
                <w:rFonts w:ascii="Times New Roman" w:hAnsi="Times New Roman"/>
                <w:color w:val="auto"/>
                <w:sz w:val="20"/>
                <w:szCs w:val="22"/>
              </w:rPr>
              <w:t>ības satura reformas īstenošana;</w:t>
            </w:r>
          </w:p>
          <w:p w14:paraId="35E9A51E" w14:textId="709559A4" w:rsidR="006B28DB" w:rsidRPr="006B28DB" w:rsidRDefault="006B28DB" w:rsidP="00222993">
            <w:pPr>
              <w:pStyle w:val="ListParagraph"/>
              <w:numPr>
                <w:ilvl w:val="0"/>
                <w:numId w:val="13"/>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Sadarbības ar sociālajiem partneriem profesionālās izglītības pilnveidošanai un attīstībai stiprināšana nozaru kontekstā.</w:t>
            </w:r>
          </w:p>
        </w:tc>
        <w:tc>
          <w:tcPr>
            <w:tcW w:w="10064" w:type="dxa"/>
          </w:tcPr>
          <w:p w14:paraId="38CFD12E" w14:textId="615AA4B9" w:rsidR="001477D8" w:rsidRPr="001477D8" w:rsidRDefault="001477D8" w:rsidP="001477D8">
            <w:pPr>
              <w:spacing w:after="0"/>
              <w:cnfStyle w:val="000000000000" w:firstRow="0" w:lastRow="0" w:firstColumn="0" w:lastColumn="0" w:oddVBand="0" w:evenVBand="0" w:oddHBand="0" w:evenHBand="0" w:firstRowFirstColumn="0" w:firstRowLastColumn="0" w:lastRowFirstColumn="0" w:lastRowLastColumn="0"/>
              <w:rPr>
                <w:sz w:val="20"/>
              </w:rPr>
            </w:pPr>
            <w:r>
              <w:rPr>
                <w:color w:val="auto"/>
                <w:sz w:val="20"/>
              </w:rPr>
              <w:t xml:space="preserve">(1) </w:t>
            </w:r>
            <w:r w:rsidRPr="001477D8">
              <w:rPr>
                <w:color w:val="auto"/>
                <w:sz w:val="20"/>
              </w:rPr>
              <w:t>Šobrīd</w:t>
            </w:r>
            <w:r w:rsidRPr="001477D8">
              <w:rPr>
                <w:sz w:val="20"/>
              </w:rPr>
              <w:t xml:space="preserve"> </w:t>
            </w:r>
            <w:r w:rsidRPr="001477D8">
              <w:rPr>
                <w:color w:val="auto"/>
                <w:sz w:val="20"/>
              </w:rPr>
              <w:t>tiek veikts IZM pasūtīts neatkarīgs pētījums “Optimāla vispārējās izglītības iestāžu tīkla modeļa izveide”, kura mērķis ir izveidot vispārējās izglītības iestāžu tīkla ģeotelpiskās plānošanas platformu un izstrādāt optimālo vispārējās vidējās izglītības iestāžu tīkla modeli. Pētījums tiek izstrādāts, balstoties uz datiem par skolēnu skaitu, demogrāfijas un migrācijas tendencēm un prognozēm pašvaldībā, izglītības iestāžu pieejamību, pašvaldību sociāl</w:t>
            </w:r>
            <w:r w:rsidRPr="001477D8">
              <w:rPr>
                <w:color w:val="auto"/>
                <w:sz w:val="20"/>
              </w:rPr>
              <w:softHyphen/>
              <w:t xml:space="preserve">ekonomisko situāciju, kā arī izglītības iestāžu kvalitātes rādītājiem (kvalitatīvie un kvantitatīvie kritēriji). Pētījuma starprezultāti, t.sk. ģeotelpiskās plānošanas platforma “Skolu karte” ir publicēti š.g. jūlijā, savukārt pētījuma gala ziņojums ir plānots </w:t>
            </w:r>
            <w:r w:rsidR="00346C0B">
              <w:rPr>
                <w:color w:val="auto"/>
                <w:sz w:val="20"/>
              </w:rPr>
              <w:t xml:space="preserve">š.g. </w:t>
            </w:r>
            <w:r w:rsidRPr="001477D8">
              <w:rPr>
                <w:color w:val="auto"/>
                <w:sz w:val="20"/>
              </w:rPr>
              <w:t>oktobrī. Pētījuma rezultāti tiks izmantoti turpmākajām sarunām ar pašvaldībām par vispārējās izglītības iestāžu tīkla sakārtošanu.</w:t>
            </w:r>
          </w:p>
          <w:p w14:paraId="1798A4F6" w14:textId="49E82530" w:rsidR="001477D8" w:rsidRPr="001477D8" w:rsidRDefault="00B83956" w:rsidP="00346C0B">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2017./2018.</w:t>
            </w:r>
            <w:r w:rsidR="001477D8" w:rsidRPr="001477D8">
              <w:rPr>
                <w:color w:val="auto"/>
                <w:sz w:val="20"/>
              </w:rPr>
              <w:t>mācību gada</w:t>
            </w:r>
            <w:r>
              <w:rPr>
                <w:color w:val="auto"/>
                <w:sz w:val="20"/>
              </w:rPr>
              <w:t xml:space="preserve"> ietvaros tiks turpināta 8.1.2.</w:t>
            </w:r>
            <w:r w:rsidR="001477D8" w:rsidRPr="001477D8">
              <w:rPr>
                <w:color w:val="auto"/>
                <w:sz w:val="20"/>
              </w:rPr>
              <w:t xml:space="preserve">SAM „Uzlabot vispārējās izglītības iestāžu mācību vidi” projektu īstenošana, lai sekmētu plānoto kompetenču pieejā balstītā vispārējās izglītības satura pakāpenisku ieviešanu. Paredzams, ka </w:t>
            </w:r>
            <w:r>
              <w:rPr>
                <w:color w:val="auto"/>
                <w:sz w:val="20"/>
              </w:rPr>
              <w:t>SAM</w:t>
            </w:r>
            <w:r w:rsidR="001477D8" w:rsidRPr="001477D8">
              <w:rPr>
                <w:color w:val="auto"/>
                <w:sz w:val="20"/>
              </w:rPr>
              <w:t xml:space="preserve"> projektu īstenošanas rezultātā tiks modernizētas ne mazāk kā 100 vispārējās izglītības iestādes, ar kopējo izglītojamo skaitu ne mazāku kā 47 206 izglītojamie.</w:t>
            </w:r>
          </w:p>
          <w:p w14:paraId="55FD1D46" w14:textId="4D092C0B" w:rsidR="001477D8" w:rsidRPr="001477D8" w:rsidRDefault="00B83956"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No 2017.gada 16.</w:t>
            </w:r>
            <w:r w:rsidR="001477D8" w:rsidRPr="001477D8">
              <w:rPr>
                <w:color w:val="auto"/>
                <w:sz w:val="20"/>
              </w:rPr>
              <w:t>marta Izglītības kvalitātes valsts dienests sācis īstenot ESF darbības programmas "Iz</w:t>
            </w:r>
            <w:r>
              <w:rPr>
                <w:color w:val="auto"/>
                <w:sz w:val="20"/>
              </w:rPr>
              <w:t>augsme un nodarbinātība" 8.3.4.</w:t>
            </w:r>
            <w:r w:rsidR="001477D8" w:rsidRPr="001477D8">
              <w:rPr>
                <w:color w:val="auto"/>
                <w:sz w:val="20"/>
              </w:rPr>
              <w:t>SAM "Samazināt priekšlaicīgu mācību pārtraukšanu, īstenojot preventīvus un intervences pasākumus" projektu ar mērķi samazināt bērnu un jauniešu priekšlaicīgu mācību pārtraukšanu, īstenojot preventīv</w:t>
            </w:r>
            <w:r w:rsidR="00346C0B">
              <w:rPr>
                <w:color w:val="auto"/>
                <w:sz w:val="20"/>
              </w:rPr>
              <w:t>us un intervences pasākumus 665</w:t>
            </w:r>
            <w:r w:rsidR="001477D8" w:rsidRPr="001477D8">
              <w:rPr>
                <w:color w:val="auto"/>
                <w:sz w:val="20"/>
              </w:rPr>
              <w:t xml:space="preserve"> izglītības iestādēs vispārējās izglītības iestā</w:t>
            </w:r>
            <w:r>
              <w:rPr>
                <w:color w:val="auto"/>
                <w:sz w:val="20"/>
              </w:rPr>
              <w:t>žu izglītojamiem no 5. līdz 12.</w:t>
            </w:r>
            <w:r w:rsidR="001477D8" w:rsidRPr="001477D8">
              <w:rPr>
                <w:color w:val="auto"/>
                <w:sz w:val="20"/>
              </w:rPr>
              <w:t>klasei, kā arī to profesionālās izglītības iestāžu un vispārējās izglītības iest</w:t>
            </w:r>
            <w:r>
              <w:rPr>
                <w:color w:val="auto"/>
                <w:sz w:val="20"/>
              </w:rPr>
              <w:t>āžu izglītojamiem no 1. līdz 4.</w:t>
            </w:r>
            <w:r w:rsidR="001477D8" w:rsidRPr="001477D8">
              <w:rPr>
                <w:color w:val="auto"/>
                <w:sz w:val="20"/>
              </w:rPr>
              <w:t xml:space="preserve">kursam, kuras īsteno profesionālās izglītības programmas. Plānotais kopējais attiecināmais finansējums ir 39,8 milj. </w:t>
            </w:r>
            <w:proofErr w:type="spellStart"/>
            <w:r w:rsidR="001477D8" w:rsidRPr="00B83956">
              <w:rPr>
                <w:i/>
                <w:color w:val="auto"/>
                <w:sz w:val="20"/>
              </w:rPr>
              <w:t>euro</w:t>
            </w:r>
            <w:proofErr w:type="spellEnd"/>
            <w:r w:rsidR="001477D8" w:rsidRPr="001477D8">
              <w:rPr>
                <w:color w:val="auto"/>
                <w:sz w:val="20"/>
              </w:rPr>
              <w:t xml:space="preserve">, t.sk. ESF finansējums 33,8 milj. </w:t>
            </w:r>
            <w:proofErr w:type="spellStart"/>
            <w:r w:rsidR="001477D8" w:rsidRPr="00B83956">
              <w:rPr>
                <w:i/>
                <w:color w:val="auto"/>
                <w:sz w:val="20"/>
              </w:rPr>
              <w:t>euro</w:t>
            </w:r>
            <w:proofErr w:type="spellEnd"/>
            <w:r w:rsidR="001477D8" w:rsidRPr="001477D8">
              <w:rPr>
                <w:color w:val="auto"/>
                <w:sz w:val="20"/>
              </w:rPr>
              <w:t xml:space="preserve"> un valsts budžeta finansējums ~ 6 milj. </w:t>
            </w:r>
            <w:proofErr w:type="spellStart"/>
            <w:r w:rsidR="001477D8" w:rsidRPr="00B83956">
              <w:rPr>
                <w:i/>
                <w:color w:val="auto"/>
                <w:sz w:val="20"/>
              </w:rPr>
              <w:t>euro</w:t>
            </w:r>
            <w:proofErr w:type="spellEnd"/>
            <w:r w:rsidR="001477D8" w:rsidRPr="001477D8">
              <w:rPr>
                <w:color w:val="auto"/>
                <w:sz w:val="20"/>
              </w:rPr>
              <w:t xml:space="preserve">. Projekta laikā paredzēts ieviest Latvijas vispārējā izglītībā un profesionālajā izglītībā sistēmisku atbalstu priekšlaicīgas mācību pārtraukšanas risku samazināšanai, sniedzot gan individuālu materiālu un konsultatīvu atbalstu izglītojamiem ar priekšlaicīgu mācību pārtraukšanas risku, gan veidojot atbalstošu mācību vidi, īstenojot pedagogu profesionālo pilnveidi un jauniešu iniciatīvu projektus. 2017.gada 1.pusē veikti priekšdarbi: izstrādātas vadlīnijas priekšlaicīgas mācību pamešanas risku identificēšanai un novēršanai, kā arī uzsākta sadarbības līgumu slēgšana ar pašvaldībām un valsts profesionālās izglītības iestādēm, paredzot 102 izglītības iestāžu iesaisti projektā. 2017./2018. mācību gadā paredzēti </w:t>
            </w:r>
            <w:proofErr w:type="spellStart"/>
            <w:r w:rsidR="001477D8" w:rsidRPr="001477D8">
              <w:rPr>
                <w:color w:val="auto"/>
                <w:sz w:val="20"/>
              </w:rPr>
              <w:t>ievadsemināri</w:t>
            </w:r>
            <w:proofErr w:type="spellEnd"/>
            <w:r w:rsidR="001477D8" w:rsidRPr="001477D8">
              <w:rPr>
                <w:color w:val="auto"/>
                <w:sz w:val="20"/>
              </w:rPr>
              <w:t xml:space="preserve"> izglītības iestādēs, individuālo atbalsta plānu veidošana un īstenošana, metodisko līdzekļu izstrāde, profesionālās pilnveides kursu īstenošana pedagogiem.</w:t>
            </w:r>
          </w:p>
          <w:p w14:paraId="6A58F133" w14:textId="2A45E95F" w:rsidR="001477D8" w:rsidRPr="001477D8" w:rsidRDefault="001477D8"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Projektā “Sākotnējās profesionālās izglītības programmu īstenošana Jauniešu garantijas ietvaros” jauniešiem vecumā no 17 līdz 29 gadiem (ieskaitot) ir iespēja bez maksas profesionālās izglītības programmās gada vai pusotra gada laikā iegūt darba tirgū</w:t>
            </w:r>
            <w:r w:rsidR="009D039C">
              <w:rPr>
                <w:color w:val="auto"/>
                <w:sz w:val="20"/>
              </w:rPr>
              <w:t xml:space="preserve"> pieprasītu profesiju. No 2017.gada 1.</w:t>
            </w:r>
            <w:r w:rsidRPr="001477D8">
              <w:rPr>
                <w:color w:val="auto"/>
                <w:sz w:val="20"/>
              </w:rPr>
              <w:t>septembra mācības piedāvāts uzsākt 31 profesionālās izglītības iestādē un koledžā, nodrošinot iespēju apgūt vairāk nekā 70 dažādas profesijas. Projekta īstenošana uzsākta 2014.gada 1.</w:t>
            </w:r>
            <w:r w:rsidR="009D039C">
              <w:rPr>
                <w:color w:val="auto"/>
                <w:sz w:val="20"/>
              </w:rPr>
              <w:t xml:space="preserve">jūnijā un tas </w:t>
            </w:r>
            <w:r w:rsidR="009D039C">
              <w:rPr>
                <w:color w:val="auto"/>
                <w:sz w:val="20"/>
              </w:rPr>
              <w:lastRenderedPageBreak/>
              <w:t>ilgs līdz 2018.gada 31.</w:t>
            </w:r>
            <w:r w:rsidRPr="001477D8">
              <w:rPr>
                <w:color w:val="auto"/>
                <w:sz w:val="20"/>
              </w:rPr>
              <w:t xml:space="preserve">augustam un plānots, ka tā ietvaros 6500 </w:t>
            </w:r>
            <w:r w:rsidRPr="001A1170">
              <w:rPr>
                <w:color w:val="auto"/>
                <w:sz w:val="20"/>
              </w:rPr>
              <w:t>NEET</w:t>
            </w:r>
            <w:r w:rsidR="001A1170" w:rsidRPr="001A1170">
              <w:rPr>
                <w:rStyle w:val="FootnoteReference"/>
                <w:rFonts w:ascii="Times New Roman" w:hAnsi="Times New Roman"/>
                <w:color w:val="auto"/>
              </w:rPr>
              <w:footnoteReference w:id="4"/>
            </w:r>
            <w:r w:rsidRPr="001477D8">
              <w:rPr>
                <w:color w:val="auto"/>
                <w:sz w:val="20"/>
              </w:rPr>
              <w:t xml:space="preserve"> jaunieši un 1496 nodarbinātie saņems atbalstu otrā vai trešā līmeņa profesionālās kva</w:t>
            </w:r>
            <w:r w:rsidR="009D039C">
              <w:rPr>
                <w:color w:val="auto"/>
                <w:sz w:val="20"/>
              </w:rPr>
              <w:t>lifikācijas ieguvei. Līdz 2017.</w:t>
            </w:r>
            <w:r w:rsidRPr="001477D8">
              <w:rPr>
                <w:color w:val="auto"/>
                <w:sz w:val="20"/>
              </w:rPr>
              <w:t xml:space="preserve">gada 31.augustam projekta ietvaros profesionālo kvalifikāciju jau ieguvuši 4930 jaunieši, mācības turpina 1623 izglītojamie. </w:t>
            </w:r>
          </w:p>
          <w:p w14:paraId="712A2B82" w14:textId="6943F535" w:rsidR="001477D8" w:rsidRPr="001477D8" w:rsidRDefault="009D039C"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2016.</w:t>
            </w:r>
            <w:r w:rsidR="001477D8" w:rsidRPr="001477D8">
              <w:rPr>
                <w:color w:val="auto"/>
                <w:sz w:val="20"/>
              </w:rPr>
              <w:t xml:space="preserve">gada 4.ceturksnī tika </w:t>
            </w:r>
            <w:r>
              <w:rPr>
                <w:color w:val="auto"/>
                <w:sz w:val="20"/>
              </w:rPr>
              <w:t>uzsākta ES struktūrfondu 8.3.5.</w:t>
            </w:r>
            <w:r w:rsidR="001477D8" w:rsidRPr="001477D8">
              <w:rPr>
                <w:color w:val="auto"/>
                <w:sz w:val="20"/>
              </w:rPr>
              <w:t>SAM “Uzlabot pieeju karjeras atbalstam izglītojamiem vispārējās un profesionālās izglītības iestādēs” projekta īste</w:t>
            </w:r>
            <w:r>
              <w:rPr>
                <w:color w:val="auto"/>
                <w:sz w:val="20"/>
              </w:rPr>
              <w:t>nošana. Projekta ietvaros 2017.gada 1.</w:t>
            </w:r>
            <w:r w:rsidR="001477D8" w:rsidRPr="001477D8">
              <w:rPr>
                <w:color w:val="auto"/>
                <w:sz w:val="20"/>
              </w:rPr>
              <w:t xml:space="preserve">pusē noslēgts 51 sadarbības līgums ar pašvaldībām un 1 sadarbības līgums ar </w:t>
            </w:r>
            <w:r w:rsidR="000A6041">
              <w:rPr>
                <w:color w:val="auto"/>
                <w:sz w:val="20"/>
              </w:rPr>
              <w:t>PIKC</w:t>
            </w:r>
            <w:r w:rsidR="001477D8" w:rsidRPr="001477D8">
              <w:rPr>
                <w:color w:val="auto"/>
                <w:sz w:val="20"/>
              </w:rPr>
              <w:t>, iesaistot 198 izglītības iestādes karjeras atbalsta īstenošanā.</w:t>
            </w:r>
            <w:r w:rsidR="001477D8" w:rsidRPr="001477D8">
              <w:rPr>
                <w:b/>
                <w:color w:val="auto"/>
                <w:sz w:val="20"/>
              </w:rPr>
              <w:t xml:space="preserve"> </w:t>
            </w:r>
            <w:r w:rsidR="001477D8" w:rsidRPr="001477D8">
              <w:rPr>
                <w:color w:val="auto"/>
                <w:sz w:val="20"/>
              </w:rPr>
              <w:t>Plānots, ka</w:t>
            </w:r>
            <w:r w:rsidR="001477D8" w:rsidRPr="001477D8">
              <w:rPr>
                <w:b/>
                <w:color w:val="auto"/>
                <w:sz w:val="20"/>
              </w:rPr>
              <w:t xml:space="preserve"> </w:t>
            </w:r>
            <w:r w:rsidR="001477D8" w:rsidRPr="001477D8">
              <w:rPr>
                <w:color w:val="auto"/>
                <w:sz w:val="20"/>
              </w:rPr>
              <w:t>2017.gadā kopējais izglītības iestāžu skaits, kurās pieejami karjeras izglītības pakalpojumi, sasniegs 262 izglītības iestādes. Kopējais iesaistāmo vispārējās un profesionālās izglī</w:t>
            </w:r>
            <w:r>
              <w:rPr>
                <w:color w:val="auto"/>
                <w:sz w:val="20"/>
              </w:rPr>
              <w:t>tības iestāžu skaits līdz 2023.</w:t>
            </w:r>
            <w:r w:rsidR="001477D8" w:rsidRPr="001477D8">
              <w:rPr>
                <w:color w:val="auto"/>
                <w:sz w:val="20"/>
              </w:rPr>
              <w:t xml:space="preserve">gadam – 328. </w:t>
            </w:r>
          </w:p>
          <w:p w14:paraId="79D40F56" w14:textId="7769D791" w:rsidR="001477D8" w:rsidRPr="001477D8" w:rsidRDefault="001477D8"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 xml:space="preserve">(2) Izmaiņas </w:t>
            </w:r>
            <w:r w:rsidR="009D039C">
              <w:rPr>
                <w:color w:val="auto"/>
                <w:sz w:val="20"/>
              </w:rPr>
              <w:t>mācību pieejā atbilstoši 8.3.1.</w:t>
            </w:r>
            <w:r w:rsidRPr="001477D8">
              <w:rPr>
                <w:color w:val="auto"/>
                <w:sz w:val="20"/>
              </w:rPr>
              <w:t>SAM “Attīstīt kompetenču pieejā balstītu vispārējās izglītības sa</w:t>
            </w:r>
            <w:r w:rsidR="009D039C">
              <w:rPr>
                <w:color w:val="auto"/>
                <w:sz w:val="20"/>
              </w:rPr>
              <w:t>turu” 8.3.1.1.</w:t>
            </w:r>
            <w:r w:rsidRPr="001477D8">
              <w:rPr>
                <w:color w:val="auto"/>
                <w:sz w:val="20"/>
              </w:rPr>
              <w:t xml:space="preserve">pasākuma “Kompetenču pieejā balstīta vispārējās izglītības satura aprobācija un </w:t>
            </w:r>
            <w:r w:rsidR="000A6041">
              <w:rPr>
                <w:color w:val="auto"/>
                <w:sz w:val="20"/>
              </w:rPr>
              <w:t>ieviešana” ietvaros paredzētas</w:t>
            </w:r>
            <w:r w:rsidRPr="001477D8">
              <w:rPr>
                <w:color w:val="auto"/>
                <w:sz w:val="20"/>
              </w:rPr>
              <w:t xml:space="preserve"> jauna mācību satura izstrādāšanai un ieviešanai vispārējā izglītībā no pirmssko</w:t>
            </w:r>
            <w:r w:rsidR="009D039C">
              <w:rPr>
                <w:color w:val="auto"/>
                <w:sz w:val="20"/>
              </w:rPr>
              <w:t>las vecuma (1,5 gadiem) līdz 12.</w:t>
            </w:r>
            <w:r w:rsidRPr="001477D8">
              <w:rPr>
                <w:color w:val="auto"/>
                <w:sz w:val="20"/>
              </w:rPr>
              <w:t>klasei. Projektā ir iesaistījušās 100 aprobācijas izglītības iestādes. Ir notikuši profesionālās kompetences pilnveides pasākumi aprobācijas izglītības iestāžu komandām. Uzsākta kompetenču pieejā balstīta mācību satura īstenošanai nepieciešamo mācību līdzekļu, tostarp arī digitālā formātā, izveide. 2017./2018.mācību gada ietvaros plānots aprobēt un pilnvei</w:t>
            </w:r>
            <w:r w:rsidR="009D039C">
              <w:rPr>
                <w:color w:val="auto"/>
                <w:sz w:val="20"/>
              </w:rPr>
              <w:t>dot izstrādāto saturu, no 2018.</w:t>
            </w:r>
            <w:r w:rsidRPr="001477D8">
              <w:rPr>
                <w:color w:val="auto"/>
                <w:sz w:val="20"/>
              </w:rPr>
              <w:t>gada 1.septembra paredzot kompetenču pieejā balstīta vispārējās izglītības satura pakāpenisku ieviešanu pirmsskolā un pamatizglītības 1.posmā (1.-6.klase), no 2019.gada 1.</w:t>
            </w:r>
            <w:r w:rsidR="009D039C">
              <w:rPr>
                <w:color w:val="auto"/>
                <w:sz w:val="20"/>
              </w:rPr>
              <w:t>septembra – pamatizglītības 2.</w:t>
            </w:r>
            <w:r w:rsidRPr="001477D8">
              <w:rPr>
                <w:color w:val="auto"/>
                <w:sz w:val="20"/>
              </w:rPr>
              <w:t>posmā (7.-9.klase) un vidusskolā. Tiek trupināta Datorikas mācību programmu paraugu un atbalsta ma</w:t>
            </w:r>
            <w:r w:rsidR="009D039C">
              <w:rPr>
                <w:color w:val="auto"/>
                <w:sz w:val="20"/>
              </w:rPr>
              <w:t>teriālu aprobācija 3., 6. un 9.</w:t>
            </w:r>
            <w:r w:rsidRPr="001477D8">
              <w:rPr>
                <w:color w:val="auto"/>
                <w:sz w:val="20"/>
              </w:rPr>
              <w:t xml:space="preserve">klasēs 153 izglītības iestādēs  (skatīt arī </w:t>
            </w:r>
            <w:r w:rsidR="009D039C">
              <w:rPr>
                <w:color w:val="auto"/>
                <w:sz w:val="20"/>
              </w:rPr>
              <w:t>Nacionālo reformu programmu</w:t>
            </w:r>
            <w:r w:rsidRPr="001477D8">
              <w:rPr>
                <w:color w:val="auto"/>
                <w:sz w:val="20"/>
              </w:rPr>
              <w:t>).</w:t>
            </w:r>
          </w:p>
          <w:p w14:paraId="575D52D9" w14:textId="0EB6D08E" w:rsidR="001477D8" w:rsidRPr="001477D8" w:rsidRDefault="001477D8"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2017./2</w:t>
            </w:r>
            <w:r w:rsidR="009D039C">
              <w:rPr>
                <w:color w:val="auto"/>
                <w:sz w:val="20"/>
              </w:rPr>
              <w:t>018.</w:t>
            </w:r>
            <w:r w:rsidRPr="001477D8">
              <w:rPr>
                <w:color w:val="auto"/>
                <w:sz w:val="20"/>
              </w:rPr>
              <w:t>mācību gada ietvaros tiks turpināta 2016.gadā uzsāktā ES struktūrfondu 8.3.2.</w:t>
            </w:r>
            <w:r w:rsidR="009D039C">
              <w:rPr>
                <w:color w:val="auto"/>
                <w:sz w:val="20"/>
              </w:rPr>
              <w:t>SAM</w:t>
            </w:r>
            <w:r w:rsidRPr="001477D8">
              <w:rPr>
                <w:color w:val="auto"/>
                <w:sz w:val="20"/>
              </w:rPr>
              <w:t xml:space="preserve"> „Palielināt atbalstu vispārējās izglītības iestādēm izglītojamo individuālo </w:t>
            </w:r>
            <w:r w:rsidR="009D039C">
              <w:rPr>
                <w:color w:val="auto"/>
                <w:sz w:val="20"/>
              </w:rPr>
              <w:t>kompetenču attīstībai” 8.3.2.1.</w:t>
            </w:r>
            <w:r w:rsidRPr="001477D8">
              <w:rPr>
                <w:color w:val="auto"/>
                <w:sz w:val="20"/>
              </w:rPr>
              <w:t>pasākuma „Atbalsts nacionāla un starptautiska mēroga pasākumu īstenošanai izglītojamo talantu attīstībai”</w:t>
            </w:r>
            <w:r w:rsidR="00450F24">
              <w:rPr>
                <w:color w:val="auto"/>
                <w:sz w:val="20"/>
              </w:rPr>
              <w:t xml:space="preserve"> īstenošana</w:t>
            </w:r>
            <w:r w:rsidRPr="001477D8">
              <w:rPr>
                <w:color w:val="auto"/>
                <w:sz w:val="20"/>
              </w:rPr>
              <w:t>. Vienlaikus</w:t>
            </w:r>
            <w:r w:rsidR="009D039C">
              <w:rPr>
                <w:color w:val="auto"/>
                <w:sz w:val="20"/>
              </w:rPr>
              <w:t xml:space="preserve"> 2017.gadā uzsākta arī 8.3.2.2.</w:t>
            </w:r>
            <w:r w:rsidRPr="001477D8">
              <w:rPr>
                <w:color w:val="auto"/>
                <w:sz w:val="20"/>
              </w:rPr>
              <w:t>pasākuma „Atbalsts izglītojamo individuālo kompetenču attīstībai” īstenošana.</w:t>
            </w:r>
          </w:p>
          <w:p w14:paraId="32402B5F" w14:textId="4053A6DA" w:rsidR="001477D8" w:rsidRPr="001477D8" w:rsidRDefault="001477D8"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(3) Veiktās profesionālās izglītības iestāžu tīkla sakārtošanas rezultātā IZM padotībā esošo vidējās profesionālās izglītības iestāžu skaits samazinājies no 60 iestādēm 2010.gadā līdz 22 iestādē</w:t>
            </w:r>
            <w:r w:rsidR="00D034E0">
              <w:rPr>
                <w:color w:val="auto"/>
                <w:sz w:val="20"/>
              </w:rPr>
              <w:t>m 2017.gadā (informācija uz 11.</w:t>
            </w:r>
            <w:r w:rsidRPr="001477D8">
              <w:rPr>
                <w:color w:val="auto"/>
                <w:sz w:val="20"/>
              </w:rPr>
              <w:t>09.</w:t>
            </w:r>
            <w:r w:rsidR="00D034E0">
              <w:rPr>
                <w:color w:val="auto"/>
                <w:sz w:val="20"/>
              </w:rPr>
              <w:t>2017</w:t>
            </w:r>
            <w:r w:rsidRPr="001477D8">
              <w:rPr>
                <w:color w:val="auto"/>
                <w:sz w:val="20"/>
              </w:rPr>
              <w:t xml:space="preserve">). </w:t>
            </w:r>
          </w:p>
          <w:p w14:paraId="62CC9B80" w14:textId="3E2B9E40" w:rsidR="001477D8" w:rsidRPr="001477D8" w:rsidRDefault="00D034E0"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2017.gadā ES struktūrfondu 8.1.3.</w:t>
            </w:r>
            <w:r w:rsidR="001477D8" w:rsidRPr="001477D8">
              <w:rPr>
                <w:color w:val="auto"/>
                <w:sz w:val="20"/>
              </w:rPr>
              <w:t xml:space="preserve">SAM “Palielināt modernizēto profesionālās izglītības iestāžu </w:t>
            </w:r>
            <w:r w:rsidR="00CA24A3">
              <w:rPr>
                <w:color w:val="auto"/>
                <w:sz w:val="20"/>
              </w:rPr>
              <w:t>skaitu” ietvaros</w:t>
            </w:r>
            <w:r w:rsidR="001477D8" w:rsidRPr="001477D8">
              <w:rPr>
                <w:color w:val="auto"/>
                <w:sz w:val="20"/>
              </w:rPr>
              <w:t xml:space="preserve"> 25 profesionālās izglītības iestādes plāno īstenot infrastruktūras modernizācijas projektus atbilstoši saskaņotajām izglītības iestāžu attīstības stratēģijām. 2017.gadā uzsākta 18 </w:t>
            </w:r>
            <w:r>
              <w:rPr>
                <w:color w:val="auto"/>
                <w:sz w:val="20"/>
              </w:rPr>
              <w:t>projektu īstenošana. Līdz 2017.</w:t>
            </w:r>
            <w:r w:rsidR="001477D8" w:rsidRPr="001477D8">
              <w:rPr>
                <w:color w:val="auto"/>
                <w:sz w:val="20"/>
              </w:rPr>
              <w:t xml:space="preserve">gada beigām plānots uzsākt vēl 5 projektu īstenošanu. </w:t>
            </w:r>
          </w:p>
          <w:p w14:paraId="5E765BFC" w14:textId="507EA49B" w:rsidR="001477D8" w:rsidRPr="001477D8" w:rsidRDefault="001477D8"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Lai tālāk modernizētu p</w:t>
            </w:r>
            <w:r w:rsidR="00CA24A3">
              <w:rPr>
                <w:color w:val="auto"/>
                <w:sz w:val="20"/>
              </w:rPr>
              <w:t>rofesionālās izglītības iestāžu</w:t>
            </w:r>
            <w:r w:rsidRPr="001477D8">
              <w:rPr>
                <w:color w:val="auto"/>
                <w:sz w:val="20"/>
              </w:rPr>
              <w:t xml:space="preserve"> infrastruktūru un prioritārās izglītības programmas un izvietojumu reģionos, tika veicināta </w:t>
            </w:r>
            <w:r w:rsidR="00D034E0">
              <w:rPr>
                <w:color w:val="auto"/>
                <w:sz w:val="20"/>
              </w:rPr>
              <w:t>PIKC statusa iegūšana. No 2017.gada 1.</w:t>
            </w:r>
            <w:r w:rsidRPr="001477D8">
              <w:rPr>
                <w:color w:val="auto"/>
                <w:sz w:val="20"/>
              </w:rPr>
              <w:t>septembra PIKC statuss piešķirts 23 profesionālās izglītības iestādēm, no kurām 17 profesionālās izglītības iestāžu kompetences centri ir izveidoti IZM padotībā esošajās vidējās profesionālās izglītības iestādēs.</w:t>
            </w:r>
          </w:p>
          <w:p w14:paraId="7DB3AE41" w14:textId="55168FB1" w:rsidR="001477D8" w:rsidRPr="001477D8" w:rsidRDefault="001477D8"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 xml:space="preserve">Veicinot profesionālās izglītības iestāžu aktīvāku iesaistīšanos pieaugušo izglītības īstenošanā, </w:t>
            </w:r>
            <w:r w:rsidR="00CA24A3">
              <w:rPr>
                <w:color w:val="auto"/>
                <w:sz w:val="20"/>
              </w:rPr>
              <w:t xml:space="preserve">2017.gada 29.augustā </w:t>
            </w:r>
            <w:r w:rsidRPr="001477D8">
              <w:rPr>
                <w:color w:val="auto"/>
                <w:sz w:val="20"/>
              </w:rPr>
              <w:t xml:space="preserve">MK tika atbalstīti </w:t>
            </w:r>
            <w:proofErr w:type="spellStart"/>
            <w:r w:rsidRPr="001477D8">
              <w:rPr>
                <w:color w:val="auto"/>
                <w:sz w:val="20"/>
              </w:rPr>
              <w:t>starpinstitucionālās</w:t>
            </w:r>
            <w:proofErr w:type="spellEnd"/>
            <w:r w:rsidRPr="001477D8">
              <w:rPr>
                <w:color w:val="auto"/>
                <w:sz w:val="20"/>
              </w:rPr>
              <w:t xml:space="preserve"> darba grupas izstrādātie risinājum</w:t>
            </w:r>
            <w:r w:rsidR="00D034E0">
              <w:rPr>
                <w:color w:val="auto"/>
                <w:sz w:val="20"/>
              </w:rPr>
              <w:t>i, kas paredz: 1) FM līdz 2017.gada 15.</w:t>
            </w:r>
            <w:r w:rsidRPr="001477D8">
              <w:rPr>
                <w:color w:val="auto"/>
                <w:sz w:val="20"/>
              </w:rPr>
              <w:t xml:space="preserve">septembrim </w:t>
            </w:r>
            <w:r w:rsidRPr="001477D8">
              <w:rPr>
                <w:color w:val="auto"/>
                <w:sz w:val="20"/>
              </w:rPr>
              <w:lastRenderedPageBreak/>
              <w:t>sagatavot un iesniegt izskatīšanai MK sēdē likumprojektu par grozījumiem likumā “Par budžetu un finanšu vadību”, paredzot elastīgu risinājumu procedūru vienkāršošanai valsts budžeta iestāžu pašu ieņēmumu ieplānošanai un to neizmantoto atlikumu pārnešanai uz nākamo gadu; 2) IZM sadarbībā ar Centrālo finanšu un līgumu aģentūru veikt grozījumus darbības programmas “Iz</w:t>
            </w:r>
            <w:r w:rsidR="00D034E0">
              <w:rPr>
                <w:color w:val="auto"/>
                <w:sz w:val="20"/>
              </w:rPr>
              <w:t>augsme un nodarbinātība” 8.5.3.</w:t>
            </w:r>
            <w:r w:rsidRPr="001477D8">
              <w:rPr>
                <w:color w:val="auto"/>
                <w:sz w:val="20"/>
              </w:rPr>
              <w:t>SAM “Nodrošināt profesionālās izglītības iestāžu efektīvu pārvaldību un iesaistītā personāla profesionālās kompetences pilnveidi” projektā “Profesionālās izglītības iestāžu efektīva pārvaldība un personāla kompetenc</w:t>
            </w:r>
            <w:r w:rsidR="00D034E0">
              <w:rPr>
                <w:color w:val="auto"/>
                <w:sz w:val="20"/>
              </w:rPr>
              <w:t>es pilnveide”</w:t>
            </w:r>
            <w:r w:rsidRPr="001477D8">
              <w:rPr>
                <w:color w:val="auto"/>
                <w:sz w:val="20"/>
              </w:rPr>
              <w:t xml:space="preserve">, paredzot projekta ietvaros izstrādāt metodiku profesionālās izglītības iestādēm maksas pakalpojumu izcenojumu noteikšanai un atbilstoši projektā paredzētajam īstenot profesionālās izglītības iestāžu personāla mācības par šādas metodikas izmantošanu profesionālās izglītības iestāžu maksas pakalpojumu cenrāžu </w:t>
            </w:r>
            <w:r w:rsidR="00D034E0">
              <w:rPr>
                <w:color w:val="auto"/>
                <w:sz w:val="20"/>
              </w:rPr>
              <w:t>sagatavošanā; 3) IZM līdz 2018.gada 31.</w:t>
            </w:r>
            <w:r w:rsidRPr="001477D8">
              <w:rPr>
                <w:color w:val="auto"/>
                <w:sz w:val="20"/>
              </w:rPr>
              <w:t>augustam iesniegt izskatīšanai MK informatīvo ziņojumu par snieguma finansējuma ieviešanas iespējām un nosacījumiem valsts profesionālās izglītības iestādēs.</w:t>
            </w:r>
          </w:p>
          <w:p w14:paraId="71310067" w14:textId="39DF988B" w:rsidR="001477D8" w:rsidRPr="001477D8" w:rsidRDefault="00AB7730"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Vienlaikus 8.5.3.</w:t>
            </w:r>
            <w:r w:rsidR="001477D8" w:rsidRPr="001477D8">
              <w:rPr>
                <w:color w:val="auto"/>
                <w:sz w:val="20"/>
              </w:rPr>
              <w:t>SAM projekta ietvaros ir uzsākta pedagogu profesionālās kompetences pilnveide darbam ar pieaugušajiem izglītojamajiem.</w:t>
            </w:r>
            <w:r w:rsidR="00CA24A3">
              <w:rPr>
                <w:color w:val="auto"/>
                <w:sz w:val="20"/>
              </w:rPr>
              <w:t xml:space="preserve"> 2017.gada 22.augustā tika</w:t>
            </w:r>
            <w:r w:rsidR="001477D8" w:rsidRPr="001477D8">
              <w:rPr>
                <w:color w:val="auto"/>
                <w:sz w:val="20"/>
              </w:rPr>
              <w:t xml:space="preserve"> noorganizēts seminārs par </w:t>
            </w:r>
            <w:r w:rsidR="00CA24A3">
              <w:rPr>
                <w:color w:val="auto"/>
                <w:sz w:val="20"/>
              </w:rPr>
              <w:t>PIKC</w:t>
            </w:r>
            <w:r w:rsidR="001477D8" w:rsidRPr="001477D8">
              <w:rPr>
                <w:color w:val="auto"/>
                <w:sz w:val="20"/>
              </w:rPr>
              <w:t xml:space="preserve"> iesaistes veicināšanu pieaugušo izglītības piedāvājuma veicināšanai un sadarbības stiprināšanai ar darba devējiem.</w:t>
            </w:r>
          </w:p>
          <w:p w14:paraId="7FE954F1" w14:textId="4C634518" w:rsidR="001477D8" w:rsidRPr="001477D8" w:rsidRDefault="00AB7730" w:rsidP="001477D8">
            <w:pPr>
              <w:spacing w:after="0"/>
              <w:cnfStyle w:val="000000000000" w:firstRow="0" w:lastRow="0" w:firstColumn="0" w:lastColumn="0" w:oddVBand="0" w:evenVBand="0" w:oddHBand="0" w:evenHBand="0" w:firstRowFirstColumn="0" w:firstRowLastColumn="0" w:lastRowFirstColumn="0" w:lastRowLastColumn="0"/>
              <w:rPr>
                <w:iCs/>
                <w:color w:val="auto"/>
                <w:sz w:val="20"/>
              </w:rPr>
            </w:pPr>
            <w:r>
              <w:rPr>
                <w:iCs/>
                <w:color w:val="auto"/>
                <w:sz w:val="20"/>
              </w:rPr>
              <w:t>2017.gada 27.</w:t>
            </w:r>
            <w:r w:rsidR="001477D8" w:rsidRPr="001477D8">
              <w:rPr>
                <w:iCs/>
                <w:color w:val="auto"/>
                <w:sz w:val="20"/>
              </w:rPr>
              <w:t>janvārī uzsākts p</w:t>
            </w:r>
            <w:r>
              <w:rPr>
                <w:iCs/>
                <w:color w:val="auto"/>
                <w:sz w:val="20"/>
              </w:rPr>
              <w:t>rojekts ES struktūrfondu 8.5.1.</w:t>
            </w:r>
            <w:r w:rsidR="001477D8" w:rsidRPr="001477D8">
              <w:rPr>
                <w:iCs/>
                <w:color w:val="auto"/>
                <w:sz w:val="20"/>
              </w:rPr>
              <w:t>SAM “</w:t>
            </w:r>
            <w:r w:rsidR="001477D8" w:rsidRPr="001477D8">
              <w:rPr>
                <w:color w:val="auto"/>
                <w:sz w:val="20"/>
              </w:rPr>
              <w:t>Palielināt kvalificētu profesionālās izglītības iestāžu audzēkņu skaitu pēc to dalības darba vidē balstītās mācībās vai mācību praksē uzņēmumā" ietvaros, lai palielinātu kvalificētu izglītības iestāžu izglītojamo skaitu pēc to dalības darba vidē balstītās mācībās vai darba devēja vadītās praktiskās mācībās un mācību praksēs.</w:t>
            </w:r>
            <w:r w:rsidR="001477D8" w:rsidRPr="001477D8">
              <w:rPr>
                <w:iCs/>
                <w:color w:val="auto"/>
                <w:sz w:val="20"/>
              </w:rPr>
              <w:t xml:space="preserve"> Projekt</w:t>
            </w:r>
            <w:r>
              <w:rPr>
                <w:iCs/>
                <w:color w:val="auto"/>
                <w:sz w:val="20"/>
              </w:rPr>
              <w:t>a īstenošana plānota līdz 2023.gada 31.</w:t>
            </w:r>
            <w:r w:rsidR="001477D8" w:rsidRPr="001477D8">
              <w:rPr>
                <w:iCs/>
                <w:color w:val="auto"/>
                <w:sz w:val="20"/>
              </w:rPr>
              <w:t xml:space="preserve">augustam. Projekta mērķa sasniegšanai plānotais attiecināmais finansējums ir 20,57 milj. </w:t>
            </w:r>
            <w:proofErr w:type="spellStart"/>
            <w:r w:rsidR="001477D8" w:rsidRPr="00AB7730">
              <w:rPr>
                <w:i/>
                <w:iCs/>
                <w:color w:val="auto"/>
                <w:sz w:val="20"/>
              </w:rPr>
              <w:t>euro</w:t>
            </w:r>
            <w:proofErr w:type="spellEnd"/>
            <w:r w:rsidR="001477D8" w:rsidRPr="001477D8">
              <w:rPr>
                <w:iCs/>
                <w:color w:val="auto"/>
                <w:sz w:val="20"/>
              </w:rPr>
              <w:t xml:space="preserve">, t.sk. ESF finansējums 17,49 milj. </w:t>
            </w:r>
            <w:proofErr w:type="spellStart"/>
            <w:r w:rsidR="001477D8" w:rsidRPr="00AB7730">
              <w:rPr>
                <w:i/>
                <w:iCs/>
                <w:color w:val="auto"/>
                <w:sz w:val="20"/>
              </w:rPr>
              <w:t>euro</w:t>
            </w:r>
            <w:proofErr w:type="spellEnd"/>
            <w:r w:rsidR="001477D8" w:rsidRPr="001477D8">
              <w:rPr>
                <w:iCs/>
                <w:color w:val="auto"/>
                <w:sz w:val="20"/>
              </w:rPr>
              <w:t xml:space="preserve"> un valsts budžeta līdzfinansējums – 3,08 milj. </w:t>
            </w:r>
            <w:proofErr w:type="spellStart"/>
            <w:r w:rsidR="001477D8" w:rsidRPr="00AB7730">
              <w:rPr>
                <w:i/>
                <w:iCs/>
                <w:color w:val="auto"/>
                <w:sz w:val="20"/>
              </w:rPr>
              <w:t>euro</w:t>
            </w:r>
            <w:proofErr w:type="spellEnd"/>
            <w:r w:rsidR="001477D8" w:rsidRPr="001477D8">
              <w:rPr>
                <w:iCs/>
                <w:color w:val="auto"/>
                <w:sz w:val="20"/>
              </w:rPr>
              <w:t>. Projekta ietvaros ir paredzēts: 1) darba vidē balstītās mācībās vai māceklībā iesaistīt – 3 150 au</w:t>
            </w:r>
            <w:r>
              <w:rPr>
                <w:iCs/>
                <w:color w:val="auto"/>
                <w:sz w:val="20"/>
              </w:rPr>
              <w:t>dzēkņus, t.sk. 1 260 līdz 2018.gada 31.</w:t>
            </w:r>
            <w:r w:rsidR="001477D8" w:rsidRPr="001477D8">
              <w:rPr>
                <w:iCs/>
                <w:color w:val="auto"/>
                <w:sz w:val="20"/>
              </w:rPr>
              <w:t>decembrim</w:t>
            </w:r>
            <w:r w:rsidR="001477D8" w:rsidRPr="001477D8">
              <w:rPr>
                <w:color w:val="auto"/>
                <w:sz w:val="20"/>
              </w:rPr>
              <w:t>;</w:t>
            </w:r>
            <w:r w:rsidR="001477D8" w:rsidRPr="001477D8">
              <w:rPr>
                <w:iCs/>
                <w:color w:val="auto"/>
                <w:sz w:val="20"/>
              </w:rPr>
              <w:t xml:space="preserve"> </w:t>
            </w:r>
            <w:r w:rsidR="001477D8" w:rsidRPr="001477D8">
              <w:rPr>
                <w:color w:val="auto"/>
                <w:sz w:val="20"/>
              </w:rPr>
              <w:t>2) mācību praksē uzņēmumā – 11 025 audzēkņus. Projektu īsteno Latvijas Darba devēju konfederācija sadarbībā uzņēmumiem un izglītības iestādēm, kuras īsteno profesionālās vidējās izglītības programmas, kas dod iespēju iegūt trešā līmeņa profesionālo kvalifikāciju, un arodizglītības programmas, kas dod iespēju iegūt otrā līmeņa profesionālo kvalifikāciju.</w:t>
            </w:r>
          </w:p>
          <w:p w14:paraId="356CA68D" w14:textId="29FD8DE1" w:rsidR="001477D8" w:rsidRPr="001477D8" w:rsidRDefault="00AB7730"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Uz 2017.</w:t>
            </w:r>
            <w:r w:rsidR="001477D8" w:rsidRPr="001477D8">
              <w:rPr>
                <w:color w:val="auto"/>
                <w:sz w:val="20"/>
              </w:rPr>
              <w:t>gada 30.augustu noslēgti 29 sadarbības līgumi ar izglītības iestādēm un 312 uzņēmumiem. Projekts plāno sākot ar 2017.gada septembri ik mēnesi darba vidē balstītās mācībās iesaistīt 70 un mācību praksēs 180 jaunus audzēkņus.</w:t>
            </w:r>
          </w:p>
          <w:p w14:paraId="243E3296" w14:textId="77777777" w:rsidR="001477D8" w:rsidRPr="001477D8" w:rsidRDefault="001477D8" w:rsidP="001477D8">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1477D8">
              <w:rPr>
                <w:color w:val="auto"/>
                <w:sz w:val="20"/>
              </w:rPr>
              <w:t>(4) skatīt tabulā “6.a Valstu specifiskās rekomendācijas” sniegto informāciju.</w:t>
            </w:r>
          </w:p>
          <w:p w14:paraId="6EB32CE5" w14:textId="7E31EF61" w:rsidR="006B28DB" w:rsidRPr="001477D8" w:rsidRDefault="001477D8" w:rsidP="00AB7730">
            <w:pPr>
              <w:spacing w:after="0"/>
              <w:cnfStyle w:val="000000000000" w:firstRow="0" w:lastRow="0" w:firstColumn="0" w:lastColumn="0" w:oddVBand="0" w:evenVBand="0" w:oddHBand="0" w:evenHBand="0" w:firstRowFirstColumn="0" w:firstRowLastColumn="0" w:lastRowFirstColumn="0" w:lastRowLastColumn="0"/>
              <w:rPr>
                <w:color w:val="auto"/>
                <w:sz w:val="20"/>
                <w:lang w:eastAsia="lv-LV"/>
              </w:rPr>
            </w:pPr>
            <w:r w:rsidRPr="001477D8">
              <w:rPr>
                <w:color w:val="auto"/>
                <w:sz w:val="20"/>
              </w:rPr>
              <w:t xml:space="preserve">(5) skatīt </w:t>
            </w:r>
            <w:r w:rsidR="00AB7730">
              <w:rPr>
                <w:color w:val="auto"/>
                <w:sz w:val="20"/>
              </w:rPr>
              <w:t>Nacionālo reformu programmu</w:t>
            </w:r>
            <w:r w:rsidRPr="001477D8">
              <w:rPr>
                <w:color w:val="auto"/>
                <w:sz w:val="20"/>
              </w:rPr>
              <w:t>.</w:t>
            </w:r>
            <w:r w:rsidRPr="001477D8">
              <w:rPr>
                <w:color w:val="auto"/>
                <w:sz w:val="20"/>
                <w:lang w:eastAsia="lv-LV"/>
              </w:rPr>
              <w:t xml:space="preserve"> </w:t>
            </w:r>
          </w:p>
        </w:tc>
      </w:tr>
      <w:tr w:rsidR="006B28DB" w:rsidRPr="00527336" w14:paraId="1E6D9C88" w14:textId="77777777" w:rsidTr="00C34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4C72CAF" w14:textId="77777777" w:rsidR="006B28DB" w:rsidRPr="00527336" w:rsidRDefault="006B28DB" w:rsidP="006B28DB">
            <w:pPr>
              <w:ind w:firstLine="0"/>
              <w:rPr>
                <w:b w:val="0"/>
                <w:color w:val="auto"/>
                <w:sz w:val="20"/>
              </w:rPr>
            </w:pPr>
            <w:r w:rsidRPr="00527336">
              <w:rPr>
                <w:color w:val="auto"/>
                <w:sz w:val="20"/>
              </w:rPr>
              <w:lastRenderedPageBreak/>
              <w:t>Nacionālais augstākās izglītības mērķis (34-36%)</w:t>
            </w:r>
          </w:p>
        </w:tc>
        <w:tc>
          <w:tcPr>
            <w:tcW w:w="3260" w:type="dxa"/>
          </w:tcPr>
          <w:p w14:paraId="3AC27AE8" w14:textId="77777777" w:rsidR="006B28DB" w:rsidRPr="006B28DB" w:rsidRDefault="006B28DB" w:rsidP="00222993">
            <w:pPr>
              <w:pStyle w:val="ListParagraph"/>
              <w:numPr>
                <w:ilvl w:val="0"/>
                <w:numId w:val="5"/>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Augstākās izglītības modernizācija – jauna augstākās izglītības finansēšanas modeļa ieviešana;</w:t>
            </w:r>
          </w:p>
          <w:p w14:paraId="51F1E987" w14:textId="77777777" w:rsidR="006B28DB" w:rsidRPr="006B28DB" w:rsidRDefault="006B28DB" w:rsidP="00222993">
            <w:pPr>
              <w:pStyle w:val="ListParagraph"/>
              <w:numPr>
                <w:ilvl w:val="0"/>
                <w:numId w:val="5"/>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Augstākās izglītības institūciju materiāli tehniskās bāzes modernizēšana un resursu izmantošanas efektivitātes paaugstināšana;</w:t>
            </w:r>
          </w:p>
          <w:p w14:paraId="4898B250" w14:textId="77777777" w:rsidR="006B28DB" w:rsidRPr="006B28DB" w:rsidRDefault="006B28DB" w:rsidP="00222993">
            <w:pPr>
              <w:pStyle w:val="ListParagraph"/>
              <w:numPr>
                <w:ilvl w:val="0"/>
                <w:numId w:val="5"/>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Augstākās izglītības vienlīdzīgas pieejamības nodrošināšana;</w:t>
            </w:r>
          </w:p>
          <w:p w14:paraId="24FD91D6" w14:textId="77777777" w:rsidR="006B28DB" w:rsidRPr="006B28DB" w:rsidRDefault="006B28DB" w:rsidP="00222993">
            <w:pPr>
              <w:pStyle w:val="ListParagraph"/>
              <w:numPr>
                <w:ilvl w:val="0"/>
                <w:numId w:val="5"/>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lastRenderedPageBreak/>
              <w:t>Nacionālās kvalitātes nodrošināšanas institūcijas izveide;</w:t>
            </w:r>
          </w:p>
          <w:p w14:paraId="2ED0925D" w14:textId="77777777" w:rsidR="006B28DB" w:rsidRPr="006B28DB" w:rsidRDefault="006B28DB" w:rsidP="00222993">
            <w:pPr>
              <w:pStyle w:val="ListParagraph"/>
              <w:numPr>
                <w:ilvl w:val="0"/>
                <w:numId w:val="5"/>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Studiju programmu fragmentācijas mazināšanās, resursu koplietošana;</w:t>
            </w:r>
          </w:p>
          <w:p w14:paraId="23381F12" w14:textId="128BC88A" w:rsidR="006B28DB" w:rsidRPr="006B28DB" w:rsidRDefault="006B28DB" w:rsidP="00222993">
            <w:pPr>
              <w:pStyle w:val="ListParagraph"/>
              <w:numPr>
                <w:ilvl w:val="0"/>
                <w:numId w:val="5"/>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6B28DB">
              <w:rPr>
                <w:rFonts w:ascii="Times New Roman" w:hAnsi="Times New Roman"/>
                <w:color w:val="auto"/>
                <w:sz w:val="20"/>
                <w:szCs w:val="22"/>
              </w:rPr>
              <w:t>Ārvalstu studentu piesaistīšana.</w:t>
            </w:r>
          </w:p>
        </w:tc>
        <w:tc>
          <w:tcPr>
            <w:tcW w:w="10064" w:type="dxa"/>
          </w:tcPr>
          <w:p w14:paraId="40407B7C" w14:textId="288F0371" w:rsidR="001477D8" w:rsidRPr="001477D8" w:rsidRDefault="001477D8" w:rsidP="001477D8">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1477D8">
              <w:rPr>
                <w:color w:val="auto"/>
                <w:sz w:val="20"/>
              </w:rPr>
              <w:lastRenderedPageBreak/>
              <w:t xml:space="preserve">Augstākās izglītības jomā ir veiktas būtiskas reformas, ieviešot politikas nostādnēm atbilstošus finansējuma piešķiršanas principus jaunajā augstākās izglītības finansēšanas modelī. </w:t>
            </w:r>
          </w:p>
          <w:p w14:paraId="04CE0AA2" w14:textId="2364801A" w:rsidR="001477D8" w:rsidRPr="001477D8" w:rsidRDefault="001477D8" w:rsidP="001477D8">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1477D8">
              <w:rPr>
                <w:color w:val="auto"/>
                <w:sz w:val="20"/>
              </w:rPr>
              <w:t>(1) Sniedzot ieguldījumu augstākās izglītības modernizācijā un īstenojot jaunu augstākās izglītības finansēšanas modeli, budžeta apakšprogrammas 03.01.00 “Augstskolas” un 03.11.00 “Koledžas” finansē jaunā finansēšanas modeļa I pīlāru – studiju vietu finansējumu. Budžeta apakšprogramma 03.03.00 “Zinātniskās darbības attīstība augstskolās un koledžās” finansē II pīlāru, stimulējot pētniecību kā kvalitatīvās augstākās izglītības pamatu, akadēmiskā un zinātniskā personāla ataudzi un finansējuma piesaisti no komersantiem, starptautiskiem projektiem un citiem avotiem. III pīlārs ir uz inovāciju orientēts  finansējums, kas veicina iestāžu specializāciju un profilu attīstību, tiek īstenots ar ES struktūrfondu finansējumu (piemēram, ir uzs</w:t>
            </w:r>
            <w:r w:rsidR="00974C52">
              <w:rPr>
                <w:color w:val="auto"/>
                <w:sz w:val="20"/>
              </w:rPr>
              <w:t>ākts īstenot 8.1.1. un 1.1.1.4.</w:t>
            </w:r>
            <w:r w:rsidRPr="001477D8">
              <w:rPr>
                <w:color w:val="auto"/>
                <w:sz w:val="20"/>
              </w:rPr>
              <w:t xml:space="preserve">pasākumus). </w:t>
            </w:r>
          </w:p>
          <w:p w14:paraId="6F7AA05F" w14:textId="7541D033" w:rsidR="001477D8" w:rsidRPr="001477D8" w:rsidRDefault="001477D8" w:rsidP="001477D8">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1477D8">
              <w:rPr>
                <w:color w:val="auto"/>
                <w:sz w:val="20"/>
              </w:rPr>
              <w:t xml:space="preserve">(2) Uzsākta 8.1.4.SAM “Uzlabot pirmā līmeņa profesionālās augstākās izglītības STEM, t.sk. medicīnas un radošās industrijas, studiju mācību vidi koledžās” projektu īstenošana koledžās. Tāpat arī uzsākta 8.1.1.SAM “Palielināt modernizēto </w:t>
            </w:r>
            <w:r w:rsidRPr="001477D8">
              <w:rPr>
                <w:color w:val="auto"/>
                <w:sz w:val="20"/>
              </w:rPr>
              <w:lastRenderedPageBreak/>
              <w:t>STEM, t.sk. medicīnas un radošās industrijas, studiju programmu skaitu” augstākās izglītības institūciju projektu iesniegumu vērtēšana.</w:t>
            </w:r>
          </w:p>
          <w:p w14:paraId="4E674D34" w14:textId="41B2692D" w:rsidR="001477D8" w:rsidRPr="001477D8" w:rsidRDefault="00974C52" w:rsidP="001477D8">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2017.gada 5.</w:t>
            </w:r>
            <w:r w:rsidR="001477D8" w:rsidRPr="001477D8">
              <w:rPr>
                <w:color w:val="auto"/>
                <w:sz w:val="20"/>
              </w:rPr>
              <w:t>septembrī tika pieņemti IZM sagatavoti</w:t>
            </w:r>
            <w:r>
              <w:rPr>
                <w:color w:val="auto"/>
                <w:sz w:val="20"/>
              </w:rPr>
              <w:t xml:space="preserve">e grozījumi 2007.gada 27.marta </w:t>
            </w:r>
            <w:r w:rsidR="00760693">
              <w:rPr>
                <w:color w:val="auto"/>
                <w:sz w:val="20"/>
              </w:rPr>
              <w:t xml:space="preserve">MK </w:t>
            </w:r>
            <w:r>
              <w:rPr>
                <w:color w:val="auto"/>
                <w:sz w:val="20"/>
              </w:rPr>
              <w:t>noteikumos Nr.</w:t>
            </w:r>
            <w:r w:rsidR="001477D8" w:rsidRPr="001477D8">
              <w:rPr>
                <w:color w:val="auto"/>
                <w:sz w:val="20"/>
              </w:rPr>
              <w:t>203 "Studējošā personas lietas noformēšanas un aktua</w:t>
            </w:r>
            <w:r>
              <w:rPr>
                <w:color w:val="auto"/>
                <w:sz w:val="20"/>
              </w:rPr>
              <w:t xml:space="preserve">lizēšanas kārtība"" un  2010.gada 17.augusta </w:t>
            </w:r>
            <w:r w:rsidR="00760693">
              <w:rPr>
                <w:color w:val="auto"/>
                <w:sz w:val="20"/>
              </w:rPr>
              <w:t xml:space="preserve">MK </w:t>
            </w:r>
            <w:r>
              <w:rPr>
                <w:color w:val="auto"/>
                <w:sz w:val="20"/>
              </w:rPr>
              <w:t>noteikumos Nr.</w:t>
            </w:r>
            <w:r w:rsidR="001477D8" w:rsidRPr="001477D8">
              <w:rPr>
                <w:color w:val="auto"/>
                <w:sz w:val="20"/>
              </w:rPr>
              <w:t xml:space="preserve">788 "Valsts izglītības informācijas sistēmas saturs, uzturēšanas un aktualizācijas kārtība", kas ievieš Studējošo un absolventu reģistru. Studējošo un absolventu reģistrs būs saistīts ar </w:t>
            </w:r>
            <w:r w:rsidR="00760693">
              <w:rPr>
                <w:color w:val="auto"/>
                <w:sz w:val="20"/>
              </w:rPr>
              <w:t>VID</w:t>
            </w:r>
            <w:r w:rsidR="001477D8" w:rsidRPr="001477D8">
              <w:rPr>
                <w:color w:val="auto"/>
                <w:sz w:val="20"/>
              </w:rPr>
              <w:t xml:space="preserve"> un Nodarbinātības valsts aģentūras datiem, lai topošie studenti pirms augstskolas un studiju programmas izvēles varētu mērķtiecīgi novērtēt, kādas ir iespējas strādāt izvēlētajā profesijā un kāds ir vidējais atalgojums pēc augstskolas absolvēšanas. Augstskolas pi</w:t>
            </w:r>
            <w:r>
              <w:rPr>
                <w:color w:val="auto"/>
                <w:sz w:val="20"/>
              </w:rPr>
              <w:t>rmoreiz datus sniegs līdz 2017.gada 31.</w:t>
            </w:r>
            <w:r w:rsidR="001477D8" w:rsidRPr="001477D8">
              <w:rPr>
                <w:color w:val="auto"/>
                <w:sz w:val="20"/>
              </w:rPr>
              <w:t>decembrim. Studējošo un absolventu reģistrs ļaus nodrošināt objektīvu un ticamu informāciju visām Latvijas augstākās izglītības procesā iesaistītajām pusēm - gan studējošajiem un augstskolām, gan politikas veidotājiem, nodokļu maksātājiem un sabiedrībai kopumā.</w:t>
            </w:r>
          </w:p>
          <w:p w14:paraId="6C09A4EC" w14:textId="207879C0" w:rsidR="001477D8" w:rsidRPr="001477D8" w:rsidRDefault="001477D8" w:rsidP="001477D8">
            <w:pPr>
              <w:spacing w:after="0"/>
              <w:cnfStyle w:val="000000100000" w:firstRow="0" w:lastRow="0" w:firstColumn="0" w:lastColumn="0" w:oddVBand="0" w:evenVBand="0" w:oddHBand="1" w:evenHBand="0" w:firstRowFirstColumn="0" w:firstRowLastColumn="0" w:lastRowFirstColumn="0" w:lastRowLastColumn="0"/>
              <w:rPr>
                <w:strike/>
                <w:color w:val="auto"/>
                <w:sz w:val="20"/>
              </w:rPr>
            </w:pPr>
            <w:r w:rsidRPr="001477D8">
              <w:rPr>
                <w:color w:val="auto"/>
                <w:sz w:val="20"/>
              </w:rPr>
              <w:t>(3) Tiek turpināts īstenot studējošo un studiju kreditēšanu no kredītiestāžu līdzekļiem ar valsts vārdā sniegtu galvojumu</w:t>
            </w:r>
            <w:r w:rsidR="00974C52">
              <w:rPr>
                <w:color w:val="auto"/>
                <w:sz w:val="20"/>
              </w:rPr>
              <w:t xml:space="preserve"> atbilstoši pieprasījumam. 2017.</w:t>
            </w:r>
            <w:r w:rsidRPr="001477D8">
              <w:rPr>
                <w:color w:val="auto"/>
                <w:sz w:val="20"/>
              </w:rPr>
              <w:t xml:space="preserve">gada 12.septembrī MK ir </w:t>
            </w:r>
            <w:r w:rsidR="00974C52">
              <w:rPr>
                <w:color w:val="auto"/>
                <w:sz w:val="20"/>
              </w:rPr>
              <w:t xml:space="preserve">atbalstījis grozījumus 2001.gada 29.maija </w:t>
            </w:r>
            <w:r w:rsidR="00760693">
              <w:rPr>
                <w:color w:val="auto"/>
                <w:sz w:val="20"/>
              </w:rPr>
              <w:t xml:space="preserve">MK </w:t>
            </w:r>
            <w:r w:rsidR="00974C52">
              <w:rPr>
                <w:color w:val="auto"/>
                <w:sz w:val="20"/>
              </w:rPr>
              <w:t>noteikumos Nr.</w:t>
            </w:r>
            <w:r w:rsidRPr="001477D8">
              <w:rPr>
                <w:color w:val="auto"/>
                <w:sz w:val="20"/>
              </w:rPr>
              <w:t xml:space="preserve">220  “Kārtība, kādā tiek piešķirts, atmaksāts un dzēsts studiju kredīts un studējošā kredīts no kredītiestādes līdzekļiem ar valsts vārdā sniegtu galvojumu”, ar kuru tiek palielināts maksimālais studiju un studējošā kredīta apmērs. </w:t>
            </w:r>
          </w:p>
          <w:p w14:paraId="4908D431" w14:textId="46D8CB1C" w:rsidR="001477D8" w:rsidRPr="001477D8" w:rsidRDefault="001477D8" w:rsidP="001477D8">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1477D8">
              <w:rPr>
                <w:color w:val="auto"/>
                <w:sz w:val="20"/>
              </w:rPr>
              <w:t>(4) Akadēmiskās informācijas centrs turpina strādāt pie ESF projekta “Atbalsts EQAR Aģentūrai izvirzīto prasību izpildei” īstenošanas. Projekta mērķis ir nodrošināt atbalstu Eiropas augstākās izglītības kvalitātes nodrošināšanas reģistra (</w:t>
            </w:r>
            <w:proofErr w:type="spellStart"/>
            <w:r w:rsidRPr="001477D8">
              <w:rPr>
                <w:i/>
                <w:color w:val="auto"/>
                <w:sz w:val="20"/>
              </w:rPr>
              <w:t>European</w:t>
            </w:r>
            <w:proofErr w:type="spellEnd"/>
            <w:r w:rsidRPr="001477D8">
              <w:rPr>
                <w:i/>
                <w:color w:val="auto"/>
                <w:sz w:val="20"/>
              </w:rPr>
              <w:t xml:space="preserve"> </w:t>
            </w:r>
            <w:proofErr w:type="spellStart"/>
            <w:r w:rsidRPr="001477D8">
              <w:rPr>
                <w:i/>
                <w:color w:val="auto"/>
                <w:sz w:val="20"/>
              </w:rPr>
              <w:t>Quality</w:t>
            </w:r>
            <w:proofErr w:type="spellEnd"/>
            <w:r w:rsidRPr="001477D8">
              <w:rPr>
                <w:i/>
                <w:color w:val="auto"/>
                <w:sz w:val="20"/>
              </w:rPr>
              <w:t xml:space="preserve"> </w:t>
            </w:r>
            <w:proofErr w:type="spellStart"/>
            <w:r w:rsidRPr="001477D8">
              <w:rPr>
                <w:i/>
                <w:color w:val="auto"/>
                <w:sz w:val="20"/>
              </w:rPr>
              <w:t>Assurance</w:t>
            </w:r>
            <w:proofErr w:type="spellEnd"/>
            <w:r w:rsidRPr="001477D8">
              <w:rPr>
                <w:i/>
                <w:color w:val="auto"/>
                <w:sz w:val="20"/>
              </w:rPr>
              <w:t xml:space="preserve"> </w:t>
            </w:r>
            <w:proofErr w:type="spellStart"/>
            <w:r w:rsidRPr="001477D8">
              <w:rPr>
                <w:i/>
                <w:color w:val="auto"/>
                <w:sz w:val="20"/>
              </w:rPr>
              <w:t>Register</w:t>
            </w:r>
            <w:proofErr w:type="spellEnd"/>
            <w:r w:rsidRPr="001477D8">
              <w:rPr>
                <w:i/>
                <w:color w:val="auto"/>
                <w:sz w:val="20"/>
              </w:rPr>
              <w:t xml:space="preserve"> </w:t>
            </w:r>
            <w:proofErr w:type="spellStart"/>
            <w:r w:rsidRPr="001477D8">
              <w:rPr>
                <w:i/>
                <w:color w:val="auto"/>
                <w:sz w:val="20"/>
              </w:rPr>
              <w:t>for</w:t>
            </w:r>
            <w:proofErr w:type="spellEnd"/>
            <w:r w:rsidRPr="001477D8">
              <w:rPr>
                <w:i/>
                <w:color w:val="auto"/>
                <w:sz w:val="20"/>
              </w:rPr>
              <w:t xml:space="preserve"> </w:t>
            </w:r>
            <w:proofErr w:type="spellStart"/>
            <w:r w:rsidRPr="001477D8">
              <w:rPr>
                <w:i/>
                <w:color w:val="auto"/>
                <w:sz w:val="20"/>
              </w:rPr>
              <w:t>Higher</w:t>
            </w:r>
            <w:proofErr w:type="spellEnd"/>
            <w:r w:rsidRPr="001477D8">
              <w:rPr>
                <w:i/>
                <w:color w:val="auto"/>
                <w:sz w:val="20"/>
              </w:rPr>
              <w:t xml:space="preserve"> </w:t>
            </w:r>
            <w:proofErr w:type="spellStart"/>
            <w:r w:rsidRPr="001477D8">
              <w:rPr>
                <w:i/>
                <w:color w:val="auto"/>
                <w:sz w:val="20"/>
              </w:rPr>
              <w:t>Education</w:t>
            </w:r>
            <w:proofErr w:type="spellEnd"/>
            <w:r w:rsidRPr="001477D8">
              <w:rPr>
                <w:i/>
                <w:color w:val="auto"/>
                <w:sz w:val="20"/>
              </w:rPr>
              <w:t xml:space="preserve"> – EQAR</w:t>
            </w:r>
            <w:r w:rsidRPr="001477D8">
              <w:rPr>
                <w:color w:val="auto"/>
                <w:sz w:val="20"/>
              </w:rPr>
              <w:t>) Aģentūrai izvirzīto prasību izpildei, t.sk. Aģentūras darbības kvalitātes paaugstināšanai un k</w:t>
            </w:r>
            <w:r w:rsidR="00974C52">
              <w:rPr>
                <w:color w:val="auto"/>
                <w:sz w:val="20"/>
              </w:rPr>
              <w:t>apacitātes stiprināšanai. 2017.</w:t>
            </w:r>
            <w:r w:rsidRPr="001477D8">
              <w:rPr>
                <w:color w:val="auto"/>
                <w:sz w:val="20"/>
              </w:rPr>
              <w:t>gadā i</w:t>
            </w:r>
            <w:r w:rsidR="00346C0B">
              <w:rPr>
                <w:color w:val="auto"/>
                <w:sz w:val="20"/>
              </w:rPr>
              <w:t xml:space="preserve">r noslēgusies </w:t>
            </w:r>
            <w:proofErr w:type="spellStart"/>
            <w:r w:rsidR="00346C0B">
              <w:rPr>
                <w:color w:val="auto"/>
                <w:sz w:val="20"/>
              </w:rPr>
              <w:t>pilotakreditāciju</w:t>
            </w:r>
            <w:proofErr w:type="spellEnd"/>
            <w:r w:rsidRPr="001477D8">
              <w:rPr>
                <w:color w:val="auto"/>
                <w:sz w:val="20"/>
              </w:rPr>
              <w:t xml:space="preserve"> īstenošana projektā iesaistītajās augstākās izglītības institūcijās, apstiprināta akreditācijas aģentūras stratēģija. Tāpat arī ir iesniegts pieteikums, lai tiktu novērtēta akreditācijas aģentūras atbilstība standartiem un vadlīnijām kvalitātes nodrošināšanai Eiropas Augstākās izglītības telpā (</w:t>
            </w:r>
            <w:proofErr w:type="spellStart"/>
            <w:r w:rsidRPr="001477D8">
              <w:rPr>
                <w:color w:val="auto"/>
                <w:sz w:val="20"/>
              </w:rPr>
              <w:t>European</w:t>
            </w:r>
            <w:proofErr w:type="spellEnd"/>
            <w:r w:rsidRPr="001477D8">
              <w:rPr>
                <w:color w:val="auto"/>
                <w:sz w:val="20"/>
              </w:rPr>
              <w:t xml:space="preserve"> </w:t>
            </w:r>
            <w:proofErr w:type="spellStart"/>
            <w:r w:rsidRPr="001477D8">
              <w:rPr>
                <w:color w:val="auto"/>
                <w:sz w:val="20"/>
              </w:rPr>
              <w:t>Standards</w:t>
            </w:r>
            <w:proofErr w:type="spellEnd"/>
            <w:r w:rsidRPr="001477D8">
              <w:rPr>
                <w:color w:val="auto"/>
                <w:sz w:val="20"/>
              </w:rPr>
              <w:t xml:space="preserve"> </w:t>
            </w:r>
            <w:proofErr w:type="spellStart"/>
            <w:r w:rsidRPr="001477D8">
              <w:rPr>
                <w:color w:val="auto"/>
                <w:sz w:val="20"/>
              </w:rPr>
              <w:t>and</w:t>
            </w:r>
            <w:proofErr w:type="spellEnd"/>
            <w:r w:rsidRPr="001477D8">
              <w:rPr>
                <w:color w:val="auto"/>
                <w:sz w:val="20"/>
              </w:rPr>
              <w:t xml:space="preserve"> </w:t>
            </w:r>
            <w:proofErr w:type="spellStart"/>
            <w:r w:rsidRPr="001477D8">
              <w:rPr>
                <w:color w:val="auto"/>
                <w:sz w:val="20"/>
              </w:rPr>
              <w:t>Guidelines</w:t>
            </w:r>
            <w:proofErr w:type="spellEnd"/>
            <w:r w:rsidRPr="001477D8">
              <w:rPr>
                <w:color w:val="auto"/>
                <w:sz w:val="20"/>
              </w:rPr>
              <w:t xml:space="preserve"> </w:t>
            </w:r>
            <w:proofErr w:type="spellStart"/>
            <w:r w:rsidRPr="001477D8">
              <w:rPr>
                <w:color w:val="auto"/>
                <w:sz w:val="20"/>
              </w:rPr>
              <w:t>for</w:t>
            </w:r>
            <w:proofErr w:type="spellEnd"/>
            <w:r w:rsidRPr="001477D8">
              <w:rPr>
                <w:color w:val="auto"/>
                <w:sz w:val="20"/>
              </w:rPr>
              <w:t xml:space="preserve"> </w:t>
            </w:r>
            <w:proofErr w:type="spellStart"/>
            <w:r w:rsidRPr="001477D8">
              <w:rPr>
                <w:color w:val="auto"/>
                <w:sz w:val="20"/>
              </w:rPr>
              <w:t>Quality</w:t>
            </w:r>
            <w:proofErr w:type="spellEnd"/>
            <w:r w:rsidRPr="001477D8">
              <w:rPr>
                <w:color w:val="auto"/>
                <w:sz w:val="20"/>
              </w:rPr>
              <w:t xml:space="preserve"> </w:t>
            </w:r>
            <w:proofErr w:type="spellStart"/>
            <w:r w:rsidRPr="001477D8">
              <w:rPr>
                <w:color w:val="auto"/>
                <w:sz w:val="20"/>
              </w:rPr>
              <w:t>Assurance</w:t>
            </w:r>
            <w:proofErr w:type="spellEnd"/>
            <w:r w:rsidRPr="001477D8">
              <w:rPr>
                <w:color w:val="auto"/>
                <w:sz w:val="20"/>
              </w:rPr>
              <w:t>) un  iesniegts pieteikum</w:t>
            </w:r>
            <w:r w:rsidR="00974C52">
              <w:rPr>
                <w:color w:val="auto"/>
                <w:sz w:val="20"/>
              </w:rPr>
              <w:t xml:space="preserve">s uzņemšanai EQAR. Plānots, ka </w:t>
            </w:r>
            <w:r w:rsidRPr="001477D8">
              <w:rPr>
                <w:color w:val="auto"/>
                <w:sz w:val="20"/>
              </w:rPr>
              <w:t xml:space="preserve">EQAR lēmums </w:t>
            </w:r>
            <w:r w:rsidR="00346C0B">
              <w:rPr>
                <w:color w:val="auto"/>
                <w:sz w:val="20"/>
              </w:rPr>
              <w:t>tiks</w:t>
            </w:r>
            <w:r w:rsidRPr="001477D8">
              <w:rPr>
                <w:color w:val="auto"/>
                <w:sz w:val="20"/>
              </w:rPr>
              <w:t xml:space="preserve"> pieņemts 2018.gada decembrī. </w:t>
            </w:r>
          </w:p>
          <w:p w14:paraId="72C12959" w14:textId="1BC5078A" w:rsidR="001477D8" w:rsidRPr="001477D8" w:rsidRDefault="00974C52" w:rsidP="001477D8">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(5) Turpinās un 2018.</w:t>
            </w:r>
            <w:r w:rsidR="001477D8" w:rsidRPr="001477D8">
              <w:rPr>
                <w:color w:val="auto"/>
                <w:sz w:val="20"/>
              </w:rPr>
              <w:t>gadā tiks pabeigts Starptautiskās rekonstrukcijas un attīstības bankas pētījums par iekšējās pārvaldības pilnveidi augstākās izglītības institūcijās. Projekta ietvaros tiek izvērtēta augstskolu iekšējā pārvaldība un finanšu vadība kontekstā ar jauno augstākās izglītības finansēšanas modeli.</w:t>
            </w:r>
          </w:p>
          <w:p w14:paraId="775C3B75" w14:textId="39D4DE7A" w:rsidR="001477D8" w:rsidRPr="001477D8" w:rsidRDefault="00974C52" w:rsidP="001477D8">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Ar 2017.</w:t>
            </w:r>
            <w:r w:rsidR="001477D8" w:rsidRPr="001477D8">
              <w:rPr>
                <w:color w:val="auto"/>
                <w:sz w:val="20"/>
              </w:rPr>
              <w:t>gada 3.</w:t>
            </w:r>
            <w:r>
              <w:rPr>
                <w:color w:val="auto"/>
                <w:sz w:val="20"/>
              </w:rPr>
              <w:t xml:space="preserve">aprīļa </w:t>
            </w:r>
            <w:r w:rsidR="00346C0B">
              <w:rPr>
                <w:color w:val="auto"/>
                <w:sz w:val="20"/>
              </w:rPr>
              <w:t xml:space="preserve">MK </w:t>
            </w:r>
            <w:r>
              <w:rPr>
                <w:color w:val="auto"/>
                <w:sz w:val="20"/>
              </w:rPr>
              <w:t>rīkojumu Nr.</w:t>
            </w:r>
            <w:r w:rsidR="001477D8" w:rsidRPr="001477D8">
              <w:rPr>
                <w:color w:val="auto"/>
                <w:sz w:val="20"/>
              </w:rPr>
              <w:t>164 “Par Rīgas Pedagoģijas un izglītības vadības akadēmijas likvidāciju”, notiek Rīgas Pedagoģijas un izglītības vadības akadēmijas pievienošana Latvijas Universitātei, kas veicinās pedagoģijas studiju un pētniecības resursu konsolidāciju, materiāltehniskās bāzes telpisko koncentrāciju un studiju programmu fragmentācijas mazināšanu.</w:t>
            </w:r>
          </w:p>
          <w:p w14:paraId="2861E8B9" w14:textId="38F25B30" w:rsidR="001477D8" w:rsidRPr="001477D8" w:rsidRDefault="001477D8" w:rsidP="001477D8">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1477D8">
              <w:rPr>
                <w:color w:val="auto"/>
                <w:sz w:val="20"/>
              </w:rPr>
              <w:t xml:space="preserve">Notiek darbs pie augstākās izglītības studiju programmu fragmentācijas mazināšanas, tostarp jauna skolotāju izglītības satura izstrādes, kam cita starpā iezīmēti ES struktūrfondu līdzekļi indikatīvi 10 milj. </w:t>
            </w:r>
            <w:proofErr w:type="spellStart"/>
            <w:r w:rsidRPr="001477D8">
              <w:rPr>
                <w:i/>
                <w:color w:val="auto"/>
                <w:sz w:val="20"/>
              </w:rPr>
              <w:t>euro</w:t>
            </w:r>
            <w:proofErr w:type="spellEnd"/>
            <w:r w:rsidR="00974C52">
              <w:rPr>
                <w:color w:val="auto"/>
                <w:sz w:val="20"/>
              </w:rPr>
              <w:t xml:space="preserve"> apmērā 8.2.1.</w:t>
            </w:r>
            <w:r w:rsidRPr="001477D8">
              <w:rPr>
                <w:color w:val="auto"/>
                <w:sz w:val="20"/>
              </w:rPr>
              <w:t>SAM “Samazināt studiju programmu fragmentāciju un stiprinā</w:t>
            </w:r>
            <w:r w:rsidR="00974C52">
              <w:rPr>
                <w:color w:val="auto"/>
                <w:sz w:val="20"/>
              </w:rPr>
              <w:t>t resursu koplietošanu”, 8.2.3.</w:t>
            </w:r>
            <w:r w:rsidRPr="001477D8">
              <w:rPr>
                <w:color w:val="auto"/>
                <w:sz w:val="20"/>
              </w:rPr>
              <w:t>SAM “Nodrošināt labāku pārvaldību augstākās izglītības institūcijās” u</w:t>
            </w:r>
            <w:r w:rsidR="00974C52">
              <w:rPr>
                <w:color w:val="auto"/>
                <w:sz w:val="20"/>
              </w:rPr>
              <w:t>n 8.2.2.</w:t>
            </w:r>
            <w:r w:rsidRPr="001477D8">
              <w:rPr>
                <w:color w:val="auto"/>
                <w:sz w:val="20"/>
              </w:rPr>
              <w:t>SAM “Stiprināt augstākās izglītības institūciju akadēmisko personālu stratēģiskās specializācijas jomās” ietvaros.</w:t>
            </w:r>
          </w:p>
          <w:p w14:paraId="4F29C65E" w14:textId="06B69DC8" w:rsidR="001477D8" w:rsidRPr="001477D8" w:rsidRDefault="00974C52" w:rsidP="001477D8">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(6) Laikā no 2009. līdz 2017.</w:t>
            </w:r>
            <w:r w:rsidR="001477D8" w:rsidRPr="001477D8">
              <w:rPr>
                <w:color w:val="auto"/>
                <w:sz w:val="20"/>
              </w:rPr>
              <w:t>gadam ārvalstu studentu īpatsvars Latvijā nepārtraukti palielinā</w:t>
            </w:r>
            <w:r>
              <w:rPr>
                <w:color w:val="auto"/>
                <w:sz w:val="20"/>
              </w:rPr>
              <w:t>jies par 1-2% gadā, 2016./2017.</w:t>
            </w:r>
            <w:r w:rsidR="001477D8" w:rsidRPr="001477D8">
              <w:rPr>
                <w:color w:val="auto"/>
                <w:sz w:val="20"/>
              </w:rPr>
              <w:t>akadēmiskajā gadā Latvijā studēja 8137 ārvalstu studentu, kas ir 9,81% no studējošo kopskaita.</w:t>
            </w:r>
          </w:p>
          <w:p w14:paraId="68C310EF" w14:textId="7D993CFB" w:rsidR="006B28DB" w:rsidRPr="001477D8" w:rsidRDefault="001477D8" w:rsidP="001477D8">
            <w:pPr>
              <w:spacing w:after="0"/>
              <w:cnfStyle w:val="000000100000" w:firstRow="0" w:lastRow="0" w:firstColumn="0" w:lastColumn="0" w:oddVBand="0" w:evenVBand="0" w:oddHBand="1" w:evenHBand="0" w:firstRowFirstColumn="0" w:firstRowLastColumn="0" w:lastRowFirstColumn="0" w:lastRowLastColumn="0"/>
              <w:rPr>
                <w:color w:val="auto"/>
                <w:sz w:val="20"/>
                <w:highlight w:val="green"/>
              </w:rPr>
            </w:pPr>
            <w:r w:rsidRPr="001477D8">
              <w:rPr>
                <w:color w:val="auto"/>
                <w:sz w:val="20"/>
              </w:rPr>
              <w:lastRenderedPageBreak/>
              <w:t>Latvijas valsts stipendijas ir viens no instrumentiem ārvalstu stude</w:t>
            </w:r>
            <w:r w:rsidR="00974C52">
              <w:rPr>
                <w:color w:val="auto"/>
                <w:sz w:val="20"/>
              </w:rPr>
              <w:t>ntu piesaistīšanai. 2017./2018.</w:t>
            </w:r>
            <w:r w:rsidRPr="001477D8">
              <w:rPr>
                <w:color w:val="auto"/>
                <w:sz w:val="20"/>
              </w:rPr>
              <w:t>mācību gadam Latvijas valsts stipendijas piešķīra 20 pētniekiem (no 86 pieteicējiem) un 78 studentiem (no 230 pieteicējiem) no 26 valstīm, kā arī 6 vasaras skolām, kuras notika Latvijas augstskolās, piešķirot 60 stipendijas ārvalstniekiem. Kopā pa visiem stipendiju veidiem ārzemniekiem ir piešķirtas 158 Latvijas valsts stipendijas.</w:t>
            </w:r>
          </w:p>
        </w:tc>
      </w:tr>
      <w:tr w:rsidR="006B28DB" w:rsidRPr="00527336" w14:paraId="1E6FB8DE" w14:textId="77777777" w:rsidTr="00C34C62">
        <w:tc>
          <w:tcPr>
            <w:cnfStyle w:val="001000000000" w:firstRow="0" w:lastRow="0" w:firstColumn="1" w:lastColumn="0" w:oddVBand="0" w:evenVBand="0" w:oddHBand="0" w:evenHBand="0" w:firstRowFirstColumn="0" w:firstRowLastColumn="0" w:lastRowFirstColumn="0" w:lastRowLastColumn="0"/>
            <w:tcW w:w="2122" w:type="dxa"/>
          </w:tcPr>
          <w:p w14:paraId="6E1AE2F9" w14:textId="77777777" w:rsidR="006B28DB" w:rsidRPr="00527336" w:rsidRDefault="006B28DB" w:rsidP="006B28DB">
            <w:pPr>
              <w:ind w:firstLine="0"/>
              <w:rPr>
                <w:b w:val="0"/>
                <w:color w:val="auto"/>
                <w:sz w:val="20"/>
              </w:rPr>
            </w:pPr>
            <w:r w:rsidRPr="00527336">
              <w:rPr>
                <w:color w:val="auto"/>
                <w:sz w:val="20"/>
              </w:rPr>
              <w:lastRenderedPageBreak/>
              <w:t>Nacionālais nabadzības mērķis (21,0%)</w:t>
            </w:r>
          </w:p>
        </w:tc>
        <w:tc>
          <w:tcPr>
            <w:tcW w:w="3260" w:type="dxa"/>
          </w:tcPr>
          <w:p w14:paraId="64859DAE" w14:textId="77777777" w:rsidR="006B28DB" w:rsidRPr="006B28DB" w:rsidRDefault="006B28DB" w:rsidP="00222993">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Ienākumu nevienlīdzības samazināšana;</w:t>
            </w:r>
          </w:p>
          <w:p w14:paraId="74FEFFB6" w14:textId="77777777" w:rsidR="006B28DB" w:rsidRPr="006B28DB" w:rsidRDefault="006B28DB" w:rsidP="00222993">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2"/>
              </w:rPr>
            </w:pPr>
            <w:r w:rsidRPr="006B28DB">
              <w:rPr>
                <w:rFonts w:ascii="Times New Roman" w:hAnsi="Times New Roman"/>
                <w:color w:val="auto"/>
                <w:sz w:val="20"/>
                <w:szCs w:val="22"/>
              </w:rPr>
              <w:t>Nabadzības un sociālās atstumtības riskam pakļauto personu līdzdalības darba tirgū veicināšana;</w:t>
            </w:r>
          </w:p>
          <w:p w14:paraId="524EFC25" w14:textId="75A4F1B5" w:rsidR="006B28DB" w:rsidRPr="006B28DB" w:rsidRDefault="006B28DB" w:rsidP="00222993">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6B28DB">
              <w:rPr>
                <w:rFonts w:ascii="Times New Roman" w:hAnsi="Times New Roman"/>
                <w:color w:val="auto"/>
                <w:sz w:val="20"/>
                <w:szCs w:val="22"/>
              </w:rPr>
              <w:t>Diskriminācijas draudu un stereotipu mazināšana, kā arī pilsoniskās līdzdalības veicināšana.</w:t>
            </w:r>
          </w:p>
        </w:tc>
        <w:tc>
          <w:tcPr>
            <w:tcW w:w="10064" w:type="dxa"/>
          </w:tcPr>
          <w:p w14:paraId="40DF47BC" w14:textId="2694ADC9" w:rsidR="00BE1D2F" w:rsidRDefault="00BE1D2F" w:rsidP="00E5713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BE1D2F">
              <w:rPr>
                <w:color w:val="auto"/>
                <w:sz w:val="20"/>
              </w:rPr>
              <w:t xml:space="preserve">Skat. aktualizēto informāciju par </w:t>
            </w:r>
            <w:r>
              <w:rPr>
                <w:color w:val="auto"/>
                <w:sz w:val="20"/>
              </w:rPr>
              <w:t>Tabulā 6.a “Valstu specifiskās rekomendācijas” par 2.rekomendāciju.</w:t>
            </w:r>
          </w:p>
          <w:p w14:paraId="32A0D488" w14:textId="77777777" w:rsidR="00BE1D2F" w:rsidRDefault="00BE1D2F" w:rsidP="00E5713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p>
          <w:p w14:paraId="4EA47334" w14:textId="5DA2929C" w:rsidR="00AE561E" w:rsidRPr="00767772" w:rsidRDefault="00AE561E" w:rsidP="00E5713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767772">
              <w:rPr>
                <w:color w:val="auto"/>
                <w:sz w:val="20"/>
              </w:rPr>
              <w:t xml:space="preserve">Pakāpeniski tiks palielināts neapliekamais minimums pensijām: </w:t>
            </w:r>
          </w:p>
          <w:p w14:paraId="15E47519" w14:textId="7C65C5E5" w:rsidR="00AE561E" w:rsidRPr="00767772" w:rsidRDefault="00AE561E" w:rsidP="00E57139">
            <w:pPr>
              <w:numPr>
                <w:ilvl w:val="0"/>
                <w:numId w:val="36"/>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767772">
              <w:rPr>
                <w:color w:val="auto"/>
                <w:sz w:val="20"/>
              </w:rPr>
              <w:t>201</w:t>
            </w:r>
            <w:r w:rsidR="00E57139" w:rsidRPr="00767772">
              <w:rPr>
                <w:color w:val="auto"/>
                <w:sz w:val="20"/>
              </w:rPr>
              <w:t>8.</w:t>
            </w:r>
            <w:r w:rsidRPr="00767772">
              <w:rPr>
                <w:color w:val="auto"/>
                <w:sz w:val="20"/>
              </w:rPr>
              <w:t xml:space="preserve">gadā - no 235 </w:t>
            </w:r>
            <w:proofErr w:type="spellStart"/>
            <w:r w:rsidRPr="00767772">
              <w:rPr>
                <w:i/>
                <w:color w:val="auto"/>
                <w:sz w:val="20"/>
              </w:rPr>
              <w:t>euro</w:t>
            </w:r>
            <w:proofErr w:type="spellEnd"/>
            <w:r w:rsidRPr="00767772">
              <w:rPr>
                <w:color w:val="auto"/>
                <w:sz w:val="20"/>
              </w:rPr>
              <w:t xml:space="preserve"> līdz 250 </w:t>
            </w:r>
            <w:proofErr w:type="spellStart"/>
            <w:r w:rsidRPr="00767772">
              <w:rPr>
                <w:i/>
                <w:color w:val="auto"/>
                <w:sz w:val="20"/>
              </w:rPr>
              <w:t>euro</w:t>
            </w:r>
            <w:proofErr w:type="spellEnd"/>
            <w:r w:rsidRPr="00767772">
              <w:rPr>
                <w:color w:val="auto"/>
                <w:sz w:val="20"/>
              </w:rPr>
              <w:t>,</w:t>
            </w:r>
          </w:p>
          <w:p w14:paraId="786D0670" w14:textId="6917C731" w:rsidR="00AE561E" w:rsidRPr="00767772" w:rsidRDefault="00E57139" w:rsidP="00E57139">
            <w:pPr>
              <w:numPr>
                <w:ilvl w:val="0"/>
                <w:numId w:val="36"/>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767772">
              <w:rPr>
                <w:color w:val="auto"/>
                <w:sz w:val="20"/>
              </w:rPr>
              <w:t>2019.</w:t>
            </w:r>
            <w:r w:rsidR="00AE561E" w:rsidRPr="00767772">
              <w:rPr>
                <w:color w:val="auto"/>
                <w:sz w:val="20"/>
              </w:rPr>
              <w:t xml:space="preserve">gadā – līdz 270 </w:t>
            </w:r>
            <w:proofErr w:type="spellStart"/>
            <w:r w:rsidR="00AE561E" w:rsidRPr="00767772">
              <w:rPr>
                <w:i/>
                <w:color w:val="auto"/>
                <w:sz w:val="20"/>
              </w:rPr>
              <w:t>euro</w:t>
            </w:r>
            <w:proofErr w:type="spellEnd"/>
            <w:r w:rsidR="00AE561E" w:rsidRPr="00767772">
              <w:rPr>
                <w:color w:val="auto"/>
                <w:sz w:val="20"/>
              </w:rPr>
              <w:t>,</w:t>
            </w:r>
          </w:p>
          <w:p w14:paraId="099CE609" w14:textId="0D634573" w:rsidR="00AE561E" w:rsidRPr="00767772" w:rsidRDefault="00E57139" w:rsidP="00E57139">
            <w:pPr>
              <w:numPr>
                <w:ilvl w:val="0"/>
                <w:numId w:val="36"/>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767772">
              <w:rPr>
                <w:color w:val="auto"/>
                <w:sz w:val="20"/>
              </w:rPr>
              <w:t>2020.</w:t>
            </w:r>
            <w:r w:rsidR="00AE561E" w:rsidRPr="00767772">
              <w:rPr>
                <w:color w:val="auto"/>
                <w:sz w:val="20"/>
              </w:rPr>
              <w:t xml:space="preserve">gadā – līdz 300 </w:t>
            </w:r>
            <w:proofErr w:type="spellStart"/>
            <w:r w:rsidR="00AE561E" w:rsidRPr="00767772">
              <w:rPr>
                <w:i/>
                <w:color w:val="auto"/>
                <w:sz w:val="20"/>
              </w:rPr>
              <w:t>euro</w:t>
            </w:r>
            <w:proofErr w:type="spellEnd"/>
            <w:r w:rsidR="00AE561E" w:rsidRPr="00767772">
              <w:rPr>
                <w:color w:val="auto"/>
                <w:sz w:val="20"/>
              </w:rPr>
              <w:t>.</w:t>
            </w:r>
          </w:p>
          <w:p w14:paraId="6F78AEFE" w14:textId="5BF7FD5F" w:rsidR="00AE561E" w:rsidRPr="00767772" w:rsidRDefault="00AE561E" w:rsidP="00E5713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767772">
              <w:rPr>
                <w:color w:val="auto"/>
                <w:sz w:val="20"/>
              </w:rPr>
              <w:t>Lai palielinātu sociālās rehabilitācijas pakalpojumu pieejamību un paplaš</w:t>
            </w:r>
            <w:r w:rsidR="00E57139" w:rsidRPr="00767772">
              <w:rPr>
                <w:color w:val="auto"/>
                <w:sz w:val="20"/>
              </w:rPr>
              <w:t>inātu pakalpojumu klāstu, 2018.</w:t>
            </w:r>
            <w:r w:rsidRPr="00767772">
              <w:rPr>
                <w:color w:val="auto"/>
                <w:sz w:val="20"/>
              </w:rPr>
              <w:t xml:space="preserve">gadā piešķirts papildus finansējums sociālās rehabilitācijas nodrošināšanai: </w:t>
            </w:r>
          </w:p>
          <w:p w14:paraId="03DE328C" w14:textId="77777777" w:rsidR="00AE561E" w:rsidRPr="00767772" w:rsidRDefault="00AE561E" w:rsidP="00E57139">
            <w:pPr>
              <w:numPr>
                <w:ilvl w:val="0"/>
                <w:numId w:val="36"/>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767772">
              <w:rPr>
                <w:color w:val="auto"/>
                <w:sz w:val="20"/>
              </w:rPr>
              <w:t>personām ar prognozējamu vai pirmreizēju invaliditāti, kuras cēlonis ir onkoloģiska slimība, un viņu ģimenes locekļiem,</w:t>
            </w:r>
          </w:p>
          <w:p w14:paraId="7E45EA77" w14:textId="77777777" w:rsidR="00AE561E" w:rsidRPr="00767772" w:rsidRDefault="00AE561E" w:rsidP="00E57139">
            <w:pPr>
              <w:numPr>
                <w:ilvl w:val="0"/>
                <w:numId w:val="36"/>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767772">
              <w:rPr>
                <w:color w:val="auto"/>
                <w:sz w:val="20"/>
              </w:rPr>
              <w:t>bērniem, kuriem nepieciešama paliatīvā aprūpe, un viņu ģimenes locekļiem.</w:t>
            </w:r>
          </w:p>
          <w:p w14:paraId="601CFFF0" w14:textId="64297DD5" w:rsidR="00AE561E" w:rsidRPr="00767772" w:rsidRDefault="00E57139" w:rsidP="00E5713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767772">
              <w:rPr>
                <w:color w:val="auto"/>
                <w:sz w:val="20"/>
              </w:rPr>
              <w:t>2018.</w:t>
            </w:r>
            <w:r w:rsidR="00AE561E" w:rsidRPr="00767772">
              <w:rPr>
                <w:color w:val="auto"/>
                <w:sz w:val="20"/>
              </w:rPr>
              <w:t xml:space="preserve">gadā piešķirts papildu finansējums 990 921 </w:t>
            </w:r>
            <w:proofErr w:type="spellStart"/>
            <w:r w:rsidR="00AE561E" w:rsidRPr="00767772">
              <w:rPr>
                <w:i/>
                <w:color w:val="auto"/>
                <w:sz w:val="20"/>
              </w:rPr>
              <w:t>euro</w:t>
            </w:r>
            <w:proofErr w:type="spellEnd"/>
            <w:r w:rsidR="00AE561E" w:rsidRPr="00767772">
              <w:rPr>
                <w:color w:val="auto"/>
                <w:sz w:val="20"/>
              </w:rPr>
              <w:t xml:space="preserve"> apmērā tehnisko palīglīdzekļu nodrošināšanai.</w:t>
            </w:r>
          </w:p>
          <w:p w14:paraId="5B301E34" w14:textId="25AC3056" w:rsidR="00AE561E" w:rsidRPr="00767772" w:rsidRDefault="00AE561E" w:rsidP="00E5713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0"/>
              </w:rPr>
            </w:pPr>
            <w:r w:rsidRPr="00767772">
              <w:rPr>
                <w:color w:val="auto"/>
                <w:sz w:val="20"/>
              </w:rPr>
              <w:t>No 201</w:t>
            </w:r>
            <w:r w:rsidR="00E57139" w:rsidRPr="00767772">
              <w:rPr>
                <w:color w:val="auto"/>
                <w:sz w:val="20"/>
              </w:rPr>
              <w:t>8.</w:t>
            </w:r>
            <w:r w:rsidRPr="00767772">
              <w:rPr>
                <w:color w:val="auto"/>
                <w:sz w:val="20"/>
              </w:rPr>
              <w:t>gada piešķirta mērķdotācija pašvaldību sociālajiem darbiniekiem, kuri strādā ar ģimenēm ar bērniem.</w:t>
            </w:r>
          </w:p>
          <w:p w14:paraId="3B2BE7FD" w14:textId="33FC82A0" w:rsidR="006B28DB" w:rsidRPr="00527336" w:rsidRDefault="006B28DB" w:rsidP="00AE561E">
            <w:pPr>
              <w:spacing w:after="0"/>
              <w:ind w:firstLine="0"/>
              <w:cnfStyle w:val="000000000000" w:firstRow="0" w:lastRow="0" w:firstColumn="0" w:lastColumn="0" w:oddVBand="0" w:evenVBand="0" w:oddHBand="0" w:evenHBand="0" w:firstRowFirstColumn="0" w:firstRowLastColumn="0" w:lastRowFirstColumn="0" w:lastRowLastColumn="0"/>
              <w:rPr>
                <w:sz w:val="20"/>
              </w:rPr>
            </w:pPr>
          </w:p>
        </w:tc>
      </w:tr>
    </w:tbl>
    <w:p w14:paraId="77EA58DC" w14:textId="7C3C35CC" w:rsidR="00D251AD" w:rsidRPr="004E4E5F" w:rsidRDefault="00D251AD" w:rsidP="004E4E5F">
      <w:pPr>
        <w:spacing w:after="0"/>
        <w:ind w:firstLine="0"/>
        <w:jc w:val="left"/>
        <w:sectPr w:rsidR="00D251AD" w:rsidRPr="004E4E5F" w:rsidSect="00925234">
          <w:pgSz w:w="16838" w:h="11906" w:orient="landscape"/>
          <w:pgMar w:top="1701" w:right="1418" w:bottom="1134" w:left="709" w:header="1077" w:footer="624" w:gutter="0"/>
          <w:cols w:space="708"/>
          <w:docGrid w:linePitch="360"/>
        </w:sectPr>
      </w:pPr>
    </w:p>
    <w:p w14:paraId="3654CAFD" w14:textId="005F1B44" w:rsidR="00E9675F" w:rsidRPr="00FF423F" w:rsidRDefault="00E9675F" w:rsidP="00E9675F">
      <w:pPr>
        <w:pStyle w:val="NoSpacing"/>
        <w:spacing w:line="276" w:lineRule="auto"/>
        <w:ind w:firstLine="720"/>
        <w:rPr>
          <w:rFonts w:eastAsia="Calibri"/>
          <w:szCs w:val="24"/>
        </w:rPr>
      </w:pPr>
      <w:bookmarkStart w:id="31" w:name="_Toc494786362"/>
      <w:r w:rsidRPr="0068272E">
        <w:rPr>
          <w:rFonts w:eastAsia="Calibri"/>
          <w:szCs w:val="24"/>
        </w:rPr>
        <w:lastRenderedPageBreak/>
        <w:t>Pamatojoties uz 2017.gada jūlijā aktualizēto makroekonomiskās attīstības scenāriju, kā arī ņemot vērā budžeta izpildi šā gada astoņos</w:t>
      </w:r>
      <w:r>
        <w:rPr>
          <w:rFonts w:eastAsia="Calibri"/>
          <w:szCs w:val="24"/>
        </w:rPr>
        <w:t xml:space="preserve"> mēnešos</w:t>
      </w:r>
      <w:r w:rsidRPr="0068272E">
        <w:rPr>
          <w:rFonts w:eastAsia="Calibri"/>
          <w:szCs w:val="24"/>
        </w:rPr>
        <w:t xml:space="preserve">, </w:t>
      </w:r>
      <w:r>
        <w:rPr>
          <w:rFonts w:eastAsia="Calibri"/>
          <w:szCs w:val="24"/>
        </w:rPr>
        <w:t xml:space="preserve">saskaņā ar </w:t>
      </w:r>
      <w:r w:rsidRPr="0068272E">
        <w:rPr>
          <w:rFonts w:eastAsia="Calibri"/>
          <w:szCs w:val="24"/>
        </w:rPr>
        <w:t>FM vērtē</w:t>
      </w:r>
      <w:r>
        <w:rPr>
          <w:rFonts w:eastAsia="Calibri"/>
          <w:szCs w:val="24"/>
        </w:rPr>
        <w:t>jumu</w:t>
      </w:r>
      <w:r w:rsidRPr="0068272E">
        <w:rPr>
          <w:rFonts w:eastAsia="Calibri"/>
          <w:szCs w:val="24"/>
        </w:rPr>
        <w:t xml:space="preserve"> vispārējās valdības budžeta deficīts </w:t>
      </w:r>
      <w:r w:rsidRPr="0068272E">
        <w:rPr>
          <w:rFonts w:eastAsia="Calibri"/>
          <w:b/>
          <w:szCs w:val="24"/>
        </w:rPr>
        <w:t>2017.gadā</w:t>
      </w:r>
      <w:r w:rsidRPr="0068272E">
        <w:rPr>
          <w:rFonts w:eastAsia="Calibri"/>
          <w:szCs w:val="24"/>
        </w:rPr>
        <w:t xml:space="preserve"> būs 0,9% no IKP, kas ir zemāks kā 2017.gada budžeta likumā noteiktais pieļaujamais vispārējās valdības budžeta deficīts, </w:t>
      </w:r>
      <w:r>
        <w:rPr>
          <w:rFonts w:eastAsia="Calibri"/>
          <w:szCs w:val="24"/>
        </w:rPr>
        <w:t>bet</w:t>
      </w:r>
      <w:r w:rsidRPr="0068272E">
        <w:rPr>
          <w:rFonts w:eastAsia="Calibri"/>
          <w:szCs w:val="24"/>
        </w:rPr>
        <w:t xml:space="preserve"> ir nedaudz </w:t>
      </w:r>
      <w:r>
        <w:rPr>
          <w:rFonts w:eastAsia="Calibri"/>
          <w:szCs w:val="24"/>
        </w:rPr>
        <w:t>augstāks</w:t>
      </w:r>
      <w:r w:rsidRPr="0068272E">
        <w:rPr>
          <w:rFonts w:eastAsia="Calibri"/>
          <w:szCs w:val="24"/>
        </w:rPr>
        <w:t xml:space="preserve"> kā tika prognozēts Stabilitātes programmā 2017.-2020.gadam.</w:t>
      </w:r>
      <w:r w:rsidRPr="00FF423F">
        <w:rPr>
          <w:rFonts w:eastAsia="Calibri"/>
          <w:szCs w:val="24"/>
        </w:rPr>
        <w:t xml:space="preserve"> </w:t>
      </w:r>
      <w:r>
        <w:rPr>
          <w:rFonts w:eastAsia="Calibri"/>
          <w:szCs w:val="24"/>
        </w:rPr>
        <w:t xml:space="preserve">Salīdzinājumā ar Stabilitātes programmu augstāku budžeta deficītu pamatā nosaka vienreizējs diskontētās atlīdzības maksājums par uzstādītajām elektroenerģijas jaudām 140 milj. </w:t>
      </w:r>
      <w:proofErr w:type="spellStart"/>
      <w:r w:rsidRPr="00F81F5F">
        <w:rPr>
          <w:rFonts w:eastAsia="Calibri"/>
          <w:i/>
          <w:szCs w:val="24"/>
        </w:rPr>
        <w:t>euro</w:t>
      </w:r>
      <w:proofErr w:type="spellEnd"/>
      <w:r>
        <w:rPr>
          <w:rFonts w:eastAsia="Calibri"/>
          <w:szCs w:val="24"/>
        </w:rPr>
        <w:t xml:space="preserve"> apmērā, kas vidējā termiņā ļaus ietaupīt valsts budžeta līdzekļus, kā arī nodrošinās iespēju samazināt </w:t>
      </w:r>
      <w:r w:rsidR="009001CB">
        <w:rPr>
          <w:rFonts w:eastAsia="Calibri"/>
          <w:szCs w:val="24"/>
        </w:rPr>
        <w:t>OIK</w:t>
      </w:r>
      <w:r>
        <w:rPr>
          <w:rFonts w:eastAsia="Calibri"/>
          <w:szCs w:val="24"/>
        </w:rPr>
        <w:t xml:space="preserve"> apmēru elektroenerģijas gala lietotājiem. Kopš OIK ieviešanas maksa par elektroenerģiju nemitīgi pieaug, kā rezultātā </w:t>
      </w:r>
      <w:r w:rsidR="009001CB">
        <w:rPr>
          <w:rFonts w:eastAsia="Calibri"/>
          <w:szCs w:val="24"/>
        </w:rPr>
        <w:t>EM</w:t>
      </w:r>
      <w:r>
        <w:rPr>
          <w:rFonts w:eastAsia="Calibri"/>
          <w:szCs w:val="24"/>
        </w:rPr>
        <w:t xml:space="preserve"> atbilstoši valdības dotajam uzdevumam bija sagatavojusi risinājumu OIK turpmākajai pieauguma ierobežošanai pēc subsidētās elektroenerģijas nodokļa atcelšanas. Risinājums paredz, ka komersanti, kuri saņem garantētu maksu par koģenerācijas elektrostacijā uzstādīto elektrisko jaudu un kuru uzstādītā elektriskā jau</w:t>
      </w:r>
      <w:r w:rsidR="009001CB">
        <w:rPr>
          <w:rFonts w:eastAsia="Calibri"/>
          <w:szCs w:val="24"/>
        </w:rPr>
        <w:t>da ir lielāka par 100 MW, 2017.</w:t>
      </w:r>
      <w:r>
        <w:rPr>
          <w:rFonts w:eastAsia="Calibri"/>
          <w:szCs w:val="24"/>
        </w:rPr>
        <w:t>gadā varēs daļēji atteikties no atlikušajā periodā garantētās maksas par koģenerācijas elektrostacijā uzstādīto jaudu, saņemot vienreizēju diskontētu maksājumu, kas izteikts kā nākotnē negūto valsts atbalsta ieņēmumu diskontētā vērtība, piemērojot diskontēšanas faktoru 9% apmērā no jaudas maksas samazinājuma, un turpmākajā atbalsta periodā ik gadu turpinot saņemt 25% no līdzšinējā atbalsta apmēra. Veicot vienreizēju maksājumu valsts nodrošinās iespēju samazināt saistības par garantētās maksas koģenerācijas stacijā uzstādīto elektrisko jaudu, kā arī elektroenerģijas gala lietotājiem nepieaugs OIK</w:t>
      </w:r>
      <w:r w:rsidR="009001CB">
        <w:rPr>
          <w:rFonts w:eastAsia="Calibri"/>
          <w:szCs w:val="24"/>
        </w:rPr>
        <w:t xml:space="preserve"> apjoms un 2018.</w:t>
      </w:r>
      <w:r>
        <w:rPr>
          <w:rFonts w:eastAsia="Calibri"/>
          <w:szCs w:val="24"/>
        </w:rPr>
        <w:t xml:space="preserve">gadā saglabāsies 26,79 </w:t>
      </w:r>
      <w:proofErr w:type="spellStart"/>
      <w:r w:rsidR="009001CB">
        <w:rPr>
          <w:rFonts w:eastAsia="Calibri"/>
          <w:i/>
          <w:szCs w:val="24"/>
        </w:rPr>
        <w:t>euro</w:t>
      </w:r>
      <w:proofErr w:type="spellEnd"/>
      <w:r>
        <w:rPr>
          <w:rFonts w:eastAsia="Calibri"/>
          <w:szCs w:val="24"/>
        </w:rPr>
        <w:t>/</w:t>
      </w:r>
      <w:proofErr w:type="spellStart"/>
      <w:r>
        <w:rPr>
          <w:rFonts w:eastAsia="Calibri"/>
          <w:szCs w:val="24"/>
        </w:rPr>
        <w:t>MWh</w:t>
      </w:r>
      <w:proofErr w:type="spellEnd"/>
      <w:r>
        <w:rPr>
          <w:rFonts w:eastAsia="Calibri"/>
          <w:szCs w:val="24"/>
        </w:rPr>
        <w:t xml:space="preserve"> līmenī ar tendenci samazināties vidējā termiņā. </w:t>
      </w:r>
    </w:p>
    <w:p w14:paraId="6DFC2D8A" w14:textId="77777777" w:rsidR="00E9675F" w:rsidRDefault="00E9675F" w:rsidP="00E9675F">
      <w:pPr>
        <w:pStyle w:val="NoSpacing"/>
        <w:spacing w:line="276" w:lineRule="auto"/>
        <w:ind w:firstLine="720"/>
        <w:rPr>
          <w:rFonts w:eastAsia="Calibri"/>
          <w:szCs w:val="24"/>
        </w:rPr>
      </w:pPr>
      <w:r w:rsidRPr="00FF423F">
        <w:rPr>
          <w:rFonts w:eastAsia="Calibri"/>
          <w:b/>
          <w:szCs w:val="24"/>
        </w:rPr>
        <w:t>201</w:t>
      </w:r>
      <w:r>
        <w:rPr>
          <w:rFonts w:eastAsia="Calibri"/>
          <w:b/>
          <w:szCs w:val="24"/>
        </w:rPr>
        <w:t>8</w:t>
      </w:r>
      <w:r w:rsidRPr="00FF423F">
        <w:rPr>
          <w:rFonts w:eastAsia="Calibri"/>
          <w:b/>
          <w:szCs w:val="24"/>
        </w:rPr>
        <w:t>.gadā</w:t>
      </w:r>
      <w:r w:rsidRPr="00FF423F">
        <w:rPr>
          <w:rFonts w:eastAsia="Calibri"/>
          <w:szCs w:val="24"/>
        </w:rPr>
        <w:t xml:space="preserve"> vispārējās valdības budžeta deficīts pie </w:t>
      </w:r>
      <w:r w:rsidRPr="00C92A89">
        <w:rPr>
          <w:rFonts w:eastAsia="Calibri"/>
          <w:b/>
          <w:szCs w:val="24"/>
        </w:rPr>
        <w:t>nemainīgas politikas scenārija tiek prognozēts 0,</w:t>
      </w:r>
      <w:r>
        <w:rPr>
          <w:rFonts w:eastAsia="Calibri"/>
          <w:b/>
          <w:szCs w:val="24"/>
        </w:rPr>
        <w:t>8</w:t>
      </w:r>
      <w:r w:rsidRPr="00C92A89">
        <w:rPr>
          <w:rFonts w:eastAsia="Calibri"/>
          <w:b/>
          <w:szCs w:val="24"/>
        </w:rPr>
        <w:t>% no IKP</w:t>
      </w:r>
      <w:r w:rsidRPr="00FF423F">
        <w:rPr>
          <w:rFonts w:eastAsia="Calibri"/>
          <w:szCs w:val="24"/>
        </w:rPr>
        <w:t xml:space="preserve">, </w:t>
      </w:r>
      <w:r>
        <w:rPr>
          <w:rFonts w:eastAsia="Calibri"/>
          <w:szCs w:val="24"/>
        </w:rPr>
        <w:t>kā rezultātā prognozētais deficīta līmenis uzlabojas par 0,7% no IKP</w:t>
      </w:r>
      <w:r w:rsidRPr="00FF423F">
        <w:rPr>
          <w:rFonts w:eastAsia="Calibri"/>
          <w:szCs w:val="24"/>
        </w:rPr>
        <w:t xml:space="preserve"> salīdzinot ar Stabilitātes programm</w:t>
      </w:r>
      <w:r>
        <w:rPr>
          <w:rFonts w:eastAsia="Calibri"/>
          <w:szCs w:val="24"/>
        </w:rPr>
        <w:t>u</w:t>
      </w:r>
      <w:r w:rsidRPr="00FF423F">
        <w:rPr>
          <w:rFonts w:eastAsia="Calibri"/>
          <w:szCs w:val="24"/>
        </w:rPr>
        <w:t xml:space="preserve"> 201</w:t>
      </w:r>
      <w:r>
        <w:rPr>
          <w:rFonts w:eastAsia="Calibri"/>
          <w:szCs w:val="24"/>
        </w:rPr>
        <w:t>7</w:t>
      </w:r>
      <w:r w:rsidRPr="00FF423F">
        <w:rPr>
          <w:rFonts w:eastAsia="Calibri"/>
          <w:szCs w:val="24"/>
        </w:rPr>
        <w:t>.-20</w:t>
      </w:r>
      <w:r>
        <w:rPr>
          <w:rFonts w:eastAsia="Calibri"/>
          <w:szCs w:val="24"/>
        </w:rPr>
        <w:t>20</w:t>
      </w:r>
      <w:r w:rsidRPr="00FF423F">
        <w:rPr>
          <w:rFonts w:eastAsia="Calibri"/>
          <w:szCs w:val="24"/>
        </w:rPr>
        <w:t xml:space="preserve">.gadam. </w:t>
      </w:r>
      <w:r>
        <w:rPr>
          <w:rFonts w:eastAsia="Calibri"/>
          <w:szCs w:val="24"/>
        </w:rPr>
        <w:t>Izmaiņas pamatā noteica vienreizējs efekts no nodokļu reformas 0,7% apmērā no IKP. Lielākās izmaiņas, kas ietekmēja vispārējās valdības budžeta bilanci:</w:t>
      </w:r>
    </w:p>
    <w:p w14:paraId="7E6BFAF8" w14:textId="77777777" w:rsidR="00E9675F" w:rsidRDefault="00E9675F" w:rsidP="00E9675F">
      <w:pPr>
        <w:pStyle w:val="NoSpacing"/>
        <w:numPr>
          <w:ilvl w:val="0"/>
          <w:numId w:val="43"/>
        </w:numPr>
        <w:spacing w:line="276" w:lineRule="auto"/>
        <w:rPr>
          <w:rFonts w:eastAsia="Calibri"/>
          <w:szCs w:val="24"/>
        </w:rPr>
      </w:pPr>
      <w:r>
        <w:rPr>
          <w:rFonts w:eastAsia="Calibri"/>
          <w:szCs w:val="24"/>
        </w:rPr>
        <w:t>IIN reforma (ietekme uz vispārējās valdības budžeta bilanci aptuveni +0,4% no IKP), kuras ietvaros tika ieviestas šādas izmaiņas:</w:t>
      </w:r>
    </w:p>
    <w:p w14:paraId="0F87F568" w14:textId="36A63855" w:rsidR="00E9675F" w:rsidRDefault="00E9675F" w:rsidP="00E9675F">
      <w:pPr>
        <w:pStyle w:val="NoSpacing"/>
        <w:numPr>
          <w:ilvl w:val="0"/>
          <w:numId w:val="44"/>
        </w:numPr>
        <w:spacing w:line="276" w:lineRule="auto"/>
        <w:rPr>
          <w:rFonts w:eastAsia="Calibri"/>
          <w:szCs w:val="24"/>
        </w:rPr>
      </w:pPr>
      <w:r>
        <w:rPr>
          <w:rFonts w:eastAsia="Calibri"/>
          <w:szCs w:val="24"/>
        </w:rPr>
        <w:t xml:space="preserve">Stabilitātes programmā tika norādīta progresīvā IIN likme ieviešana 20% gada ienākumiem līdz 20 000 </w:t>
      </w:r>
      <w:proofErr w:type="spellStart"/>
      <w:r w:rsidRPr="00A21839">
        <w:rPr>
          <w:rFonts w:eastAsia="Calibri"/>
          <w:i/>
          <w:szCs w:val="24"/>
        </w:rPr>
        <w:t>euro</w:t>
      </w:r>
      <w:proofErr w:type="spellEnd"/>
      <w:r>
        <w:rPr>
          <w:rFonts w:eastAsia="Calibri"/>
          <w:szCs w:val="24"/>
        </w:rPr>
        <w:t xml:space="preserve"> un 23% gada ienākumiem, kas pārsniedz 20 000 </w:t>
      </w:r>
      <w:proofErr w:type="spellStart"/>
      <w:r w:rsidRPr="00A21839">
        <w:rPr>
          <w:rFonts w:eastAsia="Calibri"/>
          <w:i/>
          <w:szCs w:val="24"/>
        </w:rPr>
        <w:t>euro</w:t>
      </w:r>
      <w:proofErr w:type="spellEnd"/>
      <w:r w:rsidRPr="00A21839">
        <w:rPr>
          <w:rFonts w:eastAsia="Calibri"/>
          <w:szCs w:val="24"/>
        </w:rPr>
        <w:t xml:space="preserve">, </w:t>
      </w:r>
      <w:r>
        <w:rPr>
          <w:rFonts w:eastAsia="Calibri"/>
          <w:szCs w:val="24"/>
        </w:rPr>
        <w:t xml:space="preserve">savukārt uz </w:t>
      </w:r>
      <w:r w:rsidR="009001CB">
        <w:rPr>
          <w:rFonts w:eastAsia="Calibri"/>
          <w:szCs w:val="24"/>
        </w:rPr>
        <w:t>VTBIL</w:t>
      </w:r>
      <w:r>
        <w:rPr>
          <w:rFonts w:eastAsia="Calibri"/>
          <w:szCs w:val="24"/>
        </w:rPr>
        <w:t xml:space="preserve"> tika apstiprināta progresīvās likmes ieviešana 20% gada ienākumiem līdz 20 000</w:t>
      </w:r>
      <w:r w:rsidRPr="00804843">
        <w:rPr>
          <w:rFonts w:eastAsia="Calibri"/>
          <w:i/>
          <w:szCs w:val="24"/>
        </w:rPr>
        <w:t xml:space="preserve"> </w:t>
      </w:r>
      <w:proofErr w:type="spellStart"/>
      <w:r w:rsidRPr="00A21839">
        <w:rPr>
          <w:rFonts w:eastAsia="Calibri"/>
          <w:i/>
          <w:szCs w:val="24"/>
        </w:rPr>
        <w:t>eur</w:t>
      </w:r>
      <w:r>
        <w:rPr>
          <w:rFonts w:eastAsia="Calibri"/>
          <w:i/>
          <w:szCs w:val="24"/>
        </w:rPr>
        <w:t>o</w:t>
      </w:r>
      <w:proofErr w:type="spellEnd"/>
      <w:r w:rsidRPr="00804843">
        <w:rPr>
          <w:rFonts w:eastAsia="Calibri"/>
          <w:szCs w:val="24"/>
        </w:rPr>
        <w:t>, 23</w:t>
      </w:r>
      <w:r>
        <w:rPr>
          <w:rFonts w:eastAsia="Calibri"/>
          <w:szCs w:val="24"/>
        </w:rPr>
        <w:t xml:space="preserve">% gada ienākumiem, kas pārsniedz 20 000 </w:t>
      </w:r>
      <w:proofErr w:type="spellStart"/>
      <w:r w:rsidRPr="00804843">
        <w:rPr>
          <w:rFonts w:eastAsia="Calibri"/>
          <w:i/>
          <w:szCs w:val="24"/>
        </w:rPr>
        <w:t>euro</w:t>
      </w:r>
      <w:proofErr w:type="spellEnd"/>
      <w:r>
        <w:rPr>
          <w:rFonts w:eastAsia="Calibri"/>
          <w:szCs w:val="24"/>
        </w:rPr>
        <w:t xml:space="preserve">, bet nepārsniedz 55 000 </w:t>
      </w:r>
      <w:proofErr w:type="spellStart"/>
      <w:r w:rsidRPr="00804843">
        <w:rPr>
          <w:rFonts w:eastAsia="Calibri"/>
          <w:i/>
          <w:szCs w:val="24"/>
        </w:rPr>
        <w:t>euro</w:t>
      </w:r>
      <w:proofErr w:type="spellEnd"/>
      <w:r>
        <w:rPr>
          <w:rFonts w:eastAsia="Calibri"/>
          <w:szCs w:val="24"/>
        </w:rPr>
        <w:t xml:space="preserve"> un 31,4% gada ienākumiem virs 55 000 </w:t>
      </w:r>
      <w:proofErr w:type="spellStart"/>
      <w:r w:rsidRPr="00804843">
        <w:rPr>
          <w:rFonts w:eastAsia="Calibri"/>
          <w:i/>
          <w:szCs w:val="24"/>
        </w:rPr>
        <w:t>euro</w:t>
      </w:r>
      <w:proofErr w:type="spellEnd"/>
      <w:r>
        <w:rPr>
          <w:rFonts w:eastAsia="Calibri"/>
          <w:szCs w:val="24"/>
        </w:rPr>
        <w:t>;</w:t>
      </w:r>
    </w:p>
    <w:p w14:paraId="6DDE4D40" w14:textId="77777777" w:rsidR="00E9675F" w:rsidRDefault="00E9675F" w:rsidP="00E9675F">
      <w:pPr>
        <w:pStyle w:val="NoSpacing"/>
        <w:numPr>
          <w:ilvl w:val="0"/>
          <w:numId w:val="44"/>
        </w:numPr>
        <w:spacing w:line="276" w:lineRule="auto"/>
        <w:rPr>
          <w:rFonts w:eastAsia="Calibri"/>
          <w:szCs w:val="24"/>
        </w:rPr>
      </w:pPr>
      <w:r>
        <w:rPr>
          <w:rFonts w:eastAsia="Calibri"/>
          <w:szCs w:val="24"/>
        </w:rPr>
        <w:t xml:space="preserve">Stabilitātes programmā tika norādīts, ka atvieglojums par apgādībā esošām personām 2018.gadā būs 250 </w:t>
      </w:r>
      <w:proofErr w:type="spellStart"/>
      <w:r w:rsidRPr="00804843">
        <w:rPr>
          <w:rFonts w:eastAsia="Calibri"/>
          <w:i/>
          <w:szCs w:val="24"/>
        </w:rPr>
        <w:t>euro</w:t>
      </w:r>
      <w:proofErr w:type="spellEnd"/>
      <w:r>
        <w:rPr>
          <w:rFonts w:eastAsia="Calibri"/>
          <w:szCs w:val="24"/>
        </w:rPr>
        <w:t xml:space="preserve">, savukārt uz VTBIL tika apstiprināts, ka atvieglojums par apgādībā esošām personām 2018.gadā būs 200 </w:t>
      </w:r>
      <w:proofErr w:type="spellStart"/>
      <w:r w:rsidRPr="00804843">
        <w:rPr>
          <w:rFonts w:eastAsia="Calibri"/>
          <w:i/>
          <w:szCs w:val="24"/>
        </w:rPr>
        <w:t>euro</w:t>
      </w:r>
      <w:proofErr w:type="spellEnd"/>
      <w:r>
        <w:rPr>
          <w:rFonts w:eastAsia="Calibri"/>
          <w:szCs w:val="24"/>
        </w:rPr>
        <w:t xml:space="preserve">; </w:t>
      </w:r>
    </w:p>
    <w:p w14:paraId="0446927B" w14:textId="77777777" w:rsidR="00E9675F" w:rsidRDefault="00E9675F" w:rsidP="00E9675F">
      <w:pPr>
        <w:pStyle w:val="NoSpacing"/>
        <w:numPr>
          <w:ilvl w:val="0"/>
          <w:numId w:val="44"/>
        </w:numPr>
        <w:spacing w:line="276" w:lineRule="auto"/>
        <w:rPr>
          <w:rFonts w:eastAsia="Calibri"/>
          <w:szCs w:val="24"/>
        </w:rPr>
      </w:pPr>
      <w:r>
        <w:rPr>
          <w:rFonts w:eastAsia="Calibri"/>
          <w:szCs w:val="24"/>
        </w:rPr>
        <w:t xml:space="preserve">Stabilitātes programma tika norādīts, ka neapliekamais minimums pensionāriem 2018.gadā būs 300 </w:t>
      </w:r>
      <w:proofErr w:type="spellStart"/>
      <w:r w:rsidRPr="00804843">
        <w:rPr>
          <w:rFonts w:eastAsia="Calibri"/>
          <w:i/>
          <w:szCs w:val="24"/>
        </w:rPr>
        <w:t>euro</w:t>
      </w:r>
      <w:proofErr w:type="spellEnd"/>
      <w:r>
        <w:rPr>
          <w:rFonts w:eastAsia="Calibri"/>
          <w:szCs w:val="24"/>
        </w:rPr>
        <w:t xml:space="preserve">, savukārt uz VTBIL neapliekamais minimums pensionāriem tika apstiprināts 250 </w:t>
      </w:r>
      <w:proofErr w:type="spellStart"/>
      <w:r w:rsidRPr="00804843">
        <w:rPr>
          <w:rFonts w:eastAsia="Calibri"/>
          <w:i/>
          <w:szCs w:val="24"/>
        </w:rPr>
        <w:t>euro</w:t>
      </w:r>
      <w:proofErr w:type="spellEnd"/>
      <w:r>
        <w:rPr>
          <w:rFonts w:eastAsia="Calibri"/>
          <w:szCs w:val="24"/>
        </w:rPr>
        <w:t xml:space="preserve"> apmērā.  </w:t>
      </w:r>
    </w:p>
    <w:p w14:paraId="226E2079" w14:textId="4934DA28" w:rsidR="00E9675F" w:rsidRDefault="00E9675F" w:rsidP="00E9675F">
      <w:pPr>
        <w:pStyle w:val="NoSpacing"/>
        <w:numPr>
          <w:ilvl w:val="0"/>
          <w:numId w:val="43"/>
        </w:numPr>
        <w:spacing w:line="276" w:lineRule="auto"/>
        <w:rPr>
          <w:rFonts w:eastAsia="Calibri"/>
          <w:szCs w:val="24"/>
        </w:rPr>
      </w:pPr>
      <w:r>
        <w:rPr>
          <w:rFonts w:eastAsia="Calibri"/>
          <w:szCs w:val="24"/>
        </w:rPr>
        <w:t xml:space="preserve">Uz VTBIL tika apstiprināts </w:t>
      </w:r>
      <w:r w:rsidR="00271789">
        <w:rPr>
          <w:rFonts w:eastAsia="Calibri"/>
          <w:szCs w:val="24"/>
        </w:rPr>
        <w:t>VSAOI</w:t>
      </w:r>
      <w:r>
        <w:rPr>
          <w:rFonts w:eastAsia="Calibri"/>
          <w:szCs w:val="24"/>
        </w:rPr>
        <w:t xml:space="preserve"> likmes palielinājums 1 procentpunkta apmērā, tādējādi kopējā </w:t>
      </w:r>
      <w:r w:rsidR="00271789">
        <w:rPr>
          <w:rFonts w:eastAsia="Calibri"/>
          <w:szCs w:val="24"/>
        </w:rPr>
        <w:t xml:space="preserve">VSAOI </w:t>
      </w:r>
      <w:r>
        <w:rPr>
          <w:rFonts w:eastAsia="Calibri"/>
          <w:szCs w:val="24"/>
        </w:rPr>
        <w:t xml:space="preserve">likme sasniegs 35,09%, attiecīgi palielinājuma daļu 0,5% maksājot darba devējam un 0,5% - darba ņēmējam, kas pilnībā tiks novirzīts veselības reformas finansēšanai. </w:t>
      </w:r>
      <w:r w:rsidR="00271789">
        <w:rPr>
          <w:rFonts w:eastAsia="Calibri"/>
          <w:szCs w:val="24"/>
        </w:rPr>
        <w:t xml:space="preserve">VSAOI </w:t>
      </w:r>
      <w:r>
        <w:rPr>
          <w:rFonts w:eastAsia="Calibri"/>
          <w:szCs w:val="24"/>
        </w:rPr>
        <w:t xml:space="preserve">palielināšana par 1 procentpunktu </w:t>
      </w:r>
      <w:r>
        <w:rPr>
          <w:rFonts w:eastAsia="Calibri"/>
          <w:szCs w:val="24"/>
        </w:rPr>
        <w:lastRenderedPageBreak/>
        <w:t xml:space="preserve">palielinās </w:t>
      </w:r>
      <w:r w:rsidR="00271789">
        <w:rPr>
          <w:rFonts w:eastAsia="Calibri"/>
          <w:szCs w:val="24"/>
        </w:rPr>
        <w:t xml:space="preserve">VSAOI </w:t>
      </w:r>
      <w:r>
        <w:rPr>
          <w:rFonts w:eastAsia="Calibri"/>
          <w:szCs w:val="24"/>
        </w:rPr>
        <w:t xml:space="preserve">ieņēmumus par 85,3 milj. </w:t>
      </w:r>
      <w:proofErr w:type="spellStart"/>
      <w:r w:rsidRPr="00992069">
        <w:rPr>
          <w:rFonts w:eastAsia="Calibri"/>
          <w:i/>
          <w:szCs w:val="24"/>
        </w:rPr>
        <w:t>euro</w:t>
      </w:r>
      <w:proofErr w:type="spellEnd"/>
      <w:r>
        <w:rPr>
          <w:rFonts w:eastAsia="Calibri"/>
          <w:szCs w:val="24"/>
        </w:rPr>
        <w:t xml:space="preserve"> 2018.gadā, bet tā kā ieņēmumi pilnībā tiek novirzīti veselības finansēšanai, tad ietekme uz vispārējās valdības budžeta bilanci ir neitrāla.</w:t>
      </w:r>
    </w:p>
    <w:p w14:paraId="75E086BD" w14:textId="77777777" w:rsidR="00E9675F" w:rsidRPr="007724C0" w:rsidRDefault="00E9675F" w:rsidP="00E9675F">
      <w:pPr>
        <w:pStyle w:val="NoSpacing"/>
        <w:numPr>
          <w:ilvl w:val="0"/>
          <w:numId w:val="43"/>
        </w:numPr>
        <w:spacing w:line="276" w:lineRule="auto"/>
        <w:rPr>
          <w:rFonts w:eastAsia="Calibri"/>
          <w:szCs w:val="24"/>
        </w:rPr>
      </w:pPr>
      <w:r w:rsidRPr="007724C0">
        <w:rPr>
          <w:rFonts w:eastAsia="Calibri"/>
          <w:szCs w:val="24"/>
        </w:rPr>
        <w:t xml:space="preserve">Salīdzinājumā ar pavasarī plānoto nodokļu reformu tika veikta virkne izmaiņu UIN regulējumā, ar 2018.gadā tiks ieviesta pakāpeniska atteikšanās no UIN avansa - mainot UIN regulējumu būs iespējams saglabāt avansu 50% apmērā par 2018.gadu (ietekme uz vispārējās budžeta bilanci </w:t>
      </w:r>
      <w:r>
        <w:rPr>
          <w:rFonts w:eastAsia="Calibri"/>
          <w:szCs w:val="24"/>
        </w:rPr>
        <w:t>+0,4% uz IKP</w:t>
      </w:r>
      <w:r w:rsidRPr="007724C0">
        <w:rPr>
          <w:rFonts w:eastAsia="Calibri"/>
          <w:szCs w:val="24"/>
        </w:rPr>
        <w:t>).</w:t>
      </w:r>
    </w:p>
    <w:p w14:paraId="641E40D8" w14:textId="24A540FE" w:rsidR="00E9675F" w:rsidRDefault="00E9675F" w:rsidP="00E9675F">
      <w:pPr>
        <w:pStyle w:val="NoSpacing"/>
        <w:spacing w:line="276" w:lineRule="auto"/>
        <w:ind w:firstLine="720"/>
      </w:pPr>
      <w:r w:rsidRPr="00FF423F">
        <w:rPr>
          <w:rFonts w:eastAsia="Calibri"/>
          <w:szCs w:val="24"/>
        </w:rPr>
        <w:t>Uzsākot 201</w:t>
      </w:r>
      <w:r>
        <w:rPr>
          <w:rFonts w:eastAsia="Calibri"/>
          <w:szCs w:val="24"/>
        </w:rPr>
        <w:t>8</w:t>
      </w:r>
      <w:r w:rsidRPr="00FF423F">
        <w:rPr>
          <w:rFonts w:eastAsia="Calibri"/>
          <w:szCs w:val="24"/>
        </w:rPr>
        <w:t xml:space="preserve">.gada budžeta izstrādi valdība </w:t>
      </w:r>
      <w:r>
        <w:rPr>
          <w:rFonts w:eastAsia="Calibri"/>
          <w:szCs w:val="24"/>
        </w:rPr>
        <w:t xml:space="preserve">kā prioritāro virzienu noteica veselības sistēmas reformu - </w:t>
      </w:r>
      <w:r w:rsidRPr="00875573">
        <w:t xml:space="preserve">veselības reformas finansēšanai ir paredzēti finanšu līdzekļi, izmantojot pieejamo deficīta atkāpi 2018.gadā, paredzot, ka 2018.gadā papildus finansējums ir 113,4 milj. </w:t>
      </w:r>
      <w:proofErr w:type="spellStart"/>
      <w:r w:rsidRPr="00875573">
        <w:rPr>
          <w:i/>
        </w:rPr>
        <w:t>euro</w:t>
      </w:r>
      <w:proofErr w:type="spellEnd"/>
      <w:r w:rsidRPr="00875573">
        <w:rPr>
          <w:i/>
        </w:rPr>
        <w:t xml:space="preserve">, </w:t>
      </w:r>
      <w:r w:rsidRPr="00875573">
        <w:t xml:space="preserve">kā arī veselības reformas finansēšanai tiks novirzīts 1 procentpunkts no </w:t>
      </w:r>
      <w:r w:rsidR="00271789">
        <w:rPr>
          <w:rFonts w:eastAsia="Calibri"/>
          <w:szCs w:val="24"/>
        </w:rPr>
        <w:t>VSAOI</w:t>
      </w:r>
      <w:r w:rsidRPr="00875573">
        <w:t>, kas 2018.gadā sasniegs 85,3 milj.</w:t>
      </w:r>
      <w:r w:rsidRPr="00875573">
        <w:rPr>
          <w:i/>
        </w:rPr>
        <w:t xml:space="preserve"> </w:t>
      </w:r>
      <w:proofErr w:type="spellStart"/>
      <w:r w:rsidRPr="00875573">
        <w:rPr>
          <w:i/>
        </w:rPr>
        <w:t>euro</w:t>
      </w:r>
      <w:proofErr w:type="spellEnd"/>
      <w:r w:rsidRPr="00875573">
        <w:rPr>
          <w:i/>
        </w:rPr>
        <w:t xml:space="preserve">. </w:t>
      </w:r>
      <w:r w:rsidRPr="00875573">
        <w:t xml:space="preserve">Izdevumi aizsardzībai sākot no 2018.gada un visā vidējā termiņā tiek plānoti 2,0% no IKP apmērā. </w:t>
      </w:r>
    </w:p>
    <w:p w14:paraId="77AA7D7A" w14:textId="175FF2A5" w:rsidR="00E9675F" w:rsidRDefault="00E9675F" w:rsidP="00E9675F">
      <w:pPr>
        <w:pStyle w:val="NoSpacing"/>
        <w:spacing w:line="276" w:lineRule="auto"/>
        <w:ind w:firstLine="720"/>
        <w:rPr>
          <w:rFonts w:eastAsia="Calibri"/>
          <w:szCs w:val="24"/>
        </w:rPr>
      </w:pPr>
      <w:r w:rsidRPr="00FF423F">
        <w:rPr>
          <w:rFonts w:eastAsia="Calibri"/>
          <w:szCs w:val="24"/>
        </w:rPr>
        <w:t>Ņemot vērā augstāk minēto lēmumu kopumu 201</w:t>
      </w:r>
      <w:r>
        <w:rPr>
          <w:rFonts w:eastAsia="Calibri"/>
          <w:szCs w:val="24"/>
        </w:rPr>
        <w:t>8</w:t>
      </w:r>
      <w:r w:rsidRPr="00FF423F">
        <w:rPr>
          <w:rFonts w:eastAsia="Calibri"/>
          <w:szCs w:val="24"/>
        </w:rPr>
        <w:t>.gada vispārējās valdības budžeta deficīts tiek prognozēts 1,</w:t>
      </w:r>
      <w:r>
        <w:rPr>
          <w:rFonts w:eastAsia="Calibri"/>
          <w:szCs w:val="24"/>
        </w:rPr>
        <w:t>0</w:t>
      </w:r>
      <w:r w:rsidRPr="00FF423F">
        <w:rPr>
          <w:rFonts w:eastAsia="Calibri"/>
          <w:szCs w:val="24"/>
        </w:rPr>
        <w:t>% no IKP apmērā</w:t>
      </w:r>
      <w:r w:rsidRPr="00FF423F">
        <w:rPr>
          <w:rStyle w:val="FootnoteReference"/>
          <w:rFonts w:ascii="Times New Roman" w:eastAsia="Calibri" w:hAnsi="Times New Roman"/>
          <w:sz w:val="24"/>
          <w:szCs w:val="24"/>
        </w:rPr>
        <w:footnoteReference w:id="5"/>
      </w:r>
      <w:r w:rsidRPr="00FF423F">
        <w:rPr>
          <w:rFonts w:eastAsia="Calibri"/>
          <w:szCs w:val="24"/>
        </w:rPr>
        <w:t>, kas ņemot vērā budžeta c</w:t>
      </w:r>
      <w:r>
        <w:rPr>
          <w:rFonts w:eastAsia="Calibri"/>
          <w:szCs w:val="24"/>
        </w:rPr>
        <w:t xml:space="preserve">iklisko komponenti </w:t>
      </w:r>
      <w:r w:rsidRPr="00FF423F">
        <w:rPr>
          <w:rFonts w:eastAsia="Calibri"/>
          <w:szCs w:val="24"/>
        </w:rPr>
        <w:t>0,1% no IKP – atbilst vispārējās valdības budžeta strukturālā deficīta mērķim -1,</w:t>
      </w:r>
      <w:r>
        <w:rPr>
          <w:rFonts w:eastAsia="Calibri"/>
          <w:szCs w:val="24"/>
        </w:rPr>
        <w:t>2</w:t>
      </w:r>
      <w:r w:rsidRPr="00FF423F">
        <w:rPr>
          <w:rFonts w:eastAsia="Calibri"/>
          <w:szCs w:val="24"/>
        </w:rPr>
        <w:t>% no IKP.</w:t>
      </w:r>
    </w:p>
    <w:p w14:paraId="56EC7054" w14:textId="77777777" w:rsidR="009001CB" w:rsidRPr="004171A5" w:rsidRDefault="009001CB" w:rsidP="00E9675F">
      <w:pPr>
        <w:pStyle w:val="NoSpacing"/>
        <w:spacing w:line="276" w:lineRule="auto"/>
        <w:ind w:firstLine="720"/>
        <w:rPr>
          <w:rFonts w:eastAsia="Calibri"/>
          <w:szCs w:val="24"/>
        </w:rPr>
      </w:pPr>
    </w:p>
    <w:p w14:paraId="76DDADDD" w14:textId="0FFA5F87" w:rsidR="00237652" w:rsidRPr="000D29EE" w:rsidRDefault="00237652" w:rsidP="004171A5">
      <w:pPr>
        <w:pStyle w:val="Heading1"/>
        <w:tabs>
          <w:tab w:val="left" w:pos="1276"/>
        </w:tabs>
        <w:spacing w:before="120" w:after="120"/>
        <w:ind w:left="1276" w:hanging="1276"/>
        <w:jc w:val="left"/>
        <w:rPr>
          <w:rFonts w:ascii="Times New Roman" w:hAnsi="Times New Roman"/>
        </w:rPr>
      </w:pPr>
      <w:r w:rsidRPr="00323B3B">
        <w:rPr>
          <w:rFonts w:ascii="Times New Roman" w:hAnsi="Times New Roman"/>
          <w:color w:val="18185F"/>
          <w:sz w:val="24"/>
        </w:rPr>
        <w:t>Tabula 7: Salīdzinājums ar Stabilitātes programmu 201</w:t>
      </w:r>
      <w:r w:rsidR="006B28DB">
        <w:rPr>
          <w:rFonts w:ascii="Times New Roman" w:hAnsi="Times New Roman"/>
          <w:color w:val="18185F"/>
          <w:sz w:val="24"/>
          <w:lang w:val="lv-LV"/>
        </w:rPr>
        <w:t>7</w:t>
      </w:r>
      <w:r w:rsidR="000D29EE" w:rsidRPr="00323B3B">
        <w:rPr>
          <w:rFonts w:ascii="Times New Roman" w:hAnsi="Times New Roman"/>
          <w:color w:val="18185F"/>
          <w:sz w:val="24"/>
          <w:lang w:val="lv-LV"/>
        </w:rPr>
        <w:t>.</w:t>
      </w:r>
      <w:r w:rsidR="006B28DB">
        <w:rPr>
          <w:rFonts w:ascii="Times New Roman" w:hAnsi="Times New Roman"/>
          <w:color w:val="18185F"/>
          <w:sz w:val="24"/>
        </w:rPr>
        <w:t>-2020</w:t>
      </w:r>
      <w:r w:rsidR="000D29EE" w:rsidRPr="00323B3B">
        <w:rPr>
          <w:rFonts w:ascii="Times New Roman" w:hAnsi="Times New Roman"/>
          <w:color w:val="18185F"/>
          <w:sz w:val="24"/>
          <w:lang w:val="lv-LV"/>
        </w:rPr>
        <w:t>.gadam</w:t>
      </w:r>
      <w:bookmarkEnd w:id="31"/>
    </w:p>
    <w:tbl>
      <w:tblPr>
        <w:tblStyle w:val="GridTable6Colorful-Accent11"/>
        <w:tblW w:w="9067" w:type="dxa"/>
        <w:jc w:val="center"/>
        <w:tblLook w:val="04A0" w:firstRow="1" w:lastRow="0" w:firstColumn="1" w:lastColumn="0" w:noHBand="0" w:noVBand="1"/>
      </w:tblPr>
      <w:tblGrid>
        <w:gridCol w:w="5548"/>
        <w:gridCol w:w="960"/>
        <w:gridCol w:w="858"/>
        <w:gridCol w:w="851"/>
        <w:gridCol w:w="850"/>
      </w:tblGrid>
      <w:tr w:rsidR="00237652" w:rsidRPr="00976103" w14:paraId="0B41BFF0" w14:textId="77777777" w:rsidTr="00767772">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31640175" w14:textId="77777777" w:rsidR="00237652" w:rsidRPr="00976103" w:rsidRDefault="00237652" w:rsidP="002E4551">
            <w:pPr>
              <w:spacing w:after="0"/>
              <w:ind w:firstLine="0"/>
              <w:jc w:val="left"/>
              <w:rPr>
                <w:color w:val="000000"/>
                <w:szCs w:val="24"/>
                <w:lang w:eastAsia="lv-LV"/>
              </w:rPr>
            </w:pPr>
            <w:r w:rsidRPr="00976103">
              <w:rPr>
                <w:color w:val="000000"/>
                <w:szCs w:val="24"/>
                <w:lang w:eastAsia="lv-LV"/>
              </w:rPr>
              <w:t> </w:t>
            </w:r>
          </w:p>
        </w:tc>
        <w:tc>
          <w:tcPr>
            <w:tcW w:w="960" w:type="dxa"/>
            <w:vAlign w:val="center"/>
            <w:hideMark/>
          </w:tcPr>
          <w:p w14:paraId="6498ADF5" w14:textId="4A8811FA" w:rsidR="00237652" w:rsidRPr="00AA5420" w:rsidRDefault="00237652"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Pr>
                <w:color w:val="000000"/>
                <w:szCs w:val="24"/>
                <w:lang w:eastAsia="lv-LV"/>
              </w:rPr>
              <w:t>EKS</w:t>
            </w:r>
            <w:r w:rsidRPr="00AA5420">
              <w:rPr>
                <w:color w:val="000000"/>
                <w:szCs w:val="24"/>
                <w:lang w:eastAsia="lv-LV"/>
              </w:rPr>
              <w:t xml:space="preserve"> </w:t>
            </w:r>
            <w:r w:rsidR="00E839CD">
              <w:rPr>
                <w:color w:val="000000"/>
                <w:szCs w:val="24"/>
                <w:lang w:eastAsia="lv-LV"/>
              </w:rPr>
              <w:t>k</w:t>
            </w:r>
            <w:r>
              <w:rPr>
                <w:color w:val="000000"/>
                <w:szCs w:val="24"/>
                <w:lang w:eastAsia="lv-LV"/>
              </w:rPr>
              <w:t>ods</w:t>
            </w:r>
          </w:p>
        </w:tc>
        <w:tc>
          <w:tcPr>
            <w:tcW w:w="858" w:type="dxa"/>
            <w:vAlign w:val="center"/>
            <w:hideMark/>
          </w:tcPr>
          <w:p w14:paraId="505682A5" w14:textId="028391F9" w:rsidR="00237652" w:rsidRPr="00AA5420" w:rsidRDefault="00222993"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2016</w:t>
            </w:r>
          </w:p>
        </w:tc>
        <w:tc>
          <w:tcPr>
            <w:tcW w:w="851" w:type="dxa"/>
            <w:vAlign w:val="center"/>
            <w:hideMark/>
          </w:tcPr>
          <w:p w14:paraId="21DECA56" w14:textId="18FF2B5A" w:rsidR="00237652" w:rsidRPr="00AA5420" w:rsidRDefault="00222993"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2017</w:t>
            </w:r>
          </w:p>
        </w:tc>
        <w:tc>
          <w:tcPr>
            <w:tcW w:w="850" w:type="dxa"/>
            <w:vAlign w:val="center"/>
            <w:hideMark/>
          </w:tcPr>
          <w:p w14:paraId="7B050946" w14:textId="7CDC87EB" w:rsidR="00237652" w:rsidRPr="00AA5420" w:rsidRDefault="00222993"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2018</w:t>
            </w:r>
          </w:p>
        </w:tc>
      </w:tr>
      <w:tr w:rsidR="00237652" w:rsidRPr="00976103" w14:paraId="3047299E" w14:textId="77777777" w:rsidTr="00767772">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746D1740" w14:textId="77777777" w:rsidR="00237652" w:rsidRPr="00976103" w:rsidRDefault="00237652" w:rsidP="002E4551">
            <w:pPr>
              <w:spacing w:after="0"/>
              <w:ind w:firstLine="0"/>
              <w:jc w:val="center"/>
              <w:rPr>
                <w:color w:val="000000"/>
                <w:szCs w:val="24"/>
                <w:lang w:eastAsia="lv-LV"/>
              </w:rPr>
            </w:pPr>
          </w:p>
        </w:tc>
        <w:tc>
          <w:tcPr>
            <w:tcW w:w="960" w:type="dxa"/>
            <w:hideMark/>
          </w:tcPr>
          <w:p w14:paraId="1821F3E1"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559" w:type="dxa"/>
            <w:gridSpan w:val="3"/>
            <w:hideMark/>
          </w:tcPr>
          <w:p w14:paraId="6995BB81"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w:t>
            </w:r>
            <w:r>
              <w:rPr>
                <w:color w:val="000000"/>
                <w:szCs w:val="24"/>
                <w:lang w:eastAsia="lv-LV"/>
              </w:rPr>
              <w:t xml:space="preserve"> no IKP</w:t>
            </w:r>
            <w:r w:rsidRPr="00976103">
              <w:rPr>
                <w:color w:val="000000"/>
                <w:szCs w:val="24"/>
                <w:lang w:eastAsia="lv-LV"/>
              </w:rPr>
              <w:t xml:space="preserve"> </w:t>
            </w:r>
            <w:r w:rsidRPr="00351A0C">
              <w:rPr>
                <w:color w:val="000000"/>
                <w:szCs w:val="24"/>
                <w:lang w:eastAsia="lv-LV"/>
              </w:rPr>
              <w:t xml:space="preserve"> </w:t>
            </w:r>
          </w:p>
        </w:tc>
      </w:tr>
      <w:tr w:rsidR="00237652" w:rsidRPr="00976103" w14:paraId="35BCBE52" w14:textId="77777777" w:rsidTr="00767772">
        <w:trPr>
          <w:trHeight w:val="246"/>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35145F80" w14:textId="77777777" w:rsidR="00237652" w:rsidRPr="00976103" w:rsidRDefault="00237652" w:rsidP="00323B3B">
            <w:pPr>
              <w:spacing w:after="0"/>
              <w:ind w:firstLine="0"/>
              <w:jc w:val="left"/>
              <w:rPr>
                <w:bCs w:val="0"/>
                <w:color w:val="000000"/>
                <w:szCs w:val="24"/>
                <w:lang w:eastAsia="lv-LV"/>
              </w:rPr>
            </w:pPr>
            <w:r w:rsidRPr="00976103">
              <w:rPr>
                <w:color w:val="000000"/>
                <w:szCs w:val="24"/>
                <w:lang w:eastAsia="lv-LV"/>
              </w:rPr>
              <w:t>Vispārējās valdības budžeta bilance</w:t>
            </w:r>
          </w:p>
        </w:tc>
        <w:tc>
          <w:tcPr>
            <w:tcW w:w="960" w:type="dxa"/>
            <w:vAlign w:val="center"/>
            <w:hideMark/>
          </w:tcPr>
          <w:p w14:paraId="69A087D1" w14:textId="77777777" w:rsidR="00237652" w:rsidRPr="00976103"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B.9</w:t>
            </w:r>
          </w:p>
        </w:tc>
        <w:tc>
          <w:tcPr>
            <w:tcW w:w="2559" w:type="dxa"/>
            <w:gridSpan w:val="3"/>
            <w:hideMark/>
          </w:tcPr>
          <w:p w14:paraId="4E87405B" w14:textId="77777777" w:rsidR="00237652" w:rsidRPr="00976103" w:rsidRDefault="00237652" w:rsidP="002E4551">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 </w:t>
            </w:r>
          </w:p>
        </w:tc>
      </w:tr>
      <w:tr w:rsidR="00237652" w:rsidRPr="00976103" w14:paraId="410B0788" w14:textId="77777777" w:rsidTr="00767772">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24DE32C5"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Stabilitātes programma</w:t>
            </w:r>
          </w:p>
        </w:tc>
        <w:tc>
          <w:tcPr>
            <w:tcW w:w="960" w:type="dxa"/>
            <w:hideMark/>
          </w:tcPr>
          <w:p w14:paraId="7B4E8761" w14:textId="77777777" w:rsidR="00237652" w:rsidRPr="00976103" w:rsidRDefault="00237652" w:rsidP="002E4551">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0EAC8FF3" w14:textId="5D3D8BA2" w:rsidR="00237652" w:rsidRPr="00976103" w:rsidRDefault="000B12B3"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c>
          <w:tcPr>
            <w:tcW w:w="851" w:type="dxa"/>
            <w:vAlign w:val="center"/>
          </w:tcPr>
          <w:p w14:paraId="0D1B0C8F" w14:textId="4DE8F5D5" w:rsidR="00237652" w:rsidRPr="00976103" w:rsidRDefault="000B12B3"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-0,8</w:t>
            </w:r>
          </w:p>
        </w:tc>
        <w:tc>
          <w:tcPr>
            <w:tcW w:w="850" w:type="dxa"/>
            <w:vAlign w:val="center"/>
          </w:tcPr>
          <w:p w14:paraId="61BD9507" w14:textId="0B8E6BFE" w:rsidR="00237652" w:rsidRPr="00976103" w:rsidRDefault="000B12B3"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-1,6</w:t>
            </w:r>
          </w:p>
        </w:tc>
      </w:tr>
      <w:tr w:rsidR="00237652" w:rsidRPr="00976103" w14:paraId="5FFCC0FE" w14:textId="77777777" w:rsidTr="00767772">
        <w:trPr>
          <w:trHeight w:val="98"/>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F2CCC03"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Vispārējās valdības budžeta plāna projekts</w:t>
            </w:r>
          </w:p>
        </w:tc>
        <w:tc>
          <w:tcPr>
            <w:tcW w:w="960" w:type="dxa"/>
            <w:hideMark/>
          </w:tcPr>
          <w:p w14:paraId="549B8699" w14:textId="77777777" w:rsidR="00237652" w:rsidRPr="00976103" w:rsidRDefault="00237652" w:rsidP="002E4551">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6D8790EB" w14:textId="240A4187" w:rsidR="00237652" w:rsidRPr="00976103" w:rsidRDefault="000B12B3" w:rsidP="00323B3B">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-0,9</w:t>
            </w:r>
          </w:p>
        </w:tc>
        <w:tc>
          <w:tcPr>
            <w:tcW w:w="851" w:type="dxa"/>
            <w:vAlign w:val="center"/>
          </w:tcPr>
          <w:p w14:paraId="04CF7273" w14:textId="6BF11685" w:rsidR="00237652" w:rsidRPr="000020C5" w:rsidRDefault="000B12B3" w:rsidP="00323B3B">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-0,9</w:t>
            </w:r>
          </w:p>
        </w:tc>
        <w:tc>
          <w:tcPr>
            <w:tcW w:w="850" w:type="dxa"/>
            <w:vAlign w:val="center"/>
          </w:tcPr>
          <w:p w14:paraId="2566489F" w14:textId="5B8F6176" w:rsidR="00237652" w:rsidRPr="000020C5" w:rsidRDefault="000B12B3" w:rsidP="00323B3B">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-1,0</w:t>
            </w:r>
          </w:p>
        </w:tc>
      </w:tr>
      <w:tr w:rsidR="00237652" w:rsidRPr="00976103" w14:paraId="7966F9F4" w14:textId="77777777" w:rsidTr="00767772">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7E84CA2E"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Starpība</w:t>
            </w:r>
          </w:p>
        </w:tc>
        <w:tc>
          <w:tcPr>
            <w:tcW w:w="960" w:type="dxa"/>
            <w:hideMark/>
          </w:tcPr>
          <w:p w14:paraId="474D34DB"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77F18FFE" w14:textId="7845F3D8" w:rsidR="00237652" w:rsidRPr="00976103" w:rsidRDefault="000B12B3"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c>
          <w:tcPr>
            <w:tcW w:w="851" w:type="dxa"/>
            <w:vAlign w:val="center"/>
          </w:tcPr>
          <w:p w14:paraId="092E0CB2" w14:textId="243F4D10" w:rsidR="00237652" w:rsidRPr="000020C5" w:rsidRDefault="000B12B3"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c>
          <w:tcPr>
            <w:tcW w:w="850" w:type="dxa"/>
            <w:vAlign w:val="center"/>
          </w:tcPr>
          <w:p w14:paraId="46A9C13C" w14:textId="0F0C7281" w:rsidR="00237652" w:rsidRPr="000020C5" w:rsidRDefault="000B12B3" w:rsidP="00323B3B">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0,5</w:t>
            </w:r>
          </w:p>
        </w:tc>
      </w:tr>
      <w:tr w:rsidR="00237652" w:rsidRPr="00976103" w14:paraId="1C94A1CF" w14:textId="77777777" w:rsidTr="00767772">
        <w:trPr>
          <w:trHeight w:val="3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7E8FF9B3" w14:textId="77777777" w:rsidR="00237652" w:rsidRPr="00976103" w:rsidRDefault="00237652" w:rsidP="00323B3B">
            <w:pPr>
              <w:spacing w:after="0"/>
              <w:ind w:firstLine="0"/>
              <w:jc w:val="left"/>
              <w:rPr>
                <w:bCs w:val="0"/>
                <w:color w:val="000000"/>
                <w:szCs w:val="24"/>
                <w:lang w:eastAsia="lv-LV"/>
              </w:rPr>
            </w:pPr>
            <w:r w:rsidRPr="00976103">
              <w:rPr>
                <w:color w:val="000000"/>
                <w:szCs w:val="24"/>
                <w:lang w:eastAsia="lv-LV"/>
              </w:rPr>
              <w:t>Vispārējās valdības budžeta bilance pie nemainīgas politikas</w:t>
            </w:r>
          </w:p>
        </w:tc>
        <w:tc>
          <w:tcPr>
            <w:tcW w:w="960" w:type="dxa"/>
            <w:vAlign w:val="center"/>
            <w:hideMark/>
          </w:tcPr>
          <w:p w14:paraId="746B562A" w14:textId="77777777" w:rsidR="00237652" w:rsidRPr="00976103"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B.9</w:t>
            </w:r>
          </w:p>
        </w:tc>
        <w:tc>
          <w:tcPr>
            <w:tcW w:w="2559" w:type="dxa"/>
            <w:gridSpan w:val="3"/>
            <w:vAlign w:val="center"/>
          </w:tcPr>
          <w:p w14:paraId="54D57920" w14:textId="66AD5D6E" w:rsidR="00237652" w:rsidRPr="00976103" w:rsidRDefault="00237652" w:rsidP="002E4551">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000000"/>
                <w:szCs w:val="24"/>
                <w:lang w:eastAsia="lv-LV"/>
              </w:rPr>
            </w:pPr>
          </w:p>
        </w:tc>
      </w:tr>
      <w:tr w:rsidR="00237652" w:rsidRPr="00323B3B" w14:paraId="659B5D00" w14:textId="77777777" w:rsidTr="0076777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0D104C3B"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Stabilitātes programma</w:t>
            </w:r>
          </w:p>
        </w:tc>
        <w:tc>
          <w:tcPr>
            <w:tcW w:w="960" w:type="dxa"/>
            <w:hideMark/>
          </w:tcPr>
          <w:p w14:paraId="45493898" w14:textId="77777777" w:rsidR="00237652" w:rsidRPr="00323B3B"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250CEBCC" w14:textId="67E84485" w:rsidR="00237652" w:rsidRPr="00323B3B" w:rsidRDefault="000B12B3"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-1,0</w:t>
            </w:r>
          </w:p>
        </w:tc>
        <w:tc>
          <w:tcPr>
            <w:tcW w:w="851" w:type="dxa"/>
            <w:vAlign w:val="center"/>
          </w:tcPr>
          <w:p w14:paraId="7BBEBD02" w14:textId="5B2B9052" w:rsidR="00237652" w:rsidRPr="00323B3B" w:rsidRDefault="000B12B3"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-0,8</w:t>
            </w:r>
          </w:p>
        </w:tc>
        <w:tc>
          <w:tcPr>
            <w:tcW w:w="850" w:type="dxa"/>
            <w:vAlign w:val="center"/>
          </w:tcPr>
          <w:p w14:paraId="5F65F601" w14:textId="0BFA2DAE" w:rsidR="00237652" w:rsidRPr="00323B3B" w:rsidRDefault="000B12B3"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-1,5</w:t>
            </w:r>
          </w:p>
        </w:tc>
      </w:tr>
      <w:tr w:rsidR="00237652" w:rsidRPr="00323B3B" w14:paraId="04417902" w14:textId="77777777" w:rsidTr="00767772">
        <w:trPr>
          <w:trHeight w:val="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144BC4A2" w14:textId="77777777" w:rsidR="00237652" w:rsidRPr="00323B3B" w:rsidRDefault="00237652" w:rsidP="00323B3B">
            <w:pPr>
              <w:spacing w:after="0"/>
              <w:ind w:firstLine="0"/>
              <w:jc w:val="left"/>
              <w:rPr>
                <w:b w:val="0"/>
                <w:color w:val="000000"/>
                <w:szCs w:val="24"/>
                <w:lang w:eastAsia="lv-LV"/>
              </w:rPr>
            </w:pPr>
            <w:r w:rsidRPr="00323B3B">
              <w:rPr>
                <w:b w:val="0"/>
                <w:color w:val="000000"/>
                <w:szCs w:val="24"/>
                <w:lang w:eastAsia="lv-LV"/>
              </w:rPr>
              <w:t>Vispārējās valdības budžeta plāna projekts</w:t>
            </w:r>
          </w:p>
        </w:tc>
        <w:tc>
          <w:tcPr>
            <w:tcW w:w="960" w:type="dxa"/>
            <w:hideMark/>
          </w:tcPr>
          <w:p w14:paraId="39C34974" w14:textId="77777777" w:rsidR="00237652" w:rsidRPr="00323B3B" w:rsidRDefault="00237652" w:rsidP="002E455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13E5AF60" w14:textId="4169732C" w:rsidR="00237652" w:rsidRPr="00323B3B" w:rsidRDefault="000B12B3" w:rsidP="000D29EE">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-0,9</w:t>
            </w:r>
          </w:p>
        </w:tc>
        <w:tc>
          <w:tcPr>
            <w:tcW w:w="851" w:type="dxa"/>
            <w:vAlign w:val="center"/>
          </w:tcPr>
          <w:p w14:paraId="6D85AD3F" w14:textId="68633D32" w:rsidR="00237652" w:rsidRPr="00323B3B" w:rsidRDefault="000B12B3" w:rsidP="002E4551">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-0,4</w:t>
            </w:r>
          </w:p>
        </w:tc>
        <w:tc>
          <w:tcPr>
            <w:tcW w:w="850" w:type="dxa"/>
            <w:vAlign w:val="center"/>
          </w:tcPr>
          <w:p w14:paraId="3C542CA5" w14:textId="36DAC1E7" w:rsidR="00237652" w:rsidRPr="00323B3B" w:rsidRDefault="000B12B3" w:rsidP="000D29EE">
            <w:pPr>
              <w:spacing w:after="0"/>
              <w:ind w:firstLine="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-0,8</w:t>
            </w:r>
          </w:p>
        </w:tc>
      </w:tr>
      <w:tr w:rsidR="00237652" w:rsidRPr="00323B3B" w14:paraId="455063D2" w14:textId="77777777" w:rsidTr="0076777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ECBE4A4" w14:textId="74BDD384" w:rsidR="00237652" w:rsidRPr="00323B3B" w:rsidRDefault="00237652" w:rsidP="00EF7242">
            <w:pPr>
              <w:spacing w:after="0"/>
              <w:ind w:firstLine="0"/>
              <w:jc w:val="left"/>
              <w:rPr>
                <w:b w:val="0"/>
                <w:color w:val="000000"/>
                <w:szCs w:val="24"/>
                <w:lang w:eastAsia="lv-LV"/>
              </w:rPr>
            </w:pPr>
            <w:r w:rsidRPr="00323B3B">
              <w:rPr>
                <w:b w:val="0"/>
                <w:color w:val="000000"/>
                <w:szCs w:val="24"/>
                <w:lang w:eastAsia="lv-LV"/>
              </w:rPr>
              <w:t>Starpība</w:t>
            </w:r>
          </w:p>
        </w:tc>
        <w:tc>
          <w:tcPr>
            <w:tcW w:w="960" w:type="dxa"/>
            <w:hideMark/>
          </w:tcPr>
          <w:p w14:paraId="4F0F5A25" w14:textId="77777777" w:rsidR="00237652" w:rsidRPr="00323B3B"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1B020CDE" w14:textId="147B5330" w:rsidR="00237652" w:rsidRPr="00323B3B" w:rsidRDefault="000B12B3"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0,1</w:t>
            </w:r>
          </w:p>
        </w:tc>
        <w:tc>
          <w:tcPr>
            <w:tcW w:w="851" w:type="dxa"/>
            <w:vAlign w:val="center"/>
          </w:tcPr>
          <w:p w14:paraId="38B468CE" w14:textId="6CBC8303" w:rsidR="00237652" w:rsidRPr="00323B3B" w:rsidRDefault="000B12B3"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0,4</w:t>
            </w:r>
          </w:p>
        </w:tc>
        <w:tc>
          <w:tcPr>
            <w:tcW w:w="850" w:type="dxa"/>
            <w:vAlign w:val="center"/>
          </w:tcPr>
          <w:p w14:paraId="7C257D99" w14:textId="5FF35D16" w:rsidR="00237652" w:rsidRPr="00323B3B" w:rsidRDefault="000B12B3" w:rsidP="002E4551">
            <w:pPr>
              <w:spacing w:after="0"/>
              <w:ind w:firstLine="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0,7</w:t>
            </w:r>
          </w:p>
        </w:tc>
      </w:tr>
    </w:tbl>
    <w:p w14:paraId="145BE2B3" w14:textId="77ABE007" w:rsidR="00237652" w:rsidRPr="00323B3B" w:rsidRDefault="00237652" w:rsidP="00237652">
      <w:pPr>
        <w:spacing w:after="0"/>
        <w:ind w:firstLine="0"/>
        <w:jc w:val="left"/>
        <w:rPr>
          <w:color w:val="000000" w:themeColor="text1"/>
          <w:szCs w:val="24"/>
        </w:rPr>
        <w:sectPr w:rsidR="00237652" w:rsidRPr="00323B3B" w:rsidSect="008A4D03">
          <w:pgSz w:w="11906" w:h="16838"/>
          <w:pgMar w:top="1418" w:right="1134" w:bottom="709" w:left="1701" w:header="1077" w:footer="624" w:gutter="0"/>
          <w:cols w:space="708"/>
          <w:docGrid w:linePitch="360"/>
        </w:sectPr>
      </w:pPr>
    </w:p>
    <w:p w14:paraId="2414BA35" w14:textId="72647348" w:rsidR="00B71106" w:rsidRPr="00B71106" w:rsidRDefault="00B71106" w:rsidP="00B71106">
      <w:pPr>
        <w:pStyle w:val="Heading1"/>
        <w:tabs>
          <w:tab w:val="left" w:pos="1276"/>
        </w:tabs>
        <w:spacing w:before="0" w:after="240"/>
        <w:ind w:firstLine="0"/>
        <w:jc w:val="center"/>
        <w:rPr>
          <w:rFonts w:ascii="Times New Roman" w:hAnsi="Times New Roman"/>
          <w:color w:val="18185E"/>
          <w:sz w:val="28"/>
        </w:rPr>
      </w:pPr>
      <w:bookmarkStart w:id="32" w:name="_Toc494786363"/>
      <w:r>
        <w:rPr>
          <w:rFonts w:ascii="Times New Roman" w:hAnsi="Times New Roman"/>
          <w:color w:val="18185E"/>
          <w:sz w:val="28"/>
          <w:lang w:val="lv-LV"/>
        </w:rPr>
        <w:lastRenderedPageBreak/>
        <w:t>Pielikums: Metodoloģiskie aspekti</w:t>
      </w:r>
      <w:bookmarkEnd w:id="32"/>
    </w:p>
    <w:p w14:paraId="2EA5767A" w14:textId="00156C8A" w:rsidR="005C0B54" w:rsidRPr="003B3EC9" w:rsidRDefault="005C0B54" w:rsidP="005C1F92">
      <w:pPr>
        <w:spacing w:after="0" w:line="276" w:lineRule="auto"/>
        <w:rPr>
          <w:sz w:val="22"/>
        </w:rPr>
      </w:pPr>
      <w:r w:rsidRPr="003B3EC9">
        <w:t xml:space="preserve">Makroekonomiskās prognozes tiek veidotas vidēja termiņa makroekonomiskajā modelī, kas nodrošina makroekonomisko </w:t>
      </w:r>
      <w:r w:rsidR="00A94225" w:rsidRPr="003B3EC9">
        <w:t xml:space="preserve">likumsakarību </w:t>
      </w:r>
      <w:r w:rsidRPr="003B3EC9">
        <w:t>ievērošanu prognozēs un par pamatu izmanto īstermiņa un vidēja termiņa ekonometrisko modeļu rezultātus, kā arī eksperta vērtējumus.</w:t>
      </w:r>
    </w:p>
    <w:p w14:paraId="1CBEE57D" w14:textId="183D8CC5" w:rsidR="005C0B54" w:rsidRPr="003B3EC9" w:rsidRDefault="005C0B54" w:rsidP="005C1F92">
      <w:pPr>
        <w:spacing w:after="0" w:line="276" w:lineRule="auto"/>
        <w:ind w:firstLine="720"/>
      </w:pPr>
      <w:r w:rsidRPr="003B3EC9">
        <w:t>Sagatavojot nodokļu ieņēmumu prognozes tiek izmantotas plaši pazīstamas prognozēšanas metodes un pieņēmumi, tomēr visvairāk tiek izmantots prognozēšanai speciāli izstrādāts rīks, t.i., modelis LATIM-F. Biežāk izmantotie nodokļu ieņēmumu prognozēšanas paņēmieni:</w:t>
      </w:r>
    </w:p>
    <w:p w14:paraId="25D317BE" w14:textId="77777777" w:rsidR="00E0622C" w:rsidRPr="003B3EC9" w:rsidRDefault="005C0B54" w:rsidP="005C1F92">
      <w:pPr>
        <w:pStyle w:val="ListParagraph"/>
        <w:numPr>
          <w:ilvl w:val="0"/>
          <w:numId w:val="15"/>
        </w:numPr>
        <w:spacing w:after="0"/>
        <w:contextualSpacing w:val="0"/>
        <w:rPr>
          <w:rFonts w:ascii="Times New Roman" w:hAnsi="Times New Roman"/>
        </w:rPr>
      </w:pPr>
      <w:r w:rsidRPr="003B3EC9">
        <w:rPr>
          <w:rFonts w:ascii="Times New Roman" w:hAnsi="Times New Roman"/>
          <w:sz w:val="24"/>
          <w:szCs w:val="24"/>
        </w:rPr>
        <w:t>izmantojot detalizētu nodokļa ieņēmumu aprēķinu;</w:t>
      </w:r>
    </w:p>
    <w:p w14:paraId="2643C6AE" w14:textId="77777777" w:rsidR="00E0622C" w:rsidRPr="003B3EC9" w:rsidRDefault="005C0B54" w:rsidP="005C1F92">
      <w:pPr>
        <w:pStyle w:val="ListParagraph"/>
        <w:numPr>
          <w:ilvl w:val="0"/>
          <w:numId w:val="15"/>
        </w:numPr>
        <w:spacing w:after="0"/>
        <w:contextualSpacing w:val="0"/>
        <w:rPr>
          <w:rFonts w:ascii="Times New Roman" w:hAnsi="Times New Roman"/>
        </w:rPr>
      </w:pPr>
      <w:r w:rsidRPr="003B3EC9">
        <w:rPr>
          <w:rFonts w:ascii="Times New Roman" w:hAnsi="Times New Roman"/>
          <w:sz w:val="24"/>
          <w:szCs w:val="24"/>
        </w:rPr>
        <w:t>prognozējot nodokļu ieņēmumu īpatsvaru IKP, %;</w:t>
      </w:r>
    </w:p>
    <w:p w14:paraId="4539AC49" w14:textId="7E4A04EB" w:rsidR="00E0622C" w:rsidRPr="003B3EC9" w:rsidRDefault="005C0B54" w:rsidP="005C1F92">
      <w:pPr>
        <w:pStyle w:val="ListParagraph"/>
        <w:numPr>
          <w:ilvl w:val="0"/>
          <w:numId w:val="15"/>
        </w:numPr>
        <w:spacing w:after="0"/>
        <w:contextualSpacing w:val="0"/>
        <w:rPr>
          <w:rFonts w:ascii="Times New Roman" w:hAnsi="Times New Roman"/>
        </w:rPr>
      </w:pPr>
      <w:r w:rsidRPr="003B3EC9">
        <w:rPr>
          <w:rFonts w:ascii="Times New Roman" w:hAnsi="Times New Roman"/>
          <w:sz w:val="24"/>
          <w:szCs w:val="24"/>
        </w:rPr>
        <w:t xml:space="preserve">prognozējot </w:t>
      </w:r>
      <w:r w:rsidR="00521399" w:rsidRPr="003B3EC9">
        <w:rPr>
          <w:rFonts w:ascii="Times New Roman" w:hAnsi="Times New Roman"/>
          <w:sz w:val="24"/>
          <w:szCs w:val="24"/>
        </w:rPr>
        <w:t>nodokļa reālās apliekamās bāzes/</w:t>
      </w:r>
      <w:r w:rsidRPr="003B3EC9">
        <w:rPr>
          <w:rFonts w:ascii="Times New Roman" w:hAnsi="Times New Roman"/>
          <w:sz w:val="24"/>
          <w:szCs w:val="24"/>
        </w:rPr>
        <w:t>modelētās bāzes attiecību;</w:t>
      </w:r>
    </w:p>
    <w:p w14:paraId="52A7DAED" w14:textId="77777777" w:rsidR="00E0622C" w:rsidRPr="003B3EC9" w:rsidRDefault="005C0B54" w:rsidP="005C1F92">
      <w:pPr>
        <w:pStyle w:val="ListParagraph"/>
        <w:numPr>
          <w:ilvl w:val="0"/>
          <w:numId w:val="15"/>
        </w:numPr>
        <w:spacing w:after="0"/>
        <w:contextualSpacing w:val="0"/>
        <w:rPr>
          <w:rFonts w:ascii="Times New Roman" w:hAnsi="Times New Roman"/>
        </w:rPr>
      </w:pPr>
      <w:r w:rsidRPr="003B3EC9">
        <w:rPr>
          <w:rFonts w:ascii="Times New Roman" w:hAnsi="Times New Roman"/>
          <w:sz w:val="24"/>
          <w:szCs w:val="24"/>
        </w:rPr>
        <w:t>izmantojot eksperta novērtējumu;</w:t>
      </w:r>
    </w:p>
    <w:p w14:paraId="14F62C46" w14:textId="206B6253" w:rsidR="005C0B54" w:rsidRPr="003B3EC9" w:rsidRDefault="005C0B54" w:rsidP="005C1F92">
      <w:pPr>
        <w:pStyle w:val="ListParagraph"/>
        <w:numPr>
          <w:ilvl w:val="0"/>
          <w:numId w:val="15"/>
        </w:numPr>
        <w:spacing w:after="0"/>
        <w:contextualSpacing w:val="0"/>
        <w:rPr>
          <w:rFonts w:ascii="Times New Roman" w:hAnsi="Times New Roman"/>
        </w:rPr>
      </w:pPr>
      <w:r w:rsidRPr="003B3EC9">
        <w:rPr>
          <w:rFonts w:ascii="Times New Roman" w:hAnsi="Times New Roman"/>
          <w:sz w:val="24"/>
          <w:szCs w:val="24"/>
        </w:rPr>
        <w:t>izmantojot citus paņēmienus.</w:t>
      </w:r>
    </w:p>
    <w:p w14:paraId="430D2543" w14:textId="4AA0C885" w:rsidR="005C0B54" w:rsidRDefault="005C0B54" w:rsidP="005C1F92">
      <w:pPr>
        <w:spacing w:after="0" w:line="276" w:lineRule="auto"/>
        <w:ind w:firstLine="720"/>
      </w:pPr>
      <w:r w:rsidRPr="003B3EC9">
        <w:t xml:space="preserve">Lai aprēķinātu nodokļu ieņēmumu prognozes, </w:t>
      </w:r>
      <w:r w:rsidR="007D2E71" w:rsidRPr="003B3EC9">
        <w:t>FM</w:t>
      </w:r>
      <w:r w:rsidRPr="003B3EC9">
        <w:t>, kā tika minēts iepriekš, izmanto nodokļu ieņēmumu prognožu modeli LATIM-F, kura galvenās sastāvdaļas ir makroekonomisko rādītāju datu bāze, faktisko nodokļu ieņēmumu datu bāze un likumdošanas izmaiņas (ieskaitot nodokļu likmes utt.). Tāpat analīzē tiek izmatota Valsts kases, Valsts ieņēmumu dienesta, Centrālās statistikas pārvaldes u.c. informācija.</w:t>
      </w:r>
    </w:p>
    <w:p w14:paraId="2D942B47" w14:textId="53C63008" w:rsidR="000430B8" w:rsidRDefault="000430B8" w:rsidP="000430B8">
      <w:pPr>
        <w:spacing w:after="60" w:line="276" w:lineRule="auto"/>
        <w:ind w:firstLine="0"/>
      </w:pPr>
    </w:p>
    <w:p w14:paraId="752D971E" w14:textId="49D5E639" w:rsidR="000430B8" w:rsidRDefault="000430B8" w:rsidP="000430B8">
      <w:pPr>
        <w:spacing w:after="60" w:line="276" w:lineRule="auto"/>
        <w:ind w:firstLine="0"/>
      </w:pPr>
    </w:p>
    <w:p w14:paraId="2DEDFA0A" w14:textId="6C6EA533" w:rsidR="000430B8" w:rsidRDefault="000430B8" w:rsidP="000430B8">
      <w:pPr>
        <w:spacing w:after="60" w:line="276" w:lineRule="auto"/>
        <w:ind w:firstLine="0"/>
      </w:pPr>
      <w:r>
        <w:t>Finanšu ministre</w:t>
      </w:r>
      <w:r>
        <w:tab/>
      </w:r>
      <w:r>
        <w:tab/>
      </w:r>
      <w:r>
        <w:tab/>
      </w:r>
      <w:r>
        <w:tab/>
      </w:r>
      <w:r>
        <w:tab/>
      </w:r>
      <w:r>
        <w:tab/>
      </w:r>
      <w:r>
        <w:tab/>
      </w:r>
      <w:r>
        <w:tab/>
      </w:r>
      <w:proofErr w:type="spellStart"/>
      <w:r>
        <w:t>D.Reizniece</w:t>
      </w:r>
      <w:proofErr w:type="spellEnd"/>
      <w:r>
        <w:t>-Ozola</w:t>
      </w:r>
    </w:p>
    <w:p w14:paraId="6BC4877E" w14:textId="0EB20695" w:rsidR="000430B8" w:rsidRDefault="000430B8" w:rsidP="000430B8">
      <w:pPr>
        <w:spacing w:after="60" w:line="276" w:lineRule="auto"/>
        <w:ind w:firstLine="0"/>
      </w:pPr>
    </w:p>
    <w:p w14:paraId="5EB34291" w14:textId="13E5B79C" w:rsidR="000430B8" w:rsidRDefault="000430B8" w:rsidP="000430B8">
      <w:pPr>
        <w:spacing w:after="60" w:line="276" w:lineRule="auto"/>
        <w:ind w:firstLine="0"/>
      </w:pPr>
    </w:p>
    <w:p w14:paraId="6EC18E79" w14:textId="2E2CCFDE" w:rsidR="000430B8" w:rsidRPr="000430B8" w:rsidRDefault="000430B8" w:rsidP="000430B8">
      <w:pPr>
        <w:spacing w:after="0"/>
        <w:ind w:firstLine="0"/>
        <w:rPr>
          <w:sz w:val="20"/>
        </w:rPr>
      </w:pPr>
    </w:p>
    <w:p w14:paraId="082F5490" w14:textId="0AFD6F17" w:rsidR="000430B8" w:rsidRPr="000430B8" w:rsidRDefault="000430B8" w:rsidP="000430B8">
      <w:pPr>
        <w:spacing w:after="0"/>
        <w:ind w:firstLine="0"/>
        <w:rPr>
          <w:sz w:val="20"/>
        </w:rPr>
      </w:pPr>
      <w:r w:rsidRPr="000430B8">
        <w:rPr>
          <w:sz w:val="20"/>
        </w:rPr>
        <w:t>Gerda Rubīna-Kiukucāne</w:t>
      </w:r>
    </w:p>
    <w:p w14:paraId="379B70BD" w14:textId="311DACFE" w:rsidR="000430B8" w:rsidRDefault="002E22AB" w:rsidP="000430B8">
      <w:pPr>
        <w:spacing w:after="0"/>
        <w:ind w:firstLine="0"/>
        <w:rPr>
          <w:sz w:val="20"/>
        </w:rPr>
      </w:pPr>
      <w:hyperlink r:id="rId59" w:history="1">
        <w:r w:rsidR="000430B8" w:rsidRPr="000430B8">
          <w:rPr>
            <w:rStyle w:val="Hyperlink"/>
            <w:sz w:val="20"/>
          </w:rPr>
          <w:t>Gerda.Rubina-Kiukucane@fm.gov.lv</w:t>
        </w:r>
      </w:hyperlink>
    </w:p>
    <w:p w14:paraId="5A824B10" w14:textId="26C2B17D" w:rsidR="000430B8" w:rsidRPr="000430B8" w:rsidRDefault="000430B8" w:rsidP="000430B8">
      <w:pPr>
        <w:spacing w:after="0"/>
        <w:ind w:firstLine="0"/>
        <w:rPr>
          <w:sz w:val="20"/>
        </w:rPr>
      </w:pPr>
      <w:r>
        <w:rPr>
          <w:sz w:val="20"/>
        </w:rPr>
        <w:t>67083911</w:t>
      </w:r>
    </w:p>
    <w:p w14:paraId="367BD639" w14:textId="77777777" w:rsidR="000430B8" w:rsidRDefault="000430B8" w:rsidP="000430B8">
      <w:pPr>
        <w:spacing w:after="60" w:line="276" w:lineRule="auto"/>
        <w:ind w:firstLine="0"/>
      </w:pPr>
    </w:p>
    <w:p w14:paraId="4E6AA4EC" w14:textId="22FAF399" w:rsidR="00B07F78" w:rsidRDefault="00B07F78" w:rsidP="00B07F78">
      <w:pPr>
        <w:spacing w:after="60" w:line="276" w:lineRule="auto"/>
        <w:ind w:firstLine="0"/>
      </w:pPr>
    </w:p>
    <w:p w14:paraId="5266625D" w14:textId="125F42BD" w:rsidR="0015701E" w:rsidRPr="0015701E" w:rsidRDefault="0015701E" w:rsidP="00E97D92">
      <w:pPr>
        <w:ind w:firstLine="0"/>
      </w:pPr>
    </w:p>
    <w:p w14:paraId="56418DF9" w14:textId="77777777" w:rsidR="0015701E" w:rsidRPr="0015701E" w:rsidRDefault="0015701E" w:rsidP="0015701E"/>
    <w:p w14:paraId="441A9E5F" w14:textId="77777777" w:rsidR="0015701E" w:rsidRPr="0015701E" w:rsidRDefault="0015701E" w:rsidP="0015701E"/>
    <w:p w14:paraId="79E9C410" w14:textId="77777777" w:rsidR="0015701E" w:rsidRPr="0015701E" w:rsidRDefault="0015701E" w:rsidP="0015701E"/>
    <w:p w14:paraId="59D36650" w14:textId="4C3A76BB" w:rsidR="00FB505D" w:rsidRPr="0015701E" w:rsidRDefault="00FB505D" w:rsidP="0015701E"/>
    <w:sectPr w:rsidR="00FB505D" w:rsidRPr="0015701E" w:rsidSect="008A4D03">
      <w:pgSz w:w="11906" w:h="16838"/>
      <w:pgMar w:top="1418" w:right="1134" w:bottom="709" w:left="1701"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8C0D9" w14:textId="77777777" w:rsidR="002E22AB" w:rsidRDefault="002E22AB" w:rsidP="000F6956">
      <w:pPr>
        <w:spacing w:after="0"/>
      </w:pPr>
      <w:r>
        <w:separator/>
      </w:r>
    </w:p>
    <w:p w14:paraId="25AB2AD0" w14:textId="77777777" w:rsidR="002E22AB" w:rsidRDefault="002E22AB"/>
  </w:endnote>
  <w:endnote w:type="continuationSeparator" w:id="0">
    <w:p w14:paraId="45B7A035" w14:textId="77777777" w:rsidR="002E22AB" w:rsidRDefault="002E22AB" w:rsidP="000F6956">
      <w:pPr>
        <w:spacing w:after="0"/>
      </w:pPr>
      <w:r>
        <w:continuationSeparator/>
      </w:r>
    </w:p>
    <w:p w14:paraId="3089F5CF" w14:textId="77777777" w:rsidR="002E22AB" w:rsidRDefault="002E22AB"/>
  </w:endnote>
  <w:endnote w:type="continuationNotice" w:id="1">
    <w:p w14:paraId="3CEC0115" w14:textId="77777777" w:rsidR="002E22AB" w:rsidRDefault="002E22AB">
      <w:pPr>
        <w:spacing w:after="0"/>
      </w:pPr>
    </w:p>
    <w:p w14:paraId="44F26011" w14:textId="77777777" w:rsidR="002E22AB" w:rsidRDefault="002E2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4A4D" w14:textId="21A52D9A" w:rsidR="002E22AB" w:rsidRPr="00FC074B" w:rsidRDefault="002E22AB" w:rsidP="00FC074B">
    <w:pPr>
      <w:pStyle w:val="Footer"/>
      <w:ind w:firstLine="0"/>
      <w:rPr>
        <w:sz w:val="20"/>
        <w:lang w:val="lv-LV"/>
      </w:rPr>
    </w:pPr>
    <w:r>
      <w:rPr>
        <w:sz w:val="20"/>
        <w:lang w:val="lv-LV"/>
      </w:rPr>
      <w:t>FMInfo_06</w:t>
    </w:r>
    <w:r w:rsidRPr="00FC074B">
      <w:rPr>
        <w:sz w:val="20"/>
        <w:lang w:val="lv-LV"/>
      </w:rPr>
      <w:t>102017_DBP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F8B5" w14:textId="04CA7775" w:rsidR="002E22AB" w:rsidRPr="00FC074B" w:rsidRDefault="002E22AB" w:rsidP="00FC074B">
    <w:pPr>
      <w:pStyle w:val="Footer"/>
      <w:ind w:firstLine="0"/>
      <w:rPr>
        <w:sz w:val="20"/>
        <w:lang w:val="lv-LV"/>
      </w:rPr>
    </w:pPr>
    <w:r>
      <w:rPr>
        <w:sz w:val="20"/>
        <w:lang w:val="lv-LV"/>
      </w:rPr>
      <w:t>FMInfo_06</w:t>
    </w:r>
    <w:r w:rsidRPr="00FC074B">
      <w:rPr>
        <w:sz w:val="20"/>
        <w:lang w:val="lv-LV"/>
      </w:rPr>
      <w:t>102017_DBP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1D48E" w14:textId="77777777" w:rsidR="002E22AB" w:rsidRDefault="002E22AB" w:rsidP="000F6956">
      <w:pPr>
        <w:spacing w:after="0"/>
      </w:pPr>
      <w:r>
        <w:separator/>
      </w:r>
    </w:p>
    <w:p w14:paraId="1D5422E1" w14:textId="77777777" w:rsidR="002E22AB" w:rsidRDefault="002E22AB"/>
  </w:footnote>
  <w:footnote w:type="continuationSeparator" w:id="0">
    <w:p w14:paraId="6480582C" w14:textId="77777777" w:rsidR="002E22AB" w:rsidRDefault="002E22AB" w:rsidP="000F6956">
      <w:pPr>
        <w:spacing w:after="0"/>
      </w:pPr>
      <w:r>
        <w:continuationSeparator/>
      </w:r>
    </w:p>
    <w:p w14:paraId="2AC377D6" w14:textId="77777777" w:rsidR="002E22AB" w:rsidRDefault="002E22AB"/>
  </w:footnote>
  <w:footnote w:type="continuationNotice" w:id="1">
    <w:p w14:paraId="4F3FC418" w14:textId="77777777" w:rsidR="002E22AB" w:rsidRDefault="002E22AB">
      <w:pPr>
        <w:spacing w:after="0"/>
      </w:pPr>
    </w:p>
    <w:p w14:paraId="5C52BAA3" w14:textId="77777777" w:rsidR="002E22AB" w:rsidRDefault="002E22AB"/>
  </w:footnote>
  <w:footnote w:id="2">
    <w:p w14:paraId="36113CF7" w14:textId="5970F78C" w:rsidR="0066140F" w:rsidRPr="006F2C88" w:rsidRDefault="0066140F">
      <w:pPr>
        <w:pStyle w:val="FootnoteText"/>
        <w:rPr>
          <w:lang w:val="lv-LV"/>
        </w:rPr>
      </w:pPr>
      <w:r w:rsidRPr="00FE112F">
        <w:rPr>
          <w:rStyle w:val="FootnoteReference"/>
          <w:rFonts w:ascii="Times New Roman" w:hAnsi="Times New Roman"/>
        </w:rPr>
        <w:footnoteRef/>
      </w:r>
      <w:r w:rsidRPr="00FE112F">
        <w:t xml:space="preserve"> </w:t>
      </w:r>
      <w:r w:rsidR="006F2C88" w:rsidRPr="00FE112F">
        <w:rPr>
          <w:lang w:val="lv-LV"/>
        </w:rPr>
        <w:t>Lēmums</w:t>
      </w:r>
      <w:r w:rsidR="006F2C88">
        <w:rPr>
          <w:lang w:val="lv-LV"/>
        </w:rPr>
        <w:t xml:space="preserve"> par veselības</w:t>
      </w:r>
      <w:r w:rsidR="007471B4">
        <w:rPr>
          <w:lang w:val="lv-LV"/>
        </w:rPr>
        <w:t xml:space="preserve"> maksājuma</w:t>
      </w:r>
      <w:r w:rsidR="006F2C88">
        <w:rPr>
          <w:lang w:val="lv-LV"/>
        </w:rPr>
        <w:t xml:space="preserve"> apmēru vēl tiks pieņemts</w:t>
      </w:r>
      <w:r w:rsidR="00C24D44">
        <w:rPr>
          <w:lang w:val="lv-LV"/>
        </w:rPr>
        <w:t xml:space="preserve"> turpmākā šī pasākuma izstrādes gaitā</w:t>
      </w:r>
    </w:p>
  </w:footnote>
  <w:footnote w:id="3">
    <w:p w14:paraId="2CD4B121" w14:textId="7A3F1A72" w:rsidR="002E22AB" w:rsidRPr="00A517A2" w:rsidRDefault="002E22AB" w:rsidP="00A517A2">
      <w:pPr>
        <w:pStyle w:val="FootnoteText"/>
        <w:ind w:left="142" w:hanging="142"/>
        <w:jc w:val="both"/>
      </w:pPr>
      <w:r w:rsidRPr="00A517A2">
        <w:rPr>
          <w:rStyle w:val="FootnoteReference"/>
          <w:rFonts w:ascii="Times New Roman" w:hAnsi="Times New Roman"/>
        </w:rPr>
        <w:footnoteRef/>
      </w:r>
      <w:r w:rsidRPr="00A517A2">
        <w:t xml:space="preserve"> Saeima 27.07.2017. pieņēma grozījumus Likumā “Par valsts sociālo apdrošināšanu”, kuri paredz, ka </w:t>
      </w:r>
      <w:r>
        <w:rPr>
          <w:lang w:val="lv-LV"/>
        </w:rPr>
        <w:t>VSAOI</w:t>
      </w:r>
      <w:r w:rsidRPr="00A517A2">
        <w:t xml:space="preserve"> daļa, kas atbilst vienam pro</w:t>
      </w:r>
      <w:r>
        <w:t xml:space="preserve">centpunktam no </w:t>
      </w:r>
      <w:r>
        <w:rPr>
          <w:lang w:val="lv-LV"/>
        </w:rPr>
        <w:t>VSAOI</w:t>
      </w:r>
      <w:r>
        <w:t xml:space="preserve"> </w:t>
      </w:r>
      <w:r w:rsidRPr="00A517A2">
        <w:t>likmes, ir paredzēta veselības aprūpes pakalpojumu finansēšanai.</w:t>
      </w:r>
    </w:p>
  </w:footnote>
  <w:footnote w:id="4">
    <w:p w14:paraId="4EAE85E3" w14:textId="56C5D317" w:rsidR="002E22AB" w:rsidRPr="001A1170" w:rsidRDefault="002E22AB">
      <w:pPr>
        <w:pStyle w:val="FootnoteText"/>
        <w:rPr>
          <w:lang w:val="lv-LV"/>
        </w:rPr>
      </w:pPr>
      <w:r w:rsidRPr="001A1170">
        <w:rPr>
          <w:rStyle w:val="FootnoteReference"/>
          <w:rFonts w:ascii="Times New Roman" w:hAnsi="Times New Roman"/>
        </w:rPr>
        <w:footnoteRef/>
      </w:r>
      <w:r w:rsidRPr="001A1170">
        <w:t xml:space="preserve"> NEET jaunietis -jaunietis, kas nav iesaistīts, ne nodarbinātībā, ne izglītībā, ne mācībās</w:t>
      </w:r>
    </w:p>
  </w:footnote>
  <w:footnote w:id="5">
    <w:p w14:paraId="2C6AE06F" w14:textId="0F81AEDC" w:rsidR="002E22AB" w:rsidRDefault="002E22AB" w:rsidP="00E9675F">
      <w:pPr>
        <w:pStyle w:val="FootnoteText"/>
        <w:ind w:left="0" w:firstLine="0"/>
        <w:jc w:val="both"/>
      </w:pPr>
      <w:r w:rsidRPr="00FC141E">
        <w:rPr>
          <w:rStyle w:val="FootnoteReference"/>
          <w:rFonts w:ascii="Times New Roman" w:hAnsi="Times New Roman"/>
        </w:rPr>
        <w:footnoteRef/>
      </w:r>
      <w:r w:rsidRPr="00FC141E">
        <w:t xml:space="preserve"> Atbilstoši pieņemtajiem valdības lēmumiem 201</w:t>
      </w:r>
      <w:r>
        <w:rPr>
          <w:lang w:val="lv-LV"/>
        </w:rPr>
        <w:t>8</w:t>
      </w:r>
      <w:r w:rsidRPr="00FC141E">
        <w:t xml:space="preserve">.gada vispārējās valdības budžeta deficīts sasniedz </w:t>
      </w:r>
      <w:r>
        <w:t>0,9</w:t>
      </w:r>
      <w:r w:rsidRPr="00FC141E">
        <w:t>% no IKP. Papildus tam tiek pieņemts, ka fiskālā nodrošinājuma rezerve, kas ir 0,1% no IKP, tiks izlietota atbilstoši Fiskālo risku deklarācijā definētajiem fiskālajiem riskiem.</w:t>
      </w:r>
    </w:p>
    <w:p w14:paraId="7D1DE48B" w14:textId="77777777" w:rsidR="002E22AB" w:rsidRPr="00FC141E" w:rsidRDefault="002E22AB" w:rsidP="00E9675F">
      <w:pPr>
        <w:pStyle w:val="FootnoteText"/>
        <w:ind w:left="0" w:firstLine="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71131"/>
      <w:docPartObj>
        <w:docPartGallery w:val="Page Numbers (Top of Page)"/>
        <w:docPartUnique/>
      </w:docPartObj>
    </w:sdtPr>
    <w:sdtEndPr>
      <w:rPr>
        <w:noProof/>
      </w:rPr>
    </w:sdtEndPr>
    <w:sdtContent>
      <w:p w14:paraId="4BFE3189" w14:textId="442CACAA" w:rsidR="002E22AB" w:rsidRDefault="002E22AB">
        <w:pPr>
          <w:pStyle w:val="Header"/>
          <w:jc w:val="right"/>
        </w:pPr>
        <w:r>
          <w:fldChar w:fldCharType="begin"/>
        </w:r>
        <w:r>
          <w:instrText xml:space="preserve"> PAGE   \* MERGEFORMAT </w:instrText>
        </w:r>
        <w:r>
          <w:fldChar w:fldCharType="separate"/>
        </w:r>
        <w:r w:rsidR="00A52214">
          <w:rPr>
            <w:noProof/>
          </w:rPr>
          <w:t>24</w:t>
        </w:r>
        <w:r>
          <w:rPr>
            <w:noProof/>
          </w:rPr>
          <w:fldChar w:fldCharType="end"/>
        </w:r>
      </w:p>
    </w:sdtContent>
  </w:sdt>
  <w:p w14:paraId="06BBADCE" w14:textId="08B5A952" w:rsidR="002E22AB" w:rsidRPr="00BB6B6E" w:rsidRDefault="002E22AB" w:rsidP="0031296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345138"/>
      <w:docPartObj>
        <w:docPartGallery w:val="Page Numbers (Top of Page)"/>
        <w:docPartUnique/>
      </w:docPartObj>
    </w:sdtPr>
    <w:sdtEndPr>
      <w:rPr>
        <w:noProof/>
      </w:rPr>
    </w:sdtEndPr>
    <w:sdtContent>
      <w:p w14:paraId="5365C4F2" w14:textId="47153752" w:rsidR="002E22AB" w:rsidRDefault="002E22AB">
        <w:pPr>
          <w:pStyle w:val="Header"/>
          <w:jc w:val="right"/>
        </w:pPr>
        <w:r>
          <w:fldChar w:fldCharType="begin"/>
        </w:r>
        <w:r>
          <w:instrText xml:space="preserve"> PAGE   \* MERGEFORMAT </w:instrText>
        </w:r>
        <w:r>
          <w:fldChar w:fldCharType="separate"/>
        </w:r>
        <w:r w:rsidR="00A52214">
          <w:rPr>
            <w:noProof/>
          </w:rPr>
          <w:t>4</w:t>
        </w:r>
        <w:r>
          <w:rPr>
            <w:noProof/>
          </w:rPr>
          <w:fldChar w:fldCharType="end"/>
        </w:r>
      </w:p>
    </w:sdtContent>
  </w:sdt>
  <w:p w14:paraId="68966259" w14:textId="77777777" w:rsidR="002E22AB" w:rsidRDefault="002E2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092"/>
    <w:multiLevelType w:val="hybridMultilevel"/>
    <w:tmpl w:val="02AE498C"/>
    <w:lvl w:ilvl="0" w:tplc="0426000D">
      <w:start w:val="1"/>
      <w:numFmt w:val="bullet"/>
      <w:lvlText w:val=""/>
      <w:lvlJc w:val="left"/>
      <w:pPr>
        <w:ind w:left="720" w:hanging="360"/>
      </w:pPr>
      <w:rPr>
        <w:rFonts w:ascii="Wingdings" w:hAnsi="Wingding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717C3E"/>
    <w:multiLevelType w:val="hybridMultilevel"/>
    <w:tmpl w:val="F75E648C"/>
    <w:lvl w:ilvl="0" w:tplc="4B2AFF8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4E57B6"/>
    <w:multiLevelType w:val="hybridMultilevel"/>
    <w:tmpl w:val="771006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9DA1B75"/>
    <w:multiLevelType w:val="hybridMultilevel"/>
    <w:tmpl w:val="1924EE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C1C3347"/>
    <w:multiLevelType w:val="hybridMultilevel"/>
    <w:tmpl w:val="B14C3594"/>
    <w:lvl w:ilvl="0" w:tplc="5336A1E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D1E63D9"/>
    <w:multiLevelType w:val="hybridMultilevel"/>
    <w:tmpl w:val="A1A6D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EC0ACD"/>
    <w:multiLevelType w:val="hybridMultilevel"/>
    <w:tmpl w:val="1CB0FBDA"/>
    <w:lvl w:ilvl="0" w:tplc="4B2AFF8A">
      <w:numFmt w:val="bullet"/>
      <w:lvlText w:val="-"/>
      <w:lvlJc w:val="left"/>
      <w:pPr>
        <w:ind w:left="1440" w:hanging="360"/>
      </w:pPr>
      <w:rPr>
        <w:rFonts w:ascii="Calibri" w:eastAsiaTheme="minorHAnsi" w:hAnsi="Calibri" w:cstheme="minorBidi"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17448"/>
    <w:multiLevelType w:val="hybridMultilevel"/>
    <w:tmpl w:val="619063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5714A77"/>
    <w:multiLevelType w:val="hybridMultilevel"/>
    <w:tmpl w:val="E598BEC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C3B3824"/>
    <w:multiLevelType w:val="hybridMultilevel"/>
    <w:tmpl w:val="7CA40AA4"/>
    <w:lvl w:ilvl="0" w:tplc="04260001">
      <w:start w:val="1"/>
      <w:numFmt w:val="bullet"/>
      <w:lvlText w:val=""/>
      <w:lvlJc w:val="left"/>
      <w:pPr>
        <w:ind w:left="2727" w:hanging="360"/>
      </w:pPr>
      <w:rPr>
        <w:rFonts w:ascii="Symbol" w:hAnsi="Symbol" w:hint="default"/>
      </w:rPr>
    </w:lvl>
    <w:lvl w:ilvl="1" w:tplc="04260003" w:tentative="1">
      <w:start w:val="1"/>
      <w:numFmt w:val="bullet"/>
      <w:lvlText w:val="o"/>
      <w:lvlJc w:val="left"/>
      <w:pPr>
        <w:ind w:left="3447" w:hanging="360"/>
      </w:pPr>
      <w:rPr>
        <w:rFonts w:ascii="Courier New" w:hAnsi="Courier New" w:cs="Courier New" w:hint="default"/>
      </w:rPr>
    </w:lvl>
    <w:lvl w:ilvl="2" w:tplc="04260005" w:tentative="1">
      <w:start w:val="1"/>
      <w:numFmt w:val="bullet"/>
      <w:lvlText w:val=""/>
      <w:lvlJc w:val="left"/>
      <w:pPr>
        <w:ind w:left="4167" w:hanging="360"/>
      </w:pPr>
      <w:rPr>
        <w:rFonts w:ascii="Wingdings" w:hAnsi="Wingdings" w:hint="default"/>
      </w:rPr>
    </w:lvl>
    <w:lvl w:ilvl="3" w:tplc="04260001" w:tentative="1">
      <w:start w:val="1"/>
      <w:numFmt w:val="bullet"/>
      <w:lvlText w:val=""/>
      <w:lvlJc w:val="left"/>
      <w:pPr>
        <w:ind w:left="4887" w:hanging="360"/>
      </w:pPr>
      <w:rPr>
        <w:rFonts w:ascii="Symbol" w:hAnsi="Symbol" w:hint="default"/>
      </w:rPr>
    </w:lvl>
    <w:lvl w:ilvl="4" w:tplc="04260003" w:tentative="1">
      <w:start w:val="1"/>
      <w:numFmt w:val="bullet"/>
      <w:lvlText w:val="o"/>
      <w:lvlJc w:val="left"/>
      <w:pPr>
        <w:ind w:left="5607" w:hanging="360"/>
      </w:pPr>
      <w:rPr>
        <w:rFonts w:ascii="Courier New" w:hAnsi="Courier New" w:cs="Courier New" w:hint="default"/>
      </w:rPr>
    </w:lvl>
    <w:lvl w:ilvl="5" w:tplc="04260005" w:tentative="1">
      <w:start w:val="1"/>
      <w:numFmt w:val="bullet"/>
      <w:lvlText w:val=""/>
      <w:lvlJc w:val="left"/>
      <w:pPr>
        <w:ind w:left="6327" w:hanging="360"/>
      </w:pPr>
      <w:rPr>
        <w:rFonts w:ascii="Wingdings" w:hAnsi="Wingdings" w:hint="default"/>
      </w:rPr>
    </w:lvl>
    <w:lvl w:ilvl="6" w:tplc="04260001" w:tentative="1">
      <w:start w:val="1"/>
      <w:numFmt w:val="bullet"/>
      <w:lvlText w:val=""/>
      <w:lvlJc w:val="left"/>
      <w:pPr>
        <w:ind w:left="7047" w:hanging="360"/>
      </w:pPr>
      <w:rPr>
        <w:rFonts w:ascii="Symbol" w:hAnsi="Symbol" w:hint="default"/>
      </w:rPr>
    </w:lvl>
    <w:lvl w:ilvl="7" w:tplc="04260003" w:tentative="1">
      <w:start w:val="1"/>
      <w:numFmt w:val="bullet"/>
      <w:lvlText w:val="o"/>
      <w:lvlJc w:val="left"/>
      <w:pPr>
        <w:ind w:left="7767" w:hanging="360"/>
      </w:pPr>
      <w:rPr>
        <w:rFonts w:ascii="Courier New" w:hAnsi="Courier New" w:cs="Courier New" w:hint="default"/>
      </w:rPr>
    </w:lvl>
    <w:lvl w:ilvl="8" w:tplc="04260005" w:tentative="1">
      <w:start w:val="1"/>
      <w:numFmt w:val="bullet"/>
      <w:lvlText w:val=""/>
      <w:lvlJc w:val="left"/>
      <w:pPr>
        <w:ind w:left="8487" w:hanging="360"/>
      </w:pPr>
      <w:rPr>
        <w:rFonts w:ascii="Wingdings" w:hAnsi="Wingdings" w:hint="default"/>
      </w:rPr>
    </w:lvl>
  </w:abstractNum>
  <w:abstractNum w:abstractNumId="11" w15:restartNumberingAfterBreak="0">
    <w:nsid w:val="25EB68AC"/>
    <w:multiLevelType w:val="hybridMultilevel"/>
    <w:tmpl w:val="69D48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950EB7"/>
    <w:multiLevelType w:val="hybridMultilevel"/>
    <w:tmpl w:val="4A3EB0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E539DC"/>
    <w:multiLevelType w:val="hybridMultilevel"/>
    <w:tmpl w:val="DA4E86E2"/>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341C4EF5"/>
    <w:multiLevelType w:val="multilevel"/>
    <w:tmpl w:val="78D01DF8"/>
    <w:lvl w:ilvl="0">
      <w:start w:val="1"/>
      <w:numFmt w:val="decimal"/>
      <w:lvlText w:val="%1."/>
      <w:lvlJc w:val="left"/>
      <w:pPr>
        <w:ind w:left="644" w:hanging="360"/>
      </w:pPr>
      <w:rPr>
        <w:rFonts w:hint="default"/>
      </w:rPr>
    </w:lvl>
    <w:lvl w:ilvl="1">
      <w:start w:val="2"/>
      <w:numFmt w:val="decimal"/>
      <w:isLgl/>
      <w:lvlText w:val="%1.%2."/>
      <w:lvlJc w:val="left"/>
      <w:pPr>
        <w:ind w:left="944" w:hanging="540"/>
      </w:pPr>
      <w:rPr>
        <w:rFonts w:hint="default"/>
      </w:rPr>
    </w:lvl>
    <w:lvl w:ilvl="2">
      <w:start w:val="1"/>
      <w:numFmt w:val="decimal"/>
      <w:isLgl/>
      <w:lvlText w:val="%1.%2.%3."/>
      <w:lvlJc w:val="left"/>
      <w:pPr>
        <w:ind w:left="1244" w:hanging="720"/>
      </w:pPr>
      <w:rPr>
        <w:rFonts w:hint="default"/>
      </w:rPr>
    </w:lvl>
    <w:lvl w:ilvl="3">
      <w:start w:val="2"/>
      <w:numFmt w:val="decimal"/>
      <w:isLgl/>
      <w:lvlText w:val="%1.%2.%3.%4."/>
      <w:lvlJc w:val="left"/>
      <w:pPr>
        <w:ind w:left="1364"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6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564" w:hanging="1440"/>
      </w:pPr>
      <w:rPr>
        <w:rFonts w:hint="default"/>
      </w:rPr>
    </w:lvl>
    <w:lvl w:ilvl="8">
      <w:start w:val="1"/>
      <w:numFmt w:val="decimal"/>
      <w:isLgl/>
      <w:lvlText w:val="%1.%2.%3.%4.%5.%6.%7.%8.%9."/>
      <w:lvlJc w:val="left"/>
      <w:pPr>
        <w:ind w:left="3044" w:hanging="1800"/>
      </w:pPr>
      <w:rPr>
        <w:rFonts w:hint="default"/>
      </w:rPr>
    </w:lvl>
  </w:abstractNum>
  <w:abstractNum w:abstractNumId="15" w15:restartNumberingAfterBreak="0">
    <w:nsid w:val="358D12CD"/>
    <w:multiLevelType w:val="hybridMultilevel"/>
    <w:tmpl w:val="03CE66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5BD61F8"/>
    <w:multiLevelType w:val="hybridMultilevel"/>
    <w:tmpl w:val="041AC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8F3D4A"/>
    <w:multiLevelType w:val="hybridMultilevel"/>
    <w:tmpl w:val="DA58EACC"/>
    <w:lvl w:ilvl="0" w:tplc="C192843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8" w15:restartNumberingAfterBreak="0">
    <w:nsid w:val="371301C9"/>
    <w:multiLevelType w:val="hybridMultilevel"/>
    <w:tmpl w:val="3AB818D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8202F40"/>
    <w:multiLevelType w:val="hybridMultilevel"/>
    <w:tmpl w:val="11B6E7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D8B0422"/>
    <w:multiLevelType w:val="hybridMultilevel"/>
    <w:tmpl w:val="5BE4B054"/>
    <w:lvl w:ilvl="0" w:tplc="7D0481B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2857F03"/>
    <w:multiLevelType w:val="hybridMultilevel"/>
    <w:tmpl w:val="89169BA6"/>
    <w:lvl w:ilvl="0" w:tplc="0426000D">
      <w:start w:val="1"/>
      <w:numFmt w:val="bullet"/>
      <w:lvlText w:val=""/>
      <w:lvlJc w:val="left"/>
      <w:pPr>
        <w:ind w:left="1854" w:hanging="360"/>
      </w:pPr>
      <w:rPr>
        <w:rFonts w:ascii="Wingdings" w:hAnsi="Wingdings"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hint="default"/>
      </w:rPr>
    </w:lvl>
    <w:lvl w:ilvl="6" w:tplc="04260001">
      <w:start w:val="1"/>
      <w:numFmt w:val="bullet"/>
      <w:lvlText w:val=""/>
      <w:lvlJc w:val="left"/>
      <w:pPr>
        <w:ind w:left="6174" w:hanging="360"/>
      </w:pPr>
      <w:rPr>
        <w:rFonts w:ascii="Symbol" w:hAnsi="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hint="default"/>
      </w:rPr>
    </w:lvl>
  </w:abstractNum>
  <w:abstractNum w:abstractNumId="22" w15:restartNumberingAfterBreak="0">
    <w:nsid w:val="543E128F"/>
    <w:multiLevelType w:val="multilevel"/>
    <w:tmpl w:val="9B4E64E0"/>
    <w:lvl w:ilvl="0">
      <w:start w:val="1"/>
      <w:numFmt w:val="decimal"/>
      <w:lvlText w:val="%1."/>
      <w:lvlJc w:val="left"/>
      <w:pPr>
        <w:ind w:left="1665" w:hanging="360"/>
      </w:pPr>
      <w:rPr>
        <w:color w:val="auto"/>
        <w:sz w:val="24"/>
        <w:szCs w:val="24"/>
      </w:rPr>
    </w:lvl>
    <w:lvl w:ilvl="1">
      <w:start w:val="1"/>
      <w:numFmt w:val="decimal"/>
      <w:isLgl/>
      <w:lvlText w:val="%1.%2."/>
      <w:lvlJc w:val="left"/>
      <w:pPr>
        <w:ind w:left="1815" w:hanging="51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385" w:hanging="108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2745" w:hanging="1440"/>
      </w:pPr>
      <w:rPr>
        <w:rFonts w:hint="default"/>
      </w:rPr>
    </w:lvl>
  </w:abstractNum>
  <w:abstractNum w:abstractNumId="23" w15:restartNumberingAfterBreak="0">
    <w:nsid w:val="54453509"/>
    <w:multiLevelType w:val="hybridMultilevel"/>
    <w:tmpl w:val="6CF21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3317EE"/>
    <w:multiLevelType w:val="hybridMultilevel"/>
    <w:tmpl w:val="62CA353C"/>
    <w:lvl w:ilvl="0" w:tplc="04260001">
      <w:start w:val="1"/>
      <w:numFmt w:val="bullet"/>
      <w:lvlText w:val=""/>
      <w:lvlJc w:val="left"/>
      <w:pPr>
        <w:ind w:left="1325" w:hanging="360"/>
      </w:pPr>
      <w:rPr>
        <w:rFonts w:ascii="Symbol" w:hAnsi="Symbol" w:hint="default"/>
      </w:rPr>
    </w:lvl>
    <w:lvl w:ilvl="1" w:tplc="04260003" w:tentative="1">
      <w:start w:val="1"/>
      <w:numFmt w:val="bullet"/>
      <w:lvlText w:val="o"/>
      <w:lvlJc w:val="left"/>
      <w:pPr>
        <w:ind w:left="2045" w:hanging="360"/>
      </w:pPr>
      <w:rPr>
        <w:rFonts w:ascii="Courier New" w:hAnsi="Courier New" w:cs="Courier New" w:hint="default"/>
      </w:rPr>
    </w:lvl>
    <w:lvl w:ilvl="2" w:tplc="04260005" w:tentative="1">
      <w:start w:val="1"/>
      <w:numFmt w:val="bullet"/>
      <w:lvlText w:val=""/>
      <w:lvlJc w:val="left"/>
      <w:pPr>
        <w:ind w:left="2765" w:hanging="360"/>
      </w:pPr>
      <w:rPr>
        <w:rFonts w:ascii="Wingdings" w:hAnsi="Wingdings" w:hint="default"/>
      </w:rPr>
    </w:lvl>
    <w:lvl w:ilvl="3" w:tplc="04260001" w:tentative="1">
      <w:start w:val="1"/>
      <w:numFmt w:val="bullet"/>
      <w:lvlText w:val=""/>
      <w:lvlJc w:val="left"/>
      <w:pPr>
        <w:ind w:left="3485" w:hanging="360"/>
      </w:pPr>
      <w:rPr>
        <w:rFonts w:ascii="Symbol" w:hAnsi="Symbol" w:hint="default"/>
      </w:rPr>
    </w:lvl>
    <w:lvl w:ilvl="4" w:tplc="04260003" w:tentative="1">
      <w:start w:val="1"/>
      <w:numFmt w:val="bullet"/>
      <w:lvlText w:val="o"/>
      <w:lvlJc w:val="left"/>
      <w:pPr>
        <w:ind w:left="4205" w:hanging="360"/>
      </w:pPr>
      <w:rPr>
        <w:rFonts w:ascii="Courier New" w:hAnsi="Courier New" w:cs="Courier New" w:hint="default"/>
      </w:rPr>
    </w:lvl>
    <w:lvl w:ilvl="5" w:tplc="04260005" w:tentative="1">
      <w:start w:val="1"/>
      <w:numFmt w:val="bullet"/>
      <w:lvlText w:val=""/>
      <w:lvlJc w:val="left"/>
      <w:pPr>
        <w:ind w:left="4925" w:hanging="360"/>
      </w:pPr>
      <w:rPr>
        <w:rFonts w:ascii="Wingdings" w:hAnsi="Wingdings" w:hint="default"/>
      </w:rPr>
    </w:lvl>
    <w:lvl w:ilvl="6" w:tplc="04260001" w:tentative="1">
      <w:start w:val="1"/>
      <w:numFmt w:val="bullet"/>
      <w:lvlText w:val=""/>
      <w:lvlJc w:val="left"/>
      <w:pPr>
        <w:ind w:left="5645" w:hanging="360"/>
      </w:pPr>
      <w:rPr>
        <w:rFonts w:ascii="Symbol" w:hAnsi="Symbol" w:hint="default"/>
      </w:rPr>
    </w:lvl>
    <w:lvl w:ilvl="7" w:tplc="04260003" w:tentative="1">
      <w:start w:val="1"/>
      <w:numFmt w:val="bullet"/>
      <w:lvlText w:val="o"/>
      <w:lvlJc w:val="left"/>
      <w:pPr>
        <w:ind w:left="6365" w:hanging="360"/>
      </w:pPr>
      <w:rPr>
        <w:rFonts w:ascii="Courier New" w:hAnsi="Courier New" w:cs="Courier New" w:hint="default"/>
      </w:rPr>
    </w:lvl>
    <w:lvl w:ilvl="8" w:tplc="04260005" w:tentative="1">
      <w:start w:val="1"/>
      <w:numFmt w:val="bullet"/>
      <w:lvlText w:val=""/>
      <w:lvlJc w:val="left"/>
      <w:pPr>
        <w:ind w:left="7085" w:hanging="360"/>
      </w:pPr>
      <w:rPr>
        <w:rFonts w:ascii="Wingdings" w:hAnsi="Wingdings" w:hint="default"/>
      </w:rPr>
    </w:lvl>
  </w:abstractNum>
  <w:abstractNum w:abstractNumId="25" w15:restartNumberingAfterBreak="0">
    <w:nsid w:val="57D37A99"/>
    <w:multiLevelType w:val="hybridMultilevel"/>
    <w:tmpl w:val="2D4E983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59FA02B1"/>
    <w:multiLevelType w:val="hybridMultilevel"/>
    <w:tmpl w:val="C32CE1F2"/>
    <w:lvl w:ilvl="0" w:tplc="54022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193C40"/>
    <w:multiLevelType w:val="hybridMultilevel"/>
    <w:tmpl w:val="D382C9A6"/>
    <w:lvl w:ilvl="0" w:tplc="7D0481BA">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28" w15:restartNumberingAfterBreak="0">
    <w:nsid w:val="63783F9B"/>
    <w:multiLevelType w:val="hybridMultilevel"/>
    <w:tmpl w:val="AD1A561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55A0952"/>
    <w:multiLevelType w:val="hybridMultilevel"/>
    <w:tmpl w:val="7CD097B0"/>
    <w:lvl w:ilvl="0" w:tplc="CA76AE54">
      <w:start w:val="1"/>
      <w:numFmt w:val="bullet"/>
      <w:lvlText w:val=""/>
      <w:lvlJc w:val="left"/>
      <w:pPr>
        <w:ind w:left="720" w:hanging="360"/>
      </w:pPr>
      <w:rPr>
        <w:rFonts w:ascii="Symbol" w:hAnsi="Symbol" w:hint="default"/>
        <w:color w:val="auto"/>
      </w:rPr>
    </w:lvl>
    <w:lvl w:ilvl="1" w:tplc="C9766256">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6F92A0A"/>
    <w:multiLevelType w:val="hybridMultilevel"/>
    <w:tmpl w:val="EF0C5CD2"/>
    <w:lvl w:ilvl="0" w:tplc="4B2AFF8A">
      <w:numFmt w:val="bullet"/>
      <w:lvlText w:val="-"/>
      <w:lvlJc w:val="left"/>
      <w:pPr>
        <w:ind w:left="1854" w:hanging="360"/>
      </w:pPr>
      <w:rPr>
        <w:rFonts w:ascii="Calibri" w:eastAsiaTheme="minorHAnsi" w:hAnsi="Calibri" w:cstheme="minorBidi"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hint="default"/>
      </w:rPr>
    </w:lvl>
    <w:lvl w:ilvl="6" w:tplc="04260001">
      <w:start w:val="1"/>
      <w:numFmt w:val="bullet"/>
      <w:lvlText w:val=""/>
      <w:lvlJc w:val="left"/>
      <w:pPr>
        <w:ind w:left="6174" w:hanging="360"/>
      </w:pPr>
      <w:rPr>
        <w:rFonts w:ascii="Symbol" w:hAnsi="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hint="default"/>
      </w:rPr>
    </w:lvl>
  </w:abstractNum>
  <w:abstractNum w:abstractNumId="31" w15:restartNumberingAfterBreak="0">
    <w:nsid w:val="684A3BA0"/>
    <w:multiLevelType w:val="hybridMultilevel"/>
    <w:tmpl w:val="CF3E20F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0F6C1A"/>
    <w:multiLevelType w:val="hybridMultilevel"/>
    <w:tmpl w:val="6D5615B0"/>
    <w:lvl w:ilvl="0" w:tplc="7D0481BA">
      <w:start w:val="1"/>
      <w:numFmt w:val="bullet"/>
      <w:lvlText w:val=""/>
      <w:lvlJc w:val="left"/>
      <w:pPr>
        <w:ind w:left="900" w:hanging="360"/>
      </w:pPr>
      <w:rPr>
        <w:rFonts w:ascii="Symbol" w:hAnsi="Symbol" w:hint="default"/>
      </w:rPr>
    </w:lvl>
    <w:lvl w:ilvl="1" w:tplc="04260003">
      <w:start w:val="1"/>
      <w:numFmt w:val="bullet"/>
      <w:lvlText w:val="o"/>
      <w:lvlJc w:val="left"/>
      <w:pPr>
        <w:ind w:left="1620" w:hanging="360"/>
      </w:pPr>
      <w:rPr>
        <w:rFonts w:ascii="Courier New" w:hAnsi="Courier New" w:cs="Courier New" w:hint="default"/>
      </w:rPr>
    </w:lvl>
    <w:lvl w:ilvl="2" w:tplc="04260005">
      <w:start w:val="1"/>
      <w:numFmt w:val="bullet"/>
      <w:lvlText w:val=""/>
      <w:lvlJc w:val="left"/>
      <w:pPr>
        <w:ind w:left="2340" w:hanging="360"/>
      </w:pPr>
      <w:rPr>
        <w:rFonts w:ascii="Wingdings" w:hAnsi="Wingdings" w:hint="default"/>
      </w:rPr>
    </w:lvl>
    <w:lvl w:ilvl="3" w:tplc="04260001">
      <w:start w:val="1"/>
      <w:numFmt w:val="bullet"/>
      <w:lvlText w:val=""/>
      <w:lvlJc w:val="left"/>
      <w:pPr>
        <w:ind w:left="3060" w:hanging="360"/>
      </w:pPr>
      <w:rPr>
        <w:rFonts w:ascii="Symbol" w:hAnsi="Symbol" w:hint="default"/>
      </w:rPr>
    </w:lvl>
    <w:lvl w:ilvl="4" w:tplc="04260003">
      <w:start w:val="1"/>
      <w:numFmt w:val="bullet"/>
      <w:lvlText w:val="o"/>
      <w:lvlJc w:val="left"/>
      <w:pPr>
        <w:ind w:left="3780" w:hanging="360"/>
      </w:pPr>
      <w:rPr>
        <w:rFonts w:ascii="Courier New" w:hAnsi="Courier New" w:cs="Courier New" w:hint="default"/>
      </w:rPr>
    </w:lvl>
    <w:lvl w:ilvl="5" w:tplc="04260005">
      <w:start w:val="1"/>
      <w:numFmt w:val="bullet"/>
      <w:lvlText w:val=""/>
      <w:lvlJc w:val="left"/>
      <w:pPr>
        <w:ind w:left="4500" w:hanging="360"/>
      </w:pPr>
      <w:rPr>
        <w:rFonts w:ascii="Wingdings" w:hAnsi="Wingdings" w:hint="default"/>
      </w:rPr>
    </w:lvl>
    <w:lvl w:ilvl="6" w:tplc="04260001">
      <w:start w:val="1"/>
      <w:numFmt w:val="bullet"/>
      <w:lvlText w:val=""/>
      <w:lvlJc w:val="left"/>
      <w:pPr>
        <w:ind w:left="5220" w:hanging="360"/>
      </w:pPr>
      <w:rPr>
        <w:rFonts w:ascii="Symbol" w:hAnsi="Symbol" w:hint="default"/>
      </w:rPr>
    </w:lvl>
    <w:lvl w:ilvl="7" w:tplc="04260003">
      <w:start w:val="1"/>
      <w:numFmt w:val="bullet"/>
      <w:lvlText w:val="o"/>
      <w:lvlJc w:val="left"/>
      <w:pPr>
        <w:ind w:left="5940" w:hanging="360"/>
      </w:pPr>
      <w:rPr>
        <w:rFonts w:ascii="Courier New" w:hAnsi="Courier New" w:cs="Courier New" w:hint="default"/>
      </w:rPr>
    </w:lvl>
    <w:lvl w:ilvl="8" w:tplc="04260005">
      <w:start w:val="1"/>
      <w:numFmt w:val="bullet"/>
      <w:lvlText w:val=""/>
      <w:lvlJc w:val="left"/>
      <w:pPr>
        <w:ind w:left="6660" w:hanging="360"/>
      </w:pPr>
      <w:rPr>
        <w:rFonts w:ascii="Wingdings" w:hAnsi="Wingdings" w:hint="default"/>
      </w:rPr>
    </w:lvl>
  </w:abstractNum>
  <w:abstractNum w:abstractNumId="33" w15:restartNumberingAfterBreak="0">
    <w:nsid w:val="6B3A6714"/>
    <w:multiLevelType w:val="hybridMultilevel"/>
    <w:tmpl w:val="84345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3E3E30"/>
    <w:multiLevelType w:val="hybridMultilevel"/>
    <w:tmpl w:val="FA0E9C3E"/>
    <w:lvl w:ilvl="0" w:tplc="1F60F0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297742"/>
    <w:multiLevelType w:val="hybridMultilevel"/>
    <w:tmpl w:val="924E30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594D0F"/>
    <w:multiLevelType w:val="hybridMultilevel"/>
    <w:tmpl w:val="402079B2"/>
    <w:lvl w:ilvl="0" w:tplc="5A307D3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713014A2"/>
    <w:multiLevelType w:val="hybridMultilevel"/>
    <w:tmpl w:val="9152705C"/>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A52EC1"/>
    <w:multiLevelType w:val="hybridMultilevel"/>
    <w:tmpl w:val="450AFB08"/>
    <w:lvl w:ilvl="0" w:tplc="04260011">
      <w:start w:val="1"/>
      <w:numFmt w:val="decimal"/>
      <w:lvlText w:val="%1)"/>
      <w:lvlJc w:val="left"/>
      <w:pPr>
        <w:ind w:left="720" w:hanging="360"/>
      </w:pPr>
    </w:lvl>
    <w:lvl w:ilvl="1" w:tplc="F5FA25B2">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284F47"/>
    <w:multiLevelType w:val="hybridMultilevel"/>
    <w:tmpl w:val="1D9A2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4C0DC3"/>
    <w:multiLevelType w:val="hybridMultilevel"/>
    <w:tmpl w:val="CDDE7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F43D24"/>
    <w:multiLevelType w:val="hybridMultilevel"/>
    <w:tmpl w:val="006ECF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3"/>
  </w:num>
  <w:num w:numId="3">
    <w:abstractNumId w:val="22"/>
  </w:num>
  <w:num w:numId="4">
    <w:abstractNumId w:val="28"/>
  </w:num>
  <w:num w:numId="5">
    <w:abstractNumId w:val="11"/>
  </w:num>
  <w:num w:numId="6">
    <w:abstractNumId w:val="39"/>
  </w:num>
  <w:num w:numId="7">
    <w:abstractNumId w:val="23"/>
  </w:num>
  <w:num w:numId="8">
    <w:abstractNumId w:val="37"/>
  </w:num>
  <w:num w:numId="9">
    <w:abstractNumId w:val="38"/>
  </w:num>
  <w:num w:numId="10">
    <w:abstractNumId w:val="17"/>
  </w:num>
  <w:num w:numId="11">
    <w:abstractNumId w:val="40"/>
  </w:num>
  <w:num w:numId="12">
    <w:abstractNumId w:val="16"/>
  </w:num>
  <w:num w:numId="13">
    <w:abstractNumId w:val="31"/>
  </w:num>
  <w:num w:numId="14">
    <w:abstractNumId w:val="15"/>
  </w:num>
  <w:num w:numId="15">
    <w:abstractNumId w:val="2"/>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3"/>
  </w:num>
  <w:num w:numId="25">
    <w:abstractNumId w:val="20"/>
  </w:num>
  <w:num w:numId="26">
    <w:abstractNumId w:val="27"/>
  </w:num>
  <w:num w:numId="27">
    <w:abstractNumId w:val="21"/>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9"/>
  </w:num>
  <w:num w:numId="31">
    <w:abstractNumId w:val="24"/>
  </w:num>
  <w:num w:numId="32">
    <w:abstractNumId w:val="12"/>
  </w:num>
  <w:num w:numId="33">
    <w:abstractNumId w:val="6"/>
  </w:num>
  <w:num w:numId="34">
    <w:abstractNumId w:val="30"/>
  </w:num>
  <w:num w:numId="35">
    <w:abstractNumId w:val="33"/>
  </w:num>
  <w:num w:numId="36">
    <w:abstractNumId w:val="9"/>
  </w:num>
  <w:num w:numId="37">
    <w:abstractNumId w:val="8"/>
  </w:num>
  <w:num w:numId="38">
    <w:abstractNumId w:val="29"/>
  </w:num>
  <w:num w:numId="39">
    <w:abstractNumId w:val="14"/>
  </w:num>
  <w:num w:numId="40">
    <w:abstractNumId w:val="25"/>
  </w:num>
  <w:num w:numId="41">
    <w:abstractNumId w:val="10"/>
  </w:num>
  <w:num w:numId="42">
    <w:abstractNumId w:val="18"/>
  </w:num>
  <w:num w:numId="43">
    <w:abstractNumId w:val="26"/>
  </w:num>
  <w:num w:numId="4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hdrShapeDefaults>
    <o:shapedefaults v:ext="edit" spidmax="182273"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56"/>
    <w:rsid w:val="0000038A"/>
    <w:rsid w:val="0000094C"/>
    <w:rsid w:val="00000D13"/>
    <w:rsid w:val="0000191C"/>
    <w:rsid w:val="000020C5"/>
    <w:rsid w:val="00002315"/>
    <w:rsid w:val="00002A73"/>
    <w:rsid w:val="0000329C"/>
    <w:rsid w:val="00003474"/>
    <w:rsid w:val="00003E2F"/>
    <w:rsid w:val="000048A0"/>
    <w:rsid w:val="00004A73"/>
    <w:rsid w:val="00004D93"/>
    <w:rsid w:val="000052FA"/>
    <w:rsid w:val="000061A5"/>
    <w:rsid w:val="00006A6D"/>
    <w:rsid w:val="00006DD2"/>
    <w:rsid w:val="0001052E"/>
    <w:rsid w:val="00011568"/>
    <w:rsid w:val="00011E77"/>
    <w:rsid w:val="00012824"/>
    <w:rsid w:val="00012DE8"/>
    <w:rsid w:val="00014041"/>
    <w:rsid w:val="00016D97"/>
    <w:rsid w:val="0001749E"/>
    <w:rsid w:val="00021FE1"/>
    <w:rsid w:val="00022369"/>
    <w:rsid w:val="000225CE"/>
    <w:rsid w:val="000233FD"/>
    <w:rsid w:val="00023548"/>
    <w:rsid w:val="00023C3E"/>
    <w:rsid w:val="00023E2D"/>
    <w:rsid w:val="00024F65"/>
    <w:rsid w:val="0002544F"/>
    <w:rsid w:val="00025D7F"/>
    <w:rsid w:val="000270E3"/>
    <w:rsid w:val="00027681"/>
    <w:rsid w:val="0003112C"/>
    <w:rsid w:val="000318B2"/>
    <w:rsid w:val="0003226C"/>
    <w:rsid w:val="00032491"/>
    <w:rsid w:val="00032CE1"/>
    <w:rsid w:val="00034B1C"/>
    <w:rsid w:val="00035496"/>
    <w:rsid w:val="000357A3"/>
    <w:rsid w:val="000365EA"/>
    <w:rsid w:val="00037D77"/>
    <w:rsid w:val="000409E2"/>
    <w:rsid w:val="00040F36"/>
    <w:rsid w:val="00042FC7"/>
    <w:rsid w:val="000430B8"/>
    <w:rsid w:val="000437CE"/>
    <w:rsid w:val="00043B94"/>
    <w:rsid w:val="00043D23"/>
    <w:rsid w:val="0004418B"/>
    <w:rsid w:val="00044688"/>
    <w:rsid w:val="000448AD"/>
    <w:rsid w:val="00045692"/>
    <w:rsid w:val="000461AC"/>
    <w:rsid w:val="000467C2"/>
    <w:rsid w:val="00046A97"/>
    <w:rsid w:val="000521E5"/>
    <w:rsid w:val="00053007"/>
    <w:rsid w:val="0005315E"/>
    <w:rsid w:val="00054454"/>
    <w:rsid w:val="000548BF"/>
    <w:rsid w:val="000549B7"/>
    <w:rsid w:val="00054C89"/>
    <w:rsid w:val="00055140"/>
    <w:rsid w:val="00055479"/>
    <w:rsid w:val="00060D92"/>
    <w:rsid w:val="000634FF"/>
    <w:rsid w:val="00063DE4"/>
    <w:rsid w:val="000673A8"/>
    <w:rsid w:val="00067454"/>
    <w:rsid w:val="0006756D"/>
    <w:rsid w:val="000676ED"/>
    <w:rsid w:val="00067A5D"/>
    <w:rsid w:val="000705E3"/>
    <w:rsid w:val="00070BC1"/>
    <w:rsid w:val="00071EF8"/>
    <w:rsid w:val="0007398C"/>
    <w:rsid w:val="00074DDB"/>
    <w:rsid w:val="00075C71"/>
    <w:rsid w:val="00076DE6"/>
    <w:rsid w:val="000774F7"/>
    <w:rsid w:val="0007787A"/>
    <w:rsid w:val="00081B36"/>
    <w:rsid w:val="0008285F"/>
    <w:rsid w:val="000833EE"/>
    <w:rsid w:val="00083DC0"/>
    <w:rsid w:val="00084FF5"/>
    <w:rsid w:val="000851D6"/>
    <w:rsid w:val="00085372"/>
    <w:rsid w:val="0008546B"/>
    <w:rsid w:val="000855EA"/>
    <w:rsid w:val="00085D9A"/>
    <w:rsid w:val="00085F95"/>
    <w:rsid w:val="000861D0"/>
    <w:rsid w:val="00086FE4"/>
    <w:rsid w:val="00087808"/>
    <w:rsid w:val="00087ECA"/>
    <w:rsid w:val="000901B5"/>
    <w:rsid w:val="00092708"/>
    <w:rsid w:val="00092BBA"/>
    <w:rsid w:val="0009310C"/>
    <w:rsid w:val="00096D57"/>
    <w:rsid w:val="00097545"/>
    <w:rsid w:val="00097E66"/>
    <w:rsid w:val="000A03E8"/>
    <w:rsid w:val="000A0699"/>
    <w:rsid w:val="000A1A54"/>
    <w:rsid w:val="000A25F5"/>
    <w:rsid w:val="000A5529"/>
    <w:rsid w:val="000A6041"/>
    <w:rsid w:val="000A6324"/>
    <w:rsid w:val="000A691D"/>
    <w:rsid w:val="000A6FF8"/>
    <w:rsid w:val="000A7E64"/>
    <w:rsid w:val="000A7E91"/>
    <w:rsid w:val="000B0881"/>
    <w:rsid w:val="000B12B3"/>
    <w:rsid w:val="000B17F7"/>
    <w:rsid w:val="000B328C"/>
    <w:rsid w:val="000B68A1"/>
    <w:rsid w:val="000B7045"/>
    <w:rsid w:val="000C03FB"/>
    <w:rsid w:val="000C0876"/>
    <w:rsid w:val="000C2A69"/>
    <w:rsid w:val="000C30AE"/>
    <w:rsid w:val="000C4964"/>
    <w:rsid w:val="000C515F"/>
    <w:rsid w:val="000C51ED"/>
    <w:rsid w:val="000C7BB3"/>
    <w:rsid w:val="000D1AB0"/>
    <w:rsid w:val="000D29EE"/>
    <w:rsid w:val="000D2D1F"/>
    <w:rsid w:val="000D407D"/>
    <w:rsid w:val="000D4427"/>
    <w:rsid w:val="000D6A66"/>
    <w:rsid w:val="000D6D12"/>
    <w:rsid w:val="000D6DBE"/>
    <w:rsid w:val="000D730A"/>
    <w:rsid w:val="000E07CF"/>
    <w:rsid w:val="000E13CE"/>
    <w:rsid w:val="000E281E"/>
    <w:rsid w:val="000E2A20"/>
    <w:rsid w:val="000E31A2"/>
    <w:rsid w:val="000E3954"/>
    <w:rsid w:val="000E3CB3"/>
    <w:rsid w:val="000E3FD6"/>
    <w:rsid w:val="000E42F5"/>
    <w:rsid w:val="000E49D3"/>
    <w:rsid w:val="000E5433"/>
    <w:rsid w:val="000E6B7D"/>
    <w:rsid w:val="000E754C"/>
    <w:rsid w:val="000E7810"/>
    <w:rsid w:val="000F02ED"/>
    <w:rsid w:val="000F04E2"/>
    <w:rsid w:val="000F1311"/>
    <w:rsid w:val="000F1429"/>
    <w:rsid w:val="000F240F"/>
    <w:rsid w:val="000F2A7B"/>
    <w:rsid w:val="000F2C16"/>
    <w:rsid w:val="000F3CD8"/>
    <w:rsid w:val="000F52CD"/>
    <w:rsid w:val="000F5417"/>
    <w:rsid w:val="000F57F7"/>
    <w:rsid w:val="000F5BEE"/>
    <w:rsid w:val="000F5C3B"/>
    <w:rsid w:val="000F61BD"/>
    <w:rsid w:val="000F61D9"/>
    <w:rsid w:val="000F6956"/>
    <w:rsid w:val="000F69C9"/>
    <w:rsid w:val="00100E93"/>
    <w:rsid w:val="00102F37"/>
    <w:rsid w:val="001034C5"/>
    <w:rsid w:val="00103B5C"/>
    <w:rsid w:val="0010615E"/>
    <w:rsid w:val="00107299"/>
    <w:rsid w:val="0011050B"/>
    <w:rsid w:val="00110AC8"/>
    <w:rsid w:val="00111079"/>
    <w:rsid w:val="00111103"/>
    <w:rsid w:val="00111F8F"/>
    <w:rsid w:val="0011298C"/>
    <w:rsid w:val="00112D09"/>
    <w:rsid w:val="0011313F"/>
    <w:rsid w:val="001137E4"/>
    <w:rsid w:val="00113E0D"/>
    <w:rsid w:val="00117618"/>
    <w:rsid w:val="00120262"/>
    <w:rsid w:val="0012103D"/>
    <w:rsid w:val="00121CC8"/>
    <w:rsid w:val="00123163"/>
    <w:rsid w:val="0012644F"/>
    <w:rsid w:val="00126B21"/>
    <w:rsid w:val="00126B30"/>
    <w:rsid w:val="001273EB"/>
    <w:rsid w:val="001314F1"/>
    <w:rsid w:val="0013257F"/>
    <w:rsid w:val="001329C2"/>
    <w:rsid w:val="00133159"/>
    <w:rsid w:val="00133517"/>
    <w:rsid w:val="00133C11"/>
    <w:rsid w:val="00133FCE"/>
    <w:rsid w:val="00134081"/>
    <w:rsid w:val="0013431E"/>
    <w:rsid w:val="00134F45"/>
    <w:rsid w:val="001367D7"/>
    <w:rsid w:val="001372AB"/>
    <w:rsid w:val="00137860"/>
    <w:rsid w:val="001412EF"/>
    <w:rsid w:val="00142116"/>
    <w:rsid w:val="0014252C"/>
    <w:rsid w:val="001429E2"/>
    <w:rsid w:val="001431B2"/>
    <w:rsid w:val="00143C71"/>
    <w:rsid w:val="00146EA3"/>
    <w:rsid w:val="001477D8"/>
    <w:rsid w:val="001507D4"/>
    <w:rsid w:val="00150E39"/>
    <w:rsid w:val="001511BE"/>
    <w:rsid w:val="00151D76"/>
    <w:rsid w:val="00151FC8"/>
    <w:rsid w:val="001523FB"/>
    <w:rsid w:val="0015285E"/>
    <w:rsid w:val="0015337F"/>
    <w:rsid w:val="00154514"/>
    <w:rsid w:val="00154DB0"/>
    <w:rsid w:val="00154E19"/>
    <w:rsid w:val="001553F1"/>
    <w:rsid w:val="00156D99"/>
    <w:rsid w:val="0015701E"/>
    <w:rsid w:val="00157462"/>
    <w:rsid w:val="00157E57"/>
    <w:rsid w:val="00161A23"/>
    <w:rsid w:val="00161EBA"/>
    <w:rsid w:val="001622B6"/>
    <w:rsid w:val="00163232"/>
    <w:rsid w:val="0016351E"/>
    <w:rsid w:val="00163B37"/>
    <w:rsid w:val="0016508C"/>
    <w:rsid w:val="00166699"/>
    <w:rsid w:val="00166AE2"/>
    <w:rsid w:val="00167449"/>
    <w:rsid w:val="00167825"/>
    <w:rsid w:val="00167EB2"/>
    <w:rsid w:val="001709BE"/>
    <w:rsid w:val="00172D87"/>
    <w:rsid w:val="00173466"/>
    <w:rsid w:val="00173E8D"/>
    <w:rsid w:val="00174C27"/>
    <w:rsid w:val="00174C28"/>
    <w:rsid w:val="00174F89"/>
    <w:rsid w:val="0017780F"/>
    <w:rsid w:val="001778EF"/>
    <w:rsid w:val="00180471"/>
    <w:rsid w:val="00182BC5"/>
    <w:rsid w:val="00185D29"/>
    <w:rsid w:val="00185EE1"/>
    <w:rsid w:val="001863D2"/>
    <w:rsid w:val="00186AF9"/>
    <w:rsid w:val="0018734F"/>
    <w:rsid w:val="001878FE"/>
    <w:rsid w:val="00187D66"/>
    <w:rsid w:val="00190C6F"/>
    <w:rsid w:val="00191889"/>
    <w:rsid w:val="00192F1E"/>
    <w:rsid w:val="0019363C"/>
    <w:rsid w:val="00193AA6"/>
    <w:rsid w:val="00193D91"/>
    <w:rsid w:val="00194EA1"/>
    <w:rsid w:val="00195423"/>
    <w:rsid w:val="001954B6"/>
    <w:rsid w:val="0019579A"/>
    <w:rsid w:val="001A109E"/>
    <w:rsid w:val="001A1170"/>
    <w:rsid w:val="001A11D2"/>
    <w:rsid w:val="001A18CC"/>
    <w:rsid w:val="001A2142"/>
    <w:rsid w:val="001A2704"/>
    <w:rsid w:val="001A28D9"/>
    <w:rsid w:val="001A4C59"/>
    <w:rsid w:val="001A537A"/>
    <w:rsid w:val="001A58D8"/>
    <w:rsid w:val="001A59C9"/>
    <w:rsid w:val="001A5C16"/>
    <w:rsid w:val="001A6612"/>
    <w:rsid w:val="001A77E7"/>
    <w:rsid w:val="001B0074"/>
    <w:rsid w:val="001B130F"/>
    <w:rsid w:val="001B1A50"/>
    <w:rsid w:val="001B20A9"/>
    <w:rsid w:val="001B3555"/>
    <w:rsid w:val="001B41A6"/>
    <w:rsid w:val="001B47DC"/>
    <w:rsid w:val="001B50EF"/>
    <w:rsid w:val="001B5A43"/>
    <w:rsid w:val="001B6A4A"/>
    <w:rsid w:val="001C28CF"/>
    <w:rsid w:val="001C3383"/>
    <w:rsid w:val="001C3C00"/>
    <w:rsid w:val="001C4719"/>
    <w:rsid w:val="001C47DC"/>
    <w:rsid w:val="001C497F"/>
    <w:rsid w:val="001C7411"/>
    <w:rsid w:val="001D1158"/>
    <w:rsid w:val="001D1970"/>
    <w:rsid w:val="001D1AD7"/>
    <w:rsid w:val="001D2E43"/>
    <w:rsid w:val="001D3936"/>
    <w:rsid w:val="001D4221"/>
    <w:rsid w:val="001D45F3"/>
    <w:rsid w:val="001D4739"/>
    <w:rsid w:val="001D56AF"/>
    <w:rsid w:val="001D5709"/>
    <w:rsid w:val="001D5CC2"/>
    <w:rsid w:val="001D635A"/>
    <w:rsid w:val="001D7D04"/>
    <w:rsid w:val="001E0291"/>
    <w:rsid w:val="001E1359"/>
    <w:rsid w:val="001E1E2D"/>
    <w:rsid w:val="001E1F67"/>
    <w:rsid w:val="001E4A65"/>
    <w:rsid w:val="001E4C09"/>
    <w:rsid w:val="001E5EF4"/>
    <w:rsid w:val="001E62C1"/>
    <w:rsid w:val="001E6929"/>
    <w:rsid w:val="001E6AFE"/>
    <w:rsid w:val="001E6B86"/>
    <w:rsid w:val="001E77E3"/>
    <w:rsid w:val="001E7F5F"/>
    <w:rsid w:val="001F01C1"/>
    <w:rsid w:val="001F0444"/>
    <w:rsid w:val="001F04CA"/>
    <w:rsid w:val="001F1CC8"/>
    <w:rsid w:val="001F23F6"/>
    <w:rsid w:val="001F40C1"/>
    <w:rsid w:val="001F4DCA"/>
    <w:rsid w:val="001F55A4"/>
    <w:rsid w:val="001F5AEA"/>
    <w:rsid w:val="001F6F6E"/>
    <w:rsid w:val="001F7141"/>
    <w:rsid w:val="00200AFF"/>
    <w:rsid w:val="00201D70"/>
    <w:rsid w:val="00202216"/>
    <w:rsid w:val="0020255E"/>
    <w:rsid w:val="00202C63"/>
    <w:rsid w:val="00203D1A"/>
    <w:rsid w:val="002048B4"/>
    <w:rsid w:val="00205F98"/>
    <w:rsid w:val="0020691E"/>
    <w:rsid w:val="00206C85"/>
    <w:rsid w:val="00210120"/>
    <w:rsid w:val="002123CA"/>
    <w:rsid w:val="002131F7"/>
    <w:rsid w:val="00213EB4"/>
    <w:rsid w:val="00214D4E"/>
    <w:rsid w:val="00215062"/>
    <w:rsid w:val="00220013"/>
    <w:rsid w:val="00220066"/>
    <w:rsid w:val="002202E5"/>
    <w:rsid w:val="00220758"/>
    <w:rsid w:val="00222993"/>
    <w:rsid w:val="00222B38"/>
    <w:rsid w:val="00223304"/>
    <w:rsid w:val="00224E7E"/>
    <w:rsid w:val="00225205"/>
    <w:rsid w:val="00225345"/>
    <w:rsid w:val="00225530"/>
    <w:rsid w:val="00225EF9"/>
    <w:rsid w:val="00225EFF"/>
    <w:rsid w:val="002275E8"/>
    <w:rsid w:val="00227C3B"/>
    <w:rsid w:val="00231542"/>
    <w:rsid w:val="00231CA7"/>
    <w:rsid w:val="00233A74"/>
    <w:rsid w:val="002340E1"/>
    <w:rsid w:val="00234823"/>
    <w:rsid w:val="0023518A"/>
    <w:rsid w:val="00236099"/>
    <w:rsid w:val="002362D9"/>
    <w:rsid w:val="00236734"/>
    <w:rsid w:val="0023718E"/>
    <w:rsid w:val="00237378"/>
    <w:rsid w:val="00237652"/>
    <w:rsid w:val="0024036E"/>
    <w:rsid w:val="002405FE"/>
    <w:rsid w:val="00241A3D"/>
    <w:rsid w:val="002422CE"/>
    <w:rsid w:val="00242409"/>
    <w:rsid w:val="0024255B"/>
    <w:rsid w:val="00245AD2"/>
    <w:rsid w:val="00247851"/>
    <w:rsid w:val="00247A00"/>
    <w:rsid w:val="00247BB4"/>
    <w:rsid w:val="002500C6"/>
    <w:rsid w:val="00250CDC"/>
    <w:rsid w:val="002519DC"/>
    <w:rsid w:val="00251CD7"/>
    <w:rsid w:val="002522F2"/>
    <w:rsid w:val="00252717"/>
    <w:rsid w:val="00252A22"/>
    <w:rsid w:val="00252A61"/>
    <w:rsid w:val="00252D30"/>
    <w:rsid w:val="0025316E"/>
    <w:rsid w:val="0025340E"/>
    <w:rsid w:val="00253FAD"/>
    <w:rsid w:val="002546DD"/>
    <w:rsid w:val="0025532E"/>
    <w:rsid w:val="00255B0A"/>
    <w:rsid w:val="00255BA9"/>
    <w:rsid w:val="00257A39"/>
    <w:rsid w:val="002617AF"/>
    <w:rsid w:val="00261BD2"/>
    <w:rsid w:val="002622DC"/>
    <w:rsid w:val="002651B4"/>
    <w:rsid w:val="00265290"/>
    <w:rsid w:val="00266356"/>
    <w:rsid w:val="00267CD3"/>
    <w:rsid w:val="00270021"/>
    <w:rsid w:val="00271789"/>
    <w:rsid w:val="00272043"/>
    <w:rsid w:val="0027236C"/>
    <w:rsid w:val="00272FF4"/>
    <w:rsid w:val="002738FA"/>
    <w:rsid w:val="00274146"/>
    <w:rsid w:val="002807F8"/>
    <w:rsid w:val="002829DA"/>
    <w:rsid w:val="00283B8B"/>
    <w:rsid w:val="0028579E"/>
    <w:rsid w:val="00287764"/>
    <w:rsid w:val="002926A6"/>
    <w:rsid w:val="0029395A"/>
    <w:rsid w:val="00293D4D"/>
    <w:rsid w:val="0029434D"/>
    <w:rsid w:val="0029439E"/>
    <w:rsid w:val="00294420"/>
    <w:rsid w:val="002960E3"/>
    <w:rsid w:val="00296E94"/>
    <w:rsid w:val="00296F8E"/>
    <w:rsid w:val="00297E09"/>
    <w:rsid w:val="002A03FF"/>
    <w:rsid w:val="002A1EA8"/>
    <w:rsid w:val="002A1F83"/>
    <w:rsid w:val="002A3F2F"/>
    <w:rsid w:val="002A406D"/>
    <w:rsid w:val="002A44D1"/>
    <w:rsid w:val="002A4DE0"/>
    <w:rsid w:val="002A63FE"/>
    <w:rsid w:val="002A677B"/>
    <w:rsid w:val="002A7C9A"/>
    <w:rsid w:val="002B0FF8"/>
    <w:rsid w:val="002B225F"/>
    <w:rsid w:val="002B244F"/>
    <w:rsid w:val="002B2A2A"/>
    <w:rsid w:val="002B3045"/>
    <w:rsid w:val="002B3C12"/>
    <w:rsid w:val="002B402C"/>
    <w:rsid w:val="002B43EF"/>
    <w:rsid w:val="002B6A1F"/>
    <w:rsid w:val="002C0396"/>
    <w:rsid w:val="002C0523"/>
    <w:rsid w:val="002C1175"/>
    <w:rsid w:val="002C118A"/>
    <w:rsid w:val="002C1C16"/>
    <w:rsid w:val="002C2179"/>
    <w:rsid w:val="002C25E4"/>
    <w:rsid w:val="002C3CC1"/>
    <w:rsid w:val="002C4465"/>
    <w:rsid w:val="002C5A20"/>
    <w:rsid w:val="002C6826"/>
    <w:rsid w:val="002C7BC1"/>
    <w:rsid w:val="002D07B5"/>
    <w:rsid w:val="002D09C6"/>
    <w:rsid w:val="002D0A34"/>
    <w:rsid w:val="002D1987"/>
    <w:rsid w:val="002D3003"/>
    <w:rsid w:val="002D356E"/>
    <w:rsid w:val="002D47AE"/>
    <w:rsid w:val="002D4C4A"/>
    <w:rsid w:val="002D54A5"/>
    <w:rsid w:val="002D5EB9"/>
    <w:rsid w:val="002D6200"/>
    <w:rsid w:val="002D62B9"/>
    <w:rsid w:val="002D6C72"/>
    <w:rsid w:val="002D6F2B"/>
    <w:rsid w:val="002D72BF"/>
    <w:rsid w:val="002D7837"/>
    <w:rsid w:val="002D7867"/>
    <w:rsid w:val="002E102C"/>
    <w:rsid w:val="002E1381"/>
    <w:rsid w:val="002E20C1"/>
    <w:rsid w:val="002E22AB"/>
    <w:rsid w:val="002E27DC"/>
    <w:rsid w:val="002E357B"/>
    <w:rsid w:val="002E370C"/>
    <w:rsid w:val="002E37C1"/>
    <w:rsid w:val="002E3D3D"/>
    <w:rsid w:val="002E4031"/>
    <w:rsid w:val="002E4551"/>
    <w:rsid w:val="002E4757"/>
    <w:rsid w:val="002E5780"/>
    <w:rsid w:val="002E5CBB"/>
    <w:rsid w:val="002E62E1"/>
    <w:rsid w:val="002E704F"/>
    <w:rsid w:val="002F0C44"/>
    <w:rsid w:val="002F2067"/>
    <w:rsid w:val="002F29B6"/>
    <w:rsid w:val="002F36E1"/>
    <w:rsid w:val="002F3EC6"/>
    <w:rsid w:val="002F56D0"/>
    <w:rsid w:val="002F656C"/>
    <w:rsid w:val="002F77FD"/>
    <w:rsid w:val="003001ED"/>
    <w:rsid w:val="003014FE"/>
    <w:rsid w:val="0030350B"/>
    <w:rsid w:val="00303C4C"/>
    <w:rsid w:val="00304032"/>
    <w:rsid w:val="00304205"/>
    <w:rsid w:val="00304735"/>
    <w:rsid w:val="00304D6D"/>
    <w:rsid w:val="0030767E"/>
    <w:rsid w:val="00310713"/>
    <w:rsid w:val="00310C03"/>
    <w:rsid w:val="00311BF6"/>
    <w:rsid w:val="00312963"/>
    <w:rsid w:val="00312CC8"/>
    <w:rsid w:val="00314704"/>
    <w:rsid w:val="003148B4"/>
    <w:rsid w:val="00314BED"/>
    <w:rsid w:val="00314FA1"/>
    <w:rsid w:val="003150E1"/>
    <w:rsid w:val="0031549A"/>
    <w:rsid w:val="003156ED"/>
    <w:rsid w:val="00316611"/>
    <w:rsid w:val="00316FDE"/>
    <w:rsid w:val="00320B06"/>
    <w:rsid w:val="00320B19"/>
    <w:rsid w:val="0032151C"/>
    <w:rsid w:val="0032204D"/>
    <w:rsid w:val="003229BD"/>
    <w:rsid w:val="00322A76"/>
    <w:rsid w:val="00323B3B"/>
    <w:rsid w:val="0032415C"/>
    <w:rsid w:val="00325A52"/>
    <w:rsid w:val="00327E5B"/>
    <w:rsid w:val="00331379"/>
    <w:rsid w:val="003322D4"/>
    <w:rsid w:val="003322DA"/>
    <w:rsid w:val="003324D5"/>
    <w:rsid w:val="003350A5"/>
    <w:rsid w:val="00335209"/>
    <w:rsid w:val="00335AF5"/>
    <w:rsid w:val="00335D5A"/>
    <w:rsid w:val="00335F62"/>
    <w:rsid w:val="00336495"/>
    <w:rsid w:val="00336C6C"/>
    <w:rsid w:val="00337AD4"/>
    <w:rsid w:val="0034003C"/>
    <w:rsid w:val="0034064D"/>
    <w:rsid w:val="00340C17"/>
    <w:rsid w:val="00340E24"/>
    <w:rsid w:val="00341686"/>
    <w:rsid w:val="00341E48"/>
    <w:rsid w:val="00341ED5"/>
    <w:rsid w:val="00342941"/>
    <w:rsid w:val="00344968"/>
    <w:rsid w:val="00345E0D"/>
    <w:rsid w:val="00346C0B"/>
    <w:rsid w:val="00347F77"/>
    <w:rsid w:val="00350C95"/>
    <w:rsid w:val="0035118C"/>
    <w:rsid w:val="00351763"/>
    <w:rsid w:val="003533FD"/>
    <w:rsid w:val="00353A2C"/>
    <w:rsid w:val="00355286"/>
    <w:rsid w:val="0035548E"/>
    <w:rsid w:val="00357357"/>
    <w:rsid w:val="0035776A"/>
    <w:rsid w:val="00360FF6"/>
    <w:rsid w:val="00361AA7"/>
    <w:rsid w:val="00362912"/>
    <w:rsid w:val="00366472"/>
    <w:rsid w:val="0037075E"/>
    <w:rsid w:val="003708F5"/>
    <w:rsid w:val="00372D8A"/>
    <w:rsid w:val="00372FDF"/>
    <w:rsid w:val="00375924"/>
    <w:rsid w:val="0037618B"/>
    <w:rsid w:val="00376953"/>
    <w:rsid w:val="00377FB2"/>
    <w:rsid w:val="0038002F"/>
    <w:rsid w:val="003805AC"/>
    <w:rsid w:val="00381267"/>
    <w:rsid w:val="00383397"/>
    <w:rsid w:val="00383DBE"/>
    <w:rsid w:val="00384B13"/>
    <w:rsid w:val="00384FF6"/>
    <w:rsid w:val="00387E6A"/>
    <w:rsid w:val="00390F0D"/>
    <w:rsid w:val="00391811"/>
    <w:rsid w:val="00391B7D"/>
    <w:rsid w:val="00391E66"/>
    <w:rsid w:val="003926CE"/>
    <w:rsid w:val="003941BE"/>
    <w:rsid w:val="003942F8"/>
    <w:rsid w:val="00394924"/>
    <w:rsid w:val="00395614"/>
    <w:rsid w:val="00395639"/>
    <w:rsid w:val="00395DFF"/>
    <w:rsid w:val="00396AA6"/>
    <w:rsid w:val="00397019"/>
    <w:rsid w:val="0039733F"/>
    <w:rsid w:val="00397EDD"/>
    <w:rsid w:val="003A104F"/>
    <w:rsid w:val="003A1ACE"/>
    <w:rsid w:val="003A1F5B"/>
    <w:rsid w:val="003A2E39"/>
    <w:rsid w:val="003A374E"/>
    <w:rsid w:val="003A443A"/>
    <w:rsid w:val="003A4878"/>
    <w:rsid w:val="003A579F"/>
    <w:rsid w:val="003A5CE4"/>
    <w:rsid w:val="003A5DC4"/>
    <w:rsid w:val="003A63D1"/>
    <w:rsid w:val="003A6E78"/>
    <w:rsid w:val="003B097A"/>
    <w:rsid w:val="003B0A25"/>
    <w:rsid w:val="003B0CEE"/>
    <w:rsid w:val="003B2D50"/>
    <w:rsid w:val="003B352E"/>
    <w:rsid w:val="003B3EB1"/>
    <w:rsid w:val="003B3EC9"/>
    <w:rsid w:val="003B4B8C"/>
    <w:rsid w:val="003B5657"/>
    <w:rsid w:val="003B571A"/>
    <w:rsid w:val="003B5C07"/>
    <w:rsid w:val="003B738E"/>
    <w:rsid w:val="003B7650"/>
    <w:rsid w:val="003C07E4"/>
    <w:rsid w:val="003C0BB7"/>
    <w:rsid w:val="003C1B28"/>
    <w:rsid w:val="003C3233"/>
    <w:rsid w:val="003C398E"/>
    <w:rsid w:val="003C3CBF"/>
    <w:rsid w:val="003C425C"/>
    <w:rsid w:val="003C4749"/>
    <w:rsid w:val="003C560C"/>
    <w:rsid w:val="003C5927"/>
    <w:rsid w:val="003C6E84"/>
    <w:rsid w:val="003C6FA6"/>
    <w:rsid w:val="003D06AA"/>
    <w:rsid w:val="003D07FA"/>
    <w:rsid w:val="003D351D"/>
    <w:rsid w:val="003D37AE"/>
    <w:rsid w:val="003D395E"/>
    <w:rsid w:val="003D3FE7"/>
    <w:rsid w:val="003D4464"/>
    <w:rsid w:val="003D4A06"/>
    <w:rsid w:val="003D4AF8"/>
    <w:rsid w:val="003D4CDB"/>
    <w:rsid w:val="003D5A3E"/>
    <w:rsid w:val="003D69B8"/>
    <w:rsid w:val="003D703E"/>
    <w:rsid w:val="003E011A"/>
    <w:rsid w:val="003E037A"/>
    <w:rsid w:val="003E1708"/>
    <w:rsid w:val="003E2290"/>
    <w:rsid w:val="003E2421"/>
    <w:rsid w:val="003E30F4"/>
    <w:rsid w:val="003E43B7"/>
    <w:rsid w:val="003E50FB"/>
    <w:rsid w:val="003E52AE"/>
    <w:rsid w:val="003E5B5A"/>
    <w:rsid w:val="003E5F61"/>
    <w:rsid w:val="003E6294"/>
    <w:rsid w:val="003F0BAB"/>
    <w:rsid w:val="003F1283"/>
    <w:rsid w:val="003F2358"/>
    <w:rsid w:val="003F2FAA"/>
    <w:rsid w:val="003F4D64"/>
    <w:rsid w:val="003F4DE5"/>
    <w:rsid w:val="003F58BD"/>
    <w:rsid w:val="003F5998"/>
    <w:rsid w:val="003F612D"/>
    <w:rsid w:val="003F61A1"/>
    <w:rsid w:val="003F7493"/>
    <w:rsid w:val="003F7938"/>
    <w:rsid w:val="003F7A1B"/>
    <w:rsid w:val="00400CF5"/>
    <w:rsid w:val="00400D5C"/>
    <w:rsid w:val="0040131F"/>
    <w:rsid w:val="004019EE"/>
    <w:rsid w:val="00404ECD"/>
    <w:rsid w:val="00405107"/>
    <w:rsid w:val="0040603C"/>
    <w:rsid w:val="004073E7"/>
    <w:rsid w:val="00407459"/>
    <w:rsid w:val="00407643"/>
    <w:rsid w:val="004103B1"/>
    <w:rsid w:val="00411849"/>
    <w:rsid w:val="00411B17"/>
    <w:rsid w:val="004126AC"/>
    <w:rsid w:val="004132A0"/>
    <w:rsid w:val="0041373B"/>
    <w:rsid w:val="004146B6"/>
    <w:rsid w:val="00414BFC"/>
    <w:rsid w:val="00414CC1"/>
    <w:rsid w:val="00415018"/>
    <w:rsid w:val="0041664E"/>
    <w:rsid w:val="00416CD6"/>
    <w:rsid w:val="004171A5"/>
    <w:rsid w:val="00417252"/>
    <w:rsid w:val="00417399"/>
    <w:rsid w:val="00417EB9"/>
    <w:rsid w:val="004203C2"/>
    <w:rsid w:val="00421E54"/>
    <w:rsid w:val="0042200D"/>
    <w:rsid w:val="004221AB"/>
    <w:rsid w:val="00422474"/>
    <w:rsid w:val="00422D26"/>
    <w:rsid w:val="00423131"/>
    <w:rsid w:val="004244A7"/>
    <w:rsid w:val="00426797"/>
    <w:rsid w:val="00431321"/>
    <w:rsid w:val="00433760"/>
    <w:rsid w:val="004347CA"/>
    <w:rsid w:val="004355B1"/>
    <w:rsid w:val="00435998"/>
    <w:rsid w:val="00435DD0"/>
    <w:rsid w:val="00436551"/>
    <w:rsid w:val="004367BC"/>
    <w:rsid w:val="00437B7B"/>
    <w:rsid w:val="00437E6F"/>
    <w:rsid w:val="00440077"/>
    <w:rsid w:val="0044089C"/>
    <w:rsid w:val="004408D8"/>
    <w:rsid w:val="00440E4D"/>
    <w:rsid w:val="004415FB"/>
    <w:rsid w:val="00441EBB"/>
    <w:rsid w:val="00441F7C"/>
    <w:rsid w:val="0044226E"/>
    <w:rsid w:val="00442BBD"/>
    <w:rsid w:val="00442C25"/>
    <w:rsid w:val="0044367F"/>
    <w:rsid w:val="004438CE"/>
    <w:rsid w:val="00443A2C"/>
    <w:rsid w:val="00444865"/>
    <w:rsid w:val="00444878"/>
    <w:rsid w:val="0044528E"/>
    <w:rsid w:val="004452FB"/>
    <w:rsid w:val="00445D0B"/>
    <w:rsid w:val="0044638C"/>
    <w:rsid w:val="00446ACC"/>
    <w:rsid w:val="0045002A"/>
    <w:rsid w:val="00450F24"/>
    <w:rsid w:val="00451419"/>
    <w:rsid w:val="0045177E"/>
    <w:rsid w:val="004519A5"/>
    <w:rsid w:val="00452291"/>
    <w:rsid w:val="004522C7"/>
    <w:rsid w:val="00452ED6"/>
    <w:rsid w:val="00453F11"/>
    <w:rsid w:val="00453F73"/>
    <w:rsid w:val="00454C7B"/>
    <w:rsid w:val="00454EED"/>
    <w:rsid w:val="00455264"/>
    <w:rsid w:val="0045533E"/>
    <w:rsid w:val="00455D18"/>
    <w:rsid w:val="00455D6C"/>
    <w:rsid w:val="00456278"/>
    <w:rsid w:val="0046152E"/>
    <w:rsid w:val="00461729"/>
    <w:rsid w:val="00461850"/>
    <w:rsid w:val="004643C3"/>
    <w:rsid w:val="00465162"/>
    <w:rsid w:val="00465E81"/>
    <w:rsid w:val="00467805"/>
    <w:rsid w:val="00467FEC"/>
    <w:rsid w:val="004703E4"/>
    <w:rsid w:val="004706D1"/>
    <w:rsid w:val="00471595"/>
    <w:rsid w:val="004728AA"/>
    <w:rsid w:val="00472D24"/>
    <w:rsid w:val="004742C0"/>
    <w:rsid w:val="00476255"/>
    <w:rsid w:val="00476CBC"/>
    <w:rsid w:val="0048007F"/>
    <w:rsid w:val="00480875"/>
    <w:rsid w:val="00480A1F"/>
    <w:rsid w:val="00481D64"/>
    <w:rsid w:val="00481E4F"/>
    <w:rsid w:val="00482E85"/>
    <w:rsid w:val="004839C7"/>
    <w:rsid w:val="00485817"/>
    <w:rsid w:val="00485897"/>
    <w:rsid w:val="00486C9A"/>
    <w:rsid w:val="00487780"/>
    <w:rsid w:val="00490B11"/>
    <w:rsid w:val="004919CB"/>
    <w:rsid w:val="004928AE"/>
    <w:rsid w:val="00492C6E"/>
    <w:rsid w:val="00493D3E"/>
    <w:rsid w:val="00494A60"/>
    <w:rsid w:val="00496285"/>
    <w:rsid w:val="00496FE3"/>
    <w:rsid w:val="004975DD"/>
    <w:rsid w:val="00497A78"/>
    <w:rsid w:val="004A04CA"/>
    <w:rsid w:val="004A1034"/>
    <w:rsid w:val="004A10AB"/>
    <w:rsid w:val="004A1312"/>
    <w:rsid w:val="004A2B1E"/>
    <w:rsid w:val="004A2B78"/>
    <w:rsid w:val="004A2F21"/>
    <w:rsid w:val="004A36FB"/>
    <w:rsid w:val="004A3F07"/>
    <w:rsid w:val="004A4A4E"/>
    <w:rsid w:val="004A4DD3"/>
    <w:rsid w:val="004A4E17"/>
    <w:rsid w:val="004A5AF0"/>
    <w:rsid w:val="004A6332"/>
    <w:rsid w:val="004A6F50"/>
    <w:rsid w:val="004A7065"/>
    <w:rsid w:val="004B05F4"/>
    <w:rsid w:val="004B0C3D"/>
    <w:rsid w:val="004B1CAD"/>
    <w:rsid w:val="004B4BD3"/>
    <w:rsid w:val="004B53F8"/>
    <w:rsid w:val="004B5CC1"/>
    <w:rsid w:val="004B74A0"/>
    <w:rsid w:val="004B7734"/>
    <w:rsid w:val="004B791B"/>
    <w:rsid w:val="004B7928"/>
    <w:rsid w:val="004B79EA"/>
    <w:rsid w:val="004B7D62"/>
    <w:rsid w:val="004B7F3A"/>
    <w:rsid w:val="004C23DA"/>
    <w:rsid w:val="004C2991"/>
    <w:rsid w:val="004C5245"/>
    <w:rsid w:val="004C5864"/>
    <w:rsid w:val="004C5A0C"/>
    <w:rsid w:val="004C662B"/>
    <w:rsid w:val="004C6903"/>
    <w:rsid w:val="004C797A"/>
    <w:rsid w:val="004C7B0D"/>
    <w:rsid w:val="004C7E95"/>
    <w:rsid w:val="004D0E25"/>
    <w:rsid w:val="004D284F"/>
    <w:rsid w:val="004D377A"/>
    <w:rsid w:val="004D3A7C"/>
    <w:rsid w:val="004D48FF"/>
    <w:rsid w:val="004D59A7"/>
    <w:rsid w:val="004D5F5B"/>
    <w:rsid w:val="004D6B57"/>
    <w:rsid w:val="004D7359"/>
    <w:rsid w:val="004E09E3"/>
    <w:rsid w:val="004E10E4"/>
    <w:rsid w:val="004E306D"/>
    <w:rsid w:val="004E357B"/>
    <w:rsid w:val="004E427D"/>
    <w:rsid w:val="004E4384"/>
    <w:rsid w:val="004E49F3"/>
    <w:rsid w:val="004E4E5F"/>
    <w:rsid w:val="004E4FFF"/>
    <w:rsid w:val="004E5852"/>
    <w:rsid w:val="004E6004"/>
    <w:rsid w:val="004E730D"/>
    <w:rsid w:val="004E7826"/>
    <w:rsid w:val="004F21FA"/>
    <w:rsid w:val="004F30BF"/>
    <w:rsid w:val="004F3441"/>
    <w:rsid w:val="004F3D34"/>
    <w:rsid w:val="005005E6"/>
    <w:rsid w:val="005022A9"/>
    <w:rsid w:val="00502FC2"/>
    <w:rsid w:val="00503A43"/>
    <w:rsid w:val="00503D60"/>
    <w:rsid w:val="0050416B"/>
    <w:rsid w:val="00505EA0"/>
    <w:rsid w:val="00505F15"/>
    <w:rsid w:val="0050658A"/>
    <w:rsid w:val="00511E8A"/>
    <w:rsid w:val="00512E97"/>
    <w:rsid w:val="00512E99"/>
    <w:rsid w:val="005133CA"/>
    <w:rsid w:val="0051389D"/>
    <w:rsid w:val="00514688"/>
    <w:rsid w:val="00514698"/>
    <w:rsid w:val="005148C5"/>
    <w:rsid w:val="00514BC1"/>
    <w:rsid w:val="0051562C"/>
    <w:rsid w:val="0051638B"/>
    <w:rsid w:val="00516DA0"/>
    <w:rsid w:val="00516F58"/>
    <w:rsid w:val="00517C82"/>
    <w:rsid w:val="00520A56"/>
    <w:rsid w:val="00521399"/>
    <w:rsid w:val="00521AD6"/>
    <w:rsid w:val="00522095"/>
    <w:rsid w:val="00522287"/>
    <w:rsid w:val="00522912"/>
    <w:rsid w:val="00522E49"/>
    <w:rsid w:val="005231AC"/>
    <w:rsid w:val="00524163"/>
    <w:rsid w:val="00525064"/>
    <w:rsid w:val="00527070"/>
    <w:rsid w:val="00527336"/>
    <w:rsid w:val="00527605"/>
    <w:rsid w:val="00527C18"/>
    <w:rsid w:val="005309B3"/>
    <w:rsid w:val="00530CD5"/>
    <w:rsid w:val="00530F34"/>
    <w:rsid w:val="005313CD"/>
    <w:rsid w:val="00531F10"/>
    <w:rsid w:val="005337F2"/>
    <w:rsid w:val="00533AB8"/>
    <w:rsid w:val="00534211"/>
    <w:rsid w:val="005342B6"/>
    <w:rsid w:val="005345D4"/>
    <w:rsid w:val="00536393"/>
    <w:rsid w:val="00536442"/>
    <w:rsid w:val="0053737E"/>
    <w:rsid w:val="00537974"/>
    <w:rsid w:val="0054043E"/>
    <w:rsid w:val="005404A7"/>
    <w:rsid w:val="00540E4B"/>
    <w:rsid w:val="00543A72"/>
    <w:rsid w:val="00545F0F"/>
    <w:rsid w:val="0054645F"/>
    <w:rsid w:val="0054794A"/>
    <w:rsid w:val="00547D49"/>
    <w:rsid w:val="00547D6E"/>
    <w:rsid w:val="005525BC"/>
    <w:rsid w:val="00553236"/>
    <w:rsid w:val="005547D5"/>
    <w:rsid w:val="00555D34"/>
    <w:rsid w:val="005601C8"/>
    <w:rsid w:val="00561037"/>
    <w:rsid w:val="00561179"/>
    <w:rsid w:val="0056169F"/>
    <w:rsid w:val="00562B24"/>
    <w:rsid w:val="00563228"/>
    <w:rsid w:val="00563329"/>
    <w:rsid w:val="00563C1B"/>
    <w:rsid w:val="0056412B"/>
    <w:rsid w:val="005656B0"/>
    <w:rsid w:val="0056631B"/>
    <w:rsid w:val="00566DD6"/>
    <w:rsid w:val="00566E14"/>
    <w:rsid w:val="00567155"/>
    <w:rsid w:val="0056719E"/>
    <w:rsid w:val="00567B2F"/>
    <w:rsid w:val="005704B9"/>
    <w:rsid w:val="0057152C"/>
    <w:rsid w:val="00572330"/>
    <w:rsid w:val="005723C3"/>
    <w:rsid w:val="00574820"/>
    <w:rsid w:val="005752E1"/>
    <w:rsid w:val="005756D1"/>
    <w:rsid w:val="00576DE2"/>
    <w:rsid w:val="005777AD"/>
    <w:rsid w:val="005812C7"/>
    <w:rsid w:val="00582AB5"/>
    <w:rsid w:val="0058577F"/>
    <w:rsid w:val="00585C80"/>
    <w:rsid w:val="00586A9E"/>
    <w:rsid w:val="00586AC4"/>
    <w:rsid w:val="00586EFF"/>
    <w:rsid w:val="005873A8"/>
    <w:rsid w:val="00587E1F"/>
    <w:rsid w:val="005901D6"/>
    <w:rsid w:val="005904B9"/>
    <w:rsid w:val="00590C56"/>
    <w:rsid w:val="00592916"/>
    <w:rsid w:val="005933E2"/>
    <w:rsid w:val="005939B7"/>
    <w:rsid w:val="00593DD3"/>
    <w:rsid w:val="005A06FA"/>
    <w:rsid w:val="005A28AF"/>
    <w:rsid w:val="005A28E3"/>
    <w:rsid w:val="005A3511"/>
    <w:rsid w:val="005A3B98"/>
    <w:rsid w:val="005A3DFC"/>
    <w:rsid w:val="005A4670"/>
    <w:rsid w:val="005A4E5D"/>
    <w:rsid w:val="005A5201"/>
    <w:rsid w:val="005A5402"/>
    <w:rsid w:val="005A585C"/>
    <w:rsid w:val="005A73BB"/>
    <w:rsid w:val="005A7875"/>
    <w:rsid w:val="005B0736"/>
    <w:rsid w:val="005B0839"/>
    <w:rsid w:val="005B0FA5"/>
    <w:rsid w:val="005B122B"/>
    <w:rsid w:val="005B1936"/>
    <w:rsid w:val="005B225A"/>
    <w:rsid w:val="005B41A0"/>
    <w:rsid w:val="005B59D0"/>
    <w:rsid w:val="005B721C"/>
    <w:rsid w:val="005C038C"/>
    <w:rsid w:val="005C0B54"/>
    <w:rsid w:val="005C1F92"/>
    <w:rsid w:val="005C3ECE"/>
    <w:rsid w:val="005C5F12"/>
    <w:rsid w:val="005C6BF4"/>
    <w:rsid w:val="005D147B"/>
    <w:rsid w:val="005D22CF"/>
    <w:rsid w:val="005D37B4"/>
    <w:rsid w:val="005D381E"/>
    <w:rsid w:val="005D3B4C"/>
    <w:rsid w:val="005D3DB3"/>
    <w:rsid w:val="005D4CA0"/>
    <w:rsid w:val="005D4FB8"/>
    <w:rsid w:val="005D6CAC"/>
    <w:rsid w:val="005D77C5"/>
    <w:rsid w:val="005E067E"/>
    <w:rsid w:val="005E1DC7"/>
    <w:rsid w:val="005E208F"/>
    <w:rsid w:val="005E45EB"/>
    <w:rsid w:val="005E4DEE"/>
    <w:rsid w:val="005E6C45"/>
    <w:rsid w:val="005E6E9E"/>
    <w:rsid w:val="005F00E5"/>
    <w:rsid w:val="005F0886"/>
    <w:rsid w:val="005F0CAC"/>
    <w:rsid w:val="005F1F38"/>
    <w:rsid w:val="005F2D55"/>
    <w:rsid w:val="005F2F07"/>
    <w:rsid w:val="005F323B"/>
    <w:rsid w:val="005F3EF1"/>
    <w:rsid w:val="005F5245"/>
    <w:rsid w:val="005F52AA"/>
    <w:rsid w:val="005F533F"/>
    <w:rsid w:val="005F6867"/>
    <w:rsid w:val="005F68C8"/>
    <w:rsid w:val="005F6A39"/>
    <w:rsid w:val="005F6F04"/>
    <w:rsid w:val="005F72BD"/>
    <w:rsid w:val="005F7723"/>
    <w:rsid w:val="005F7BD4"/>
    <w:rsid w:val="0060230F"/>
    <w:rsid w:val="006034EF"/>
    <w:rsid w:val="0060396D"/>
    <w:rsid w:val="006041EB"/>
    <w:rsid w:val="0060508C"/>
    <w:rsid w:val="00605375"/>
    <w:rsid w:val="00605C0C"/>
    <w:rsid w:val="006063E6"/>
    <w:rsid w:val="00607515"/>
    <w:rsid w:val="00607A2A"/>
    <w:rsid w:val="00607C1B"/>
    <w:rsid w:val="0061080E"/>
    <w:rsid w:val="00611349"/>
    <w:rsid w:val="0061181E"/>
    <w:rsid w:val="00611CBF"/>
    <w:rsid w:val="00612992"/>
    <w:rsid w:val="00612AB9"/>
    <w:rsid w:val="0061326C"/>
    <w:rsid w:val="0061353D"/>
    <w:rsid w:val="00613A06"/>
    <w:rsid w:val="00614215"/>
    <w:rsid w:val="0061488E"/>
    <w:rsid w:val="00616050"/>
    <w:rsid w:val="006220C8"/>
    <w:rsid w:val="00625189"/>
    <w:rsid w:val="00626EF9"/>
    <w:rsid w:val="006274B8"/>
    <w:rsid w:val="00627EFB"/>
    <w:rsid w:val="006305BC"/>
    <w:rsid w:val="00631057"/>
    <w:rsid w:val="006315C2"/>
    <w:rsid w:val="00631D14"/>
    <w:rsid w:val="00632759"/>
    <w:rsid w:val="0063302C"/>
    <w:rsid w:val="006336DE"/>
    <w:rsid w:val="00633BDF"/>
    <w:rsid w:val="00633F49"/>
    <w:rsid w:val="00634888"/>
    <w:rsid w:val="00636B8F"/>
    <w:rsid w:val="006407DD"/>
    <w:rsid w:val="00640A54"/>
    <w:rsid w:val="00640B5D"/>
    <w:rsid w:val="006412DE"/>
    <w:rsid w:val="00642049"/>
    <w:rsid w:val="0064284F"/>
    <w:rsid w:val="006463FE"/>
    <w:rsid w:val="0064793B"/>
    <w:rsid w:val="00650549"/>
    <w:rsid w:val="006524E5"/>
    <w:rsid w:val="00653335"/>
    <w:rsid w:val="00653C0D"/>
    <w:rsid w:val="00654239"/>
    <w:rsid w:val="006543CE"/>
    <w:rsid w:val="006546CA"/>
    <w:rsid w:val="00656706"/>
    <w:rsid w:val="00656D23"/>
    <w:rsid w:val="00656DA8"/>
    <w:rsid w:val="00657524"/>
    <w:rsid w:val="00660CDE"/>
    <w:rsid w:val="00660F2A"/>
    <w:rsid w:val="0066140F"/>
    <w:rsid w:val="00661CCE"/>
    <w:rsid w:val="00661DAA"/>
    <w:rsid w:val="006629D8"/>
    <w:rsid w:val="00663425"/>
    <w:rsid w:val="0066394A"/>
    <w:rsid w:val="00663E9A"/>
    <w:rsid w:val="00663F66"/>
    <w:rsid w:val="006647B8"/>
    <w:rsid w:val="00664E6C"/>
    <w:rsid w:val="00664FF8"/>
    <w:rsid w:val="00665073"/>
    <w:rsid w:val="006652F3"/>
    <w:rsid w:val="0066765F"/>
    <w:rsid w:val="006677FA"/>
    <w:rsid w:val="0067207B"/>
    <w:rsid w:val="0067268A"/>
    <w:rsid w:val="006726FB"/>
    <w:rsid w:val="006742EB"/>
    <w:rsid w:val="00674AAE"/>
    <w:rsid w:val="00675C88"/>
    <w:rsid w:val="00676C5C"/>
    <w:rsid w:val="0067750A"/>
    <w:rsid w:val="00681608"/>
    <w:rsid w:val="00682334"/>
    <w:rsid w:val="006828B2"/>
    <w:rsid w:val="00683376"/>
    <w:rsid w:val="00683ED2"/>
    <w:rsid w:val="00684A97"/>
    <w:rsid w:val="00685A33"/>
    <w:rsid w:val="00685AC3"/>
    <w:rsid w:val="00685EE6"/>
    <w:rsid w:val="00686162"/>
    <w:rsid w:val="00687CE6"/>
    <w:rsid w:val="00690BCA"/>
    <w:rsid w:val="00691DFB"/>
    <w:rsid w:val="006927E5"/>
    <w:rsid w:val="00692BFA"/>
    <w:rsid w:val="006936CB"/>
    <w:rsid w:val="006946D4"/>
    <w:rsid w:val="00694BB7"/>
    <w:rsid w:val="006962E5"/>
    <w:rsid w:val="00697B40"/>
    <w:rsid w:val="006A00B2"/>
    <w:rsid w:val="006A0CF6"/>
    <w:rsid w:val="006A12C3"/>
    <w:rsid w:val="006A1758"/>
    <w:rsid w:val="006A332D"/>
    <w:rsid w:val="006A3BD9"/>
    <w:rsid w:val="006A3C92"/>
    <w:rsid w:val="006A4289"/>
    <w:rsid w:val="006A43C8"/>
    <w:rsid w:val="006A5442"/>
    <w:rsid w:val="006A57AD"/>
    <w:rsid w:val="006A5868"/>
    <w:rsid w:val="006A59F6"/>
    <w:rsid w:val="006A7CAA"/>
    <w:rsid w:val="006B277F"/>
    <w:rsid w:val="006B28DB"/>
    <w:rsid w:val="006B2FB4"/>
    <w:rsid w:val="006B3258"/>
    <w:rsid w:val="006B49CA"/>
    <w:rsid w:val="006B4F9A"/>
    <w:rsid w:val="006B50C9"/>
    <w:rsid w:val="006B5F7D"/>
    <w:rsid w:val="006B61F4"/>
    <w:rsid w:val="006B7E27"/>
    <w:rsid w:val="006C1DA9"/>
    <w:rsid w:val="006C23A2"/>
    <w:rsid w:val="006C3B0C"/>
    <w:rsid w:val="006C5D67"/>
    <w:rsid w:val="006C6703"/>
    <w:rsid w:val="006D000E"/>
    <w:rsid w:val="006D1007"/>
    <w:rsid w:val="006D15C5"/>
    <w:rsid w:val="006D1EFA"/>
    <w:rsid w:val="006D6082"/>
    <w:rsid w:val="006D64B9"/>
    <w:rsid w:val="006D6C1C"/>
    <w:rsid w:val="006D76AC"/>
    <w:rsid w:val="006E038B"/>
    <w:rsid w:val="006E082F"/>
    <w:rsid w:val="006E1046"/>
    <w:rsid w:val="006E231D"/>
    <w:rsid w:val="006E2A97"/>
    <w:rsid w:val="006E2FA7"/>
    <w:rsid w:val="006E3F1D"/>
    <w:rsid w:val="006E4793"/>
    <w:rsid w:val="006E49DC"/>
    <w:rsid w:val="006E4FC5"/>
    <w:rsid w:val="006E543B"/>
    <w:rsid w:val="006E67C1"/>
    <w:rsid w:val="006E7094"/>
    <w:rsid w:val="006E7576"/>
    <w:rsid w:val="006F0333"/>
    <w:rsid w:val="006F092D"/>
    <w:rsid w:val="006F0B98"/>
    <w:rsid w:val="006F125F"/>
    <w:rsid w:val="006F2C88"/>
    <w:rsid w:val="006F3B5B"/>
    <w:rsid w:val="006F46A3"/>
    <w:rsid w:val="006F4BA6"/>
    <w:rsid w:val="006F680F"/>
    <w:rsid w:val="006F69AF"/>
    <w:rsid w:val="006F6F42"/>
    <w:rsid w:val="006F72DA"/>
    <w:rsid w:val="006F7828"/>
    <w:rsid w:val="006F7A5B"/>
    <w:rsid w:val="007005BE"/>
    <w:rsid w:val="00700BC8"/>
    <w:rsid w:val="00701569"/>
    <w:rsid w:val="00701AE3"/>
    <w:rsid w:val="00701D88"/>
    <w:rsid w:val="00702D7B"/>
    <w:rsid w:val="00702D82"/>
    <w:rsid w:val="00703119"/>
    <w:rsid w:val="0070395C"/>
    <w:rsid w:val="00703FA7"/>
    <w:rsid w:val="007043A5"/>
    <w:rsid w:val="007043C5"/>
    <w:rsid w:val="00704580"/>
    <w:rsid w:val="007056F4"/>
    <w:rsid w:val="007058C2"/>
    <w:rsid w:val="00706595"/>
    <w:rsid w:val="00706D8C"/>
    <w:rsid w:val="00707106"/>
    <w:rsid w:val="0071166F"/>
    <w:rsid w:val="0071244D"/>
    <w:rsid w:val="00713D75"/>
    <w:rsid w:val="00714457"/>
    <w:rsid w:val="00714DFE"/>
    <w:rsid w:val="007155E8"/>
    <w:rsid w:val="00715B50"/>
    <w:rsid w:val="00716656"/>
    <w:rsid w:val="00716F6D"/>
    <w:rsid w:val="0071769F"/>
    <w:rsid w:val="0071776F"/>
    <w:rsid w:val="0072157F"/>
    <w:rsid w:val="00722D9C"/>
    <w:rsid w:val="00723451"/>
    <w:rsid w:val="00723494"/>
    <w:rsid w:val="00724DE3"/>
    <w:rsid w:val="0072513B"/>
    <w:rsid w:val="0072579B"/>
    <w:rsid w:val="0072589F"/>
    <w:rsid w:val="007262D3"/>
    <w:rsid w:val="00726490"/>
    <w:rsid w:val="00726845"/>
    <w:rsid w:val="00726ADD"/>
    <w:rsid w:val="00726CC8"/>
    <w:rsid w:val="00731718"/>
    <w:rsid w:val="00733057"/>
    <w:rsid w:val="00733301"/>
    <w:rsid w:val="0073420E"/>
    <w:rsid w:val="00734486"/>
    <w:rsid w:val="00734E20"/>
    <w:rsid w:val="00736129"/>
    <w:rsid w:val="007369A9"/>
    <w:rsid w:val="00736FAB"/>
    <w:rsid w:val="007405E0"/>
    <w:rsid w:val="00740E24"/>
    <w:rsid w:val="0074103C"/>
    <w:rsid w:val="007420FD"/>
    <w:rsid w:val="007423A3"/>
    <w:rsid w:val="00742A72"/>
    <w:rsid w:val="0074315C"/>
    <w:rsid w:val="007444FA"/>
    <w:rsid w:val="00744568"/>
    <w:rsid w:val="007445C7"/>
    <w:rsid w:val="007453C1"/>
    <w:rsid w:val="00746628"/>
    <w:rsid w:val="007467C3"/>
    <w:rsid w:val="00746854"/>
    <w:rsid w:val="00746BF3"/>
    <w:rsid w:val="00746D29"/>
    <w:rsid w:val="00746D4A"/>
    <w:rsid w:val="007471B4"/>
    <w:rsid w:val="00750035"/>
    <w:rsid w:val="0075015A"/>
    <w:rsid w:val="00750527"/>
    <w:rsid w:val="007538B0"/>
    <w:rsid w:val="007538E3"/>
    <w:rsid w:val="00755718"/>
    <w:rsid w:val="00756EDE"/>
    <w:rsid w:val="00756F4A"/>
    <w:rsid w:val="00757CF4"/>
    <w:rsid w:val="00760693"/>
    <w:rsid w:val="00761C0E"/>
    <w:rsid w:val="00762843"/>
    <w:rsid w:val="00762950"/>
    <w:rsid w:val="007633E9"/>
    <w:rsid w:val="007636E6"/>
    <w:rsid w:val="00764833"/>
    <w:rsid w:val="0076500C"/>
    <w:rsid w:val="007665D2"/>
    <w:rsid w:val="007667D6"/>
    <w:rsid w:val="00767772"/>
    <w:rsid w:val="00767D4B"/>
    <w:rsid w:val="007703DC"/>
    <w:rsid w:val="00771BA0"/>
    <w:rsid w:val="00771E77"/>
    <w:rsid w:val="00772159"/>
    <w:rsid w:val="00773A85"/>
    <w:rsid w:val="00773E11"/>
    <w:rsid w:val="007746AE"/>
    <w:rsid w:val="00775DB3"/>
    <w:rsid w:val="007772AE"/>
    <w:rsid w:val="00777544"/>
    <w:rsid w:val="00777B3F"/>
    <w:rsid w:val="00781A56"/>
    <w:rsid w:val="007828F0"/>
    <w:rsid w:val="007836C3"/>
    <w:rsid w:val="0078456C"/>
    <w:rsid w:val="00784598"/>
    <w:rsid w:val="00785274"/>
    <w:rsid w:val="00787EB1"/>
    <w:rsid w:val="007900B4"/>
    <w:rsid w:val="00790245"/>
    <w:rsid w:val="00791342"/>
    <w:rsid w:val="007918F8"/>
    <w:rsid w:val="00791FF6"/>
    <w:rsid w:val="0079209D"/>
    <w:rsid w:val="00793188"/>
    <w:rsid w:val="0079339C"/>
    <w:rsid w:val="007935DE"/>
    <w:rsid w:val="00793D9C"/>
    <w:rsid w:val="00794188"/>
    <w:rsid w:val="00794462"/>
    <w:rsid w:val="00795AAE"/>
    <w:rsid w:val="00796934"/>
    <w:rsid w:val="0079736C"/>
    <w:rsid w:val="00797D9C"/>
    <w:rsid w:val="007A07A9"/>
    <w:rsid w:val="007A15BC"/>
    <w:rsid w:val="007A23F7"/>
    <w:rsid w:val="007A2C50"/>
    <w:rsid w:val="007A318D"/>
    <w:rsid w:val="007A4C93"/>
    <w:rsid w:val="007A5949"/>
    <w:rsid w:val="007A647F"/>
    <w:rsid w:val="007A7565"/>
    <w:rsid w:val="007B18BE"/>
    <w:rsid w:val="007B1CA7"/>
    <w:rsid w:val="007B1F87"/>
    <w:rsid w:val="007B3D92"/>
    <w:rsid w:val="007B436A"/>
    <w:rsid w:val="007B5CA5"/>
    <w:rsid w:val="007B65DE"/>
    <w:rsid w:val="007B6715"/>
    <w:rsid w:val="007B72E9"/>
    <w:rsid w:val="007B781C"/>
    <w:rsid w:val="007C02DC"/>
    <w:rsid w:val="007C097B"/>
    <w:rsid w:val="007C0AD2"/>
    <w:rsid w:val="007C1B50"/>
    <w:rsid w:val="007C306E"/>
    <w:rsid w:val="007C39C3"/>
    <w:rsid w:val="007C4C76"/>
    <w:rsid w:val="007C5AAA"/>
    <w:rsid w:val="007D08AE"/>
    <w:rsid w:val="007D0CDA"/>
    <w:rsid w:val="007D2CA0"/>
    <w:rsid w:val="007D2E71"/>
    <w:rsid w:val="007D383B"/>
    <w:rsid w:val="007D3A43"/>
    <w:rsid w:val="007D4AB7"/>
    <w:rsid w:val="007D55C3"/>
    <w:rsid w:val="007D69ED"/>
    <w:rsid w:val="007D72A1"/>
    <w:rsid w:val="007D7702"/>
    <w:rsid w:val="007D7784"/>
    <w:rsid w:val="007D7CF9"/>
    <w:rsid w:val="007E0A0D"/>
    <w:rsid w:val="007E0A14"/>
    <w:rsid w:val="007E2319"/>
    <w:rsid w:val="007E2D86"/>
    <w:rsid w:val="007E4D56"/>
    <w:rsid w:val="007E50EC"/>
    <w:rsid w:val="007E5A66"/>
    <w:rsid w:val="007E6B49"/>
    <w:rsid w:val="007E6E8F"/>
    <w:rsid w:val="007E6F21"/>
    <w:rsid w:val="007E6FAF"/>
    <w:rsid w:val="007E7161"/>
    <w:rsid w:val="007E7F52"/>
    <w:rsid w:val="007F02D1"/>
    <w:rsid w:val="007F0410"/>
    <w:rsid w:val="007F0F44"/>
    <w:rsid w:val="007F1224"/>
    <w:rsid w:val="007F14CE"/>
    <w:rsid w:val="007F1AA1"/>
    <w:rsid w:val="007F24B8"/>
    <w:rsid w:val="007F2930"/>
    <w:rsid w:val="007F4E13"/>
    <w:rsid w:val="007F58BB"/>
    <w:rsid w:val="007F6C2D"/>
    <w:rsid w:val="00802962"/>
    <w:rsid w:val="00802AD1"/>
    <w:rsid w:val="00802B26"/>
    <w:rsid w:val="00804A67"/>
    <w:rsid w:val="00804E6F"/>
    <w:rsid w:val="00805511"/>
    <w:rsid w:val="0080554D"/>
    <w:rsid w:val="0080588C"/>
    <w:rsid w:val="00805AA7"/>
    <w:rsid w:val="00805E6B"/>
    <w:rsid w:val="00806431"/>
    <w:rsid w:val="00807CD2"/>
    <w:rsid w:val="00810A77"/>
    <w:rsid w:val="00811142"/>
    <w:rsid w:val="008118BE"/>
    <w:rsid w:val="008119DB"/>
    <w:rsid w:val="0081255B"/>
    <w:rsid w:val="00812CC4"/>
    <w:rsid w:val="00813106"/>
    <w:rsid w:val="008136C7"/>
    <w:rsid w:val="0081392F"/>
    <w:rsid w:val="00815200"/>
    <w:rsid w:val="008152A3"/>
    <w:rsid w:val="008154B9"/>
    <w:rsid w:val="008174F7"/>
    <w:rsid w:val="008206BE"/>
    <w:rsid w:val="00820DAC"/>
    <w:rsid w:val="00821D69"/>
    <w:rsid w:val="0082305C"/>
    <w:rsid w:val="00825D21"/>
    <w:rsid w:val="00825F5D"/>
    <w:rsid w:val="008260F2"/>
    <w:rsid w:val="00826206"/>
    <w:rsid w:val="00826553"/>
    <w:rsid w:val="00831253"/>
    <w:rsid w:val="008329B8"/>
    <w:rsid w:val="00835840"/>
    <w:rsid w:val="00836C86"/>
    <w:rsid w:val="00840984"/>
    <w:rsid w:val="008430CE"/>
    <w:rsid w:val="00845A13"/>
    <w:rsid w:val="008467C8"/>
    <w:rsid w:val="008503E0"/>
    <w:rsid w:val="00850F59"/>
    <w:rsid w:val="008518DC"/>
    <w:rsid w:val="00851BFF"/>
    <w:rsid w:val="00852A4F"/>
    <w:rsid w:val="00853F43"/>
    <w:rsid w:val="00855A8F"/>
    <w:rsid w:val="008561F3"/>
    <w:rsid w:val="008570AF"/>
    <w:rsid w:val="00860760"/>
    <w:rsid w:val="0086085C"/>
    <w:rsid w:val="0086087E"/>
    <w:rsid w:val="00861E1F"/>
    <w:rsid w:val="00862D21"/>
    <w:rsid w:val="00862E91"/>
    <w:rsid w:val="00864520"/>
    <w:rsid w:val="00865197"/>
    <w:rsid w:val="00865FD2"/>
    <w:rsid w:val="00866750"/>
    <w:rsid w:val="008676B0"/>
    <w:rsid w:val="00867953"/>
    <w:rsid w:val="00867C8A"/>
    <w:rsid w:val="00867CF6"/>
    <w:rsid w:val="0087006B"/>
    <w:rsid w:val="00870CA0"/>
    <w:rsid w:val="00870D85"/>
    <w:rsid w:val="0087101E"/>
    <w:rsid w:val="00871351"/>
    <w:rsid w:val="00871AB5"/>
    <w:rsid w:val="008721BC"/>
    <w:rsid w:val="00873033"/>
    <w:rsid w:val="008732A9"/>
    <w:rsid w:val="00874AD7"/>
    <w:rsid w:val="00876C88"/>
    <w:rsid w:val="0087768C"/>
    <w:rsid w:val="00877BCB"/>
    <w:rsid w:val="0088146B"/>
    <w:rsid w:val="00881707"/>
    <w:rsid w:val="00881BC4"/>
    <w:rsid w:val="00883020"/>
    <w:rsid w:val="00883348"/>
    <w:rsid w:val="00885DDF"/>
    <w:rsid w:val="00887E92"/>
    <w:rsid w:val="008902C3"/>
    <w:rsid w:val="00890CDD"/>
    <w:rsid w:val="00890F5F"/>
    <w:rsid w:val="00891E71"/>
    <w:rsid w:val="008923EC"/>
    <w:rsid w:val="00892667"/>
    <w:rsid w:val="00894877"/>
    <w:rsid w:val="00895C1A"/>
    <w:rsid w:val="008A0003"/>
    <w:rsid w:val="008A2BD6"/>
    <w:rsid w:val="008A42B6"/>
    <w:rsid w:val="008A49D1"/>
    <w:rsid w:val="008A4D03"/>
    <w:rsid w:val="008A561C"/>
    <w:rsid w:val="008A6828"/>
    <w:rsid w:val="008A6F3E"/>
    <w:rsid w:val="008A7114"/>
    <w:rsid w:val="008B0459"/>
    <w:rsid w:val="008B0B29"/>
    <w:rsid w:val="008B2070"/>
    <w:rsid w:val="008B2071"/>
    <w:rsid w:val="008B25C4"/>
    <w:rsid w:val="008B3132"/>
    <w:rsid w:val="008B3313"/>
    <w:rsid w:val="008B4591"/>
    <w:rsid w:val="008B4981"/>
    <w:rsid w:val="008B4A73"/>
    <w:rsid w:val="008B4FFF"/>
    <w:rsid w:val="008B5077"/>
    <w:rsid w:val="008B5538"/>
    <w:rsid w:val="008B7A6C"/>
    <w:rsid w:val="008C0134"/>
    <w:rsid w:val="008C07EE"/>
    <w:rsid w:val="008C08F2"/>
    <w:rsid w:val="008C1488"/>
    <w:rsid w:val="008C2AD4"/>
    <w:rsid w:val="008C2D0C"/>
    <w:rsid w:val="008C3A47"/>
    <w:rsid w:val="008C3B2E"/>
    <w:rsid w:val="008C4DBF"/>
    <w:rsid w:val="008C6EF2"/>
    <w:rsid w:val="008C7917"/>
    <w:rsid w:val="008C7F19"/>
    <w:rsid w:val="008D0C3A"/>
    <w:rsid w:val="008D19E1"/>
    <w:rsid w:val="008D3540"/>
    <w:rsid w:val="008D3A67"/>
    <w:rsid w:val="008D4374"/>
    <w:rsid w:val="008D4E83"/>
    <w:rsid w:val="008D635E"/>
    <w:rsid w:val="008D6457"/>
    <w:rsid w:val="008D72F3"/>
    <w:rsid w:val="008E0063"/>
    <w:rsid w:val="008E1F30"/>
    <w:rsid w:val="008E211B"/>
    <w:rsid w:val="008E2E83"/>
    <w:rsid w:val="008E348B"/>
    <w:rsid w:val="008E5577"/>
    <w:rsid w:val="008E6578"/>
    <w:rsid w:val="008E65EC"/>
    <w:rsid w:val="008F088E"/>
    <w:rsid w:val="008F0FA6"/>
    <w:rsid w:val="008F144E"/>
    <w:rsid w:val="008F16A0"/>
    <w:rsid w:val="008F1D6E"/>
    <w:rsid w:val="008F26C1"/>
    <w:rsid w:val="008F2FBD"/>
    <w:rsid w:val="008F58D7"/>
    <w:rsid w:val="008F59B6"/>
    <w:rsid w:val="008F6419"/>
    <w:rsid w:val="008F7818"/>
    <w:rsid w:val="008F7956"/>
    <w:rsid w:val="009001CB"/>
    <w:rsid w:val="009005DC"/>
    <w:rsid w:val="00900EA3"/>
    <w:rsid w:val="00900F58"/>
    <w:rsid w:val="00900FDC"/>
    <w:rsid w:val="00901F3F"/>
    <w:rsid w:val="0090286A"/>
    <w:rsid w:val="009041A6"/>
    <w:rsid w:val="009048B4"/>
    <w:rsid w:val="00904AF3"/>
    <w:rsid w:val="00905D34"/>
    <w:rsid w:val="00905DA5"/>
    <w:rsid w:val="0090733A"/>
    <w:rsid w:val="009106AC"/>
    <w:rsid w:val="00910CEF"/>
    <w:rsid w:val="009118CA"/>
    <w:rsid w:val="009126BE"/>
    <w:rsid w:val="00912CE3"/>
    <w:rsid w:val="00914541"/>
    <w:rsid w:val="009145FF"/>
    <w:rsid w:val="009147B3"/>
    <w:rsid w:val="00914CEF"/>
    <w:rsid w:val="00914EDA"/>
    <w:rsid w:val="00914FB8"/>
    <w:rsid w:val="00915D5E"/>
    <w:rsid w:val="00915ED9"/>
    <w:rsid w:val="00917133"/>
    <w:rsid w:val="00921889"/>
    <w:rsid w:val="00921908"/>
    <w:rsid w:val="009226E4"/>
    <w:rsid w:val="0092306B"/>
    <w:rsid w:val="00923FA1"/>
    <w:rsid w:val="009249AC"/>
    <w:rsid w:val="00924FAF"/>
    <w:rsid w:val="00925234"/>
    <w:rsid w:val="009259FE"/>
    <w:rsid w:val="00926426"/>
    <w:rsid w:val="00926BC9"/>
    <w:rsid w:val="009270AB"/>
    <w:rsid w:val="00930BE1"/>
    <w:rsid w:val="00930CE7"/>
    <w:rsid w:val="0093115E"/>
    <w:rsid w:val="009315C8"/>
    <w:rsid w:val="0093173A"/>
    <w:rsid w:val="00931961"/>
    <w:rsid w:val="00931AFE"/>
    <w:rsid w:val="00931CA3"/>
    <w:rsid w:val="00931F59"/>
    <w:rsid w:val="00932115"/>
    <w:rsid w:val="0093366D"/>
    <w:rsid w:val="009339FD"/>
    <w:rsid w:val="00934965"/>
    <w:rsid w:val="00934F17"/>
    <w:rsid w:val="00935A1D"/>
    <w:rsid w:val="009368B8"/>
    <w:rsid w:val="00936D59"/>
    <w:rsid w:val="00937AC6"/>
    <w:rsid w:val="00940229"/>
    <w:rsid w:val="00941DD2"/>
    <w:rsid w:val="009446B9"/>
    <w:rsid w:val="009447CC"/>
    <w:rsid w:val="0094481F"/>
    <w:rsid w:val="00945BAD"/>
    <w:rsid w:val="00945E73"/>
    <w:rsid w:val="00946391"/>
    <w:rsid w:val="0094663D"/>
    <w:rsid w:val="00947247"/>
    <w:rsid w:val="0094753B"/>
    <w:rsid w:val="00950861"/>
    <w:rsid w:val="009513E4"/>
    <w:rsid w:val="009519D0"/>
    <w:rsid w:val="00951B9C"/>
    <w:rsid w:val="00953011"/>
    <w:rsid w:val="00954E40"/>
    <w:rsid w:val="00955652"/>
    <w:rsid w:val="0095691A"/>
    <w:rsid w:val="00956ECC"/>
    <w:rsid w:val="009605E2"/>
    <w:rsid w:val="00960C3C"/>
    <w:rsid w:val="009617D3"/>
    <w:rsid w:val="0096190F"/>
    <w:rsid w:val="009621E6"/>
    <w:rsid w:val="009630F5"/>
    <w:rsid w:val="00963935"/>
    <w:rsid w:val="0096456A"/>
    <w:rsid w:val="00965D20"/>
    <w:rsid w:val="00967DAF"/>
    <w:rsid w:val="00970020"/>
    <w:rsid w:val="009717FA"/>
    <w:rsid w:val="00972D8E"/>
    <w:rsid w:val="00974C52"/>
    <w:rsid w:val="0097509C"/>
    <w:rsid w:val="00975353"/>
    <w:rsid w:val="00975D1D"/>
    <w:rsid w:val="00976103"/>
    <w:rsid w:val="00976140"/>
    <w:rsid w:val="00976BDC"/>
    <w:rsid w:val="00980148"/>
    <w:rsid w:val="009815BB"/>
    <w:rsid w:val="00982786"/>
    <w:rsid w:val="00983DB9"/>
    <w:rsid w:val="00983EE6"/>
    <w:rsid w:val="00984AE5"/>
    <w:rsid w:val="009856BE"/>
    <w:rsid w:val="0098775C"/>
    <w:rsid w:val="00990142"/>
    <w:rsid w:val="00990217"/>
    <w:rsid w:val="0099095C"/>
    <w:rsid w:val="00990B85"/>
    <w:rsid w:val="00990BC2"/>
    <w:rsid w:val="00990E4C"/>
    <w:rsid w:val="00992F7D"/>
    <w:rsid w:val="00994F51"/>
    <w:rsid w:val="0099576B"/>
    <w:rsid w:val="009A0153"/>
    <w:rsid w:val="009A0CC5"/>
    <w:rsid w:val="009A0D21"/>
    <w:rsid w:val="009A14DF"/>
    <w:rsid w:val="009A4B83"/>
    <w:rsid w:val="009A5500"/>
    <w:rsid w:val="009A5E0F"/>
    <w:rsid w:val="009A6681"/>
    <w:rsid w:val="009A761D"/>
    <w:rsid w:val="009A7B7F"/>
    <w:rsid w:val="009B0788"/>
    <w:rsid w:val="009B2199"/>
    <w:rsid w:val="009B258E"/>
    <w:rsid w:val="009B2593"/>
    <w:rsid w:val="009B47AB"/>
    <w:rsid w:val="009B64D1"/>
    <w:rsid w:val="009B6686"/>
    <w:rsid w:val="009B6CDF"/>
    <w:rsid w:val="009B7052"/>
    <w:rsid w:val="009B79BA"/>
    <w:rsid w:val="009B7A33"/>
    <w:rsid w:val="009C0A42"/>
    <w:rsid w:val="009C1845"/>
    <w:rsid w:val="009C27C0"/>
    <w:rsid w:val="009C35D0"/>
    <w:rsid w:val="009C5FB5"/>
    <w:rsid w:val="009C610B"/>
    <w:rsid w:val="009C610D"/>
    <w:rsid w:val="009C7B4A"/>
    <w:rsid w:val="009D039C"/>
    <w:rsid w:val="009D0EDE"/>
    <w:rsid w:val="009D198E"/>
    <w:rsid w:val="009D201B"/>
    <w:rsid w:val="009D4B21"/>
    <w:rsid w:val="009E23F8"/>
    <w:rsid w:val="009E2671"/>
    <w:rsid w:val="009E2A7E"/>
    <w:rsid w:val="009E4416"/>
    <w:rsid w:val="009E46BF"/>
    <w:rsid w:val="009E5C1A"/>
    <w:rsid w:val="009E5DBD"/>
    <w:rsid w:val="009E65F7"/>
    <w:rsid w:val="009E6B12"/>
    <w:rsid w:val="009E72EC"/>
    <w:rsid w:val="009F07ED"/>
    <w:rsid w:val="009F0C63"/>
    <w:rsid w:val="009F138E"/>
    <w:rsid w:val="009F1D7F"/>
    <w:rsid w:val="009F2CF9"/>
    <w:rsid w:val="009F370B"/>
    <w:rsid w:val="009F4532"/>
    <w:rsid w:val="009F49AA"/>
    <w:rsid w:val="009F6FA1"/>
    <w:rsid w:val="00A013CB"/>
    <w:rsid w:val="00A01651"/>
    <w:rsid w:val="00A0175C"/>
    <w:rsid w:val="00A04CDD"/>
    <w:rsid w:val="00A04FB5"/>
    <w:rsid w:val="00A05B4D"/>
    <w:rsid w:val="00A05D85"/>
    <w:rsid w:val="00A06AAE"/>
    <w:rsid w:val="00A06DA2"/>
    <w:rsid w:val="00A10A2A"/>
    <w:rsid w:val="00A11559"/>
    <w:rsid w:val="00A12AEB"/>
    <w:rsid w:val="00A13EF1"/>
    <w:rsid w:val="00A14B1D"/>
    <w:rsid w:val="00A14EFF"/>
    <w:rsid w:val="00A160A4"/>
    <w:rsid w:val="00A162A7"/>
    <w:rsid w:val="00A17296"/>
    <w:rsid w:val="00A17D75"/>
    <w:rsid w:val="00A17EC8"/>
    <w:rsid w:val="00A2034E"/>
    <w:rsid w:val="00A223AA"/>
    <w:rsid w:val="00A22CB2"/>
    <w:rsid w:val="00A2303C"/>
    <w:rsid w:val="00A24809"/>
    <w:rsid w:val="00A24A94"/>
    <w:rsid w:val="00A25539"/>
    <w:rsid w:val="00A25AA6"/>
    <w:rsid w:val="00A26586"/>
    <w:rsid w:val="00A272B7"/>
    <w:rsid w:val="00A273A1"/>
    <w:rsid w:val="00A30275"/>
    <w:rsid w:val="00A30405"/>
    <w:rsid w:val="00A30F99"/>
    <w:rsid w:val="00A31583"/>
    <w:rsid w:val="00A32D68"/>
    <w:rsid w:val="00A3303F"/>
    <w:rsid w:val="00A336EE"/>
    <w:rsid w:val="00A340F1"/>
    <w:rsid w:val="00A3460C"/>
    <w:rsid w:val="00A34AEB"/>
    <w:rsid w:val="00A3731B"/>
    <w:rsid w:val="00A4048C"/>
    <w:rsid w:val="00A41670"/>
    <w:rsid w:val="00A4170F"/>
    <w:rsid w:val="00A41B12"/>
    <w:rsid w:val="00A427BF"/>
    <w:rsid w:val="00A43D43"/>
    <w:rsid w:val="00A45F60"/>
    <w:rsid w:val="00A460A6"/>
    <w:rsid w:val="00A4631F"/>
    <w:rsid w:val="00A466D6"/>
    <w:rsid w:val="00A46ACF"/>
    <w:rsid w:val="00A476CF"/>
    <w:rsid w:val="00A508D2"/>
    <w:rsid w:val="00A50C44"/>
    <w:rsid w:val="00A517A2"/>
    <w:rsid w:val="00A51B58"/>
    <w:rsid w:val="00A51D1B"/>
    <w:rsid w:val="00A52180"/>
    <w:rsid w:val="00A52214"/>
    <w:rsid w:val="00A52537"/>
    <w:rsid w:val="00A52624"/>
    <w:rsid w:val="00A534E2"/>
    <w:rsid w:val="00A538A2"/>
    <w:rsid w:val="00A5484B"/>
    <w:rsid w:val="00A550AE"/>
    <w:rsid w:val="00A56A02"/>
    <w:rsid w:val="00A56F8E"/>
    <w:rsid w:val="00A579BF"/>
    <w:rsid w:val="00A57C0A"/>
    <w:rsid w:val="00A601AC"/>
    <w:rsid w:val="00A609E1"/>
    <w:rsid w:val="00A60B6E"/>
    <w:rsid w:val="00A610F9"/>
    <w:rsid w:val="00A64E90"/>
    <w:rsid w:val="00A652BA"/>
    <w:rsid w:val="00A6537C"/>
    <w:rsid w:val="00A66D7D"/>
    <w:rsid w:val="00A7045E"/>
    <w:rsid w:val="00A70C15"/>
    <w:rsid w:val="00A70F97"/>
    <w:rsid w:val="00A71277"/>
    <w:rsid w:val="00A71CE4"/>
    <w:rsid w:val="00A746E9"/>
    <w:rsid w:val="00A74DD4"/>
    <w:rsid w:val="00A7556C"/>
    <w:rsid w:val="00A75A6F"/>
    <w:rsid w:val="00A763C7"/>
    <w:rsid w:val="00A76B50"/>
    <w:rsid w:val="00A76FF6"/>
    <w:rsid w:val="00A774AE"/>
    <w:rsid w:val="00A80EC0"/>
    <w:rsid w:val="00A817C0"/>
    <w:rsid w:val="00A8204F"/>
    <w:rsid w:val="00A821E4"/>
    <w:rsid w:val="00A82596"/>
    <w:rsid w:val="00A829A3"/>
    <w:rsid w:val="00A82FAE"/>
    <w:rsid w:val="00A83777"/>
    <w:rsid w:val="00A83AEC"/>
    <w:rsid w:val="00A83FEC"/>
    <w:rsid w:val="00A84569"/>
    <w:rsid w:val="00A84DBE"/>
    <w:rsid w:val="00A85582"/>
    <w:rsid w:val="00A8649B"/>
    <w:rsid w:val="00A86B4A"/>
    <w:rsid w:val="00A86D6F"/>
    <w:rsid w:val="00A86DD8"/>
    <w:rsid w:val="00A9119C"/>
    <w:rsid w:val="00A922FB"/>
    <w:rsid w:val="00A93A7C"/>
    <w:rsid w:val="00A94225"/>
    <w:rsid w:val="00A95005"/>
    <w:rsid w:val="00A96BF7"/>
    <w:rsid w:val="00AA03BA"/>
    <w:rsid w:val="00AA03E8"/>
    <w:rsid w:val="00AA06D5"/>
    <w:rsid w:val="00AA199F"/>
    <w:rsid w:val="00AA2082"/>
    <w:rsid w:val="00AA303F"/>
    <w:rsid w:val="00AA3795"/>
    <w:rsid w:val="00AA3C06"/>
    <w:rsid w:val="00AA4672"/>
    <w:rsid w:val="00AA5420"/>
    <w:rsid w:val="00AA5591"/>
    <w:rsid w:val="00AA6363"/>
    <w:rsid w:val="00AA6960"/>
    <w:rsid w:val="00AA720B"/>
    <w:rsid w:val="00AA7885"/>
    <w:rsid w:val="00AA7A53"/>
    <w:rsid w:val="00AA7C05"/>
    <w:rsid w:val="00AA7CFB"/>
    <w:rsid w:val="00AA7F1B"/>
    <w:rsid w:val="00AB0752"/>
    <w:rsid w:val="00AB08D1"/>
    <w:rsid w:val="00AB0ACA"/>
    <w:rsid w:val="00AB137F"/>
    <w:rsid w:val="00AB1766"/>
    <w:rsid w:val="00AB20D0"/>
    <w:rsid w:val="00AB33D1"/>
    <w:rsid w:val="00AB3854"/>
    <w:rsid w:val="00AB447C"/>
    <w:rsid w:val="00AB524A"/>
    <w:rsid w:val="00AB5D6E"/>
    <w:rsid w:val="00AB6336"/>
    <w:rsid w:val="00AB7333"/>
    <w:rsid w:val="00AB7730"/>
    <w:rsid w:val="00AB7B6A"/>
    <w:rsid w:val="00AC104C"/>
    <w:rsid w:val="00AC1A6A"/>
    <w:rsid w:val="00AC300E"/>
    <w:rsid w:val="00AC5072"/>
    <w:rsid w:val="00AC5FBB"/>
    <w:rsid w:val="00AD1A36"/>
    <w:rsid w:val="00AD336E"/>
    <w:rsid w:val="00AD4445"/>
    <w:rsid w:val="00AD6B0C"/>
    <w:rsid w:val="00AE079E"/>
    <w:rsid w:val="00AE0BC7"/>
    <w:rsid w:val="00AE2B08"/>
    <w:rsid w:val="00AE394D"/>
    <w:rsid w:val="00AE4202"/>
    <w:rsid w:val="00AE561E"/>
    <w:rsid w:val="00AE5D86"/>
    <w:rsid w:val="00AE5EDB"/>
    <w:rsid w:val="00AE62E3"/>
    <w:rsid w:val="00AE7331"/>
    <w:rsid w:val="00AE76DC"/>
    <w:rsid w:val="00AE79A8"/>
    <w:rsid w:val="00AF0B21"/>
    <w:rsid w:val="00AF1E4C"/>
    <w:rsid w:val="00AF25DC"/>
    <w:rsid w:val="00AF3795"/>
    <w:rsid w:val="00AF399D"/>
    <w:rsid w:val="00AF3EEF"/>
    <w:rsid w:val="00AF4111"/>
    <w:rsid w:val="00AF4FFC"/>
    <w:rsid w:val="00AF5B8D"/>
    <w:rsid w:val="00AF5CCD"/>
    <w:rsid w:val="00AF5E23"/>
    <w:rsid w:val="00AF671B"/>
    <w:rsid w:val="00AF6A14"/>
    <w:rsid w:val="00AF6FA5"/>
    <w:rsid w:val="00B00335"/>
    <w:rsid w:val="00B0048A"/>
    <w:rsid w:val="00B00A13"/>
    <w:rsid w:val="00B00D59"/>
    <w:rsid w:val="00B0328D"/>
    <w:rsid w:val="00B03EEA"/>
    <w:rsid w:val="00B0436A"/>
    <w:rsid w:val="00B049B4"/>
    <w:rsid w:val="00B06B08"/>
    <w:rsid w:val="00B07724"/>
    <w:rsid w:val="00B07F78"/>
    <w:rsid w:val="00B10083"/>
    <w:rsid w:val="00B10680"/>
    <w:rsid w:val="00B11BD3"/>
    <w:rsid w:val="00B1224E"/>
    <w:rsid w:val="00B12CC0"/>
    <w:rsid w:val="00B142BA"/>
    <w:rsid w:val="00B1534C"/>
    <w:rsid w:val="00B1559E"/>
    <w:rsid w:val="00B15B9F"/>
    <w:rsid w:val="00B15D93"/>
    <w:rsid w:val="00B15E29"/>
    <w:rsid w:val="00B1645A"/>
    <w:rsid w:val="00B16CD6"/>
    <w:rsid w:val="00B2042D"/>
    <w:rsid w:val="00B20C50"/>
    <w:rsid w:val="00B21E59"/>
    <w:rsid w:val="00B22328"/>
    <w:rsid w:val="00B242F1"/>
    <w:rsid w:val="00B24674"/>
    <w:rsid w:val="00B2709E"/>
    <w:rsid w:val="00B27B60"/>
    <w:rsid w:val="00B27CB2"/>
    <w:rsid w:val="00B302B9"/>
    <w:rsid w:val="00B31A9F"/>
    <w:rsid w:val="00B31AF3"/>
    <w:rsid w:val="00B3280C"/>
    <w:rsid w:val="00B32E99"/>
    <w:rsid w:val="00B34483"/>
    <w:rsid w:val="00B34600"/>
    <w:rsid w:val="00B3486B"/>
    <w:rsid w:val="00B35038"/>
    <w:rsid w:val="00B3518F"/>
    <w:rsid w:val="00B369E6"/>
    <w:rsid w:val="00B375EA"/>
    <w:rsid w:val="00B37877"/>
    <w:rsid w:val="00B407CB"/>
    <w:rsid w:val="00B40B13"/>
    <w:rsid w:val="00B41B03"/>
    <w:rsid w:val="00B423FC"/>
    <w:rsid w:val="00B42486"/>
    <w:rsid w:val="00B4266D"/>
    <w:rsid w:val="00B440F5"/>
    <w:rsid w:val="00B4460B"/>
    <w:rsid w:val="00B45263"/>
    <w:rsid w:val="00B4613A"/>
    <w:rsid w:val="00B4692F"/>
    <w:rsid w:val="00B46B6C"/>
    <w:rsid w:val="00B47FC3"/>
    <w:rsid w:val="00B505CA"/>
    <w:rsid w:val="00B5081E"/>
    <w:rsid w:val="00B512DE"/>
    <w:rsid w:val="00B51348"/>
    <w:rsid w:val="00B519F4"/>
    <w:rsid w:val="00B52595"/>
    <w:rsid w:val="00B52E25"/>
    <w:rsid w:val="00B53431"/>
    <w:rsid w:val="00B54B48"/>
    <w:rsid w:val="00B54EAE"/>
    <w:rsid w:val="00B54F72"/>
    <w:rsid w:val="00B5648F"/>
    <w:rsid w:val="00B57546"/>
    <w:rsid w:val="00B6120F"/>
    <w:rsid w:val="00B61CAE"/>
    <w:rsid w:val="00B63ACD"/>
    <w:rsid w:val="00B64633"/>
    <w:rsid w:val="00B64D6D"/>
    <w:rsid w:val="00B65C08"/>
    <w:rsid w:val="00B70845"/>
    <w:rsid w:val="00B71106"/>
    <w:rsid w:val="00B73111"/>
    <w:rsid w:val="00B74287"/>
    <w:rsid w:val="00B74A4A"/>
    <w:rsid w:val="00B7550A"/>
    <w:rsid w:val="00B75885"/>
    <w:rsid w:val="00B77238"/>
    <w:rsid w:val="00B77823"/>
    <w:rsid w:val="00B83956"/>
    <w:rsid w:val="00B83E5F"/>
    <w:rsid w:val="00B8483F"/>
    <w:rsid w:val="00B848E0"/>
    <w:rsid w:val="00B85602"/>
    <w:rsid w:val="00B86F46"/>
    <w:rsid w:val="00B87EFC"/>
    <w:rsid w:val="00B903D5"/>
    <w:rsid w:val="00B928D5"/>
    <w:rsid w:val="00B92934"/>
    <w:rsid w:val="00B94E39"/>
    <w:rsid w:val="00B95048"/>
    <w:rsid w:val="00B960DD"/>
    <w:rsid w:val="00B974CA"/>
    <w:rsid w:val="00B97700"/>
    <w:rsid w:val="00B97CD4"/>
    <w:rsid w:val="00B97D61"/>
    <w:rsid w:val="00BA0F46"/>
    <w:rsid w:val="00BA0FB6"/>
    <w:rsid w:val="00BA1002"/>
    <w:rsid w:val="00BA2841"/>
    <w:rsid w:val="00BA2FFD"/>
    <w:rsid w:val="00BA3176"/>
    <w:rsid w:val="00BA37A6"/>
    <w:rsid w:val="00BA3AA7"/>
    <w:rsid w:val="00BA413A"/>
    <w:rsid w:val="00BA4477"/>
    <w:rsid w:val="00BA5107"/>
    <w:rsid w:val="00BA5E30"/>
    <w:rsid w:val="00BA61F9"/>
    <w:rsid w:val="00BA7696"/>
    <w:rsid w:val="00BB08CC"/>
    <w:rsid w:val="00BB0C27"/>
    <w:rsid w:val="00BB0D91"/>
    <w:rsid w:val="00BB111B"/>
    <w:rsid w:val="00BB2708"/>
    <w:rsid w:val="00BB2B9B"/>
    <w:rsid w:val="00BB4720"/>
    <w:rsid w:val="00BB58C9"/>
    <w:rsid w:val="00BB6171"/>
    <w:rsid w:val="00BB6B6E"/>
    <w:rsid w:val="00BB700D"/>
    <w:rsid w:val="00BC012C"/>
    <w:rsid w:val="00BC0A16"/>
    <w:rsid w:val="00BC0B69"/>
    <w:rsid w:val="00BC1070"/>
    <w:rsid w:val="00BC1661"/>
    <w:rsid w:val="00BC1B00"/>
    <w:rsid w:val="00BC2493"/>
    <w:rsid w:val="00BC2ACB"/>
    <w:rsid w:val="00BC4A8A"/>
    <w:rsid w:val="00BC5790"/>
    <w:rsid w:val="00BC6143"/>
    <w:rsid w:val="00BC67D7"/>
    <w:rsid w:val="00BC6C6F"/>
    <w:rsid w:val="00BC75CD"/>
    <w:rsid w:val="00BD0C67"/>
    <w:rsid w:val="00BD166C"/>
    <w:rsid w:val="00BD2783"/>
    <w:rsid w:val="00BD33D0"/>
    <w:rsid w:val="00BD4AFA"/>
    <w:rsid w:val="00BD527E"/>
    <w:rsid w:val="00BD5770"/>
    <w:rsid w:val="00BD6F38"/>
    <w:rsid w:val="00BD71A1"/>
    <w:rsid w:val="00BD74BB"/>
    <w:rsid w:val="00BE08C1"/>
    <w:rsid w:val="00BE0A51"/>
    <w:rsid w:val="00BE1D2F"/>
    <w:rsid w:val="00BE35B0"/>
    <w:rsid w:val="00BE4542"/>
    <w:rsid w:val="00BE4866"/>
    <w:rsid w:val="00BE53CB"/>
    <w:rsid w:val="00BE5AC1"/>
    <w:rsid w:val="00BE5D7D"/>
    <w:rsid w:val="00BE6035"/>
    <w:rsid w:val="00BE6ABA"/>
    <w:rsid w:val="00BE6E0F"/>
    <w:rsid w:val="00BE6EC3"/>
    <w:rsid w:val="00BE7E35"/>
    <w:rsid w:val="00BF0BB7"/>
    <w:rsid w:val="00BF0F4F"/>
    <w:rsid w:val="00BF442C"/>
    <w:rsid w:val="00BF5B35"/>
    <w:rsid w:val="00BF796B"/>
    <w:rsid w:val="00C01A6C"/>
    <w:rsid w:val="00C02635"/>
    <w:rsid w:val="00C03016"/>
    <w:rsid w:val="00C035E8"/>
    <w:rsid w:val="00C0386A"/>
    <w:rsid w:val="00C04DE7"/>
    <w:rsid w:val="00C0630C"/>
    <w:rsid w:val="00C06862"/>
    <w:rsid w:val="00C06EA8"/>
    <w:rsid w:val="00C0704C"/>
    <w:rsid w:val="00C070E9"/>
    <w:rsid w:val="00C10497"/>
    <w:rsid w:val="00C10C13"/>
    <w:rsid w:val="00C10DDC"/>
    <w:rsid w:val="00C11157"/>
    <w:rsid w:val="00C11B49"/>
    <w:rsid w:val="00C12290"/>
    <w:rsid w:val="00C1232D"/>
    <w:rsid w:val="00C1309C"/>
    <w:rsid w:val="00C14B27"/>
    <w:rsid w:val="00C15091"/>
    <w:rsid w:val="00C1532A"/>
    <w:rsid w:val="00C158E5"/>
    <w:rsid w:val="00C15C74"/>
    <w:rsid w:val="00C16132"/>
    <w:rsid w:val="00C16524"/>
    <w:rsid w:val="00C1672F"/>
    <w:rsid w:val="00C2021D"/>
    <w:rsid w:val="00C20249"/>
    <w:rsid w:val="00C20617"/>
    <w:rsid w:val="00C208FA"/>
    <w:rsid w:val="00C20DCD"/>
    <w:rsid w:val="00C21522"/>
    <w:rsid w:val="00C2226E"/>
    <w:rsid w:val="00C22685"/>
    <w:rsid w:val="00C247E0"/>
    <w:rsid w:val="00C24D44"/>
    <w:rsid w:val="00C26CC6"/>
    <w:rsid w:val="00C26D86"/>
    <w:rsid w:val="00C26FD7"/>
    <w:rsid w:val="00C2700F"/>
    <w:rsid w:val="00C271D5"/>
    <w:rsid w:val="00C30115"/>
    <w:rsid w:val="00C30BF3"/>
    <w:rsid w:val="00C30EDE"/>
    <w:rsid w:val="00C3203D"/>
    <w:rsid w:val="00C320AD"/>
    <w:rsid w:val="00C32D1D"/>
    <w:rsid w:val="00C33BAD"/>
    <w:rsid w:val="00C34C62"/>
    <w:rsid w:val="00C34D48"/>
    <w:rsid w:val="00C34E2D"/>
    <w:rsid w:val="00C37928"/>
    <w:rsid w:val="00C40413"/>
    <w:rsid w:val="00C406C8"/>
    <w:rsid w:val="00C41205"/>
    <w:rsid w:val="00C41317"/>
    <w:rsid w:val="00C41372"/>
    <w:rsid w:val="00C41C14"/>
    <w:rsid w:val="00C44962"/>
    <w:rsid w:val="00C45907"/>
    <w:rsid w:val="00C47E32"/>
    <w:rsid w:val="00C516D5"/>
    <w:rsid w:val="00C52379"/>
    <w:rsid w:val="00C529CF"/>
    <w:rsid w:val="00C52F5F"/>
    <w:rsid w:val="00C53CDD"/>
    <w:rsid w:val="00C5432B"/>
    <w:rsid w:val="00C54ADC"/>
    <w:rsid w:val="00C562B3"/>
    <w:rsid w:val="00C5794C"/>
    <w:rsid w:val="00C62401"/>
    <w:rsid w:val="00C6247C"/>
    <w:rsid w:val="00C6272E"/>
    <w:rsid w:val="00C6293F"/>
    <w:rsid w:val="00C63635"/>
    <w:rsid w:val="00C63BA4"/>
    <w:rsid w:val="00C64C0A"/>
    <w:rsid w:val="00C64E72"/>
    <w:rsid w:val="00C66173"/>
    <w:rsid w:val="00C66E6F"/>
    <w:rsid w:val="00C66EEE"/>
    <w:rsid w:val="00C70940"/>
    <w:rsid w:val="00C72330"/>
    <w:rsid w:val="00C73D54"/>
    <w:rsid w:val="00C740F1"/>
    <w:rsid w:val="00C7489A"/>
    <w:rsid w:val="00C752F0"/>
    <w:rsid w:val="00C758C9"/>
    <w:rsid w:val="00C7620F"/>
    <w:rsid w:val="00C76829"/>
    <w:rsid w:val="00C775E3"/>
    <w:rsid w:val="00C81678"/>
    <w:rsid w:val="00C82D6F"/>
    <w:rsid w:val="00C84F40"/>
    <w:rsid w:val="00C872B9"/>
    <w:rsid w:val="00C90BBB"/>
    <w:rsid w:val="00C91547"/>
    <w:rsid w:val="00C918C7"/>
    <w:rsid w:val="00C91AD2"/>
    <w:rsid w:val="00C926D2"/>
    <w:rsid w:val="00C92C32"/>
    <w:rsid w:val="00C939AE"/>
    <w:rsid w:val="00C95FBC"/>
    <w:rsid w:val="00C96A47"/>
    <w:rsid w:val="00C96AAD"/>
    <w:rsid w:val="00C9746A"/>
    <w:rsid w:val="00CA003C"/>
    <w:rsid w:val="00CA04B5"/>
    <w:rsid w:val="00CA0663"/>
    <w:rsid w:val="00CA07E1"/>
    <w:rsid w:val="00CA1192"/>
    <w:rsid w:val="00CA1480"/>
    <w:rsid w:val="00CA17C6"/>
    <w:rsid w:val="00CA20CA"/>
    <w:rsid w:val="00CA24A3"/>
    <w:rsid w:val="00CA2552"/>
    <w:rsid w:val="00CA539B"/>
    <w:rsid w:val="00CA695A"/>
    <w:rsid w:val="00CA7FD8"/>
    <w:rsid w:val="00CA7FE1"/>
    <w:rsid w:val="00CB040F"/>
    <w:rsid w:val="00CB1845"/>
    <w:rsid w:val="00CB2E4C"/>
    <w:rsid w:val="00CB3FDB"/>
    <w:rsid w:val="00CB49CA"/>
    <w:rsid w:val="00CB5077"/>
    <w:rsid w:val="00CB5AC9"/>
    <w:rsid w:val="00CB5F52"/>
    <w:rsid w:val="00CB6AD1"/>
    <w:rsid w:val="00CB7694"/>
    <w:rsid w:val="00CB7B03"/>
    <w:rsid w:val="00CB7D73"/>
    <w:rsid w:val="00CC0372"/>
    <w:rsid w:val="00CC0E9D"/>
    <w:rsid w:val="00CC1A7F"/>
    <w:rsid w:val="00CC1E4E"/>
    <w:rsid w:val="00CC2899"/>
    <w:rsid w:val="00CC363A"/>
    <w:rsid w:val="00CC3F9B"/>
    <w:rsid w:val="00CC5508"/>
    <w:rsid w:val="00CC5D97"/>
    <w:rsid w:val="00CC696F"/>
    <w:rsid w:val="00CC74C7"/>
    <w:rsid w:val="00CC74F0"/>
    <w:rsid w:val="00CC76D9"/>
    <w:rsid w:val="00CD02FF"/>
    <w:rsid w:val="00CD2C2E"/>
    <w:rsid w:val="00CD301B"/>
    <w:rsid w:val="00CD4EA0"/>
    <w:rsid w:val="00CD6580"/>
    <w:rsid w:val="00CD68EC"/>
    <w:rsid w:val="00CD6E41"/>
    <w:rsid w:val="00CD7122"/>
    <w:rsid w:val="00CD7CAC"/>
    <w:rsid w:val="00CD7F9F"/>
    <w:rsid w:val="00CE0674"/>
    <w:rsid w:val="00CE19FF"/>
    <w:rsid w:val="00CE3BA2"/>
    <w:rsid w:val="00CE4990"/>
    <w:rsid w:val="00CE67E9"/>
    <w:rsid w:val="00CF0FBB"/>
    <w:rsid w:val="00CF147C"/>
    <w:rsid w:val="00CF3050"/>
    <w:rsid w:val="00CF3D7A"/>
    <w:rsid w:val="00CF47BB"/>
    <w:rsid w:val="00CF5A0A"/>
    <w:rsid w:val="00CF5F3A"/>
    <w:rsid w:val="00CF7798"/>
    <w:rsid w:val="00D01375"/>
    <w:rsid w:val="00D01F99"/>
    <w:rsid w:val="00D0294D"/>
    <w:rsid w:val="00D034E0"/>
    <w:rsid w:val="00D038D3"/>
    <w:rsid w:val="00D03B2F"/>
    <w:rsid w:val="00D05128"/>
    <w:rsid w:val="00D052F6"/>
    <w:rsid w:val="00D056AD"/>
    <w:rsid w:val="00D064B7"/>
    <w:rsid w:val="00D0670D"/>
    <w:rsid w:val="00D117D0"/>
    <w:rsid w:val="00D12341"/>
    <w:rsid w:val="00D127C1"/>
    <w:rsid w:val="00D1359D"/>
    <w:rsid w:val="00D157D0"/>
    <w:rsid w:val="00D165E2"/>
    <w:rsid w:val="00D17A16"/>
    <w:rsid w:val="00D2120C"/>
    <w:rsid w:val="00D212AE"/>
    <w:rsid w:val="00D2216C"/>
    <w:rsid w:val="00D22825"/>
    <w:rsid w:val="00D2307B"/>
    <w:rsid w:val="00D243AB"/>
    <w:rsid w:val="00D2441D"/>
    <w:rsid w:val="00D251AD"/>
    <w:rsid w:val="00D252A8"/>
    <w:rsid w:val="00D2534E"/>
    <w:rsid w:val="00D27B28"/>
    <w:rsid w:val="00D27E4E"/>
    <w:rsid w:val="00D27F7C"/>
    <w:rsid w:val="00D30421"/>
    <w:rsid w:val="00D30A4A"/>
    <w:rsid w:val="00D32CD3"/>
    <w:rsid w:val="00D34C02"/>
    <w:rsid w:val="00D35753"/>
    <w:rsid w:val="00D3627A"/>
    <w:rsid w:val="00D36888"/>
    <w:rsid w:val="00D37B3B"/>
    <w:rsid w:val="00D37D9B"/>
    <w:rsid w:val="00D4023B"/>
    <w:rsid w:val="00D40E12"/>
    <w:rsid w:val="00D4517C"/>
    <w:rsid w:val="00D4557C"/>
    <w:rsid w:val="00D4581D"/>
    <w:rsid w:val="00D4599E"/>
    <w:rsid w:val="00D46112"/>
    <w:rsid w:val="00D46B9D"/>
    <w:rsid w:val="00D47730"/>
    <w:rsid w:val="00D51114"/>
    <w:rsid w:val="00D51A9D"/>
    <w:rsid w:val="00D52C6A"/>
    <w:rsid w:val="00D53C4A"/>
    <w:rsid w:val="00D553F9"/>
    <w:rsid w:val="00D55669"/>
    <w:rsid w:val="00D55888"/>
    <w:rsid w:val="00D57E75"/>
    <w:rsid w:val="00D57ED3"/>
    <w:rsid w:val="00D6049F"/>
    <w:rsid w:val="00D60D56"/>
    <w:rsid w:val="00D60E46"/>
    <w:rsid w:val="00D615DF"/>
    <w:rsid w:val="00D61CDB"/>
    <w:rsid w:val="00D62D7E"/>
    <w:rsid w:val="00D62F0A"/>
    <w:rsid w:val="00D632B2"/>
    <w:rsid w:val="00D633B0"/>
    <w:rsid w:val="00D63519"/>
    <w:rsid w:val="00D63ED5"/>
    <w:rsid w:val="00D640F7"/>
    <w:rsid w:val="00D65320"/>
    <w:rsid w:val="00D65345"/>
    <w:rsid w:val="00D66164"/>
    <w:rsid w:val="00D66DDF"/>
    <w:rsid w:val="00D676A3"/>
    <w:rsid w:val="00D676BA"/>
    <w:rsid w:val="00D678E2"/>
    <w:rsid w:val="00D701F0"/>
    <w:rsid w:val="00D72A55"/>
    <w:rsid w:val="00D73066"/>
    <w:rsid w:val="00D73181"/>
    <w:rsid w:val="00D7397C"/>
    <w:rsid w:val="00D73A01"/>
    <w:rsid w:val="00D75D10"/>
    <w:rsid w:val="00D75F7F"/>
    <w:rsid w:val="00D76D84"/>
    <w:rsid w:val="00D771B9"/>
    <w:rsid w:val="00D77A24"/>
    <w:rsid w:val="00D77BA7"/>
    <w:rsid w:val="00D81FD3"/>
    <w:rsid w:val="00D8211E"/>
    <w:rsid w:val="00D82C46"/>
    <w:rsid w:val="00D838DD"/>
    <w:rsid w:val="00D83AC8"/>
    <w:rsid w:val="00D8478E"/>
    <w:rsid w:val="00D84D32"/>
    <w:rsid w:val="00D85FDB"/>
    <w:rsid w:val="00D86378"/>
    <w:rsid w:val="00D866EF"/>
    <w:rsid w:val="00D900DA"/>
    <w:rsid w:val="00D9028A"/>
    <w:rsid w:val="00D914E3"/>
    <w:rsid w:val="00D92194"/>
    <w:rsid w:val="00D9246B"/>
    <w:rsid w:val="00D9247B"/>
    <w:rsid w:val="00D92F20"/>
    <w:rsid w:val="00D9397F"/>
    <w:rsid w:val="00D93B48"/>
    <w:rsid w:val="00D94DE6"/>
    <w:rsid w:val="00D94FB9"/>
    <w:rsid w:val="00D952AB"/>
    <w:rsid w:val="00D97743"/>
    <w:rsid w:val="00DA0568"/>
    <w:rsid w:val="00DA1C08"/>
    <w:rsid w:val="00DA2011"/>
    <w:rsid w:val="00DA2735"/>
    <w:rsid w:val="00DA2936"/>
    <w:rsid w:val="00DA2CF2"/>
    <w:rsid w:val="00DA405B"/>
    <w:rsid w:val="00DA4BDE"/>
    <w:rsid w:val="00DA4DFA"/>
    <w:rsid w:val="00DA4E46"/>
    <w:rsid w:val="00DA5024"/>
    <w:rsid w:val="00DA7AFA"/>
    <w:rsid w:val="00DB0DD5"/>
    <w:rsid w:val="00DB1922"/>
    <w:rsid w:val="00DB2A0B"/>
    <w:rsid w:val="00DB2F87"/>
    <w:rsid w:val="00DB385C"/>
    <w:rsid w:val="00DB39F3"/>
    <w:rsid w:val="00DB414E"/>
    <w:rsid w:val="00DB4AEE"/>
    <w:rsid w:val="00DB55B3"/>
    <w:rsid w:val="00DB6F9B"/>
    <w:rsid w:val="00DB75D2"/>
    <w:rsid w:val="00DB7CAB"/>
    <w:rsid w:val="00DC2914"/>
    <w:rsid w:val="00DC2EC0"/>
    <w:rsid w:val="00DC312D"/>
    <w:rsid w:val="00DC3483"/>
    <w:rsid w:val="00DC3D35"/>
    <w:rsid w:val="00DC4544"/>
    <w:rsid w:val="00DC51F8"/>
    <w:rsid w:val="00DC57DE"/>
    <w:rsid w:val="00DC5F28"/>
    <w:rsid w:val="00DC7032"/>
    <w:rsid w:val="00DC7502"/>
    <w:rsid w:val="00DC7E37"/>
    <w:rsid w:val="00DD0BAB"/>
    <w:rsid w:val="00DD1D71"/>
    <w:rsid w:val="00DD2120"/>
    <w:rsid w:val="00DD2655"/>
    <w:rsid w:val="00DD375D"/>
    <w:rsid w:val="00DD3D49"/>
    <w:rsid w:val="00DD5619"/>
    <w:rsid w:val="00DD6AAA"/>
    <w:rsid w:val="00DD7206"/>
    <w:rsid w:val="00DD7A3F"/>
    <w:rsid w:val="00DD7C99"/>
    <w:rsid w:val="00DE0BB0"/>
    <w:rsid w:val="00DE0BC3"/>
    <w:rsid w:val="00DE1265"/>
    <w:rsid w:val="00DE1E04"/>
    <w:rsid w:val="00DE25FE"/>
    <w:rsid w:val="00DE4032"/>
    <w:rsid w:val="00DE532F"/>
    <w:rsid w:val="00DE6832"/>
    <w:rsid w:val="00DE6E4F"/>
    <w:rsid w:val="00DE7DCB"/>
    <w:rsid w:val="00DF1418"/>
    <w:rsid w:val="00DF31D4"/>
    <w:rsid w:val="00DF346D"/>
    <w:rsid w:val="00DF3C6F"/>
    <w:rsid w:val="00DF3D70"/>
    <w:rsid w:val="00DF5B08"/>
    <w:rsid w:val="00DF5F16"/>
    <w:rsid w:val="00DF6139"/>
    <w:rsid w:val="00E00849"/>
    <w:rsid w:val="00E00D23"/>
    <w:rsid w:val="00E014E0"/>
    <w:rsid w:val="00E020EE"/>
    <w:rsid w:val="00E028A1"/>
    <w:rsid w:val="00E02E98"/>
    <w:rsid w:val="00E0315E"/>
    <w:rsid w:val="00E03406"/>
    <w:rsid w:val="00E0622C"/>
    <w:rsid w:val="00E0695C"/>
    <w:rsid w:val="00E069FA"/>
    <w:rsid w:val="00E0721A"/>
    <w:rsid w:val="00E07B04"/>
    <w:rsid w:val="00E1182C"/>
    <w:rsid w:val="00E126A5"/>
    <w:rsid w:val="00E126D1"/>
    <w:rsid w:val="00E13318"/>
    <w:rsid w:val="00E15916"/>
    <w:rsid w:val="00E175FA"/>
    <w:rsid w:val="00E21834"/>
    <w:rsid w:val="00E22700"/>
    <w:rsid w:val="00E22B98"/>
    <w:rsid w:val="00E235C2"/>
    <w:rsid w:val="00E23D50"/>
    <w:rsid w:val="00E23F1C"/>
    <w:rsid w:val="00E2547E"/>
    <w:rsid w:val="00E254F1"/>
    <w:rsid w:val="00E25E80"/>
    <w:rsid w:val="00E26BE2"/>
    <w:rsid w:val="00E27B25"/>
    <w:rsid w:val="00E27EA6"/>
    <w:rsid w:val="00E3034D"/>
    <w:rsid w:val="00E30DE7"/>
    <w:rsid w:val="00E31268"/>
    <w:rsid w:val="00E314B4"/>
    <w:rsid w:val="00E3273B"/>
    <w:rsid w:val="00E32D66"/>
    <w:rsid w:val="00E32EC2"/>
    <w:rsid w:val="00E32FFE"/>
    <w:rsid w:val="00E331E7"/>
    <w:rsid w:val="00E34C5D"/>
    <w:rsid w:val="00E34DDA"/>
    <w:rsid w:val="00E35EA6"/>
    <w:rsid w:val="00E362CB"/>
    <w:rsid w:val="00E36661"/>
    <w:rsid w:val="00E36D67"/>
    <w:rsid w:val="00E36F1C"/>
    <w:rsid w:val="00E400AA"/>
    <w:rsid w:val="00E40563"/>
    <w:rsid w:val="00E409D4"/>
    <w:rsid w:val="00E40D14"/>
    <w:rsid w:val="00E412D3"/>
    <w:rsid w:val="00E42CA4"/>
    <w:rsid w:val="00E42DF4"/>
    <w:rsid w:val="00E42EEE"/>
    <w:rsid w:val="00E4365F"/>
    <w:rsid w:val="00E442AF"/>
    <w:rsid w:val="00E44E49"/>
    <w:rsid w:val="00E44F32"/>
    <w:rsid w:val="00E45463"/>
    <w:rsid w:val="00E45D3C"/>
    <w:rsid w:val="00E47ACE"/>
    <w:rsid w:val="00E506F0"/>
    <w:rsid w:val="00E50B64"/>
    <w:rsid w:val="00E510AE"/>
    <w:rsid w:val="00E52A3B"/>
    <w:rsid w:val="00E52D98"/>
    <w:rsid w:val="00E5326A"/>
    <w:rsid w:val="00E546E2"/>
    <w:rsid w:val="00E54AB9"/>
    <w:rsid w:val="00E5623B"/>
    <w:rsid w:val="00E56F6C"/>
    <w:rsid w:val="00E57139"/>
    <w:rsid w:val="00E6169C"/>
    <w:rsid w:val="00E61A2C"/>
    <w:rsid w:val="00E61A4F"/>
    <w:rsid w:val="00E62395"/>
    <w:rsid w:val="00E64825"/>
    <w:rsid w:val="00E64B2F"/>
    <w:rsid w:val="00E64EAD"/>
    <w:rsid w:val="00E650AA"/>
    <w:rsid w:val="00E65E0E"/>
    <w:rsid w:val="00E670B4"/>
    <w:rsid w:val="00E67A8F"/>
    <w:rsid w:val="00E67DA7"/>
    <w:rsid w:val="00E67FD8"/>
    <w:rsid w:val="00E70966"/>
    <w:rsid w:val="00E71C33"/>
    <w:rsid w:val="00E71F8C"/>
    <w:rsid w:val="00E72E3B"/>
    <w:rsid w:val="00E75036"/>
    <w:rsid w:val="00E75EE6"/>
    <w:rsid w:val="00E77A83"/>
    <w:rsid w:val="00E8076E"/>
    <w:rsid w:val="00E80F2D"/>
    <w:rsid w:val="00E81049"/>
    <w:rsid w:val="00E8266C"/>
    <w:rsid w:val="00E839CD"/>
    <w:rsid w:val="00E84490"/>
    <w:rsid w:val="00E84A4F"/>
    <w:rsid w:val="00E85439"/>
    <w:rsid w:val="00E85469"/>
    <w:rsid w:val="00E85A8F"/>
    <w:rsid w:val="00E864B1"/>
    <w:rsid w:val="00E86DF3"/>
    <w:rsid w:val="00E877ED"/>
    <w:rsid w:val="00E90A49"/>
    <w:rsid w:val="00E90BE6"/>
    <w:rsid w:val="00E910F9"/>
    <w:rsid w:val="00E9197F"/>
    <w:rsid w:val="00E939C4"/>
    <w:rsid w:val="00E93C2F"/>
    <w:rsid w:val="00E93D1A"/>
    <w:rsid w:val="00E948E8"/>
    <w:rsid w:val="00E9675F"/>
    <w:rsid w:val="00E96987"/>
    <w:rsid w:val="00E9723A"/>
    <w:rsid w:val="00E97D92"/>
    <w:rsid w:val="00EA0A2F"/>
    <w:rsid w:val="00EA1AD8"/>
    <w:rsid w:val="00EA25A4"/>
    <w:rsid w:val="00EA3A0E"/>
    <w:rsid w:val="00EA6B62"/>
    <w:rsid w:val="00EA6C2F"/>
    <w:rsid w:val="00EA6D80"/>
    <w:rsid w:val="00EA762F"/>
    <w:rsid w:val="00EB15F3"/>
    <w:rsid w:val="00EB2A4A"/>
    <w:rsid w:val="00EB2C59"/>
    <w:rsid w:val="00EB3E19"/>
    <w:rsid w:val="00EB4FFD"/>
    <w:rsid w:val="00EB5008"/>
    <w:rsid w:val="00EB5172"/>
    <w:rsid w:val="00EB543A"/>
    <w:rsid w:val="00EB5BAD"/>
    <w:rsid w:val="00EB6A0A"/>
    <w:rsid w:val="00EB6C31"/>
    <w:rsid w:val="00EB7304"/>
    <w:rsid w:val="00EB745F"/>
    <w:rsid w:val="00EB7761"/>
    <w:rsid w:val="00EB77D1"/>
    <w:rsid w:val="00EC0132"/>
    <w:rsid w:val="00EC078F"/>
    <w:rsid w:val="00EC08EA"/>
    <w:rsid w:val="00EC2DF4"/>
    <w:rsid w:val="00EC4C61"/>
    <w:rsid w:val="00EC4FDB"/>
    <w:rsid w:val="00EC5D24"/>
    <w:rsid w:val="00EC6E9D"/>
    <w:rsid w:val="00EC77A3"/>
    <w:rsid w:val="00EC7C50"/>
    <w:rsid w:val="00ED1255"/>
    <w:rsid w:val="00ED22F4"/>
    <w:rsid w:val="00ED4264"/>
    <w:rsid w:val="00ED4A83"/>
    <w:rsid w:val="00ED53FA"/>
    <w:rsid w:val="00ED59CD"/>
    <w:rsid w:val="00ED67E7"/>
    <w:rsid w:val="00ED7429"/>
    <w:rsid w:val="00ED7DE0"/>
    <w:rsid w:val="00EE09CC"/>
    <w:rsid w:val="00EE10B7"/>
    <w:rsid w:val="00EE140F"/>
    <w:rsid w:val="00EE169C"/>
    <w:rsid w:val="00EE1B6A"/>
    <w:rsid w:val="00EE2C8C"/>
    <w:rsid w:val="00EE2D7B"/>
    <w:rsid w:val="00EE39FA"/>
    <w:rsid w:val="00EE52B0"/>
    <w:rsid w:val="00EF0059"/>
    <w:rsid w:val="00EF0A4C"/>
    <w:rsid w:val="00EF0D6A"/>
    <w:rsid w:val="00EF1CE4"/>
    <w:rsid w:val="00EF1E01"/>
    <w:rsid w:val="00EF38FE"/>
    <w:rsid w:val="00EF4A72"/>
    <w:rsid w:val="00EF6369"/>
    <w:rsid w:val="00EF6BF3"/>
    <w:rsid w:val="00EF6CFB"/>
    <w:rsid w:val="00EF7242"/>
    <w:rsid w:val="00F00A14"/>
    <w:rsid w:val="00F01BFC"/>
    <w:rsid w:val="00F03723"/>
    <w:rsid w:val="00F03CED"/>
    <w:rsid w:val="00F04AC5"/>
    <w:rsid w:val="00F0557A"/>
    <w:rsid w:val="00F05C88"/>
    <w:rsid w:val="00F0680E"/>
    <w:rsid w:val="00F06FFA"/>
    <w:rsid w:val="00F070D2"/>
    <w:rsid w:val="00F079E1"/>
    <w:rsid w:val="00F102F6"/>
    <w:rsid w:val="00F1035F"/>
    <w:rsid w:val="00F103CF"/>
    <w:rsid w:val="00F1097B"/>
    <w:rsid w:val="00F11E09"/>
    <w:rsid w:val="00F1296A"/>
    <w:rsid w:val="00F12F43"/>
    <w:rsid w:val="00F138D9"/>
    <w:rsid w:val="00F149CD"/>
    <w:rsid w:val="00F14A0E"/>
    <w:rsid w:val="00F14F71"/>
    <w:rsid w:val="00F16157"/>
    <w:rsid w:val="00F16621"/>
    <w:rsid w:val="00F21559"/>
    <w:rsid w:val="00F21B76"/>
    <w:rsid w:val="00F2208D"/>
    <w:rsid w:val="00F229C1"/>
    <w:rsid w:val="00F242E9"/>
    <w:rsid w:val="00F24DB6"/>
    <w:rsid w:val="00F2548B"/>
    <w:rsid w:val="00F27493"/>
    <w:rsid w:val="00F27B53"/>
    <w:rsid w:val="00F3052A"/>
    <w:rsid w:val="00F30F70"/>
    <w:rsid w:val="00F31971"/>
    <w:rsid w:val="00F322FE"/>
    <w:rsid w:val="00F327A1"/>
    <w:rsid w:val="00F32EB3"/>
    <w:rsid w:val="00F33194"/>
    <w:rsid w:val="00F33392"/>
    <w:rsid w:val="00F33841"/>
    <w:rsid w:val="00F33ECF"/>
    <w:rsid w:val="00F34072"/>
    <w:rsid w:val="00F347DE"/>
    <w:rsid w:val="00F35291"/>
    <w:rsid w:val="00F3620B"/>
    <w:rsid w:val="00F375DE"/>
    <w:rsid w:val="00F37E17"/>
    <w:rsid w:val="00F43705"/>
    <w:rsid w:val="00F43B3E"/>
    <w:rsid w:val="00F440B3"/>
    <w:rsid w:val="00F442F7"/>
    <w:rsid w:val="00F451DD"/>
    <w:rsid w:val="00F4600B"/>
    <w:rsid w:val="00F46473"/>
    <w:rsid w:val="00F46EE0"/>
    <w:rsid w:val="00F473B9"/>
    <w:rsid w:val="00F47A50"/>
    <w:rsid w:val="00F5071D"/>
    <w:rsid w:val="00F51BB6"/>
    <w:rsid w:val="00F51C19"/>
    <w:rsid w:val="00F53D72"/>
    <w:rsid w:val="00F54936"/>
    <w:rsid w:val="00F55E50"/>
    <w:rsid w:val="00F57830"/>
    <w:rsid w:val="00F57914"/>
    <w:rsid w:val="00F57CC9"/>
    <w:rsid w:val="00F607CA"/>
    <w:rsid w:val="00F6099D"/>
    <w:rsid w:val="00F60BE5"/>
    <w:rsid w:val="00F633A2"/>
    <w:rsid w:val="00F6387B"/>
    <w:rsid w:val="00F63D89"/>
    <w:rsid w:val="00F6520C"/>
    <w:rsid w:val="00F65292"/>
    <w:rsid w:val="00F65518"/>
    <w:rsid w:val="00F65D3B"/>
    <w:rsid w:val="00F667BA"/>
    <w:rsid w:val="00F67A14"/>
    <w:rsid w:val="00F70344"/>
    <w:rsid w:val="00F7151A"/>
    <w:rsid w:val="00F72316"/>
    <w:rsid w:val="00F724FE"/>
    <w:rsid w:val="00F74CD4"/>
    <w:rsid w:val="00F76139"/>
    <w:rsid w:val="00F768F3"/>
    <w:rsid w:val="00F77DCB"/>
    <w:rsid w:val="00F829C5"/>
    <w:rsid w:val="00F82AFD"/>
    <w:rsid w:val="00F82F1A"/>
    <w:rsid w:val="00F82FC8"/>
    <w:rsid w:val="00F8608C"/>
    <w:rsid w:val="00F90754"/>
    <w:rsid w:val="00F90895"/>
    <w:rsid w:val="00F90CC1"/>
    <w:rsid w:val="00F928EB"/>
    <w:rsid w:val="00F92E2E"/>
    <w:rsid w:val="00F93ADA"/>
    <w:rsid w:val="00F94435"/>
    <w:rsid w:val="00F94A0C"/>
    <w:rsid w:val="00F9568C"/>
    <w:rsid w:val="00F95C9C"/>
    <w:rsid w:val="00F95DC6"/>
    <w:rsid w:val="00F96291"/>
    <w:rsid w:val="00F964AB"/>
    <w:rsid w:val="00F96D1B"/>
    <w:rsid w:val="00F96EB2"/>
    <w:rsid w:val="00F9712B"/>
    <w:rsid w:val="00FA09C0"/>
    <w:rsid w:val="00FA0F20"/>
    <w:rsid w:val="00FA1355"/>
    <w:rsid w:val="00FA137F"/>
    <w:rsid w:val="00FA1FE7"/>
    <w:rsid w:val="00FA2F3D"/>
    <w:rsid w:val="00FA2FB9"/>
    <w:rsid w:val="00FA39EE"/>
    <w:rsid w:val="00FA3C79"/>
    <w:rsid w:val="00FA4C50"/>
    <w:rsid w:val="00FA4EA4"/>
    <w:rsid w:val="00FA54F2"/>
    <w:rsid w:val="00FA587D"/>
    <w:rsid w:val="00FA5B2A"/>
    <w:rsid w:val="00FB0ADF"/>
    <w:rsid w:val="00FB0DD8"/>
    <w:rsid w:val="00FB1D03"/>
    <w:rsid w:val="00FB25E9"/>
    <w:rsid w:val="00FB28E4"/>
    <w:rsid w:val="00FB4E9D"/>
    <w:rsid w:val="00FB505D"/>
    <w:rsid w:val="00FC074B"/>
    <w:rsid w:val="00FC07BF"/>
    <w:rsid w:val="00FC12F6"/>
    <w:rsid w:val="00FC141E"/>
    <w:rsid w:val="00FC1737"/>
    <w:rsid w:val="00FC2C8C"/>
    <w:rsid w:val="00FC2E99"/>
    <w:rsid w:val="00FC443A"/>
    <w:rsid w:val="00FC4650"/>
    <w:rsid w:val="00FC51A7"/>
    <w:rsid w:val="00FC64E5"/>
    <w:rsid w:val="00FC672A"/>
    <w:rsid w:val="00FC6D4A"/>
    <w:rsid w:val="00FC727E"/>
    <w:rsid w:val="00FC7B05"/>
    <w:rsid w:val="00FC7FA7"/>
    <w:rsid w:val="00FD04DD"/>
    <w:rsid w:val="00FD059E"/>
    <w:rsid w:val="00FD1B2E"/>
    <w:rsid w:val="00FD1BFE"/>
    <w:rsid w:val="00FD3D26"/>
    <w:rsid w:val="00FD4302"/>
    <w:rsid w:val="00FD6767"/>
    <w:rsid w:val="00FD7E85"/>
    <w:rsid w:val="00FE00D0"/>
    <w:rsid w:val="00FE0B2D"/>
    <w:rsid w:val="00FE0E5F"/>
    <w:rsid w:val="00FE112F"/>
    <w:rsid w:val="00FE49CE"/>
    <w:rsid w:val="00FE4B0D"/>
    <w:rsid w:val="00FE4BEF"/>
    <w:rsid w:val="00FE4D07"/>
    <w:rsid w:val="00FE51AD"/>
    <w:rsid w:val="00FF00CA"/>
    <w:rsid w:val="00FF1F76"/>
    <w:rsid w:val="00FF28D4"/>
    <w:rsid w:val="00FF2D8F"/>
    <w:rsid w:val="00FF3378"/>
    <w:rsid w:val="00FF3965"/>
    <w:rsid w:val="00FF4282"/>
    <w:rsid w:val="00FF44BE"/>
    <w:rsid w:val="00FF45AC"/>
    <w:rsid w:val="00FF50FB"/>
    <w:rsid w:val="00FF5AA6"/>
    <w:rsid w:val="00FF61CD"/>
    <w:rsid w:val="00FF642B"/>
    <w:rsid w:val="00FF652C"/>
    <w:rsid w:val="00FF6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2273"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3EC7153"/>
  <w15:docId w15:val="{9BC9EA7E-96AC-49FA-B8B6-D417382F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956"/>
    <w:pPr>
      <w:spacing w:after="120"/>
      <w:ind w:firstLine="567"/>
      <w:jc w:val="both"/>
    </w:pPr>
    <w:rPr>
      <w:rFonts w:eastAsia="Times New Roman"/>
      <w:sz w:val="24"/>
      <w:lang w:eastAsia="en-US"/>
    </w:rPr>
  </w:style>
  <w:style w:type="paragraph" w:styleId="Heading1">
    <w:name w:val="heading 1"/>
    <w:basedOn w:val="Normal"/>
    <w:next w:val="Normal"/>
    <w:link w:val="Heading1Char"/>
    <w:uiPriority w:val="9"/>
    <w:qFormat/>
    <w:rsid w:val="0050658A"/>
    <w:pPr>
      <w:keepNext/>
      <w:keepLines/>
      <w:spacing w:before="480" w:after="0"/>
      <w:outlineLvl w:val="0"/>
    </w:pPr>
    <w:rPr>
      <w:rFonts w:ascii="Cambria" w:hAnsi="Cambria"/>
      <w:b/>
      <w:bCs/>
      <w:color w:val="365F91"/>
      <w:sz w:val="20"/>
      <w:szCs w:val="28"/>
      <w:lang w:val="x-none" w:eastAsia="x-none"/>
    </w:rPr>
  </w:style>
  <w:style w:type="paragraph" w:styleId="Heading2">
    <w:name w:val="heading 2"/>
    <w:basedOn w:val="Normal"/>
    <w:next w:val="Normal"/>
    <w:link w:val="Heading2Char"/>
    <w:uiPriority w:val="9"/>
    <w:semiHidden/>
    <w:unhideWhenUsed/>
    <w:qFormat/>
    <w:rsid w:val="00F96D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06F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56AF"/>
    <w:rPr>
      <w:rFonts w:ascii="Cambria" w:eastAsia="Times New Roman" w:hAnsi="Cambria"/>
      <w:b/>
      <w:bCs/>
      <w:color w:val="365F91"/>
      <w:szCs w:val="28"/>
      <w:lang w:val="x-none" w:eastAsia="x-none"/>
    </w:rPr>
  </w:style>
  <w:style w:type="character" w:customStyle="1" w:styleId="Heading3Char">
    <w:name w:val="Heading 3 Char"/>
    <w:link w:val="Heading3"/>
    <w:uiPriority w:val="9"/>
    <w:rsid w:val="005A06FA"/>
    <w:rPr>
      <w:rFonts w:ascii="Cambria" w:eastAsia="Times New Roman" w:hAnsi="Cambria" w:cs="Times New Roman"/>
      <w:b/>
      <w:bCs/>
      <w:sz w:val="26"/>
      <w:szCs w:val="26"/>
      <w:lang w:eastAsia="en-US"/>
    </w:rPr>
  </w:style>
  <w:style w:type="paragraph" w:styleId="Footer">
    <w:name w:val="footer"/>
    <w:basedOn w:val="Normal"/>
    <w:link w:val="FooterChar"/>
    <w:uiPriority w:val="99"/>
    <w:rsid w:val="000F6956"/>
    <w:pPr>
      <w:tabs>
        <w:tab w:val="center" w:pos="4153"/>
        <w:tab w:val="right" w:pos="8306"/>
      </w:tabs>
    </w:pPr>
    <w:rPr>
      <w:lang w:val="x-none" w:eastAsia="x-none"/>
    </w:rPr>
  </w:style>
  <w:style w:type="character" w:customStyle="1" w:styleId="FooterChar">
    <w:name w:val="Footer Char"/>
    <w:link w:val="Footer"/>
    <w:uiPriority w:val="99"/>
    <w:rsid w:val="000F6956"/>
    <w:rPr>
      <w:rFonts w:eastAsia="Times New Roman" w:cs="Times New Roman"/>
      <w:sz w:val="24"/>
      <w:szCs w:val="20"/>
    </w:rPr>
  </w:style>
  <w:style w:type="character" w:styleId="PageNumber">
    <w:name w:val="page number"/>
    <w:basedOn w:val="DefaultParagraphFont"/>
    <w:rsid w:val="000F6956"/>
  </w:style>
  <w:style w:type="character" w:customStyle="1" w:styleId="HeaderChar">
    <w:name w:val="Header Char"/>
    <w:link w:val="Header"/>
    <w:uiPriority w:val="99"/>
    <w:rsid w:val="000F6956"/>
    <w:rPr>
      <w:sz w:val="24"/>
    </w:rPr>
  </w:style>
  <w:style w:type="paragraph" w:styleId="Header">
    <w:name w:val="header"/>
    <w:basedOn w:val="Normal"/>
    <w:link w:val="HeaderChar"/>
    <w:uiPriority w:val="99"/>
    <w:rsid w:val="000F6956"/>
    <w:pPr>
      <w:tabs>
        <w:tab w:val="center" w:pos="4153"/>
        <w:tab w:val="right" w:pos="8306"/>
      </w:tabs>
    </w:pPr>
    <w:rPr>
      <w:rFonts w:eastAsia="Calibri"/>
      <w:lang w:val="x-none" w:eastAsia="x-none"/>
    </w:rPr>
  </w:style>
  <w:style w:type="character" w:customStyle="1" w:styleId="HeaderChar1">
    <w:name w:val="Header Char1"/>
    <w:uiPriority w:val="99"/>
    <w:semiHidden/>
    <w:rsid w:val="000F6956"/>
    <w:rPr>
      <w:rFonts w:eastAsia="Times New Roman" w:cs="Times New Roman"/>
      <w:sz w:val="24"/>
      <w:szCs w:val="20"/>
    </w:rPr>
  </w:style>
  <w:style w:type="paragraph" w:customStyle="1" w:styleId="H1">
    <w:name w:val="H1"/>
    <w:link w:val="H1Char"/>
    <w:rsid w:val="00283B8B"/>
    <w:pPr>
      <w:keepNext/>
      <w:keepLines/>
      <w:pageBreakBefore/>
      <w:pBdr>
        <w:bottom w:val="thickThinLargeGap" w:sz="24" w:space="1" w:color="17365D"/>
      </w:pBdr>
      <w:tabs>
        <w:tab w:val="left" w:pos="1134"/>
      </w:tabs>
      <w:spacing w:after="120"/>
      <w:ind w:left="1134" w:hanging="567"/>
      <w:outlineLvl w:val="0"/>
    </w:pPr>
    <w:rPr>
      <w:rFonts w:eastAsia="Times New Roman"/>
      <w:b/>
      <w:sz w:val="36"/>
      <w:lang w:eastAsia="en-US"/>
    </w:rPr>
  </w:style>
  <w:style w:type="character" w:customStyle="1" w:styleId="H1Char">
    <w:name w:val="H1 Char"/>
    <w:link w:val="H1"/>
    <w:rsid w:val="00283B8B"/>
    <w:rPr>
      <w:rFonts w:eastAsia="Times New Roman"/>
      <w:b/>
      <w:sz w:val="36"/>
      <w:lang w:eastAsia="en-US" w:bidi="ar-SA"/>
    </w:rPr>
  </w:style>
  <w:style w:type="character" w:styleId="CommentReference">
    <w:name w:val="annotation reference"/>
    <w:uiPriority w:val="99"/>
    <w:semiHidden/>
    <w:unhideWhenUsed/>
    <w:rsid w:val="000F6956"/>
    <w:rPr>
      <w:sz w:val="16"/>
      <w:szCs w:val="16"/>
    </w:rPr>
  </w:style>
  <w:style w:type="paragraph" w:styleId="CommentText">
    <w:name w:val="annotation text"/>
    <w:basedOn w:val="Normal"/>
    <w:link w:val="CommentTextChar"/>
    <w:uiPriority w:val="99"/>
    <w:unhideWhenUsed/>
    <w:rsid w:val="00B51348"/>
    <w:rPr>
      <w:sz w:val="20"/>
      <w:lang w:val="x-none" w:eastAsia="x-none"/>
    </w:rPr>
  </w:style>
  <w:style w:type="character" w:customStyle="1" w:styleId="CommentTextChar">
    <w:name w:val="Comment Text Char"/>
    <w:link w:val="CommentText"/>
    <w:uiPriority w:val="99"/>
    <w:rsid w:val="000F6956"/>
    <w:rPr>
      <w:rFonts w:eastAsia="Times New Roman"/>
      <w:lang w:val="x-none" w:eastAsia="x-none"/>
    </w:rPr>
  </w:style>
  <w:style w:type="paragraph" w:styleId="BalloonText">
    <w:name w:val="Balloon Text"/>
    <w:basedOn w:val="Normal"/>
    <w:link w:val="BalloonTextChar"/>
    <w:uiPriority w:val="99"/>
    <w:semiHidden/>
    <w:unhideWhenUsed/>
    <w:rsid w:val="000F695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F6956"/>
    <w:rPr>
      <w:rFonts w:ascii="Tahoma" w:eastAsia="Times New Roman" w:hAnsi="Tahoma" w:cs="Tahoma"/>
      <w:sz w:val="16"/>
      <w:szCs w:val="16"/>
    </w:rPr>
  </w:style>
  <w:style w:type="paragraph" w:customStyle="1" w:styleId="H2">
    <w:name w:val="H2"/>
    <w:link w:val="H2Char"/>
    <w:uiPriority w:val="99"/>
    <w:rsid w:val="000F6956"/>
    <w:pPr>
      <w:keepNext/>
      <w:tabs>
        <w:tab w:val="left" w:pos="1134"/>
      </w:tabs>
      <w:spacing w:before="480" w:after="240"/>
      <w:ind w:left="1134" w:hanging="567"/>
      <w:outlineLvl w:val="1"/>
    </w:pPr>
    <w:rPr>
      <w:rFonts w:ascii="Calibri" w:eastAsia="Times New Roman" w:hAnsi="Calibri"/>
      <w:b/>
      <w:sz w:val="32"/>
      <w:lang w:eastAsia="en-US"/>
    </w:rPr>
  </w:style>
  <w:style w:type="character" w:customStyle="1" w:styleId="H2Char">
    <w:name w:val="H2 Char"/>
    <w:link w:val="H2"/>
    <w:uiPriority w:val="99"/>
    <w:rsid w:val="00283B8B"/>
    <w:rPr>
      <w:rFonts w:ascii="Calibri" w:eastAsia="Times New Roman" w:hAnsi="Calibri"/>
      <w:b/>
      <w:sz w:val="32"/>
      <w:lang w:eastAsia="en-US" w:bidi="ar-SA"/>
    </w:rPr>
  </w:style>
  <w:style w:type="paragraph" w:customStyle="1" w:styleId="H4">
    <w:name w:val="H4"/>
    <w:uiPriority w:val="99"/>
    <w:rsid w:val="000F6956"/>
    <w:pPr>
      <w:spacing w:before="120" w:after="120"/>
      <w:ind w:left="567"/>
      <w:outlineLvl w:val="3"/>
    </w:pPr>
    <w:rPr>
      <w:rFonts w:ascii="Calibri" w:eastAsia="Times New Roman" w:hAnsi="Calibri"/>
      <w:b/>
      <w:sz w:val="28"/>
      <w:lang w:eastAsia="en-US"/>
    </w:rPr>
  </w:style>
  <w:style w:type="paragraph" w:customStyle="1" w:styleId="H3">
    <w:name w:val="H3"/>
    <w:link w:val="H3Char"/>
    <w:rsid w:val="000F6956"/>
    <w:pPr>
      <w:keepNext/>
      <w:spacing w:before="480" w:after="120"/>
      <w:ind w:left="1701" w:hanging="1134"/>
      <w:outlineLvl w:val="2"/>
    </w:pPr>
    <w:rPr>
      <w:rFonts w:ascii="Calibri" w:eastAsia="Times New Roman" w:hAnsi="Calibri"/>
      <w:b/>
      <w:sz w:val="28"/>
      <w:lang w:eastAsia="en-US"/>
    </w:rPr>
  </w:style>
  <w:style w:type="character" w:customStyle="1" w:styleId="H3Char">
    <w:name w:val="H3 Char"/>
    <w:link w:val="H3"/>
    <w:rsid w:val="00283B8B"/>
    <w:rPr>
      <w:rFonts w:ascii="Calibri" w:eastAsia="Times New Roman" w:hAnsi="Calibri"/>
      <w:b/>
      <w:sz w:val="28"/>
      <w:lang w:eastAsia="en-US" w:bidi="ar-SA"/>
    </w:rPr>
  </w:style>
  <w:style w:type="paragraph" w:customStyle="1" w:styleId="T">
    <w:name w:val="T"/>
    <w:basedOn w:val="Normal"/>
    <w:rsid w:val="000F6956"/>
    <w:pPr>
      <w:keepNext/>
      <w:ind w:left="567" w:firstLine="0"/>
      <w:jc w:val="left"/>
    </w:pPr>
    <w:rPr>
      <w:rFonts w:ascii="Calibri" w:hAnsi="Calibri"/>
      <w:b/>
    </w:rPr>
  </w:style>
  <w:style w:type="paragraph" w:customStyle="1" w:styleId="Z">
    <w:name w:val="Z"/>
    <w:basedOn w:val="T"/>
    <w:uiPriority w:val="99"/>
    <w:rsid w:val="000F6956"/>
    <w:pPr>
      <w:ind w:right="1701"/>
    </w:pPr>
    <w:rPr>
      <w:b w:val="0"/>
      <w:sz w:val="20"/>
    </w:rPr>
  </w:style>
  <w:style w:type="paragraph" w:customStyle="1" w:styleId="tabteksts">
    <w:name w:val="tab_teksts"/>
    <w:basedOn w:val="Normal"/>
    <w:uiPriority w:val="99"/>
    <w:rsid w:val="000F6956"/>
    <w:pPr>
      <w:spacing w:after="0"/>
      <w:ind w:firstLine="0"/>
      <w:jc w:val="left"/>
    </w:pPr>
    <w:rPr>
      <w:sz w:val="20"/>
    </w:rPr>
  </w:style>
  <w:style w:type="paragraph" w:styleId="FootnoteText">
    <w:name w:val="footnote text"/>
    <w:aliases w:val="Footnote,Fußnote,Fußnote Char Char Char,-E Fußnotentext,Fußnotentext Ursprung,footnote text,Footnote Text Char1 Char Char Char Char Char Char Char Char Char Char Char,Char,Ch,f"/>
    <w:basedOn w:val="Normal"/>
    <w:link w:val="FootnoteTextChar"/>
    <w:uiPriority w:val="99"/>
    <w:qFormat/>
    <w:rsid w:val="000F6956"/>
    <w:pPr>
      <w:keepLines/>
      <w:widowControl w:val="0"/>
      <w:spacing w:after="0"/>
      <w:ind w:left="340" w:hanging="340"/>
      <w:jc w:val="left"/>
    </w:pPr>
    <w:rPr>
      <w:snapToGrid w:val="0"/>
      <w:color w:val="000000"/>
      <w:sz w:val="20"/>
      <w:lang w:val="x-none" w:eastAsia="x-none"/>
    </w:rPr>
  </w:style>
  <w:style w:type="character" w:customStyle="1" w:styleId="FootnoteTextChar">
    <w:name w:val="Footnote Text Char"/>
    <w:aliases w:val="Footnote Char,Fußnote Char,Fußnote Char Char Char Char,-E Fußnotentext Char,Fußnotentext Ursprung Char,footnote text Char,Footnote Text Char1 Char Char Char Char Char Char Char Char Char Char Char Char,Char Char,Ch Char,f Char"/>
    <w:link w:val="FootnoteText"/>
    <w:uiPriority w:val="99"/>
    <w:rsid w:val="000F6956"/>
    <w:rPr>
      <w:rFonts w:eastAsia="Times New Roman" w:cs="Times New Roman"/>
      <w:snapToGrid w:val="0"/>
      <w:color w:val="000000"/>
      <w:sz w:val="20"/>
      <w:szCs w:val="20"/>
    </w:rPr>
  </w:style>
  <w:style w:type="character" w:styleId="FootnoteReference">
    <w:name w:val="footnote reference"/>
    <w:aliases w:val="Footnote Reference Number,Footnote symbol,Footnote Reference Superscript,ftref,fr,Footnote Refernece,Footnote Reference text,Voetnootverwijzing,footnote ref,FR,Fußnotenzeichen diss neu,Times 10 Point,Exposant 3 Point,SUPERS,stylish"/>
    <w:uiPriority w:val="99"/>
    <w:qFormat/>
    <w:rsid w:val="000F6956"/>
    <w:rPr>
      <w:rFonts w:ascii="Garamond" w:hAnsi="Garamond"/>
      <w:sz w:val="20"/>
      <w:vertAlign w:val="superscript"/>
    </w:rPr>
  </w:style>
  <w:style w:type="paragraph" w:customStyle="1" w:styleId="Zpar">
    <w:name w:val="Z_par"/>
    <w:basedOn w:val="Z"/>
    <w:rsid w:val="000F6956"/>
    <w:pPr>
      <w:spacing w:after="480"/>
      <w:ind w:left="1418" w:hanging="851"/>
    </w:pPr>
    <w:rPr>
      <w:i/>
    </w:rPr>
  </w:style>
  <w:style w:type="character" w:styleId="Strong">
    <w:name w:val="Strong"/>
    <w:uiPriority w:val="22"/>
    <w:qFormat/>
    <w:rsid w:val="000F6956"/>
    <w:rPr>
      <w:b/>
      <w:bCs/>
    </w:rPr>
  </w:style>
  <w:style w:type="paragraph" w:styleId="ListParagraph">
    <w:name w:val="List Paragraph"/>
    <w:aliases w:val="2,H&amp;P List Paragraph"/>
    <w:basedOn w:val="Normal"/>
    <w:link w:val="ListParagraphChar"/>
    <w:uiPriority w:val="34"/>
    <w:qFormat/>
    <w:rsid w:val="000F6956"/>
    <w:pPr>
      <w:spacing w:after="200" w:line="276" w:lineRule="auto"/>
      <w:ind w:left="720" w:firstLine="0"/>
      <w:contextualSpacing/>
      <w:jc w:val="left"/>
    </w:pPr>
    <w:rPr>
      <w:rFonts w:ascii="Calibri" w:hAnsi="Calibri"/>
      <w:sz w:val="22"/>
      <w:lang w:val="x-none" w:eastAsia="x-none"/>
    </w:rPr>
  </w:style>
  <w:style w:type="character" w:customStyle="1" w:styleId="ListParagraphChar">
    <w:name w:val="List Paragraph Char"/>
    <w:aliases w:val="2 Char,H&amp;P List Paragraph Char"/>
    <w:link w:val="ListParagraph"/>
    <w:uiPriority w:val="34"/>
    <w:locked/>
    <w:rsid w:val="00FA2F3D"/>
    <w:rPr>
      <w:rFonts w:ascii="Calibri" w:eastAsia="Times New Roman" w:hAnsi="Calibri" w:cs="Times New Roman"/>
      <w:sz w:val="22"/>
    </w:rPr>
  </w:style>
  <w:style w:type="character" w:styleId="Emphasis">
    <w:name w:val="Emphasis"/>
    <w:uiPriority w:val="20"/>
    <w:qFormat/>
    <w:rsid w:val="000F6956"/>
    <w:rPr>
      <w:i/>
      <w:iCs/>
    </w:rPr>
  </w:style>
  <w:style w:type="paragraph" w:styleId="BodyTextIndent2">
    <w:name w:val="Body Text Indent 2"/>
    <w:basedOn w:val="Normal"/>
    <w:link w:val="BodyTextIndent2Char"/>
    <w:semiHidden/>
    <w:rsid w:val="000F6956"/>
    <w:pPr>
      <w:spacing w:before="120"/>
      <w:ind w:firstLine="706"/>
    </w:pPr>
    <w:rPr>
      <w:lang w:val="x-none" w:eastAsia="x-none"/>
    </w:rPr>
  </w:style>
  <w:style w:type="character" w:customStyle="1" w:styleId="BodyTextIndent2Char">
    <w:name w:val="Body Text Indent 2 Char"/>
    <w:link w:val="BodyTextIndent2"/>
    <w:semiHidden/>
    <w:rsid w:val="000F6956"/>
    <w:rPr>
      <w:rFonts w:eastAsia="Times New Roman" w:cs="Times New Roman"/>
      <w:sz w:val="24"/>
      <w:szCs w:val="20"/>
    </w:rPr>
  </w:style>
  <w:style w:type="paragraph" w:customStyle="1" w:styleId="Default">
    <w:name w:val="Default"/>
    <w:rsid w:val="000F6956"/>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semiHidden/>
    <w:unhideWhenUsed/>
    <w:rsid w:val="000F6956"/>
    <w:pPr>
      <w:ind w:left="283"/>
    </w:pPr>
    <w:rPr>
      <w:lang w:val="x-none" w:eastAsia="x-none"/>
    </w:rPr>
  </w:style>
  <w:style w:type="character" w:customStyle="1" w:styleId="BodyTextIndentChar">
    <w:name w:val="Body Text Indent Char"/>
    <w:link w:val="BodyTextIndent"/>
    <w:semiHidden/>
    <w:rsid w:val="000F6956"/>
    <w:rPr>
      <w:rFonts w:eastAsia="Times New Roman" w:cs="Times New Roman"/>
      <w:sz w:val="24"/>
      <w:szCs w:val="20"/>
    </w:rPr>
  </w:style>
  <w:style w:type="paragraph" w:customStyle="1" w:styleId="ridk">
    <w:name w:val="ridk"/>
    <w:basedOn w:val="Normal"/>
    <w:rsid w:val="000F6956"/>
    <w:pPr>
      <w:spacing w:before="100" w:beforeAutospacing="1" w:after="100" w:afterAutospacing="1"/>
      <w:ind w:firstLine="0"/>
      <w:jc w:val="left"/>
    </w:pPr>
    <w:rPr>
      <w:rFonts w:ascii="Arial Unicode MS" w:eastAsia="Arial Unicode MS" w:hAnsi="Arial Unicode MS" w:cs="Arial Unicode MS"/>
      <w:szCs w:val="24"/>
      <w:lang w:val="en-US"/>
    </w:rPr>
  </w:style>
  <w:style w:type="table" w:styleId="TableGrid">
    <w:name w:val="Table Grid"/>
    <w:basedOn w:val="TableNormal"/>
    <w:uiPriority w:val="39"/>
    <w:rsid w:val="00B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1"/>
    <w:basedOn w:val="Heading1"/>
    <w:rsid w:val="001D56AF"/>
    <w:pPr>
      <w:keepLines w:val="0"/>
      <w:spacing w:before="240" w:after="60"/>
      <w:ind w:firstLine="709"/>
    </w:pPr>
    <w:rPr>
      <w:rFonts w:ascii="Times New Roman" w:eastAsia="Calibri" w:hAnsi="Times New Roman"/>
      <w:color w:val="auto"/>
      <w:kern w:val="32"/>
      <w:sz w:val="40"/>
      <w:szCs w:val="40"/>
    </w:rPr>
  </w:style>
  <w:style w:type="character" w:customStyle="1" w:styleId="spelle">
    <w:name w:val="spelle"/>
    <w:basedOn w:val="DefaultParagraphFont"/>
    <w:rsid w:val="006F0333"/>
  </w:style>
  <w:style w:type="paragraph" w:customStyle="1" w:styleId="ParagraphNumbering">
    <w:name w:val="Paragraph Numbering"/>
    <w:basedOn w:val="Normal"/>
    <w:uiPriority w:val="1"/>
    <w:qFormat/>
    <w:rsid w:val="006F0333"/>
    <w:pPr>
      <w:numPr>
        <w:numId w:val="1"/>
      </w:numPr>
      <w:spacing w:after="240" w:line="264" w:lineRule="auto"/>
      <w:jc w:val="left"/>
    </w:pPr>
    <w:rPr>
      <w:rFonts w:eastAsia="Calibri"/>
      <w:szCs w:val="24"/>
      <w:lang w:val="en-US"/>
    </w:rPr>
  </w:style>
  <w:style w:type="paragraph" w:styleId="CommentSubject">
    <w:name w:val="annotation subject"/>
    <w:basedOn w:val="CommentText"/>
    <w:next w:val="CommentText"/>
    <w:link w:val="CommentSubjectChar"/>
    <w:uiPriority w:val="99"/>
    <w:semiHidden/>
    <w:unhideWhenUsed/>
    <w:rsid w:val="00EF6369"/>
    <w:rPr>
      <w:b/>
      <w:bCs/>
    </w:rPr>
  </w:style>
  <w:style w:type="character" w:customStyle="1" w:styleId="CommentSubjectChar">
    <w:name w:val="Comment Subject Char"/>
    <w:link w:val="CommentSubject"/>
    <w:uiPriority w:val="99"/>
    <w:semiHidden/>
    <w:rsid w:val="00EF6369"/>
    <w:rPr>
      <w:rFonts w:eastAsia="Times New Roman" w:cs="Times New Roman"/>
      <w:b/>
      <w:bCs/>
      <w:sz w:val="20"/>
      <w:szCs w:val="20"/>
    </w:rPr>
  </w:style>
  <w:style w:type="paragraph" w:customStyle="1" w:styleId="PIRMAIS">
    <w:name w:val="PIRMAIS"/>
    <w:basedOn w:val="H1"/>
    <w:link w:val="PIRMAISChar"/>
    <w:qFormat/>
    <w:rsid w:val="00283B8B"/>
    <w:pPr>
      <w:tabs>
        <w:tab w:val="clear" w:pos="1134"/>
        <w:tab w:val="left" w:pos="567"/>
      </w:tabs>
      <w:ind w:left="567"/>
    </w:pPr>
  </w:style>
  <w:style w:type="character" w:customStyle="1" w:styleId="PIRMAISChar">
    <w:name w:val="PIRMAIS Char"/>
    <w:basedOn w:val="H1Char"/>
    <w:link w:val="PIRMAIS"/>
    <w:rsid w:val="00283B8B"/>
    <w:rPr>
      <w:rFonts w:eastAsia="Times New Roman"/>
      <w:b/>
      <w:sz w:val="36"/>
      <w:lang w:eastAsia="en-US" w:bidi="ar-SA"/>
    </w:rPr>
  </w:style>
  <w:style w:type="paragraph" w:customStyle="1" w:styleId="otrais">
    <w:name w:val="otrais"/>
    <w:basedOn w:val="H2"/>
    <w:link w:val="otraisChar"/>
    <w:qFormat/>
    <w:rsid w:val="00283B8B"/>
    <w:pPr>
      <w:tabs>
        <w:tab w:val="clear" w:pos="1134"/>
        <w:tab w:val="left" w:pos="567"/>
      </w:tabs>
      <w:ind w:left="567"/>
    </w:pPr>
    <w:rPr>
      <w:rFonts w:ascii="Times New Roman" w:hAnsi="Times New Roman"/>
    </w:rPr>
  </w:style>
  <w:style w:type="character" w:customStyle="1" w:styleId="otraisChar">
    <w:name w:val="otrais Char"/>
    <w:basedOn w:val="H2Char"/>
    <w:link w:val="otrais"/>
    <w:rsid w:val="00283B8B"/>
    <w:rPr>
      <w:rFonts w:ascii="Calibri" w:eastAsia="Times New Roman" w:hAnsi="Calibri"/>
      <w:b/>
      <w:sz w:val="32"/>
      <w:lang w:eastAsia="en-US" w:bidi="ar-SA"/>
    </w:rPr>
  </w:style>
  <w:style w:type="paragraph" w:customStyle="1" w:styleId="tresais">
    <w:name w:val="tresais"/>
    <w:basedOn w:val="H3"/>
    <w:link w:val="tresaisChar"/>
    <w:qFormat/>
    <w:rsid w:val="00283B8B"/>
    <w:pPr>
      <w:ind w:left="0" w:firstLine="0"/>
    </w:pPr>
    <w:rPr>
      <w:rFonts w:ascii="Times New Roman" w:hAnsi="Times New Roman"/>
    </w:rPr>
  </w:style>
  <w:style w:type="character" w:customStyle="1" w:styleId="tresaisChar">
    <w:name w:val="tresais Char"/>
    <w:basedOn w:val="H3Char"/>
    <w:link w:val="tresais"/>
    <w:rsid w:val="00283B8B"/>
    <w:rPr>
      <w:rFonts w:ascii="Calibri" w:eastAsia="Times New Roman" w:hAnsi="Calibri"/>
      <w:b/>
      <w:sz w:val="28"/>
      <w:lang w:eastAsia="en-US" w:bidi="ar-SA"/>
    </w:rPr>
  </w:style>
  <w:style w:type="paragraph" w:styleId="TOCHeading">
    <w:name w:val="TOC Heading"/>
    <w:basedOn w:val="Heading1"/>
    <w:next w:val="Normal"/>
    <w:uiPriority w:val="39"/>
    <w:unhideWhenUsed/>
    <w:qFormat/>
    <w:rsid w:val="0050658A"/>
    <w:pPr>
      <w:spacing w:line="276" w:lineRule="auto"/>
      <w:ind w:firstLine="0"/>
      <w:jc w:val="left"/>
      <w:outlineLvl w:val="9"/>
    </w:pPr>
    <w:rPr>
      <w:rFonts w:eastAsia="MS Gothic"/>
      <w:lang w:val="en-US" w:eastAsia="ja-JP"/>
    </w:rPr>
  </w:style>
  <w:style w:type="paragraph" w:styleId="TOC1">
    <w:name w:val="toc 1"/>
    <w:basedOn w:val="Normal"/>
    <w:next w:val="Normal"/>
    <w:autoRedefine/>
    <w:uiPriority w:val="39"/>
    <w:unhideWhenUsed/>
    <w:rsid w:val="00A922FB"/>
    <w:pPr>
      <w:tabs>
        <w:tab w:val="left" w:pos="284"/>
        <w:tab w:val="right" w:leader="dot" w:pos="9072"/>
      </w:tabs>
      <w:spacing w:after="0"/>
      <w:ind w:right="991" w:firstLine="0"/>
      <w:jc w:val="left"/>
    </w:pPr>
    <w:rPr>
      <w:noProof/>
    </w:rPr>
  </w:style>
  <w:style w:type="paragraph" w:styleId="TOC2">
    <w:name w:val="toc 2"/>
    <w:basedOn w:val="Normal"/>
    <w:next w:val="Normal"/>
    <w:autoRedefine/>
    <w:uiPriority w:val="39"/>
    <w:unhideWhenUsed/>
    <w:rsid w:val="008118BE"/>
    <w:pPr>
      <w:tabs>
        <w:tab w:val="right" w:leader="dot" w:pos="9072"/>
      </w:tabs>
      <w:spacing w:after="0"/>
      <w:ind w:left="238" w:firstLine="46"/>
    </w:pPr>
  </w:style>
  <w:style w:type="paragraph" w:styleId="TOC3">
    <w:name w:val="toc 3"/>
    <w:basedOn w:val="Normal"/>
    <w:next w:val="Normal"/>
    <w:autoRedefine/>
    <w:uiPriority w:val="39"/>
    <w:unhideWhenUsed/>
    <w:rsid w:val="00984AE5"/>
    <w:pPr>
      <w:tabs>
        <w:tab w:val="right" w:leader="dot" w:pos="9061"/>
      </w:tabs>
      <w:spacing w:after="0"/>
      <w:ind w:left="482"/>
    </w:pPr>
  </w:style>
  <w:style w:type="character" w:styleId="Hyperlink">
    <w:name w:val="Hyperlink"/>
    <w:uiPriority w:val="99"/>
    <w:unhideWhenUsed/>
    <w:rsid w:val="00283B8B"/>
    <w:rPr>
      <w:color w:val="0000FF"/>
      <w:u w:val="single"/>
    </w:rPr>
  </w:style>
  <w:style w:type="paragraph" w:styleId="NoSpacing">
    <w:name w:val="No Spacing"/>
    <w:link w:val="NoSpacingChar"/>
    <w:uiPriority w:val="1"/>
    <w:qFormat/>
    <w:rsid w:val="00D3627A"/>
    <w:pPr>
      <w:ind w:firstLine="567"/>
      <w:jc w:val="both"/>
    </w:pPr>
    <w:rPr>
      <w:rFonts w:eastAsia="Times New Roman"/>
      <w:sz w:val="24"/>
      <w:lang w:eastAsia="en-US"/>
    </w:rPr>
  </w:style>
  <w:style w:type="character" w:customStyle="1" w:styleId="NoSpacingChar">
    <w:name w:val="No Spacing Char"/>
    <w:basedOn w:val="DefaultParagraphFont"/>
    <w:link w:val="NoSpacing"/>
    <w:uiPriority w:val="1"/>
    <w:rsid w:val="00FA587D"/>
    <w:rPr>
      <w:rFonts w:eastAsia="Times New Roman"/>
      <w:sz w:val="24"/>
      <w:lang w:eastAsia="en-US"/>
    </w:rPr>
  </w:style>
  <w:style w:type="paragraph" w:customStyle="1" w:styleId="naisf">
    <w:name w:val="naisf"/>
    <w:basedOn w:val="Normal"/>
    <w:rsid w:val="0072157F"/>
    <w:pPr>
      <w:spacing w:before="100" w:beforeAutospacing="1" w:after="100" w:afterAutospacing="1"/>
      <w:ind w:firstLine="0"/>
      <w:jc w:val="left"/>
    </w:pPr>
    <w:rPr>
      <w:szCs w:val="24"/>
      <w:lang w:eastAsia="lv-LV"/>
    </w:rPr>
  </w:style>
  <w:style w:type="paragraph" w:customStyle="1" w:styleId="teksts">
    <w:name w:val="teksts"/>
    <w:rsid w:val="00BD74BB"/>
    <w:pPr>
      <w:spacing w:after="120"/>
      <w:jc w:val="both"/>
    </w:pPr>
    <w:rPr>
      <w:rFonts w:ascii="Garamond" w:eastAsia="Times New Roman" w:hAnsi="Garamond"/>
      <w:sz w:val="24"/>
      <w:lang w:eastAsia="en-US"/>
    </w:rPr>
  </w:style>
  <w:style w:type="paragraph" w:customStyle="1" w:styleId="EE-paragr">
    <w:name w:val="EE-paragr"/>
    <w:basedOn w:val="Normal"/>
    <w:autoRedefine/>
    <w:uiPriority w:val="99"/>
    <w:rsid w:val="00BD74BB"/>
    <w:pPr>
      <w:spacing w:before="120"/>
      <w:ind w:firstLine="0"/>
    </w:pPr>
    <w:rPr>
      <w:iCs/>
      <w:szCs w:val="24"/>
      <w:lang w:eastAsia="lv-LV" w:bidi="lo-LA"/>
    </w:rPr>
  </w:style>
  <w:style w:type="paragraph" w:customStyle="1" w:styleId="tabtekst">
    <w:name w:val="tab_tekst"/>
    <w:basedOn w:val="Normal"/>
    <w:rsid w:val="00BD74BB"/>
    <w:pPr>
      <w:spacing w:after="0"/>
      <w:ind w:firstLine="0"/>
      <w:jc w:val="left"/>
    </w:pPr>
    <w:rPr>
      <w:color w:val="000000"/>
      <w:sz w:val="20"/>
    </w:rPr>
  </w:style>
  <w:style w:type="paragraph" w:styleId="NormalWeb">
    <w:name w:val="Normal (Web)"/>
    <w:basedOn w:val="Normal"/>
    <w:uiPriority w:val="99"/>
    <w:unhideWhenUsed/>
    <w:rsid w:val="00BD74BB"/>
    <w:pPr>
      <w:spacing w:before="100" w:beforeAutospacing="1" w:after="100" w:afterAutospacing="1"/>
      <w:ind w:firstLine="0"/>
      <w:jc w:val="left"/>
    </w:pPr>
    <w:rPr>
      <w:szCs w:val="24"/>
      <w:lang w:eastAsia="lv-LV"/>
    </w:rPr>
  </w:style>
  <w:style w:type="paragraph" w:customStyle="1" w:styleId="Normal11pt">
    <w:name w:val="Normal + 11 pt"/>
    <w:aliases w:val="Bold,Justified,Line spacing:  1.5 lines"/>
    <w:basedOn w:val="Normal"/>
    <w:rsid w:val="00BD74BB"/>
    <w:pPr>
      <w:widowControl w:val="0"/>
      <w:adjustRightInd w:val="0"/>
      <w:spacing w:after="0" w:line="360" w:lineRule="auto"/>
      <w:ind w:firstLine="0"/>
      <w:textAlignment w:val="baseline"/>
    </w:pPr>
    <w:rPr>
      <w:b/>
      <w:sz w:val="22"/>
      <w:szCs w:val="22"/>
      <w:lang w:val="en-GB" w:eastAsia="lv-LV"/>
    </w:rPr>
  </w:style>
  <w:style w:type="paragraph" w:styleId="BodyText">
    <w:name w:val="Body Text"/>
    <w:basedOn w:val="Normal"/>
    <w:link w:val="BodyTextChar"/>
    <w:uiPriority w:val="99"/>
    <w:semiHidden/>
    <w:unhideWhenUsed/>
    <w:rsid w:val="005A06FA"/>
    <w:rPr>
      <w:lang w:val="x-none"/>
    </w:rPr>
  </w:style>
  <w:style w:type="character" w:customStyle="1" w:styleId="BodyTextChar">
    <w:name w:val="Body Text Char"/>
    <w:link w:val="BodyText"/>
    <w:uiPriority w:val="99"/>
    <w:semiHidden/>
    <w:rsid w:val="005A06FA"/>
    <w:rPr>
      <w:rFonts w:eastAsia="Times New Roman"/>
      <w:sz w:val="24"/>
      <w:lang w:eastAsia="en-US"/>
    </w:rPr>
  </w:style>
  <w:style w:type="paragraph" w:styleId="BodyText3">
    <w:name w:val="Body Text 3"/>
    <w:basedOn w:val="Normal"/>
    <w:link w:val="BodyText3Char"/>
    <w:uiPriority w:val="99"/>
    <w:semiHidden/>
    <w:unhideWhenUsed/>
    <w:rsid w:val="005A06FA"/>
    <w:rPr>
      <w:sz w:val="16"/>
      <w:szCs w:val="16"/>
      <w:lang w:val="x-none"/>
    </w:rPr>
  </w:style>
  <w:style w:type="character" w:customStyle="1" w:styleId="BodyText3Char">
    <w:name w:val="Body Text 3 Char"/>
    <w:link w:val="BodyText3"/>
    <w:uiPriority w:val="99"/>
    <w:semiHidden/>
    <w:rsid w:val="005A06FA"/>
    <w:rPr>
      <w:rFonts w:eastAsia="Times New Roman"/>
      <w:sz w:val="16"/>
      <w:szCs w:val="16"/>
      <w:lang w:eastAsia="en-US"/>
    </w:rPr>
  </w:style>
  <w:style w:type="paragraph" w:styleId="TOC8">
    <w:name w:val="toc 8"/>
    <w:basedOn w:val="Normal"/>
    <w:next w:val="Normal"/>
    <w:autoRedefine/>
    <w:uiPriority w:val="39"/>
    <w:semiHidden/>
    <w:unhideWhenUsed/>
    <w:rsid w:val="00D117D0"/>
    <w:pPr>
      <w:ind w:left="1680"/>
    </w:pPr>
  </w:style>
  <w:style w:type="paragraph" w:styleId="PlainText">
    <w:name w:val="Plain Text"/>
    <w:basedOn w:val="Normal"/>
    <w:link w:val="PlainTextChar"/>
    <w:uiPriority w:val="99"/>
    <w:unhideWhenUsed/>
    <w:rsid w:val="00F37E17"/>
    <w:pPr>
      <w:spacing w:after="0"/>
      <w:ind w:firstLin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37E17"/>
    <w:rPr>
      <w:rFonts w:ascii="Consolas" w:hAnsi="Consolas"/>
      <w:sz w:val="21"/>
      <w:szCs w:val="21"/>
    </w:rPr>
  </w:style>
  <w:style w:type="paragraph" w:customStyle="1" w:styleId="Text1">
    <w:name w:val="Text 1"/>
    <w:basedOn w:val="Normal"/>
    <w:uiPriority w:val="99"/>
    <w:rsid w:val="003E6294"/>
    <w:pPr>
      <w:spacing w:before="120"/>
      <w:ind w:left="850" w:firstLine="0"/>
    </w:pPr>
    <w:rPr>
      <w:lang w:val="en-GB" w:eastAsia="de-DE"/>
    </w:rPr>
  </w:style>
  <w:style w:type="character" w:styleId="FollowedHyperlink">
    <w:name w:val="FollowedHyperlink"/>
    <w:uiPriority w:val="99"/>
    <w:semiHidden/>
    <w:unhideWhenUsed/>
    <w:rsid w:val="00DE6E4F"/>
    <w:rPr>
      <w:color w:val="800080"/>
      <w:u w:val="single"/>
    </w:rPr>
  </w:style>
  <w:style w:type="paragraph" w:styleId="Revision">
    <w:name w:val="Revision"/>
    <w:hidden/>
    <w:uiPriority w:val="99"/>
    <w:semiHidden/>
    <w:rsid w:val="0050658A"/>
    <w:rPr>
      <w:rFonts w:eastAsia="Times New Roman"/>
      <w:sz w:val="24"/>
      <w:lang w:eastAsia="en-US"/>
    </w:rPr>
  </w:style>
  <w:style w:type="paragraph" w:customStyle="1" w:styleId="tv2131">
    <w:name w:val="tv2131"/>
    <w:basedOn w:val="Normal"/>
    <w:rsid w:val="008D3A67"/>
    <w:pPr>
      <w:spacing w:before="240" w:after="0" w:line="360" w:lineRule="auto"/>
      <w:ind w:firstLine="300"/>
    </w:pPr>
    <w:rPr>
      <w:rFonts w:ascii="Verdana" w:hAnsi="Verdana"/>
      <w:sz w:val="18"/>
      <w:szCs w:val="18"/>
      <w:lang w:eastAsia="lv-LV"/>
    </w:rPr>
  </w:style>
  <w:style w:type="paragraph" w:customStyle="1" w:styleId="CM1">
    <w:name w:val="CM1"/>
    <w:basedOn w:val="Default"/>
    <w:next w:val="Default"/>
    <w:uiPriority w:val="99"/>
    <w:rsid w:val="0060396D"/>
    <w:rPr>
      <w:rFonts w:ascii="EUAlbertina" w:eastAsia="Calibri" w:hAnsi="EUAlbertina"/>
      <w:color w:val="auto"/>
      <w:lang w:val="en-GB" w:eastAsia="en-GB"/>
    </w:rPr>
  </w:style>
  <w:style w:type="character" w:customStyle="1" w:styleId="st1">
    <w:name w:val="st1"/>
    <w:basedOn w:val="DefaultParagraphFont"/>
    <w:rsid w:val="0003226C"/>
  </w:style>
  <w:style w:type="paragraph" w:customStyle="1" w:styleId="mt-translation1">
    <w:name w:val="mt-translation1"/>
    <w:basedOn w:val="Normal"/>
    <w:rsid w:val="002D4C4A"/>
    <w:pPr>
      <w:spacing w:after="0"/>
      <w:ind w:firstLine="0"/>
      <w:jc w:val="left"/>
    </w:pPr>
    <w:rPr>
      <w:rFonts w:ascii="Segoe UI" w:hAnsi="Segoe UI" w:cs="Segoe UI"/>
      <w:sz w:val="22"/>
      <w:szCs w:val="22"/>
      <w:lang w:eastAsia="lv-LV"/>
    </w:rPr>
  </w:style>
  <w:style w:type="table" w:customStyle="1" w:styleId="GridTable2-Accent11">
    <w:name w:val="Grid Table 2 - Accent 11"/>
    <w:basedOn w:val="TableNormal"/>
    <w:uiPriority w:val="47"/>
    <w:rsid w:val="00E254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E254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254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E254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003E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2">
    <w:name w:val="Body Text 2"/>
    <w:basedOn w:val="Normal"/>
    <w:link w:val="BodyText2Char"/>
    <w:uiPriority w:val="99"/>
    <w:semiHidden/>
    <w:unhideWhenUsed/>
    <w:rsid w:val="00B71106"/>
    <w:pPr>
      <w:spacing w:line="480" w:lineRule="auto"/>
    </w:pPr>
  </w:style>
  <w:style w:type="character" w:customStyle="1" w:styleId="BodyText2Char">
    <w:name w:val="Body Text 2 Char"/>
    <w:basedOn w:val="DefaultParagraphFont"/>
    <w:link w:val="BodyText2"/>
    <w:uiPriority w:val="99"/>
    <w:semiHidden/>
    <w:rsid w:val="00B71106"/>
    <w:rPr>
      <w:rFonts w:eastAsia="Times New Roman"/>
      <w:sz w:val="24"/>
      <w:lang w:eastAsia="en-US"/>
    </w:rPr>
  </w:style>
  <w:style w:type="character" w:customStyle="1" w:styleId="Corpsdutexte">
    <w:name w:val="Corps du texte_"/>
    <w:basedOn w:val="DefaultParagraphFont"/>
    <w:link w:val="Corpsdutexte1"/>
    <w:uiPriority w:val="99"/>
    <w:locked/>
    <w:rsid w:val="00D251AD"/>
    <w:rPr>
      <w:sz w:val="21"/>
      <w:szCs w:val="21"/>
      <w:shd w:val="clear" w:color="auto" w:fill="FFFFFF"/>
    </w:rPr>
  </w:style>
  <w:style w:type="paragraph" w:customStyle="1" w:styleId="Corpsdutexte1">
    <w:name w:val="Corps du texte1"/>
    <w:basedOn w:val="Normal"/>
    <w:link w:val="Corpsdutexte"/>
    <w:uiPriority w:val="99"/>
    <w:rsid w:val="00D251AD"/>
    <w:pPr>
      <w:widowControl w:val="0"/>
      <w:shd w:val="clear" w:color="auto" w:fill="FFFFFF"/>
      <w:spacing w:before="300" w:line="288" w:lineRule="exact"/>
      <w:ind w:hanging="420"/>
    </w:pPr>
    <w:rPr>
      <w:rFonts w:eastAsia="Calibri"/>
      <w:sz w:val="21"/>
      <w:szCs w:val="21"/>
      <w:lang w:eastAsia="lv-LV"/>
    </w:rPr>
  </w:style>
  <w:style w:type="character" w:customStyle="1" w:styleId="apple-converted-space">
    <w:name w:val="apple-converted-space"/>
    <w:basedOn w:val="DefaultParagraphFont"/>
    <w:rsid w:val="007746AE"/>
  </w:style>
  <w:style w:type="table" w:styleId="PlainTable4">
    <w:name w:val="Plain Table 4"/>
    <w:basedOn w:val="TableNormal"/>
    <w:uiPriority w:val="44"/>
    <w:rsid w:val="00314F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4126AC"/>
    <w:rPr>
      <w:rFonts w:eastAsiaTheme="minorHAnsi" w:cstheme="minorBidi"/>
      <w:color w:val="365F91" w:themeColor="accent1" w:themeShade="BF"/>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rsid w:val="00AC300E"/>
    <w:pPr>
      <w:spacing w:before="100" w:beforeAutospacing="1" w:after="100" w:afterAutospacing="1"/>
      <w:ind w:firstLine="0"/>
      <w:jc w:val="left"/>
    </w:pPr>
    <w:rPr>
      <w:szCs w:val="24"/>
      <w:lang w:eastAsia="lv-LV"/>
    </w:rPr>
  </w:style>
  <w:style w:type="character" w:customStyle="1" w:styleId="normal1">
    <w:name w:val="normal1"/>
    <w:basedOn w:val="DefaultParagraphFont"/>
    <w:rsid w:val="003014FE"/>
    <w:rPr>
      <w:rFonts w:ascii="Helvetica" w:hAnsi="Helvetica" w:cs="Helvetica" w:hint="default"/>
      <w:color w:val="000000"/>
    </w:rPr>
  </w:style>
  <w:style w:type="character" w:customStyle="1" w:styleId="Heading2Char">
    <w:name w:val="Heading 2 Char"/>
    <w:basedOn w:val="DefaultParagraphFont"/>
    <w:link w:val="Heading2"/>
    <w:uiPriority w:val="9"/>
    <w:semiHidden/>
    <w:rsid w:val="00F96D1B"/>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9392">
      <w:bodyDiv w:val="1"/>
      <w:marLeft w:val="0"/>
      <w:marRight w:val="0"/>
      <w:marTop w:val="0"/>
      <w:marBottom w:val="0"/>
      <w:divBdr>
        <w:top w:val="none" w:sz="0" w:space="0" w:color="auto"/>
        <w:left w:val="none" w:sz="0" w:space="0" w:color="auto"/>
        <w:bottom w:val="none" w:sz="0" w:space="0" w:color="auto"/>
        <w:right w:val="none" w:sz="0" w:space="0" w:color="auto"/>
      </w:divBdr>
    </w:div>
    <w:div w:id="36514466">
      <w:bodyDiv w:val="1"/>
      <w:marLeft w:val="0"/>
      <w:marRight w:val="0"/>
      <w:marTop w:val="0"/>
      <w:marBottom w:val="0"/>
      <w:divBdr>
        <w:top w:val="none" w:sz="0" w:space="0" w:color="auto"/>
        <w:left w:val="none" w:sz="0" w:space="0" w:color="auto"/>
        <w:bottom w:val="none" w:sz="0" w:space="0" w:color="auto"/>
        <w:right w:val="none" w:sz="0" w:space="0" w:color="auto"/>
      </w:divBdr>
    </w:div>
    <w:div w:id="48655378">
      <w:bodyDiv w:val="1"/>
      <w:marLeft w:val="0"/>
      <w:marRight w:val="0"/>
      <w:marTop w:val="0"/>
      <w:marBottom w:val="0"/>
      <w:divBdr>
        <w:top w:val="none" w:sz="0" w:space="0" w:color="auto"/>
        <w:left w:val="none" w:sz="0" w:space="0" w:color="auto"/>
        <w:bottom w:val="none" w:sz="0" w:space="0" w:color="auto"/>
        <w:right w:val="none" w:sz="0" w:space="0" w:color="auto"/>
      </w:divBdr>
    </w:div>
    <w:div w:id="53548308">
      <w:bodyDiv w:val="1"/>
      <w:marLeft w:val="0"/>
      <w:marRight w:val="0"/>
      <w:marTop w:val="0"/>
      <w:marBottom w:val="0"/>
      <w:divBdr>
        <w:top w:val="none" w:sz="0" w:space="0" w:color="auto"/>
        <w:left w:val="none" w:sz="0" w:space="0" w:color="auto"/>
        <w:bottom w:val="none" w:sz="0" w:space="0" w:color="auto"/>
        <w:right w:val="none" w:sz="0" w:space="0" w:color="auto"/>
      </w:divBdr>
    </w:div>
    <w:div w:id="58018400">
      <w:bodyDiv w:val="1"/>
      <w:marLeft w:val="0"/>
      <w:marRight w:val="0"/>
      <w:marTop w:val="0"/>
      <w:marBottom w:val="0"/>
      <w:divBdr>
        <w:top w:val="none" w:sz="0" w:space="0" w:color="auto"/>
        <w:left w:val="none" w:sz="0" w:space="0" w:color="auto"/>
        <w:bottom w:val="none" w:sz="0" w:space="0" w:color="auto"/>
        <w:right w:val="none" w:sz="0" w:space="0" w:color="auto"/>
      </w:divBdr>
    </w:div>
    <w:div w:id="58863241">
      <w:bodyDiv w:val="1"/>
      <w:marLeft w:val="0"/>
      <w:marRight w:val="0"/>
      <w:marTop w:val="0"/>
      <w:marBottom w:val="0"/>
      <w:divBdr>
        <w:top w:val="none" w:sz="0" w:space="0" w:color="auto"/>
        <w:left w:val="none" w:sz="0" w:space="0" w:color="auto"/>
        <w:bottom w:val="none" w:sz="0" w:space="0" w:color="auto"/>
        <w:right w:val="none" w:sz="0" w:space="0" w:color="auto"/>
      </w:divBdr>
    </w:div>
    <w:div w:id="59524733">
      <w:bodyDiv w:val="1"/>
      <w:marLeft w:val="0"/>
      <w:marRight w:val="0"/>
      <w:marTop w:val="0"/>
      <w:marBottom w:val="0"/>
      <w:divBdr>
        <w:top w:val="none" w:sz="0" w:space="0" w:color="auto"/>
        <w:left w:val="none" w:sz="0" w:space="0" w:color="auto"/>
        <w:bottom w:val="none" w:sz="0" w:space="0" w:color="auto"/>
        <w:right w:val="none" w:sz="0" w:space="0" w:color="auto"/>
      </w:divBdr>
      <w:divsChild>
        <w:div w:id="477651685">
          <w:marLeft w:val="547"/>
          <w:marRight w:val="0"/>
          <w:marTop w:val="115"/>
          <w:marBottom w:val="0"/>
          <w:divBdr>
            <w:top w:val="none" w:sz="0" w:space="0" w:color="auto"/>
            <w:left w:val="none" w:sz="0" w:space="0" w:color="auto"/>
            <w:bottom w:val="none" w:sz="0" w:space="0" w:color="auto"/>
            <w:right w:val="none" w:sz="0" w:space="0" w:color="auto"/>
          </w:divBdr>
        </w:div>
      </w:divsChild>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78602517">
      <w:bodyDiv w:val="1"/>
      <w:marLeft w:val="0"/>
      <w:marRight w:val="0"/>
      <w:marTop w:val="0"/>
      <w:marBottom w:val="0"/>
      <w:divBdr>
        <w:top w:val="none" w:sz="0" w:space="0" w:color="auto"/>
        <w:left w:val="none" w:sz="0" w:space="0" w:color="auto"/>
        <w:bottom w:val="none" w:sz="0" w:space="0" w:color="auto"/>
        <w:right w:val="none" w:sz="0" w:space="0" w:color="auto"/>
      </w:divBdr>
    </w:div>
    <w:div w:id="78841574">
      <w:bodyDiv w:val="1"/>
      <w:marLeft w:val="0"/>
      <w:marRight w:val="0"/>
      <w:marTop w:val="0"/>
      <w:marBottom w:val="0"/>
      <w:divBdr>
        <w:top w:val="none" w:sz="0" w:space="0" w:color="auto"/>
        <w:left w:val="none" w:sz="0" w:space="0" w:color="auto"/>
        <w:bottom w:val="none" w:sz="0" w:space="0" w:color="auto"/>
        <w:right w:val="none" w:sz="0" w:space="0" w:color="auto"/>
      </w:divBdr>
    </w:div>
    <w:div w:id="97528532">
      <w:bodyDiv w:val="1"/>
      <w:marLeft w:val="0"/>
      <w:marRight w:val="0"/>
      <w:marTop w:val="0"/>
      <w:marBottom w:val="0"/>
      <w:divBdr>
        <w:top w:val="none" w:sz="0" w:space="0" w:color="auto"/>
        <w:left w:val="none" w:sz="0" w:space="0" w:color="auto"/>
        <w:bottom w:val="none" w:sz="0" w:space="0" w:color="auto"/>
        <w:right w:val="none" w:sz="0" w:space="0" w:color="auto"/>
      </w:divBdr>
    </w:div>
    <w:div w:id="104665875">
      <w:bodyDiv w:val="1"/>
      <w:marLeft w:val="0"/>
      <w:marRight w:val="0"/>
      <w:marTop w:val="0"/>
      <w:marBottom w:val="0"/>
      <w:divBdr>
        <w:top w:val="none" w:sz="0" w:space="0" w:color="auto"/>
        <w:left w:val="none" w:sz="0" w:space="0" w:color="auto"/>
        <w:bottom w:val="none" w:sz="0" w:space="0" w:color="auto"/>
        <w:right w:val="none" w:sz="0" w:space="0" w:color="auto"/>
      </w:divBdr>
    </w:div>
    <w:div w:id="106513084">
      <w:bodyDiv w:val="1"/>
      <w:marLeft w:val="0"/>
      <w:marRight w:val="0"/>
      <w:marTop w:val="0"/>
      <w:marBottom w:val="0"/>
      <w:divBdr>
        <w:top w:val="none" w:sz="0" w:space="0" w:color="auto"/>
        <w:left w:val="none" w:sz="0" w:space="0" w:color="auto"/>
        <w:bottom w:val="none" w:sz="0" w:space="0" w:color="auto"/>
        <w:right w:val="none" w:sz="0" w:space="0" w:color="auto"/>
      </w:divBdr>
    </w:div>
    <w:div w:id="112066602">
      <w:bodyDiv w:val="1"/>
      <w:marLeft w:val="0"/>
      <w:marRight w:val="0"/>
      <w:marTop w:val="0"/>
      <w:marBottom w:val="0"/>
      <w:divBdr>
        <w:top w:val="none" w:sz="0" w:space="0" w:color="auto"/>
        <w:left w:val="none" w:sz="0" w:space="0" w:color="auto"/>
        <w:bottom w:val="none" w:sz="0" w:space="0" w:color="auto"/>
        <w:right w:val="none" w:sz="0" w:space="0" w:color="auto"/>
      </w:divBdr>
    </w:div>
    <w:div w:id="115956441">
      <w:bodyDiv w:val="1"/>
      <w:marLeft w:val="0"/>
      <w:marRight w:val="0"/>
      <w:marTop w:val="0"/>
      <w:marBottom w:val="0"/>
      <w:divBdr>
        <w:top w:val="none" w:sz="0" w:space="0" w:color="auto"/>
        <w:left w:val="none" w:sz="0" w:space="0" w:color="auto"/>
        <w:bottom w:val="none" w:sz="0" w:space="0" w:color="auto"/>
        <w:right w:val="none" w:sz="0" w:space="0" w:color="auto"/>
      </w:divBdr>
    </w:div>
    <w:div w:id="135147638">
      <w:bodyDiv w:val="1"/>
      <w:marLeft w:val="0"/>
      <w:marRight w:val="0"/>
      <w:marTop w:val="0"/>
      <w:marBottom w:val="0"/>
      <w:divBdr>
        <w:top w:val="none" w:sz="0" w:space="0" w:color="auto"/>
        <w:left w:val="none" w:sz="0" w:space="0" w:color="auto"/>
        <w:bottom w:val="none" w:sz="0" w:space="0" w:color="auto"/>
        <w:right w:val="none" w:sz="0" w:space="0" w:color="auto"/>
      </w:divBdr>
    </w:div>
    <w:div w:id="152533527">
      <w:bodyDiv w:val="1"/>
      <w:marLeft w:val="0"/>
      <w:marRight w:val="0"/>
      <w:marTop w:val="0"/>
      <w:marBottom w:val="0"/>
      <w:divBdr>
        <w:top w:val="none" w:sz="0" w:space="0" w:color="auto"/>
        <w:left w:val="none" w:sz="0" w:space="0" w:color="auto"/>
        <w:bottom w:val="none" w:sz="0" w:space="0" w:color="auto"/>
        <w:right w:val="none" w:sz="0" w:space="0" w:color="auto"/>
      </w:divBdr>
    </w:div>
    <w:div w:id="159388067">
      <w:bodyDiv w:val="1"/>
      <w:marLeft w:val="0"/>
      <w:marRight w:val="0"/>
      <w:marTop w:val="0"/>
      <w:marBottom w:val="0"/>
      <w:divBdr>
        <w:top w:val="none" w:sz="0" w:space="0" w:color="auto"/>
        <w:left w:val="none" w:sz="0" w:space="0" w:color="auto"/>
        <w:bottom w:val="none" w:sz="0" w:space="0" w:color="auto"/>
        <w:right w:val="none" w:sz="0" w:space="0" w:color="auto"/>
      </w:divBdr>
    </w:div>
    <w:div w:id="182013953">
      <w:bodyDiv w:val="1"/>
      <w:marLeft w:val="0"/>
      <w:marRight w:val="0"/>
      <w:marTop w:val="0"/>
      <w:marBottom w:val="0"/>
      <w:divBdr>
        <w:top w:val="none" w:sz="0" w:space="0" w:color="auto"/>
        <w:left w:val="none" w:sz="0" w:space="0" w:color="auto"/>
        <w:bottom w:val="none" w:sz="0" w:space="0" w:color="auto"/>
        <w:right w:val="none" w:sz="0" w:space="0" w:color="auto"/>
      </w:divBdr>
    </w:div>
    <w:div w:id="217933036">
      <w:bodyDiv w:val="1"/>
      <w:marLeft w:val="0"/>
      <w:marRight w:val="0"/>
      <w:marTop w:val="0"/>
      <w:marBottom w:val="0"/>
      <w:divBdr>
        <w:top w:val="none" w:sz="0" w:space="0" w:color="auto"/>
        <w:left w:val="none" w:sz="0" w:space="0" w:color="auto"/>
        <w:bottom w:val="none" w:sz="0" w:space="0" w:color="auto"/>
        <w:right w:val="none" w:sz="0" w:space="0" w:color="auto"/>
      </w:divBdr>
    </w:div>
    <w:div w:id="246577193">
      <w:bodyDiv w:val="1"/>
      <w:marLeft w:val="0"/>
      <w:marRight w:val="0"/>
      <w:marTop w:val="0"/>
      <w:marBottom w:val="0"/>
      <w:divBdr>
        <w:top w:val="none" w:sz="0" w:space="0" w:color="auto"/>
        <w:left w:val="none" w:sz="0" w:space="0" w:color="auto"/>
        <w:bottom w:val="none" w:sz="0" w:space="0" w:color="auto"/>
        <w:right w:val="none" w:sz="0" w:space="0" w:color="auto"/>
      </w:divBdr>
    </w:div>
    <w:div w:id="253056533">
      <w:bodyDiv w:val="1"/>
      <w:marLeft w:val="0"/>
      <w:marRight w:val="0"/>
      <w:marTop w:val="0"/>
      <w:marBottom w:val="0"/>
      <w:divBdr>
        <w:top w:val="none" w:sz="0" w:space="0" w:color="auto"/>
        <w:left w:val="none" w:sz="0" w:space="0" w:color="auto"/>
        <w:bottom w:val="none" w:sz="0" w:space="0" w:color="auto"/>
        <w:right w:val="none" w:sz="0" w:space="0" w:color="auto"/>
      </w:divBdr>
    </w:div>
    <w:div w:id="257448177">
      <w:bodyDiv w:val="1"/>
      <w:marLeft w:val="0"/>
      <w:marRight w:val="0"/>
      <w:marTop w:val="0"/>
      <w:marBottom w:val="0"/>
      <w:divBdr>
        <w:top w:val="none" w:sz="0" w:space="0" w:color="auto"/>
        <w:left w:val="none" w:sz="0" w:space="0" w:color="auto"/>
        <w:bottom w:val="none" w:sz="0" w:space="0" w:color="auto"/>
        <w:right w:val="none" w:sz="0" w:space="0" w:color="auto"/>
      </w:divBdr>
    </w:div>
    <w:div w:id="260527160">
      <w:bodyDiv w:val="1"/>
      <w:marLeft w:val="0"/>
      <w:marRight w:val="0"/>
      <w:marTop w:val="0"/>
      <w:marBottom w:val="0"/>
      <w:divBdr>
        <w:top w:val="none" w:sz="0" w:space="0" w:color="auto"/>
        <w:left w:val="none" w:sz="0" w:space="0" w:color="auto"/>
        <w:bottom w:val="none" w:sz="0" w:space="0" w:color="auto"/>
        <w:right w:val="none" w:sz="0" w:space="0" w:color="auto"/>
      </w:divBdr>
    </w:div>
    <w:div w:id="315257808">
      <w:bodyDiv w:val="1"/>
      <w:marLeft w:val="0"/>
      <w:marRight w:val="0"/>
      <w:marTop w:val="0"/>
      <w:marBottom w:val="0"/>
      <w:divBdr>
        <w:top w:val="none" w:sz="0" w:space="0" w:color="auto"/>
        <w:left w:val="none" w:sz="0" w:space="0" w:color="auto"/>
        <w:bottom w:val="none" w:sz="0" w:space="0" w:color="auto"/>
        <w:right w:val="none" w:sz="0" w:space="0" w:color="auto"/>
      </w:divBdr>
    </w:div>
    <w:div w:id="320081712">
      <w:bodyDiv w:val="1"/>
      <w:marLeft w:val="0"/>
      <w:marRight w:val="0"/>
      <w:marTop w:val="0"/>
      <w:marBottom w:val="0"/>
      <w:divBdr>
        <w:top w:val="none" w:sz="0" w:space="0" w:color="auto"/>
        <w:left w:val="none" w:sz="0" w:space="0" w:color="auto"/>
        <w:bottom w:val="none" w:sz="0" w:space="0" w:color="auto"/>
        <w:right w:val="none" w:sz="0" w:space="0" w:color="auto"/>
      </w:divBdr>
    </w:div>
    <w:div w:id="323509622">
      <w:bodyDiv w:val="1"/>
      <w:marLeft w:val="0"/>
      <w:marRight w:val="0"/>
      <w:marTop w:val="0"/>
      <w:marBottom w:val="0"/>
      <w:divBdr>
        <w:top w:val="none" w:sz="0" w:space="0" w:color="auto"/>
        <w:left w:val="none" w:sz="0" w:space="0" w:color="auto"/>
        <w:bottom w:val="none" w:sz="0" w:space="0" w:color="auto"/>
        <w:right w:val="none" w:sz="0" w:space="0" w:color="auto"/>
      </w:divBdr>
    </w:div>
    <w:div w:id="323709127">
      <w:bodyDiv w:val="1"/>
      <w:marLeft w:val="0"/>
      <w:marRight w:val="0"/>
      <w:marTop w:val="0"/>
      <w:marBottom w:val="0"/>
      <w:divBdr>
        <w:top w:val="none" w:sz="0" w:space="0" w:color="auto"/>
        <w:left w:val="none" w:sz="0" w:space="0" w:color="auto"/>
        <w:bottom w:val="none" w:sz="0" w:space="0" w:color="auto"/>
        <w:right w:val="none" w:sz="0" w:space="0" w:color="auto"/>
      </w:divBdr>
    </w:div>
    <w:div w:id="335159526">
      <w:bodyDiv w:val="1"/>
      <w:marLeft w:val="0"/>
      <w:marRight w:val="0"/>
      <w:marTop w:val="0"/>
      <w:marBottom w:val="0"/>
      <w:divBdr>
        <w:top w:val="none" w:sz="0" w:space="0" w:color="auto"/>
        <w:left w:val="none" w:sz="0" w:space="0" w:color="auto"/>
        <w:bottom w:val="none" w:sz="0" w:space="0" w:color="auto"/>
        <w:right w:val="none" w:sz="0" w:space="0" w:color="auto"/>
      </w:divBdr>
    </w:div>
    <w:div w:id="349719528">
      <w:bodyDiv w:val="1"/>
      <w:marLeft w:val="0"/>
      <w:marRight w:val="0"/>
      <w:marTop w:val="0"/>
      <w:marBottom w:val="0"/>
      <w:divBdr>
        <w:top w:val="none" w:sz="0" w:space="0" w:color="auto"/>
        <w:left w:val="none" w:sz="0" w:space="0" w:color="auto"/>
        <w:bottom w:val="none" w:sz="0" w:space="0" w:color="auto"/>
        <w:right w:val="none" w:sz="0" w:space="0" w:color="auto"/>
      </w:divBdr>
    </w:div>
    <w:div w:id="353307604">
      <w:bodyDiv w:val="1"/>
      <w:marLeft w:val="0"/>
      <w:marRight w:val="0"/>
      <w:marTop w:val="0"/>
      <w:marBottom w:val="0"/>
      <w:divBdr>
        <w:top w:val="none" w:sz="0" w:space="0" w:color="auto"/>
        <w:left w:val="none" w:sz="0" w:space="0" w:color="auto"/>
        <w:bottom w:val="none" w:sz="0" w:space="0" w:color="auto"/>
        <w:right w:val="none" w:sz="0" w:space="0" w:color="auto"/>
      </w:divBdr>
    </w:div>
    <w:div w:id="391199432">
      <w:bodyDiv w:val="1"/>
      <w:marLeft w:val="0"/>
      <w:marRight w:val="0"/>
      <w:marTop w:val="0"/>
      <w:marBottom w:val="0"/>
      <w:divBdr>
        <w:top w:val="none" w:sz="0" w:space="0" w:color="auto"/>
        <w:left w:val="none" w:sz="0" w:space="0" w:color="auto"/>
        <w:bottom w:val="none" w:sz="0" w:space="0" w:color="auto"/>
        <w:right w:val="none" w:sz="0" w:space="0" w:color="auto"/>
      </w:divBdr>
    </w:div>
    <w:div w:id="424544038">
      <w:bodyDiv w:val="1"/>
      <w:marLeft w:val="0"/>
      <w:marRight w:val="0"/>
      <w:marTop w:val="0"/>
      <w:marBottom w:val="0"/>
      <w:divBdr>
        <w:top w:val="none" w:sz="0" w:space="0" w:color="auto"/>
        <w:left w:val="none" w:sz="0" w:space="0" w:color="auto"/>
        <w:bottom w:val="none" w:sz="0" w:space="0" w:color="auto"/>
        <w:right w:val="none" w:sz="0" w:space="0" w:color="auto"/>
      </w:divBdr>
    </w:div>
    <w:div w:id="436950152">
      <w:bodyDiv w:val="1"/>
      <w:marLeft w:val="0"/>
      <w:marRight w:val="0"/>
      <w:marTop w:val="0"/>
      <w:marBottom w:val="0"/>
      <w:divBdr>
        <w:top w:val="none" w:sz="0" w:space="0" w:color="auto"/>
        <w:left w:val="none" w:sz="0" w:space="0" w:color="auto"/>
        <w:bottom w:val="none" w:sz="0" w:space="0" w:color="auto"/>
        <w:right w:val="none" w:sz="0" w:space="0" w:color="auto"/>
      </w:divBdr>
    </w:div>
    <w:div w:id="474951935">
      <w:bodyDiv w:val="1"/>
      <w:marLeft w:val="0"/>
      <w:marRight w:val="0"/>
      <w:marTop w:val="0"/>
      <w:marBottom w:val="0"/>
      <w:divBdr>
        <w:top w:val="none" w:sz="0" w:space="0" w:color="auto"/>
        <w:left w:val="none" w:sz="0" w:space="0" w:color="auto"/>
        <w:bottom w:val="none" w:sz="0" w:space="0" w:color="auto"/>
        <w:right w:val="none" w:sz="0" w:space="0" w:color="auto"/>
      </w:divBdr>
    </w:div>
    <w:div w:id="482506125">
      <w:bodyDiv w:val="1"/>
      <w:marLeft w:val="0"/>
      <w:marRight w:val="0"/>
      <w:marTop w:val="0"/>
      <w:marBottom w:val="0"/>
      <w:divBdr>
        <w:top w:val="none" w:sz="0" w:space="0" w:color="auto"/>
        <w:left w:val="none" w:sz="0" w:space="0" w:color="auto"/>
        <w:bottom w:val="none" w:sz="0" w:space="0" w:color="auto"/>
        <w:right w:val="none" w:sz="0" w:space="0" w:color="auto"/>
      </w:divBdr>
    </w:div>
    <w:div w:id="489758182">
      <w:bodyDiv w:val="1"/>
      <w:marLeft w:val="0"/>
      <w:marRight w:val="0"/>
      <w:marTop w:val="0"/>
      <w:marBottom w:val="0"/>
      <w:divBdr>
        <w:top w:val="none" w:sz="0" w:space="0" w:color="auto"/>
        <w:left w:val="none" w:sz="0" w:space="0" w:color="auto"/>
        <w:bottom w:val="none" w:sz="0" w:space="0" w:color="auto"/>
        <w:right w:val="none" w:sz="0" w:space="0" w:color="auto"/>
      </w:divBdr>
    </w:div>
    <w:div w:id="489902815">
      <w:bodyDiv w:val="1"/>
      <w:marLeft w:val="0"/>
      <w:marRight w:val="0"/>
      <w:marTop w:val="0"/>
      <w:marBottom w:val="0"/>
      <w:divBdr>
        <w:top w:val="none" w:sz="0" w:space="0" w:color="auto"/>
        <w:left w:val="none" w:sz="0" w:space="0" w:color="auto"/>
        <w:bottom w:val="none" w:sz="0" w:space="0" w:color="auto"/>
        <w:right w:val="none" w:sz="0" w:space="0" w:color="auto"/>
      </w:divBdr>
    </w:div>
    <w:div w:id="583536455">
      <w:bodyDiv w:val="1"/>
      <w:marLeft w:val="0"/>
      <w:marRight w:val="0"/>
      <w:marTop w:val="0"/>
      <w:marBottom w:val="0"/>
      <w:divBdr>
        <w:top w:val="none" w:sz="0" w:space="0" w:color="auto"/>
        <w:left w:val="none" w:sz="0" w:space="0" w:color="auto"/>
        <w:bottom w:val="none" w:sz="0" w:space="0" w:color="auto"/>
        <w:right w:val="none" w:sz="0" w:space="0" w:color="auto"/>
      </w:divBdr>
    </w:div>
    <w:div w:id="595022385">
      <w:bodyDiv w:val="1"/>
      <w:marLeft w:val="0"/>
      <w:marRight w:val="0"/>
      <w:marTop w:val="0"/>
      <w:marBottom w:val="0"/>
      <w:divBdr>
        <w:top w:val="none" w:sz="0" w:space="0" w:color="auto"/>
        <w:left w:val="none" w:sz="0" w:space="0" w:color="auto"/>
        <w:bottom w:val="none" w:sz="0" w:space="0" w:color="auto"/>
        <w:right w:val="none" w:sz="0" w:space="0" w:color="auto"/>
      </w:divBdr>
    </w:div>
    <w:div w:id="599265878">
      <w:bodyDiv w:val="1"/>
      <w:marLeft w:val="0"/>
      <w:marRight w:val="0"/>
      <w:marTop w:val="0"/>
      <w:marBottom w:val="0"/>
      <w:divBdr>
        <w:top w:val="none" w:sz="0" w:space="0" w:color="auto"/>
        <w:left w:val="none" w:sz="0" w:space="0" w:color="auto"/>
        <w:bottom w:val="none" w:sz="0" w:space="0" w:color="auto"/>
        <w:right w:val="none" w:sz="0" w:space="0" w:color="auto"/>
      </w:divBdr>
    </w:div>
    <w:div w:id="615067437">
      <w:bodyDiv w:val="1"/>
      <w:marLeft w:val="0"/>
      <w:marRight w:val="0"/>
      <w:marTop w:val="0"/>
      <w:marBottom w:val="0"/>
      <w:divBdr>
        <w:top w:val="none" w:sz="0" w:space="0" w:color="auto"/>
        <w:left w:val="none" w:sz="0" w:space="0" w:color="auto"/>
        <w:bottom w:val="none" w:sz="0" w:space="0" w:color="auto"/>
        <w:right w:val="none" w:sz="0" w:space="0" w:color="auto"/>
      </w:divBdr>
    </w:div>
    <w:div w:id="662705630">
      <w:bodyDiv w:val="1"/>
      <w:marLeft w:val="0"/>
      <w:marRight w:val="0"/>
      <w:marTop w:val="0"/>
      <w:marBottom w:val="0"/>
      <w:divBdr>
        <w:top w:val="none" w:sz="0" w:space="0" w:color="auto"/>
        <w:left w:val="none" w:sz="0" w:space="0" w:color="auto"/>
        <w:bottom w:val="none" w:sz="0" w:space="0" w:color="auto"/>
        <w:right w:val="none" w:sz="0" w:space="0" w:color="auto"/>
      </w:divBdr>
    </w:div>
    <w:div w:id="677273377">
      <w:bodyDiv w:val="1"/>
      <w:marLeft w:val="0"/>
      <w:marRight w:val="0"/>
      <w:marTop w:val="0"/>
      <w:marBottom w:val="0"/>
      <w:divBdr>
        <w:top w:val="none" w:sz="0" w:space="0" w:color="auto"/>
        <w:left w:val="none" w:sz="0" w:space="0" w:color="auto"/>
        <w:bottom w:val="none" w:sz="0" w:space="0" w:color="auto"/>
        <w:right w:val="none" w:sz="0" w:space="0" w:color="auto"/>
      </w:divBdr>
    </w:div>
    <w:div w:id="697852258">
      <w:bodyDiv w:val="1"/>
      <w:marLeft w:val="0"/>
      <w:marRight w:val="0"/>
      <w:marTop w:val="0"/>
      <w:marBottom w:val="0"/>
      <w:divBdr>
        <w:top w:val="none" w:sz="0" w:space="0" w:color="auto"/>
        <w:left w:val="none" w:sz="0" w:space="0" w:color="auto"/>
        <w:bottom w:val="none" w:sz="0" w:space="0" w:color="auto"/>
        <w:right w:val="none" w:sz="0" w:space="0" w:color="auto"/>
      </w:divBdr>
    </w:div>
    <w:div w:id="698050177">
      <w:bodyDiv w:val="1"/>
      <w:marLeft w:val="0"/>
      <w:marRight w:val="0"/>
      <w:marTop w:val="0"/>
      <w:marBottom w:val="0"/>
      <w:divBdr>
        <w:top w:val="none" w:sz="0" w:space="0" w:color="auto"/>
        <w:left w:val="none" w:sz="0" w:space="0" w:color="auto"/>
        <w:bottom w:val="none" w:sz="0" w:space="0" w:color="auto"/>
        <w:right w:val="none" w:sz="0" w:space="0" w:color="auto"/>
      </w:divBdr>
    </w:div>
    <w:div w:id="711031402">
      <w:bodyDiv w:val="1"/>
      <w:marLeft w:val="0"/>
      <w:marRight w:val="0"/>
      <w:marTop w:val="0"/>
      <w:marBottom w:val="0"/>
      <w:divBdr>
        <w:top w:val="none" w:sz="0" w:space="0" w:color="auto"/>
        <w:left w:val="none" w:sz="0" w:space="0" w:color="auto"/>
        <w:bottom w:val="none" w:sz="0" w:space="0" w:color="auto"/>
        <w:right w:val="none" w:sz="0" w:space="0" w:color="auto"/>
      </w:divBdr>
    </w:div>
    <w:div w:id="732191853">
      <w:bodyDiv w:val="1"/>
      <w:marLeft w:val="0"/>
      <w:marRight w:val="0"/>
      <w:marTop w:val="0"/>
      <w:marBottom w:val="0"/>
      <w:divBdr>
        <w:top w:val="none" w:sz="0" w:space="0" w:color="auto"/>
        <w:left w:val="none" w:sz="0" w:space="0" w:color="auto"/>
        <w:bottom w:val="none" w:sz="0" w:space="0" w:color="auto"/>
        <w:right w:val="none" w:sz="0" w:space="0" w:color="auto"/>
      </w:divBdr>
    </w:div>
    <w:div w:id="741949177">
      <w:bodyDiv w:val="1"/>
      <w:marLeft w:val="0"/>
      <w:marRight w:val="0"/>
      <w:marTop w:val="0"/>
      <w:marBottom w:val="0"/>
      <w:divBdr>
        <w:top w:val="none" w:sz="0" w:space="0" w:color="auto"/>
        <w:left w:val="none" w:sz="0" w:space="0" w:color="auto"/>
        <w:bottom w:val="none" w:sz="0" w:space="0" w:color="auto"/>
        <w:right w:val="none" w:sz="0" w:space="0" w:color="auto"/>
      </w:divBdr>
    </w:div>
    <w:div w:id="745415715">
      <w:bodyDiv w:val="1"/>
      <w:marLeft w:val="0"/>
      <w:marRight w:val="0"/>
      <w:marTop w:val="0"/>
      <w:marBottom w:val="0"/>
      <w:divBdr>
        <w:top w:val="none" w:sz="0" w:space="0" w:color="auto"/>
        <w:left w:val="none" w:sz="0" w:space="0" w:color="auto"/>
        <w:bottom w:val="none" w:sz="0" w:space="0" w:color="auto"/>
        <w:right w:val="none" w:sz="0" w:space="0" w:color="auto"/>
      </w:divBdr>
    </w:div>
    <w:div w:id="746808589">
      <w:bodyDiv w:val="1"/>
      <w:marLeft w:val="0"/>
      <w:marRight w:val="0"/>
      <w:marTop w:val="0"/>
      <w:marBottom w:val="0"/>
      <w:divBdr>
        <w:top w:val="none" w:sz="0" w:space="0" w:color="auto"/>
        <w:left w:val="none" w:sz="0" w:space="0" w:color="auto"/>
        <w:bottom w:val="none" w:sz="0" w:space="0" w:color="auto"/>
        <w:right w:val="none" w:sz="0" w:space="0" w:color="auto"/>
      </w:divBdr>
    </w:div>
    <w:div w:id="749158900">
      <w:bodyDiv w:val="1"/>
      <w:marLeft w:val="0"/>
      <w:marRight w:val="0"/>
      <w:marTop w:val="0"/>
      <w:marBottom w:val="0"/>
      <w:divBdr>
        <w:top w:val="none" w:sz="0" w:space="0" w:color="auto"/>
        <w:left w:val="none" w:sz="0" w:space="0" w:color="auto"/>
        <w:bottom w:val="none" w:sz="0" w:space="0" w:color="auto"/>
        <w:right w:val="none" w:sz="0" w:space="0" w:color="auto"/>
      </w:divBdr>
    </w:div>
    <w:div w:id="753011206">
      <w:bodyDiv w:val="1"/>
      <w:marLeft w:val="0"/>
      <w:marRight w:val="0"/>
      <w:marTop w:val="0"/>
      <w:marBottom w:val="0"/>
      <w:divBdr>
        <w:top w:val="none" w:sz="0" w:space="0" w:color="auto"/>
        <w:left w:val="none" w:sz="0" w:space="0" w:color="auto"/>
        <w:bottom w:val="none" w:sz="0" w:space="0" w:color="auto"/>
        <w:right w:val="none" w:sz="0" w:space="0" w:color="auto"/>
      </w:divBdr>
    </w:div>
    <w:div w:id="763844366">
      <w:bodyDiv w:val="1"/>
      <w:marLeft w:val="0"/>
      <w:marRight w:val="0"/>
      <w:marTop w:val="0"/>
      <w:marBottom w:val="0"/>
      <w:divBdr>
        <w:top w:val="none" w:sz="0" w:space="0" w:color="auto"/>
        <w:left w:val="none" w:sz="0" w:space="0" w:color="auto"/>
        <w:bottom w:val="none" w:sz="0" w:space="0" w:color="auto"/>
        <w:right w:val="none" w:sz="0" w:space="0" w:color="auto"/>
      </w:divBdr>
    </w:div>
    <w:div w:id="763916453">
      <w:bodyDiv w:val="1"/>
      <w:marLeft w:val="0"/>
      <w:marRight w:val="0"/>
      <w:marTop w:val="0"/>
      <w:marBottom w:val="0"/>
      <w:divBdr>
        <w:top w:val="none" w:sz="0" w:space="0" w:color="auto"/>
        <w:left w:val="none" w:sz="0" w:space="0" w:color="auto"/>
        <w:bottom w:val="none" w:sz="0" w:space="0" w:color="auto"/>
        <w:right w:val="none" w:sz="0" w:space="0" w:color="auto"/>
      </w:divBdr>
    </w:div>
    <w:div w:id="792557403">
      <w:bodyDiv w:val="1"/>
      <w:marLeft w:val="0"/>
      <w:marRight w:val="0"/>
      <w:marTop w:val="0"/>
      <w:marBottom w:val="0"/>
      <w:divBdr>
        <w:top w:val="none" w:sz="0" w:space="0" w:color="auto"/>
        <w:left w:val="none" w:sz="0" w:space="0" w:color="auto"/>
        <w:bottom w:val="none" w:sz="0" w:space="0" w:color="auto"/>
        <w:right w:val="none" w:sz="0" w:space="0" w:color="auto"/>
      </w:divBdr>
    </w:div>
    <w:div w:id="815727824">
      <w:bodyDiv w:val="1"/>
      <w:marLeft w:val="0"/>
      <w:marRight w:val="0"/>
      <w:marTop w:val="0"/>
      <w:marBottom w:val="0"/>
      <w:divBdr>
        <w:top w:val="none" w:sz="0" w:space="0" w:color="auto"/>
        <w:left w:val="none" w:sz="0" w:space="0" w:color="auto"/>
        <w:bottom w:val="none" w:sz="0" w:space="0" w:color="auto"/>
        <w:right w:val="none" w:sz="0" w:space="0" w:color="auto"/>
      </w:divBdr>
    </w:div>
    <w:div w:id="861674420">
      <w:bodyDiv w:val="1"/>
      <w:marLeft w:val="0"/>
      <w:marRight w:val="0"/>
      <w:marTop w:val="0"/>
      <w:marBottom w:val="0"/>
      <w:divBdr>
        <w:top w:val="none" w:sz="0" w:space="0" w:color="auto"/>
        <w:left w:val="none" w:sz="0" w:space="0" w:color="auto"/>
        <w:bottom w:val="none" w:sz="0" w:space="0" w:color="auto"/>
        <w:right w:val="none" w:sz="0" w:space="0" w:color="auto"/>
      </w:divBdr>
    </w:div>
    <w:div w:id="895239305">
      <w:bodyDiv w:val="1"/>
      <w:marLeft w:val="0"/>
      <w:marRight w:val="0"/>
      <w:marTop w:val="0"/>
      <w:marBottom w:val="0"/>
      <w:divBdr>
        <w:top w:val="none" w:sz="0" w:space="0" w:color="auto"/>
        <w:left w:val="none" w:sz="0" w:space="0" w:color="auto"/>
        <w:bottom w:val="none" w:sz="0" w:space="0" w:color="auto"/>
        <w:right w:val="none" w:sz="0" w:space="0" w:color="auto"/>
      </w:divBdr>
    </w:div>
    <w:div w:id="902640449">
      <w:bodyDiv w:val="1"/>
      <w:marLeft w:val="0"/>
      <w:marRight w:val="0"/>
      <w:marTop w:val="0"/>
      <w:marBottom w:val="0"/>
      <w:divBdr>
        <w:top w:val="none" w:sz="0" w:space="0" w:color="auto"/>
        <w:left w:val="none" w:sz="0" w:space="0" w:color="auto"/>
        <w:bottom w:val="none" w:sz="0" w:space="0" w:color="auto"/>
        <w:right w:val="none" w:sz="0" w:space="0" w:color="auto"/>
      </w:divBdr>
    </w:div>
    <w:div w:id="907810014">
      <w:bodyDiv w:val="1"/>
      <w:marLeft w:val="0"/>
      <w:marRight w:val="0"/>
      <w:marTop w:val="0"/>
      <w:marBottom w:val="0"/>
      <w:divBdr>
        <w:top w:val="none" w:sz="0" w:space="0" w:color="auto"/>
        <w:left w:val="none" w:sz="0" w:space="0" w:color="auto"/>
        <w:bottom w:val="none" w:sz="0" w:space="0" w:color="auto"/>
        <w:right w:val="none" w:sz="0" w:space="0" w:color="auto"/>
      </w:divBdr>
    </w:div>
    <w:div w:id="909340287">
      <w:bodyDiv w:val="1"/>
      <w:marLeft w:val="0"/>
      <w:marRight w:val="0"/>
      <w:marTop w:val="0"/>
      <w:marBottom w:val="0"/>
      <w:divBdr>
        <w:top w:val="none" w:sz="0" w:space="0" w:color="auto"/>
        <w:left w:val="none" w:sz="0" w:space="0" w:color="auto"/>
        <w:bottom w:val="none" w:sz="0" w:space="0" w:color="auto"/>
        <w:right w:val="none" w:sz="0" w:space="0" w:color="auto"/>
      </w:divBdr>
    </w:div>
    <w:div w:id="933785149">
      <w:bodyDiv w:val="1"/>
      <w:marLeft w:val="0"/>
      <w:marRight w:val="0"/>
      <w:marTop w:val="0"/>
      <w:marBottom w:val="0"/>
      <w:divBdr>
        <w:top w:val="none" w:sz="0" w:space="0" w:color="auto"/>
        <w:left w:val="none" w:sz="0" w:space="0" w:color="auto"/>
        <w:bottom w:val="none" w:sz="0" w:space="0" w:color="auto"/>
        <w:right w:val="none" w:sz="0" w:space="0" w:color="auto"/>
      </w:divBdr>
    </w:div>
    <w:div w:id="965283516">
      <w:bodyDiv w:val="1"/>
      <w:marLeft w:val="0"/>
      <w:marRight w:val="0"/>
      <w:marTop w:val="0"/>
      <w:marBottom w:val="0"/>
      <w:divBdr>
        <w:top w:val="none" w:sz="0" w:space="0" w:color="auto"/>
        <w:left w:val="none" w:sz="0" w:space="0" w:color="auto"/>
        <w:bottom w:val="none" w:sz="0" w:space="0" w:color="auto"/>
        <w:right w:val="none" w:sz="0" w:space="0" w:color="auto"/>
      </w:divBdr>
    </w:div>
    <w:div w:id="972564478">
      <w:bodyDiv w:val="1"/>
      <w:marLeft w:val="0"/>
      <w:marRight w:val="0"/>
      <w:marTop w:val="0"/>
      <w:marBottom w:val="0"/>
      <w:divBdr>
        <w:top w:val="none" w:sz="0" w:space="0" w:color="auto"/>
        <w:left w:val="none" w:sz="0" w:space="0" w:color="auto"/>
        <w:bottom w:val="none" w:sz="0" w:space="0" w:color="auto"/>
        <w:right w:val="none" w:sz="0" w:space="0" w:color="auto"/>
      </w:divBdr>
    </w:div>
    <w:div w:id="973102310">
      <w:bodyDiv w:val="1"/>
      <w:marLeft w:val="0"/>
      <w:marRight w:val="0"/>
      <w:marTop w:val="0"/>
      <w:marBottom w:val="0"/>
      <w:divBdr>
        <w:top w:val="none" w:sz="0" w:space="0" w:color="auto"/>
        <w:left w:val="none" w:sz="0" w:space="0" w:color="auto"/>
        <w:bottom w:val="none" w:sz="0" w:space="0" w:color="auto"/>
        <w:right w:val="none" w:sz="0" w:space="0" w:color="auto"/>
      </w:divBdr>
    </w:div>
    <w:div w:id="988706858">
      <w:bodyDiv w:val="1"/>
      <w:marLeft w:val="0"/>
      <w:marRight w:val="0"/>
      <w:marTop w:val="0"/>
      <w:marBottom w:val="0"/>
      <w:divBdr>
        <w:top w:val="none" w:sz="0" w:space="0" w:color="auto"/>
        <w:left w:val="none" w:sz="0" w:space="0" w:color="auto"/>
        <w:bottom w:val="none" w:sz="0" w:space="0" w:color="auto"/>
        <w:right w:val="none" w:sz="0" w:space="0" w:color="auto"/>
      </w:divBdr>
    </w:div>
    <w:div w:id="996109568">
      <w:bodyDiv w:val="1"/>
      <w:marLeft w:val="0"/>
      <w:marRight w:val="0"/>
      <w:marTop w:val="0"/>
      <w:marBottom w:val="0"/>
      <w:divBdr>
        <w:top w:val="none" w:sz="0" w:space="0" w:color="auto"/>
        <w:left w:val="none" w:sz="0" w:space="0" w:color="auto"/>
        <w:bottom w:val="none" w:sz="0" w:space="0" w:color="auto"/>
        <w:right w:val="none" w:sz="0" w:space="0" w:color="auto"/>
      </w:divBdr>
    </w:div>
    <w:div w:id="1037124326">
      <w:bodyDiv w:val="1"/>
      <w:marLeft w:val="0"/>
      <w:marRight w:val="0"/>
      <w:marTop w:val="0"/>
      <w:marBottom w:val="0"/>
      <w:divBdr>
        <w:top w:val="none" w:sz="0" w:space="0" w:color="auto"/>
        <w:left w:val="none" w:sz="0" w:space="0" w:color="auto"/>
        <w:bottom w:val="none" w:sz="0" w:space="0" w:color="auto"/>
        <w:right w:val="none" w:sz="0" w:space="0" w:color="auto"/>
      </w:divBdr>
    </w:div>
    <w:div w:id="1047530873">
      <w:bodyDiv w:val="1"/>
      <w:marLeft w:val="0"/>
      <w:marRight w:val="0"/>
      <w:marTop w:val="0"/>
      <w:marBottom w:val="0"/>
      <w:divBdr>
        <w:top w:val="none" w:sz="0" w:space="0" w:color="auto"/>
        <w:left w:val="none" w:sz="0" w:space="0" w:color="auto"/>
        <w:bottom w:val="none" w:sz="0" w:space="0" w:color="auto"/>
        <w:right w:val="none" w:sz="0" w:space="0" w:color="auto"/>
      </w:divBdr>
    </w:div>
    <w:div w:id="1057322493">
      <w:bodyDiv w:val="1"/>
      <w:marLeft w:val="0"/>
      <w:marRight w:val="0"/>
      <w:marTop w:val="0"/>
      <w:marBottom w:val="0"/>
      <w:divBdr>
        <w:top w:val="none" w:sz="0" w:space="0" w:color="auto"/>
        <w:left w:val="none" w:sz="0" w:space="0" w:color="auto"/>
        <w:bottom w:val="none" w:sz="0" w:space="0" w:color="auto"/>
        <w:right w:val="none" w:sz="0" w:space="0" w:color="auto"/>
      </w:divBdr>
    </w:div>
    <w:div w:id="1114591044">
      <w:bodyDiv w:val="1"/>
      <w:marLeft w:val="0"/>
      <w:marRight w:val="0"/>
      <w:marTop w:val="0"/>
      <w:marBottom w:val="0"/>
      <w:divBdr>
        <w:top w:val="none" w:sz="0" w:space="0" w:color="auto"/>
        <w:left w:val="none" w:sz="0" w:space="0" w:color="auto"/>
        <w:bottom w:val="none" w:sz="0" w:space="0" w:color="auto"/>
        <w:right w:val="none" w:sz="0" w:space="0" w:color="auto"/>
      </w:divBdr>
    </w:div>
    <w:div w:id="1122845829">
      <w:bodyDiv w:val="1"/>
      <w:marLeft w:val="0"/>
      <w:marRight w:val="0"/>
      <w:marTop w:val="0"/>
      <w:marBottom w:val="0"/>
      <w:divBdr>
        <w:top w:val="none" w:sz="0" w:space="0" w:color="auto"/>
        <w:left w:val="none" w:sz="0" w:space="0" w:color="auto"/>
        <w:bottom w:val="none" w:sz="0" w:space="0" w:color="auto"/>
        <w:right w:val="none" w:sz="0" w:space="0" w:color="auto"/>
      </w:divBdr>
    </w:div>
    <w:div w:id="1174956974">
      <w:bodyDiv w:val="1"/>
      <w:marLeft w:val="0"/>
      <w:marRight w:val="0"/>
      <w:marTop w:val="0"/>
      <w:marBottom w:val="0"/>
      <w:divBdr>
        <w:top w:val="none" w:sz="0" w:space="0" w:color="auto"/>
        <w:left w:val="none" w:sz="0" w:space="0" w:color="auto"/>
        <w:bottom w:val="none" w:sz="0" w:space="0" w:color="auto"/>
        <w:right w:val="none" w:sz="0" w:space="0" w:color="auto"/>
      </w:divBdr>
    </w:div>
    <w:div w:id="1185245292">
      <w:bodyDiv w:val="1"/>
      <w:marLeft w:val="0"/>
      <w:marRight w:val="0"/>
      <w:marTop w:val="0"/>
      <w:marBottom w:val="0"/>
      <w:divBdr>
        <w:top w:val="none" w:sz="0" w:space="0" w:color="auto"/>
        <w:left w:val="none" w:sz="0" w:space="0" w:color="auto"/>
        <w:bottom w:val="none" w:sz="0" w:space="0" w:color="auto"/>
        <w:right w:val="none" w:sz="0" w:space="0" w:color="auto"/>
      </w:divBdr>
    </w:div>
    <w:div w:id="1195340421">
      <w:bodyDiv w:val="1"/>
      <w:marLeft w:val="0"/>
      <w:marRight w:val="0"/>
      <w:marTop w:val="0"/>
      <w:marBottom w:val="0"/>
      <w:divBdr>
        <w:top w:val="none" w:sz="0" w:space="0" w:color="auto"/>
        <w:left w:val="none" w:sz="0" w:space="0" w:color="auto"/>
        <w:bottom w:val="none" w:sz="0" w:space="0" w:color="auto"/>
        <w:right w:val="none" w:sz="0" w:space="0" w:color="auto"/>
      </w:divBdr>
    </w:div>
    <w:div w:id="1196308010">
      <w:bodyDiv w:val="1"/>
      <w:marLeft w:val="0"/>
      <w:marRight w:val="0"/>
      <w:marTop w:val="0"/>
      <w:marBottom w:val="0"/>
      <w:divBdr>
        <w:top w:val="none" w:sz="0" w:space="0" w:color="auto"/>
        <w:left w:val="none" w:sz="0" w:space="0" w:color="auto"/>
        <w:bottom w:val="none" w:sz="0" w:space="0" w:color="auto"/>
        <w:right w:val="none" w:sz="0" w:space="0" w:color="auto"/>
      </w:divBdr>
    </w:div>
    <w:div w:id="1204824817">
      <w:bodyDiv w:val="1"/>
      <w:marLeft w:val="0"/>
      <w:marRight w:val="0"/>
      <w:marTop w:val="0"/>
      <w:marBottom w:val="0"/>
      <w:divBdr>
        <w:top w:val="none" w:sz="0" w:space="0" w:color="auto"/>
        <w:left w:val="none" w:sz="0" w:space="0" w:color="auto"/>
        <w:bottom w:val="none" w:sz="0" w:space="0" w:color="auto"/>
        <w:right w:val="none" w:sz="0" w:space="0" w:color="auto"/>
      </w:divBdr>
    </w:div>
    <w:div w:id="1280453501">
      <w:bodyDiv w:val="1"/>
      <w:marLeft w:val="0"/>
      <w:marRight w:val="0"/>
      <w:marTop w:val="0"/>
      <w:marBottom w:val="0"/>
      <w:divBdr>
        <w:top w:val="none" w:sz="0" w:space="0" w:color="auto"/>
        <w:left w:val="none" w:sz="0" w:space="0" w:color="auto"/>
        <w:bottom w:val="none" w:sz="0" w:space="0" w:color="auto"/>
        <w:right w:val="none" w:sz="0" w:space="0" w:color="auto"/>
      </w:divBdr>
    </w:div>
    <w:div w:id="1288925429">
      <w:bodyDiv w:val="1"/>
      <w:marLeft w:val="0"/>
      <w:marRight w:val="0"/>
      <w:marTop w:val="0"/>
      <w:marBottom w:val="0"/>
      <w:divBdr>
        <w:top w:val="none" w:sz="0" w:space="0" w:color="auto"/>
        <w:left w:val="none" w:sz="0" w:space="0" w:color="auto"/>
        <w:bottom w:val="none" w:sz="0" w:space="0" w:color="auto"/>
        <w:right w:val="none" w:sz="0" w:space="0" w:color="auto"/>
      </w:divBdr>
    </w:div>
    <w:div w:id="1306086324">
      <w:bodyDiv w:val="1"/>
      <w:marLeft w:val="0"/>
      <w:marRight w:val="0"/>
      <w:marTop w:val="0"/>
      <w:marBottom w:val="0"/>
      <w:divBdr>
        <w:top w:val="none" w:sz="0" w:space="0" w:color="auto"/>
        <w:left w:val="none" w:sz="0" w:space="0" w:color="auto"/>
        <w:bottom w:val="none" w:sz="0" w:space="0" w:color="auto"/>
        <w:right w:val="none" w:sz="0" w:space="0" w:color="auto"/>
      </w:divBdr>
    </w:div>
    <w:div w:id="1310020397">
      <w:bodyDiv w:val="1"/>
      <w:marLeft w:val="0"/>
      <w:marRight w:val="0"/>
      <w:marTop w:val="0"/>
      <w:marBottom w:val="0"/>
      <w:divBdr>
        <w:top w:val="none" w:sz="0" w:space="0" w:color="auto"/>
        <w:left w:val="none" w:sz="0" w:space="0" w:color="auto"/>
        <w:bottom w:val="none" w:sz="0" w:space="0" w:color="auto"/>
        <w:right w:val="none" w:sz="0" w:space="0" w:color="auto"/>
      </w:divBdr>
    </w:div>
    <w:div w:id="1317613595">
      <w:bodyDiv w:val="1"/>
      <w:marLeft w:val="0"/>
      <w:marRight w:val="0"/>
      <w:marTop w:val="0"/>
      <w:marBottom w:val="0"/>
      <w:divBdr>
        <w:top w:val="none" w:sz="0" w:space="0" w:color="auto"/>
        <w:left w:val="none" w:sz="0" w:space="0" w:color="auto"/>
        <w:bottom w:val="none" w:sz="0" w:space="0" w:color="auto"/>
        <w:right w:val="none" w:sz="0" w:space="0" w:color="auto"/>
      </w:divBdr>
    </w:div>
    <w:div w:id="1332756299">
      <w:bodyDiv w:val="1"/>
      <w:marLeft w:val="0"/>
      <w:marRight w:val="0"/>
      <w:marTop w:val="0"/>
      <w:marBottom w:val="0"/>
      <w:divBdr>
        <w:top w:val="none" w:sz="0" w:space="0" w:color="auto"/>
        <w:left w:val="none" w:sz="0" w:space="0" w:color="auto"/>
        <w:bottom w:val="none" w:sz="0" w:space="0" w:color="auto"/>
        <w:right w:val="none" w:sz="0" w:space="0" w:color="auto"/>
      </w:divBdr>
    </w:div>
    <w:div w:id="1354039974">
      <w:bodyDiv w:val="1"/>
      <w:marLeft w:val="0"/>
      <w:marRight w:val="0"/>
      <w:marTop w:val="0"/>
      <w:marBottom w:val="0"/>
      <w:divBdr>
        <w:top w:val="none" w:sz="0" w:space="0" w:color="auto"/>
        <w:left w:val="none" w:sz="0" w:space="0" w:color="auto"/>
        <w:bottom w:val="none" w:sz="0" w:space="0" w:color="auto"/>
        <w:right w:val="none" w:sz="0" w:space="0" w:color="auto"/>
      </w:divBdr>
    </w:div>
    <w:div w:id="1355039385">
      <w:bodyDiv w:val="1"/>
      <w:marLeft w:val="0"/>
      <w:marRight w:val="0"/>
      <w:marTop w:val="0"/>
      <w:marBottom w:val="0"/>
      <w:divBdr>
        <w:top w:val="none" w:sz="0" w:space="0" w:color="auto"/>
        <w:left w:val="none" w:sz="0" w:space="0" w:color="auto"/>
        <w:bottom w:val="none" w:sz="0" w:space="0" w:color="auto"/>
        <w:right w:val="none" w:sz="0" w:space="0" w:color="auto"/>
      </w:divBdr>
    </w:div>
    <w:div w:id="1356075262">
      <w:bodyDiv w:val="1"/>
      <w:marLeft w:val="0"/>
      <w:marRight w:val="0"/>
      <w:marTop w:val="0"/>
      <w:marBottom w:val="0"/>
      <w:divBdr>
        <w:top w:val="none" w:sz="0" w:space="0" w:color="auto"/>
        <w:left w:val="none" w:sz="0" w:space="0" w:color="auto"/>
        <w:bottom w:val="none" w:sz="0" w:space="0" w:color="auto"/>
        <w:right w:val="none" w:sz="0" w:space="0" w:color="auto"/>
      </w:divBdr>
    </w:div>
    <w:div w:id="1362244279">
      <w:bodyDiv w:val="1"/>
      <w:marLeft w:val="0"/>
      <w:marRight w:val="0"/>
      <w:marTop w:val="0"/>
      <w:marBottom w:val="0"/>
      <w:divBdr>
        <w:top w:val="none" w:sz="0" w:space="0" w:color="auto"/>
        <w:left w:val="none" w:sz="0" w:space="0" w:color="auto"/>
        <w:bottom w:val="none" w:sz="0" w:space="0" w:color="auto"/>
        <w:right w:val="none" w:sz="0" w:space="0" w:color="auto"/>
      </w:divBdr>
    </w:div>
    <w:div w:id="1366710611">
      <w:bodyDiv w:val="1"/>
      <w:marLeft w:val="0"/>
      <w:marRight w:val="0"/>
      <w:marTop w:val="0"/>
      <w:marBottom w:val="0"/>
      <w:divBdr>
        <w:top w:val="none" w:sz="0" w:space="0" w:color="auto"/>
        <w:left w:val="none" w:sz="0" w:space="0" w:color="auto"/>
        <w:bottom w:val="none" w:sz="0" w:space="0" w:color="auto"/>
        <w:right w:val="none" w:sz="0" w:space="0" w:color="auto"/>
      </w:divBdr>
    </w:div>
    <w:div w:id="1394817738">
      <w:bodyDiv w:val="1"/>
      <w:marLeft w:val="0"/>
      <w:marRight w:val="0"/>
      <w:marTop w:val="0"/>
      <w:marBottom w:val="0"/>
      <w:divBdr>
        <w:top w:val="none" w:sz="0" w:space="0" w:color="auto"/>
        <w:left w:val="none" w:sz="0" w:space="0" w:color="auto"/>
        <w:bottom w:val="none" w:sz="0" w:space="0" w:color="auto"/>
        <w:right w:val="none" w:sz="0" w:space="0" w:color="auto"/>
      </w:divBdr>
    </w:div>
    <w:div w:id="1405562625">
      <w:bodyDiv w:val="1"/>
      <w:marLeft w:val="0"/>
      <w:marRight w:val="0"/>
      <w:marTop w:val="0"/>
      <w:marBottom w:val="0"/>
      <w:divBdr>
        <w:top w:val="none" w:sz="0" w:space="0" w:color="auto"/>
        <w:left w:val="none" w:sz="0" w:space="0" w:color="auto"/>
        <w:bottom w:val="none" w:sz="0" w:space="0" w:color="auto"/>
        <w:right w:val="none" w:sz="0" w:space="0" w:color="auto"/>
      </w:divBdr>
    </w:div>
    <w:div w:id="1422723876">
      <w:bodyDiv w:val="1"/>
      <w:marLeft w:val="0"/>
      <w:marRight w:val="0"/>
      <w:marTop w:val="0"/>
      <w:marBottom w:val="0"/>
      <w:divBdr>
        <w:top w:val="none" w:sz="0" w:space="0" w:color="auto"/>
        <w:left w:val="none" w:sz="0" w:space="0" w:color="auto"/>
        <w:bottom w:val="none" w:sz="0" w:space="0" w:color="auto"/>
        <w:right w:val="none" w:sz="0" w:space="0" w:color="auto"/>
      </w:divBdr>
    </w:div>
    <w:div w:id="1446197612">
      <w:bodyDiv w:val="1"/>
      <w:marLeft w:val="0"/>
      <w:marRight w:val="0"/>
      <w:marTop w:val="0"/>
      <w:marBottom w:val="0"/>
      <w:divBdr>
        <w:top w:val="none" w:sz="0" w:space="0" w:color="auto"/>
        <w:left w:val="none" w:sz="0" w:space="0" w:color="auto"/>
        <w:bottom w:val="none" w:sz="0" w:space="0" w:color="auto"/>
        <w:right w:val="none" w:sz="0" w:space="0" w:color="auto"/>
      </w:divBdr>
    </w:div>
    <w:div w:id="1470509797">
      <w:bodyDiv w:val="1"/>
      <w:marLeft w:val="0"/>
      <w:marRight w:val="0"/>
      <w:marTop w:val="0"/>
      <w:marBottom w:val="0"/>
      <w:divBdr>
        <w:top w:val="none" w:sz="0" w:space="0" w:color="auto"/>
        <w:left w:val="none" w:sz="0" w:space="0" w:color="auto"/>
        <w:bottom w:val="none" w:sz="0" w:space="0" w:color="auto"/>
        <w:right w:val="none" w:sz="0" w:space="0" w:color="auto"/>
      </w:divBdr>
    </w:div>
    <w:div w:id="1491096867">
      <w:bodyDiv w:val="1"/>
      <w:marLeft w:val="0"/>
      <w:marRight w:val="0"/>
      <w:marTop w:val="0"/>
      <w:marBottom w:val="0"/>
      <w:divBdr>
        <w:top w:val="none" w:sz="0" w:space="0" w:color="auto"/>
        <w:left w:val="none" w:sz="0" w:space="0" w:color="auto"/>
        <w:bottom w:val="none" w:sz="0" w:space="0" w:color="auto"/>
        <w:right w:val="none" w:sz="0" w:space="0" w:color="auto"/>
      </w:divBdr>
    </w:div>
    <w:div w:id="1512066617">
      <w:bodyDiv w:val="1"/>
      <w:marLeft w:val="0"/>
      <w:marRight w:val="0"/>
      <w:marTop w:val="0"/>
      <w:marBottom w:val="0"/>
      <w:divBdr>
        <w:top w:val="none" w:sz="0" w:space="0" w:color="auto"/>
        <w:left w:val="none" w:sz="0" w:space="0" w:color="auto"/>
        <w:bottom w:val="none" w:sz="0" w:space="0" w:color="auto"/>
        <w:right w:val="none" w:sz="0" w:space="0" w:color="auto"/>
      </w:divBdr>
    </w:div>
    <w:div w:id="1531600581">
      <w:bodyDiv w:val="1"/>
      <w:marLeft w:val="0"/>
      <w:marRight w:val="0"/>
      <w:marTop w:val="0"/>
      <w:marBottom w:val="0"/>
      <w:divBdr>
        <w:top w:val="none" w:sz="0" w:space="0" w:color="auto"/>
        <w:left w:val="none" w:sz="0" w:space="0" w:color="auto"/>
        <w:bottom w:val="none" w:sz="0" w:space="0" w:color="auto"/>
        <w:right w:val="none" w:sz="0" w:space="0" w:color="auto"/>
      </w:divBdr>
    </w:div>
    <w:div w:id="1533614085">
      <w:bodyDiv w:val="1"/>
      <w:marLeft w:val="0"/>
      <w:marRight w:val="0"/>
      <w:marTop w:val="0"/>
      <w:marBottom w:val="0"/>
      <w:divBdr>
        <w:top w:val="none" w:sz="0" w:space="0" w:color="auto"/>
        <w:left w:val="none" w:sz="0" w:space="0" w:color="auto"/>
        <w:bottom w:val="none" w:sz="0" w:space="0" w:color="auto"/>
        <w:right w:val="none" w:sz="0" w:space="0" w:color="auto"/>
      </w:divBdr>
    </w:div>
    <w:div w:id="1534535151">
      <w:bodyDiv w:val="1"/>
      <w:marLeft w:val="0"/>
      <w:marRight w:val="0"/>
      <w:marTop w:val="0"/>
      <w:marBottom w:val="0"/>
      <w:divBdr>
        <w:top w:val="none" w:sz="0" w:space="0" w:color="auto"/>
        <w:left w:val="none" w:sz="0" w:space="0" w:color="auto"/>
        <w:bottom w:val="none" w:sz="0" w:space="0" w:color="auto"/>
        <w:right w:val="none" w:sz="0" w:space="0" w:color="auto"/>
      </w:divBdr>
    </w:div>
    <w:div w:id="1540168377">
      <w:bodyDiv w:val="1"/>
      <w:marLeft w:val="0"/>
      <w:marRight w:val="0"/>
      <w:marTop w:val="0"/>
      <w:marBottom w:val="0"/>
      <w:divBdr>
        <w:top w:val="none" w:sz="0" w:space="0" w:color="auto"/>
        <w:left w:val="none" w:sz="0" w:space="0" w:color="auto"/>
        <w:bottom w:val="none" w:sz="0" w:space="0" w:color="auto"/>
        <w:right w:val="none" w:sz="0" w:space="0" w:color="auto"/>
      </w:divBdr>
    </w:div>
    <w:div w:id="1551722194">
      <w:bodyDiv w:val="1"/>
      <w:marLeft w:val="0"/>
      <w:marRight w:val="0"/>
      <w:marTop w:val="0"/>
      <w:marBottom w:val="0"/>
      <w:divBdr>
        <w:top w:val="none" w:sz="0" w:space="0" w:color="auto"/>
        <w:left w:val="none" w:sz="0" w:space="0" w:color="auto"/>
        <w:bottom w:val="none" w:sz="0" w:space="0" w:color="auto"/>
        <w:right w:val="none" w:sz="0" w:space="0" w:color="auto"/>
      </w:divBdr>
    </w:div>
    <w:div w:id="1570773674">
      <w:bodyDiv w:val="1"/>
      <w:marLeft w:val="0"/>
      <w:marRight w:val="0"/>
      <w:marTop w:val="0"/>
      <w:marBottom w:val="0"/>
      <w:divBdr>
        <w:top w:val="none" w:sz="0" w:space="0" w:color="auto"/>
        <w:left w:val="none" w:sz="0" w:space="0" w:color="auto"/>
        <w:bottom w:val="none" w:sz="0" w:space="0" w:color="auto"/>
        <w:right w:val="none" w:sz="0" w:space="0" w:color="auto"/>
      </w:divBdr>
    </w:div>
    <w:div w:id="1594513817">
      <w:bodyDiv w:val="1"/>
      <w:marLeft w:val="0"/>
      <w:marRight w:val="0"/>
      <w:marTop w:val="0"/>
      <w:marBottom w:val="0"/>
      <w:divBdr>
        <w:top w:val="none" w:sz="0" w:space="0" w:color="auto"/>
        <w:left w:val="none" w:sz="0" w:space="0" w:color="auto"/>
        <w:bottom w:val="none" w:sz="0" w:space="0" w:color="auto"/>
        <w:right w:val="none" w:sz="0" w:space="0" w:color="auto"/>
      </w:divBdr>
      <w:divsChild>
        <w:div w:id="1166432448">
          <w:marLeft w:val="0"/>
          <w:marRight w:val="0"/>
          <w:marTop w:val="0"/>
          <w:marBottom w:val="0"/>
          <w:divBdr>
            <w:top w:val="none" w:sz="0" w:space="0" w:color="auto"/>
            <w:left w:val="none" w:sz="0" w:space="0" w:color="auto"/>
            <w:bottom w:val="none" w:sz="0" w:space="0" w:color="auto"/>
            <w:right w:val="none" w:sz="0" w:space="0" w:color="auto"/>
          </w:divBdr>
          <w:divsChild>
            <w:div w:id="1368994137">
              <w:marLeft w:val="0"/>
              <w:marRight w:val="0"/>
              <w:marTop w:val="0"/>
              <w:marBottom w:val="0"/>
              <w:divBdr>
                <w:top w:val="none" w:sz="0" w:space="0" w:color="auto"/>
                <w:left w:val="none" w:sz="0" w:space="0" w:color="auto"/>
                <w:bottom w:val="none" w:sz="0" w:space="0" w:color="auto"/>
                <w:right w:val="none" w:sz="0" w:space="0" w:color="auto"/>
              </w:divBdr>
              <w:divsChild>
                <w:div w:id="574436861">
                  <w:marLeft w:val="0"/>
                  <w:marRight w:val="0"/>
                  <w:marTop w:val="0"/>
                  <w:marBottom w:val="0"/>
                  <w:divBdr>
                    <w:top w:val="none" w:sz="0" w:space="0" w:color="auto"/>
                    <w:left w:val="none" w:sz="0" w:space="0" w:color="auto"/>
                    <w:bottom w:val="none" w:sz="0" w:space="0" w:color="auto"/>
                    <w:right w:val="none" w:sz="0" w:space="0" w:color="auto"/>
                  </w:divBdr>
                  <w:divsChild>
                    <w:div w:id="477768294">
                      <w:marLeft w:val="0"/>
                      <w:marRight w:val="0"/>
                      <w:marTop w:val="0"/>
                      <w:marBottom w:val="0"/>
                      <w:divBdr>
                        <w:top w:val="none" w:sz="0" w:space="0" w:color="auto"/>
                        <w:left w:val="none" w:sz="0" w:space="0" w:color="auto"/>
                        <w:bottom w:val="none" w:sz="0" w:space="0" w:color="auto"/>
                        <w:right w:val="none" w:sz="0" w:space="0" w:color="auto"/>
                      </w:divBdr>
                      <w:divsChild>
                        <w:div w:id="944654151">
                          <w:marLeft w:val="0"/>
                          <w:marRight w:val="0"/>
                          <w:marTop w:val="0"/>
                          <w:marBottom w:val="0"/>
                          <w:divBdr>
                            <w:top w:val="none" w:sz="0" w:space="0" w:color="auto"/>
                            <w:left w:val="none" w:sz="0" w:space="0" w:color="auto"/>
                            <w:bottom w:val="none" w:sz="0" w:space="0" w:color="auto"/>
                            <w:right w:val="none" w:sz="0" w:space="0" w:color="auto"/>
                          </w:divBdr>
                          <w:divsChild>
                            <w:div w:id="1123813738">
                              <w:marLeft w:val="0"/>
                              <w:marRight w:val="0"/>
                              <w:marTop w:val="0"/>
                              <w:marBottom w:val="0"/>
                              <w:divBdr>
                                <w:top w:val="none" w:sz="0" w:space="0" w:color="auto"/>
                                <w:left w:val="none" w:sz="0" w:space="0" w:color="auto"/>
                                <w:bottom w:val="none" w:sz="0" w:space="0" w:color="auto"/>
                                <w:right w:val="none" w:sz="0" w:space="0" w:color="auto"/>
                              </w:divBdr>
                              <w:divsChild>
                                <w:div w:id="1323193081">
                                  <w:marLeft w:val="0"/>
                                  <w:marRight w:val="0"/>
                                  <w:marTop w:val="0"/>
                                  <w:marBottom w:val="0"/>
                                  <w:divBdr>
                                    <w:top w:val="none" w:sz="0" w:space="0" w:color="auto"/>
                                    <w:left w:val="none" w:sz="0" w:space="0" w:color="auto"/>
                                    <w:bottom w:val="none" w:sz="0" w:space="0" w:color="auto"/>
                                    <w:right w:val="none" w:sz="0" w:space="0" w:color="auto"/>
                                  </w:divBdr>
                                  <w:divsChild>
                                    <w:div w:id="32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9665">
      <w:bodyDiv w:val="1"/>
      <w:marLeft w:val="0"/>
      <w:marRight w:val="0"/>
      <w:marTop w:val="0"/>
      <w:marBottom w:val="0"/>
      <w:divBdr>
        <w:top w:val="none" w:sz="0" w:space="0" w:color="auto"/>
        <w:left w:val="none" w:sz="0" w:space="0" w:color="auto"/>
        <w:bottom w:val="none" w:sz="0" w:space="0" w:color="auto"/>
        <w:right w:val="none" w:sz="0" w:space="0" w:color="auto"/>
      </w:divBdr>
    </w:div>
    <w:div w:id="1602831445">
      <w:bodyDiv w:val="1"/>
      <w:marLeft w:val="0"/>
      <w:marRight w:val="0"/>
      <w:marTop w:val="0"/>
      <w:marBottom w:val="0"/>
      <w:divBdr>
        <w:top w:val="none" w:sz="0" w:space="0" w:color="auto"/>
        <w:left w:val="none" w:sz="0" w:space="0" w:color="auto"/>
        <w:bottom w:val="none" w:sz="0" w:space="0" w:color="auto"/>
        <w:right w:val="none" w:sz="0" w:space="0" w:color="auto"/>
      </w:divBdr>
    </w:div>
    <w:div w:id="1624575874">
      <w:bodyDiv w:val="1"/>
      <w:marLeft w:val="0"/>
      <w:marRight w:val="0"/>
      <w:marTop w:val="0"/>
      <w:marBottom w:val="0"/>
      <w:divBdr>
        <w:top w:val="none" w:sz="0" w:space="0" w:color="auto"/>
        <w:left w:val="none" w:sz="0" w:space="0" w:color="auto"/>
        <w:bottom w:val="none" w:sz="0" w:space="0" w:color="auto"/>
        <w:right w:val="none" w:sz="0" w:space="0" w:color="auto"/>
      </w:divBdr>
    </w:div>
    <w:div w:id="1626428244">
      <w:bodyDiv w:val="1"/>
      <w:marLeft w:val="0"/>
      <w:marRight w:val="0"/>
      <w:marTop w:val="0"/>
      <w:marBottom w:val="0"/>
      <w:divBdr>
        <w:top w:val="none" w:sz="0" w:space="0" w:color="auto"/>
        <w:left w:val="none" w:sz="0" w:space="0" w:color="auto"/>
        <w:bottom w:val="none" w:sz="0" w:space="0" w:color="auto"/>
        <w:right w:val="none" w:sz="0" w:space="0" w:color="auto"/>
      </w:divBdr>
    </w:div>
    <w:div w:id="1670257710">
      <w:bodyDiv w:val="1"/>
      <w:marLeft w:val="0"/>
      <w:marRight w:val="0"/>
      <w:marTop w:val="0"/>
      <w:marBottom w:val="0"/>
      <w:divBdr>
        <w:top w:val="none" w:sz="0" w:space="0" w:color="auto"/>
        <w:left w:val="none" w:sz="0" w:space="0" w:color="auto"/>
        <w:bottom w:val="none" w:sz="0" w:space="0" w:color="auto"/>
        <w:right w:val="none" w:sz="0" w:space="0" w:color="auto"/>
      </w:divBdr>
    </w:div>
    <w:div w:id="1680815142">
      <w:bodyDiv w:val="1"/>
      <w:marLeft w:val="0"/>
      <w:marRight w:val="0"/>
      <w:marTop w:val="0"/>
      <w:marBottom w:val="0"/>
      <w:divBdr>
        <w:top w:val="none" w:sz="0" w:space="0" w:color="auto"/>
        <w:left w:val="none" w:sz="0" w:space="0" w:color="auto"/>
        <w:bottom w:val="none" w:sz="0" w:space="0" w:color="auto"/>
        <w:right w:val="none" w:sz="0" w:space="0" w:color="auto"/>
      </w:divBdr>
    </w:div>
    <w:div w:id="1690832703">
      <w:bodyDiv w:val="1"/>
      <w:marLeft w:val="0"/>
      <w:marRight w:val="0"/>
      <w:marTop w:val="0"/>
      <w:marBottom w:val="0"/>
      <w:divBdr>
        <w:top w:val="none" w:sz="0" w:space="0" w:color="auto"/>
        <w:left w:val="none" w:sz="0" w:space="0" w:color="auto"/>
        <w:bottom w:val="none" w:sz="0" w:space="0" w:color="auto"/>
        <w:right w:val="none" w:sz="0" w:space="0" w:color="auto"/>
      </w:divBdr>
    </w:div>
    <w:div w:id="1725173312">
      <w:bodyDiv w:val="1"/>
      <w:marLeft w:val="0"/>
      <w:marRight w:val="0"/>
      <w:marTop w:val="0"/>
      <w:marBottom w:val="0"/>
      <w:divBdr>
        <w:top w:val="none" w:sz="0" w:space="0" w:color="auto"/>
        <w:left w:val="none" w:sz="0" w:space="0" w:color="auto"/>
        <w:bottom w:val="none" w:sz="0" w:space="0" w:color="auto"/>
        <w:right w:val="none" w:sz="0" w:space="0" w:color="auto"/>
      </w:divBdr>
    </w:div>
    <w:div w:id="1727994082">
      <w:bodyDiv w:val="1"/>
      <w:marLeft w:val="0"/>
      <w:marRight w:val="0"/>
      <w:marTop w:val="0"/>
      <w:marBottom w:val="0"/>
      <w:divBdr>
        <w:top w:val="none" w:sz="0" w:space="0" w:color="auto"/>
        <w:left w:val="none" w:sz="0" w:space="0" w:color="auto"/>
        <w:bottom w:val="none" w:sz="0" w:space="0" w:color="auto"/>
        <w:right w:val="none" w:sz="0" w:space="0" w:color="auto"/>
      </w:divBdr>
    </w:div>
    <w:div w:id="1747871660">
      <w:bodyDiv w:val="1"/>
      <w:marLeft w:val="0"/>
      <w:marRight w:val="0"/>
      <w:marTop w:val="0"/>
      <w:marBottom w:val="0"/>
      <w:divBdr>
        <w:top w:val="none" w:sz="0" w:space="0" w:color="auto"/>
        <w:left w:val="none" w:sz="0" w:space="0" w:color="auto"/>
        <w:bottom w:val="none" w:sz="0" w:space="0" w:color="auto"/>
        <w:right w:val="none" w:sz="0" w:space="0" w:color="auto"/>
      </w:divBdr>
    </w:div>
    <w:div w:id="1748962890">
      <w:bodyDiv w:val="1"/>
      <w:marLeft w:val="0"/>
      <w:marRight w:val="0"/>
      <w:marTop w:val="0"/>
      <w:marBottom w:val="0"/>
      <w:divBdr>
        <w:top w:val="none" w:sz="0" w:space="0" w:color="auto"/>
        <w:left w:val="none" w:sz="0" w:space="0" w:color="auto"/>
        <w:bottom w:val="none" w:sz="0" w:space="0" w:color="auto"/>
        <w:right w:val="none" w:sz="0" w:space="0" w:color="auto"/>
      </w:divBdr>
      <w:divsChild>
        <w:div w:id="1777481858">
          <w:marLeft w:val="547"/>
          <w:marRight w:val="0"/>
          <w:marTop w:val="115"/>
          <w:marBottom w:val="0"/>
          <w:divBdr>
            <w:top w:val="none" w:sz="0" w:space="0" w:color="auto"/>
            <w:left w:val="none" w:sz="0" w:space="0" w:color="auto"/>
            <w:bottom w:val="none" w:sz="0" w:space="0" w:color="auto"/>
            <w:right w:val="none" w:sz="0" w:space="0" w:color="auto"/>
          </w:divBdr>
        </w:div>
      </w:divsChild>
    </w:div>
    <w:div w:id="1765296286">
      <w:bodyDiv w:val="1"/>
      <w:marLeft w:val="0"/>
      <w:marRight w:val="0"/>
      <w:marTop w:val="0"/>
      <w:marBottom w:val="0"/>
      <w:divBdr>
        <w:top w:val="none" w:sz="0" w:space="0" w:color="auto"/>
        <w:left w:val="none" w:sz="0" w:space="0" w:color="auto"/>
        <w:bottom w:val="none" w:sz="0" w:space="0" w:color="auto"/>
        <w:right w:val="none" w:sz="0" w:space="0" w:color="auto"/>
      </w:divBdr>
    </w:div>
    <w:div w:id="1782259581">
      <w:bodyDiv w:val="1"/>
      <w:marLeft w:val="0"/>
      <w:marRight w:val="0"/>
      <w:marTop w:val="0"/>
      <w:marBottom w:val="0"/>
      <w:divBdr>
        <w:top w:val="none" w:sz="0" w:space="0" w:color="auto"/>
        <w:left w:val="none" w:sz="0" w:space="0" w:color="auto"/>
        <w:bottom w:val="none" w:sz="0" w:space="0" w:color="auto"/>
        <w:right w:val="none" w:sz="0" w:space="0" w:color="auto"/>
      </w:divBdr>
    </w:div>
    <w:div w:id="1788620992">
      <w:bodyDiv w:val="1"/>
      <w:marLeft w:val="0"/>
      <w:marRight w:val="0"/>
      <w:marTop w:val="0"/>
      <w:marBottom w:val="0"/>
      <w:divBdr>
        <w:top w:val="none" w:sz="0" w:space="0" w:color="auto"/>
        <w:left w:val="none" w:sz="0" w:space="0" w:color="auto"/>
        <w:bottom w:val="none" w:sz="0" w:space="0" w:color="auto"/>
        <w:right w:val="none" w:sz="0" w:space="0" w:color="auto"/>
      </w:divBdr>
    </w:div>
    <w:div w:id="1788812556">
      <w:bodyDiv w:val="1"/>
      <w:marLeft w:val="0"/>
      <w:marRight w:val="0"/>
      <w:marTop w:val="0"/>
      <w:marBottom w:val="0"/>
      <w:divBdr>
        <w:top w:val="none" w:sz="0" w:space="0" w:color="auto"/>
        <w:left w:val="none" w:sz="0" w:space="0" w:color="auto"/>
        <w:bottom w:val="none" w:sz="0" w:space="0" w:color="auto"/>
        <w:right w:val="none" w:sz="0" w:space="0" w:color="auto"/>
      </w:divBdr>
    </w:div>
    <w:div w:id="1817142675">
      <w:bodyDiv w:val="1"/>
      <w:marLeft w:val="0"/>
      <w:marRight w:val="0"/>
      <w:marTop w:val="0"/>
      <w:marBottom w:val="0"/>
      <w:divBdr>
        <w:top w:val="none" w:sz="0" w:space="0" w:color="auto"/>
        <w:left w:val="none" w:sz="0" w:space="0" w:color="auto"/>
        <w:bottom w:val="none" w:sz="0" w:space="0" w:color="auto"/>
        <w:right w:val="none" w:sz="0" w:space="0" w:color="auto"/>
      </w:divBdr>
    </w:div>
    <w:div w:id="1836413441">
      <w:bodyDiv w:val="1"/>
      <w:marLeft w:val="0"/>
      <w:marRight w:val="0"/>
      <w:marTop w:val="0"/>
      <w:marBottom w:val="0"/>
      <w:divBdr>
        <w:top w:val="none" w:sz="0" w:space="0" w:color="auto"/>
        <w:left w:val="none" w:sz="0" w:space="0" w:color="auto"/>
        <w:bottom w:val="none" w:sz="0" w:space="0" w:color="auto"/>
        <w:right w:val="none" w:sz="0" w:space="0" w:color="auto"/>
      </w:divBdr>
    </w:div>
    <w:div w:id="1861044541">
      <w:bodyDiv w:val="1"/>
      <w:marLeft w:val="0"/>
      <w:marRight w:val="0"/>
      <w:marTop w:val="0"/>
      <w:marBottom w:val="0"/>
      <w:divBdr>
        <w:top w:val="none" w:sz="0" w:space="0" w:color="auto"/>
        <w:left w:val="none" w:sz="0" w:space="0" w:color="auto"/>
        <w:bottom w:val="none" w:sz="0" w:space="0" w:color="auto"/>
        <w:right w:val="none" w:sz="0" w:space="0" w:color="auto"/>
      </w:divBdr>
    </w:div>
    <w:div w:id="1866597574">
      <w:bodyDiv w:val="1"/>
      <w:marLeft w:val="0"/>
      <w:marRight w:val="0"/>
      <w:marTop w:val="0"/>
      <w:marBottom w:val="0"/>
      <w:divBdr>
        <w:top w:val="none" w:sz="0" w:space="0" w:color="auto"/>
        <w:left w:val="none" w:sz="0" w:space="0" w:color="auto"/>
        <w:bottom w:val="none" w:sz="0" w:space="0" w:color="auto"/>
        <w:right w:val="none" w:sz="0" w:space="0" w:color="auto"/>
      </w:divBdr>
    </w:div>
    <w:div w:id="1874079147">
      <w:bodyDiv w:val="1"/>
      <w:marLeft w:val="0"/>
      <w:marRight w:val="0"/>
      <w:marTop w:val="0"/>
      <w:marBottom w:val="0"/>
      <w:divBdr>
        <w:top w:val="none" w:sz="0" w:space="0" w:color="auto"/>
        <w:left w:val="none" w:sz="0" w:space="0" w:color="auto"/>
        <w:bottom w:val="none" w:sz="0" w:space="0" w:color="auto"/>
        <w:right w:val="none" w:sz="0" w:space="0" w:color="auto"/>
      </w:divBdr>
    </w:div>
    <w:div w:id="1878656803">
      <w:bodyDiv w:val="1"/>
      <w:marLeft w:val="0"/>
      <w:marRight w:val="0"/>
      <w:marTop w:val="0"/>
      <w:marBottom w:val="0"/>
      <w:divBdr>
        <w:top w:val="none" w:sz="0" w:space="0" w:color="auto"/>
        <w:left w:val="none" w:sz="0" w:space="0" w:color="auto"/>
        <w:bottom w:val="none" w:sz="0" w:space="0" w:color="auto"/>
        <w:right w:val="none" w:sz="0" w:space="0" w:color="auto"/>
      </w:divBdr>
    </w:div>
    <w:div w:id="1882474841">
      <w:bodyDiv w:val="1"/>
      <w:marLeft w:val="0"/>
      <w:marRight w:val="0"/>
      <w:marTop w:val="0"/>
      <w:marBottom w:val="0"/>
      <w:divBdr>
        <w:top w:val="none" w:sz="0" w:space="0" w:color="auto"/>
        <w:left w:val="none" w:sz="0" w:space="0" w:color="auto"/>
        <w:bottom w:val="none" w:sz="0" w:space="0" w:color="auto"/>
        <w:right w:val="none" w:sz="0" w:space="0" w:color="auto"/>
      </w:divBdr>
    </w:div>
    <w:div w:id="1885630103">
      <w:bodyDiv w:val="1"/>
      <w:marLeft w:val="0"/>
      <w:marRight w:val="0"/>
      <w:marTop w:val="0"/>
      <w:marBottom w:val="0"/>
      <w:divBdr>
        <w:top w:val="none" w:sz="0" w:space="0" w:color="auto"/>
        <w:left w:val="none" w:sz="0" w:space="0" w:color="auto"/>
        <w:bottom w:val="none" w:sz="0" w:space="0" w:color="auto"/>
        <w:right w:val="none" w:sz="0" w:space="0" w:color="auto"/>
      </w:divBdr>
    </w:div>
    <w:div w:id="1898322696">
      <w:bodyDiv w:val="1"/>
      <w:marLeft w:val="0"/>
      <w:marRight w:val="0"/>
      <w:marTop w:val="0"/>
      <w:marBottom w:val="0"/>
      <w:divBdr>
        <w:top w:val="none" w:sz="0" w:space="0" w:color="auto"/>
        <w:left w:val="none" w:sz="0" w:space="0" w:color="auto"/>
        <w:bottom w:val="none" w:sz="0" w:space="0" w:color="auto"/>
        <w:right w:val="none" w:sz="0" w:space="0" w:color="auto"/>
      </w:divBdr>
    </w:div>
    <w:div w:id="1907059511">
      <w:bodyDiv w:val="1"/>
      <w:marLeft w:val="0"/>
      <w:marRight w:val="0"/>
      <w:marTop w:val="0"/>
      <w:marBottom w:val="0"/>
      <w:divBdr>
        <w:top w:val="none" w:sz="0" w:space="0" w:color="auto"/>
        <w:left w:val="none" w:sz="0" w:space="0" w:color="auto"/>
        <w:bottom w:val="none" w:sz="0" w:space="0" w:color="auto"/>
        <w:right w:val="none" w:sz="0" w:space="0" w:color="auto"/>
      </w:divBdr>
    </w:div>
    <w:div w:id="1908802555">
      <w:bodyDiv w:val="1"/>
      <w:marLeft w:val="0"/>
      <w:marRight w:val="0"/>
      <w:marTop w:val="0"/>
      <w:marBottom w:val="0"/>
      <w:divBdr>
        <w:top w:val="none" w:sz="0" w:space="0" w:color="auto"/>
        <w:left w:val="none" w:sz="0" w:space="0" w:color="auto"/>
        <w:bottom w:val="none" w:sz="0" w:space="0" w:color="auto"/>
        <w:right w:val="none" w:sz="0" w:space="0" w:color="auto"/>
      </w:divBdr>
    </w:div>
    <w:div w:id="1935429646">
      <w:bodyDiv w:val="1"/>
      <w:marLeft w:val="0"/>
      <w:marRight w:val="0"/>
      <w:marTop w:val="0"/>
      <w:marBottom w:val="0"/>
      <w:divBdr>
        <w:top w:val="none" w:sz="0" w:space="0" w:color="auto"/>
        <w:left w:val="none" w:sz="0" w:space="0" w:color="auto"/>
        <w:bottom w:val="none" w:sz="0" w:space="0" w:color="auto"/>
        <w:right w:val="none" w:sz="0" w:space="0" w:color="auto"/>
      </w:divBdr>
    </w:div>
    <w:div w:id="2029868814">
      <w:bodyDiv w:val="1"/>
      <w:marLeft w:val="0"/>
      <w:marRight w:val="0"/>
      <w:marTop w:val="0"/>
      <w:marBottom w:val="0"/>
      <w:divBdr>
        <w:top w:val="none" w:sz="0" w:space="0" w:color="auto"/>
        <w:left w:val="none" w:sz="0" w:space="0" w:color="auto"/>
        <w:bottom w:val="none" w:sz="0" w:space="0" w:color="auto"/>
        <w:right w:val="none" w:sz="0" w:space="0" w:color="auto"/>
      </w:divBdr>
    </w:div>
    <w:div w:id="2041927935">
      <w:bodyDiv w:val="1"/>
      <w:marLeft w:val="0"/>
      <w:marRight w:val="0"/>
      <w:marTop w:val="0"/>
      <w:marBottom w:val="0"/>
      <w:divBdr>
        <w:top w:val="none" w:sz="0" w:space="0" w:color="auto"/>
        <w:left w:val="none" w:sz="0" w:space="0" w:color="auto"/>
        <w:bottom w:val="none" w:sz="0" w:space="0" w:color="auto"/>
        <w:right w:val="none" w:sz="0" w:space="0" w:color="auto"/>
      </w:divBdr>
    </w:div>
    <w:div w:id="2054846668">
      <w:bodyDiv w:val="1"/>
      <w:marLeft w:val="0"/>
      <w:marRight w:val="0"/>
      <w:marTop w:val="0"/>
      <w:marBottom w:val="0"/>
      <w:divBdr>
        <w:top w:val="none" w:sz="0" w:space="0" w:color="auto"/>
        <w:left w:val="none" w:sz="0" w:space="0" w:color="auto"/>
        <w:bottom w:val="none" w:sz="0" w:space="0" w:color="auto"/>
        <w:right w:val="none" w:sz="0" w:space="0" w:color="auto"/>
      </w:divBdr>
    </w:div>
    <w:div w:id="2090615446">
      <w:bodyDiv w:val="1"/>
      <w:marLeft w:val="0"/>
      <w:marRight w:val="0"/>
      <w:marTop w:val="0"/>
      <w:marBottom w:val="0"/>
      <w:divBdr>
        <w:top w:val="none" w:sz="0" w:space="0" w:color="auto"/>
        <w:left w:val="none" w:sz="0" w:space="0" w:color="auto"/>
        <w:bottom w:val="none" w:sz="0" w:space="0" w:color="auto"/>
        <w:right w:val="none" w:sz="0" w:space="0" w:color="auto"/>
      </w:divBdr>
    </w:div>
    <w:div w:id="2115709192">
      <w:bodyDiv w:val="1"/>
      <w:marLeft w:val="0"/>
      <w:marRight w:val="0"/>
      <w:marTop w:val="0"/>
      <w:marBottom w:val="0"/>
      <w:divBdr>
        <w:top w:val="none" w:sz="0" w:space="0" w:color="auto"/>
        <w:left w:val="none" w:sz="0" w:space="0" w:color="auto"/>
        <w:bottom w:val="none" w:sz="0" w:space="0" w:color="auto"/>
        <w:right w:val="none" w:sz="0" w:space="0" w:color="auto"/>
      </w:divBdr>
    </w:div>
    <w:div w:id="2124349474">
      <w:bodyDiv w:val="1"/>
      <w:marLeft w:val="0"/>
      <w:marRight w:val="0"/>
      <w:marTop w:val="0"/>
      <w:marBottom w:val="0"/>
      <w:divBdr>
        <w:top w:val="none" w:sz="0" w:space="0" w:color="auto"/>
        <w:left w:val="none" w:sz="0" w:space="0" w:color="auto"/>
        <w:bottom w:val="none" w:sz="0" w:space="0" w:color="auto"/>
        <w:right w:val="none" w:sz="0" w:space="0" w:color="auto"/>
      </w:divBdr>
    </w:div>
    <w:div w:id="2130463744">
      <w:bodyDiv w:val="1"/>
      <w:marLeft w:val="0"/>
      <w:marRight w:val="0"/>
      <w:marTop w:val="0"/>
      <w:marBottom w:val="0"/>
      <w:divBdr>
        <w:top w:val="none" w:sz="0" w:space="0" w:color="auto"/>
        <w:left w:val="none" w:sz="0" w:space="0" w:color="auto"/>
        <w:bottom w:val="none" w:sz="0" w:space="0" w:color="auto"/>
        <w:right w:val="none" w:sz="0" w:space="0" w:color="auto"/>
      </w:divBdr>
    </w:div>
    <w:div w:id="2131706581">
      <w:bodyDiv w:val="1"/>
      <w:marLeft w:val="0"/>
      <w:marRight w:val="0"/>
      <w:marTop w:val="0"/>
      <w:marBottom w:val="0"/>
      <w:divBdr>
        <w:top w:val="none" w:sz="0" w:space="0" w:color="auto"/>
        <w:left w:val="none" w:sz="0" w:space="0" w:color="auto"/>
        <w:bottom w:val="none" w:sz="0" w:space="0" w:color="auto"/>
        <w:right w:val="none" w:sz="0" w:space="0" w:color="auto"/>
      </w:divBdr>
    </w:div>
    <w:div w:id="2141028175">
      <w:bodyDiv w:val="1"/>
      <w:marLeft w:val="0"/>
      <w:marRight w:val="0"/>
      <w:marTop w:val="0"/>
      <w:marBottom w:val="0"/>
      <w:divBdr>
        <w:top w:val="none" w:sz="0" w:space="0" w:color="auto"/>
        <w:left w:val="none" w:sz="0" w:space="0" w:color="auto"/>
        <w:bottom w:val="none" w:sz="0" w:space="0" w:color="auto"/>
        <w:right w:val="none" w:sz="0" w:space="0" w:color="auto"/>
      </w:divBdr>
    </w:div>
    <w:div w:id="21419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footer" Target="footer1.xml"/><Relationship Id="rId55" Type="http://schemas.openxmlformats.org/officeDocument/2006/relationships/image" Target="media/image2.png"/><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image" Target="media/image1.png"/><Relationship Id="rId58" Type="http://schemas.openxmlformats.org/officeDocument/2006/relationships/hyperlink" Target="https://www.chamber.lv/"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56" Type="http://schemas.openxmlformats.org/officeDocument/2006/relationships/image" Target="cid:image002.png@01D333AE.E5206D30" TargetMode="Externa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59" Type="http://schemas.openxmlformats.org/officeDocument/2006/relationships/hyperlink" Target="mailto:Gerda.Rubina-Kiukucane@fm.gov.lv"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image" Target="cid:image001.png@01D333AE.E5206D3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hyperlink" Target="http://www.lsm.lv/lv/raksts/ekonomika/zinas/fm-piedava-samazinat-ienakuma-nodokli-atcelt-solidaritates-nodokli-un-saglabat-mikronodokli.a225855/"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eader" Target="header2.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5110-DF8B-4C99-B21C-8E387092342E}">
  <ds:schemaRefs>
    <ds:schemaRef ds:uri="http://schemas.openxmlformats.org/officeDocument/2006/bibliography"/>
  </ds:schemaRefs>
</ds:datastoreItem>
</file>

<file path=customXml/itemProps10.xml><?xml version="1.0" encoding="utf-8"?>
<ds:datastoreItem xmlns:ds="http://schemas.openxmlformats.org/officeDocument/2006/customXml" ds:itemID="{6B3254FA-B45A-4036-A3B9-785B6EA56B7D}">
  <ds:schemaRefs>
    <ds:schemaRef ds:uri="http://schemas.openxmlformats.org/officeDocument/2006/bibliography"/>
  </ds:schemaRefs>
</ds:datastoreItem>
</file>

<file path=customXml/itemProps11.xml><?xml version="1.0" encoding="utf-8"?>
<ds:datastoreItem xmlns:ds="http://schemas.openxmlformats.org/officeDocument/2006/customXml" ds:itemID="{84F4D928-A07E-4126-85CB-B58E77DE6625}">
  <ds:schemaRefs>
    <ds:schemaRef ds:uri="http://schemas.openxmlformats.org/officeDocument/2006/bibliography"/>
  </ds:schemaRefs>
</ds:datastoreItem>
</file>

<file path=customXml/itemProps12.xml><?xml version="1.0" encoding="utf-8"?>
<ds:datastoreItem xmlns:ds="http://schemas.openxmlformats.org/officeDocument/2006/customXml" ds:itemID="{13D0B181-1743-4552-955E-87E5428F288E}">
  <ds:schemaRefs>
    <ds:schemaRef ds:uri="http://schemas.openxmlformats.org/officeDocument/2006/bibliography"/>
  </ds:schemaRefs>
</ds:datastoreItem>
</file>

<file path=customXml/itemProps13.xml><?xml version="1.0" encoding="utf-8"?>
<ds:datastoreItem xmlns:ds="http://schemas.openxmlformats.org/officeDocument/2006/customXml" ds:itemID="{A998DF43-3029-41AB-97C9-140A30980D47}">
  <ds:schemaRefs>
    <ds:schemaRef ds:uri="http://schemas.openxmlformats.org/officeDocument/2006/bibliography"/>
  </ds:schemaRefs>
</ds:datastoreItem>
</file>

<file path=customXml/itemProps14.xml><?xml version="1.0" encoding="utf-8"?>
<ds:datastoreItem xmlns:ds="http://schemas.openxmlformats.org/officeDocument/2006/customXml" ds:itemID="{FD7876C7-C12B-4E31-A858-CF324567D317}">
  <ds:schemaRefs>
    <ds:schemaRef ds:uri="http://schemas.openxmlformats.org/officeDocument/2006/bibliography"/>
  </ds:schemaRefs>
</ds:datastoreItem>
</file>

<file path=customXml/itemProps15.xml><?xml version="1.0" encoding="utf-8"?>
<ds:datastoreItem xmlns:ds="http://schemas.openxmlformats.org/officeDocument/2006/customXml" ds:itemID="{FFCAEAA2-BB47-41F1-A18B-1A759BC5EA56}">
  <ds:schemaRefs>
    <ds:schemaRef ds:uri="http://schemas.openxmlformats.org/officeDocument/2006/bibliography"/>
  </ds:schemaRefs>
</ds:datastoreItem>
</file>

<file path=customXml/itemProps16.xml><?xml version="1.0" encoding="utf-8"?>
<ds:datastoreItem xmlns:ds="http://schemas.openxmlformats.org/officeDocument/2006/customXml" ds:itemID="{F813E86B-8D27-4CB1-BB62-857354227CF1}">
  <ds:schemaRefs>
    <ds:schemaRef ds:uri="http://schemas.openxmlformats.org/officeDocument/2006/bibliography"/>
  </ds:schemaRefs>
</ds:datastoreItem>
</file>

<file path=customXml/itemProps17.xml><?xml version="1.0" encoding="utf-8"?>
<ds:datastoreItem xmlns:ds="http://schemas.openxmlformats.org/officeDocument/2006/customXml" ds:itemID="{3800D2F0-64ED-4B42-A743-E0827D14D059}">
  <ds:schemaRefs>
    <ds:schemaRef ds:uri="http://schemas.openxmlformats.org/officeDocument/2006/bibliography"/>
  </ds:schemaRefs>
</ds:datastoreItem>
</file>

<file path=customXml/itemProps18.xml><?xml version="1.0" encoding="utf-8"?>
<ds:datastoreItem xmlns:ds="http://schemas.openxmlformats.org/officeDocument/2006/customXml" ds:itemID="{5FC932D1-E226-4610-9CC4-7728F17C000B}">
  <ds:schemaRefs>
    <ds:schemaRef ds:uri="http://schemas.openxmlformats.org/officeDocument/2006/bibliography"/>
  </ds:schemaRefs>
</ds:datastoreItem>
</file>

<file path=customXml/itemProps19.xml><?xml version="1.0" encoding="utf-8"?>
<ds:datastoreItem xmlns:ds="http://schemas.openxmlformats.org/officeDocument/2006/customXml" ds:itemID="{98FEBFB1-A7A2-4E81-925B-058A6A6F85DE}">
  <ds:schemaRefs>
    <ds:schemaRef ds:uri="http://schemas.openxmlformats.org/officeDocument/2006/bibliography"/>
  </ds:schemaRefs>
</ds:datastoreItem>
</file>

<file path=customXml/itemProps2.xml><?xml version="1.0" encoding="utf-8"?>
<ds:datastoreItem xmlns:ds="http://schemas.openxmlformats.org/officeDocument/2006/customXml" ds:itemID="{2BBD7CA9-3A24-4E53-8997-46B701C6B3D4}">
  <ds:schemaRefs>
    <ds:schemaRef ds:uri="http://schemas.openxmlformats.org/officeDocument/2006/bibliography"/>
  </ds:schemaRefs>
</ds:datastoreItem>
</file>

<file path=customXml/itemProps20.xml><?xml version="1.0" encoding="utf-8"?>
<ds:datastoreItem xmlns:ds="http://schemas.openxmlformats.org/officeDocument/2006/customXml" ds:itemID="{41AE7976-97E4-494C-BDC3-4FEF103BF3F6}">
  <ds:schemaRefs>
    <ds:schemaRef ds:uri="http://schemas.openxmlformats.org/officeDocument/2006/bibliography"/>
  </ds:schemaRefs>
</ds:datastoreItem>
</file>

<file path=customXml/itemProps21.xml><?xml version="1.0" encoding="utf-8"?>
<ds:datastoreItem xmlns:ds="http://schemas.openxmlformats.org/officeDocument/2006/customXml" ds:itemID="{597380F6-441C-43D0-A410-A241CB4A8031}">
  <ds:schemaRefs>
    <ds:schemaRef ds:uri="http://schemas.openxmlformats.org/officeDocument/2006/bibliography"/>
  </ds:schemaRefs>
</ds:datastoreItem>
</file>

<file path=customXml/itemProps22.xml><?xml version="1.0" encoding="utf-8"?>
<ds:datastoreItem xmlns:ds="http://schemas.openxmlformats.org/officeDocument/2006/customXml" ds:itemID="{AFF70F53-E2DB-4F37-81E5-944FA7A63E88}">
  <ds:schemaRefs>
    <ds:schemaRef ds:uri="http://schemas.openxmlformats.org/officeDocument/2006/bibliography"/>
  </ds:schemaRefs>
</ds:datastoreItem>
</file>

<file path=customXml/itemProps23.xml><?xml version="1.0" encoding="utf-8"?>
<ds:datastoreItem xmlns:ds="http://schemas.openxmlformats.org/officeDocument/2006/customXml" ds:itemID="{36AA3809-D095-48D8-B168-1C79B9555598}">
  <ds:schemaRefs>
    <ds:schemaRef ds:uri="http://schemas.openxmlformats.org/officeDocument/2006/bibliography"/>
  </ds:schemaRefs>
</ds:datastoreItem>
</file>

<file path=customXml/itemProps24.xml><?xml version="1.0" encoding="utf-8"?>
<ds:datastoreItem xmlns:ds="http://schemas.openxmlformats.org/officeDocument/2006/customXml" ds:itemID="{2D1B32DD-E8E7-4920-AFAD-AB989028D6B0}">
  <ds:schemaRefs>
    <ds:schemaRef ds:uri="http://schemas.openxmlformats.org/officeDocument/2006/bibliography"/>
  </ds:schemaRefs>
</ds:datastoreItem>
</file>

<file path=customXml/itemProps25.xml><?xml version="1.0" encoding="utf-8"?>
<ds:datastoreItem xmlns:ds="http://schemas.openxmlformats.org/officeDocument/2006/customXml" ds:itemID="{B2CA09F7-DEC7-4BF1-AD25-5EE027762E60}">
  <ds:schemaRefs>
    <ds:schemaRef ds:uri="http://schemas.openxmlformats.org/officeDocument/2006/bibliography"/>
  </ds:schemaRefs>
</ds:datastoreItem>
</file>

<file path=customXml/itemProps26.xml><?xml version="1.0" encoding="utf-8"?>
<ds:datastoreItem xmlns:ds="http://schemas.openxmlformats.org/officeDocument/2006/customXml" ds:itemID="{26885EED-5312-4480-A776-2B4F2FEA3FA6}">
  <ds:schemaRefs>
    <ds:schemaRef ds:uri="http://schemas.openxmlformats.org/officeDocument/2006/bibliography"/>
  </ds:schemaRefs>
</ds:datastoreItem>
</file>

<file path=customXml/itemProps27.xml><?xml version="1.0" encoding="utf-8"?>
<ds:datastoreItem xmlns:ds="http://schemas.openxmlformats.org/officeDocument/2006/customXml" ds:itemID="{508EA4EE-15B3-4031-8759-2CF3FADE4021}">
  <ds:schemaRefs>
    <ds:schemaRef ds:uri="http://schemas.openxmlformats.org/officeDocument/2006/bibliography"/>
  </ds:schemaRefs>
</ds:datastoreItem>
</file>

<file path=customXml/itemProps28.xml><?xml version="1.0" encoding="utf-8"?>
<ds:datastoreItem xmlns:ds="http://schemas.openxmlformats.org/officeDocument/2006/customXml" ds:itemID="{9CCF51BC-CDAA-46E1-8412-378654CC0FE7}">
  <ds:schemaRefs>
    <ds:schemaRef ds:uri="http://schemas.openxmlformats.org/officeDocument/2006/bibliography"/>
  </ds:schemaRefs>
</ds:datastoreItem>
</file>

<file path=customXml/itemProps29.xml><?xml version="1.0" encoding="utf-8"?>
<ds:datastoreItem xmlns:ds="http://schemas.openxmlformats.org/officeDocument/2006/customXml" ds:itemID="{58AA4CBA-BE70-4CA8-90E6-CE772F33264E}">
  <ds:schemaRefs>
    <ds:schemaRef ds:uri="http://schemas.openxmlformats.org/officeDocument/2006/bibliography"/>
  </ds:schemaRefs>
</ds:datastoreItem>
</file>

<file path=customXml/itemProps3.xml><?xml version="1.0" encoding="utf-8"?>
<ds:datastoreItem xmlns:ds="http://schemas.openxmlformats.org/officeDocument/2006/customXml" ds:itemID="{56D09BF8-D9B6-4B60-B00C-58183ECF937A}">
  <ds:schemaRefs>
    <ds:schemaRef ds:uri="http://schemas.openxmlformats.org/officeDocument/2006/bibliography"/>
  </ds:schemaRefs>
</ds:datastoreItem>
</file>

<file path=customXml/itemProps30.xml><?xml version="1.0" encoding="utf-8"?>
<ds:datastoreItem xmlns:ds="http://schemas.openxmlformats.org/officeDocument/2006/customXml" ds:itemID="{8AAD6934-FD9B-4187-A3FF-BF22163174A1}">
  <ds:schemaRefs>
    <ds:schemaRef ds:uri="http://schemas.openxmlformats.org/officeDocument/2006/bibliography"/>
  </ds:schemaRefs>
</ds:datastoreItem>
</file>

<file path=customXml/itemProps31.xml><?xml version="1.0" encoding="utf-8"?>
<ds:datastoreItem xmlns:ds="http://schemas.openxmlformats.org/officeDocument/2006/customXml" ds:itemID="{2DC55BAC-FA76-4E3D-963F-F20BF60EF6FE}">
  <ds:schemaRefs>
    <ds:schemaRef ds:uri="http://schemas.openxmlformats.org/officeDocument/2006/bibliography"/>
  </ds:schemaRefs>
</ds:datastoreItem>
</file>

<file path=customXml/itemProps32.xml><?xml version="1.0" encoding="utf-8"?>
<ds:datastoreItem xmlns:ds="http://schemas.openxmlformats.org/officeDocument/2006/customXml" ds:itemID="{10DB92C5-C4D7-4FC0-AC9D-14FA45B0E767}">
  <ds:schemaRefs>
    <ds:schemaRef ds:uri="http://schemas.openxmlformats.org/officeDocument/2006/bibliography"/>
  </ds:schemaRefs>
</ds:datastoreItem>
</file>

<file path=customXml/itemProps33.xml><?xml version="1.0" encoding="utf-8"?>
<ds:datastoreItem xmlns:ds="http://schemas.openxmlformats.org/officeDocument/2006/customXml" ds:itemID="{42F12EB2-400B-4220-AD54-36815AACF12E}">
  <ds:schemaRefs>
    <ds:schemaRef ds:uri="http://schemas.openxmlformats.org/officeDocument/2006/bibliography"/>
  </ds:schemaRefs>
</ds:datastoreItem>
</file>

<file path=customXml/itemProps34.xml><?xml version="1.0" encoding="utf-8"?>
<ds:datastoreItem xmlns:ds="http://schemas.openxmlformats.org/officeDocument/2006/customXml" ds:itemID="{313ED949-4038-4F20-80DE-816DC9F960E6}">
  <ds:schemaRefs>
    <ds:schemaRef ds:uri="http://schemas.openxmlformats.org/officeDocument/2006/bibliography"/>
  </ds:schemaRefs>
</ds:datastoreItem>
</file>

<file path=customXml/itemProps35.xml><?xml version="1.0" encoding="utf-8"?>
<ds:datastoreItem xmlns:ds="http://schemas.openxmlformats.org/officeDocument/2006/customXml" ds:itemID="{80ECF4DB-D37B-4BCE-82B6-1BE0846B8D8C}">
  <ds:schemaRefs>
    <ds:schemaRef ds:uri="http://schemas.openxmlformats.org/officeDocument/2006/bibliography"/>
  </ds:schemaRefs>
</ds:datastoreItem>
</file>

<file path=customXml/itemProps36.xml><?xml version="1.0" encoding="utf-8"?>
<ds:datastoreItem xmlns:ds="http://schemas.openxmlformats.org/officeDocument/2006/customXml" ds:itemID="{4380CBAE-8B07-4154-B737-C9CC7C98ACD1}">
  <ds:schemaRefs>
    <ds:schemaRef ds:uri="http://schemas.openxmlformats.org/officeDocument/2006/bibliography"/>
  </ds:schemaRefs>
</ds:datastoreItem>
</file>

<file path=customXml/itemProps37.xml><?xml version="1.0" encoding="utf-8"?>
<ds:datastoreItem xmlns:ds="http://schemas.openxmlformats.org/officeDocument/2006/customXml" ds:itemID="{51902232-9D07-4DA0-B8E0-E4D3A20598A7}">
  <ds:schemaRefs>
    <ds:schemaRef ds:uri="http://schemas.openxmlformats.org/officeDocument/2006/bibliography"/>
  </ds:schemaRefs>
</ds:datastoreItem>
</file>

<file path=customXml/itemProps38.xml><?xml version="1.0" encoding="utf-8"?>
<ds:datastoreItem xmlns:ds="http://schemas.openxmlformats.org/officeDocument/2006/customXml" ds:itemID="{325D922D-65D7-460D-8EA5-66C4F2736A19}">
  <ds:schemaRefs>
    <ds:schemaRef ds:uri="http://schemas.openxmlformats.org/officeDocument/2006/bibliography"/>
  </ds:schemaRefs>
</ds:datastoreItem>
</file>

<file path=customXml/itemProps39.xml><?xml version="1.0" encoding="utf-8"?>
<ds:datastoreItem xmlns:ds="http://schemas.openxmlformats.org/officeDocument/2006/customXml" ds:itemID="{36440A7E-1EF4-4486-938E-FE7DBA50A19B}">
  <ds:schemaRefs>
    <ds:schemaRef ds:uri="http://schemas.openxmlformats.org/officeDocument/2006/bibliography"/>
  </ds:schemaRefs>
</ds:datastoreItem>
</file>

<file path=customXml/itemProps4.xml><?xml version="1.0" encoding="utf-8"?>
<ds:datastoreItem xmlns:ds="http://schemas.openxmlformats.org/officeDocument/2006/customXml" ds:itemID="{1566E0EF-65A9-44B4-BBD2-C77EDCEAA349}">
  <ds:schemaRefs>
    <ds:schemaRef ds:uri="http://schemas.openxmlformats.org/officeDocument/2006/bibliography"/>
  </ds:schemaRefs>
</ds:datastoreItem>
</file>

<file path=customXml/itemProps40.xml><?xml version="1.0" encoding="utf-8"?>
<ds:datastoreItem xmlns:ds="http://schemas.openxmlformats.org/officeDocument/2006/customXml" ds:itemID="{992F2BF0-E4BE-4FC6-812F-1533FB6F4F20}">
  <ds:schemaRefs>
    <ds:schemaRef ds:uri="http://schemas.openxmlformats.org/officeDocument/2006/bibliography"/>
  </ds:schemaRefs>
</ds:datastoreItem>
</file>

<file path=customXml/itemProps41.xml><?xml version="1.0" encoding="utf-8"?>
<ds:datastoreItem xmlns:ds="http://schemas.openxmlformats.org/officeDocument/2006/customXml" ds:itemID="{5FFB38DC-46DA-49EC-8B83-71BA5B73AF02}">
  <ds:schemaRefs>
    <ds:schemaRef ds:uri="http://schemas.openxmlformats.org/officeDocument/2006/bibliography"/>
  </ds:schemaRefs>
</ds:datastoreItem>
</file>

<file path=customXml/itemProps42.xml><?xml version="1.0" encoding="utf-8"?>
<ds:datastoreItem xmlns:ds="http://schemas.openxmlformats.org/officeDocument/2006/customXml" ds:itemID="{11C263EF-1E0D-4106-A3CF-6C817DDC195F}">
  <ds:schemaRefs>
    <ds:schemaRef ds:uri="http://schemas.openxmlformats.org/officeDocument/2006/bibliography"/>
  </ds:schemaRefs>
</ds:datastoreItem>
</file>

<file path=customXml/itemProps5.xml><?xml version="1.0" encoding="utf-8"?>
<ds:datastoreItem xmlns:ds="http://schemas.openxmlformats.org/officeDocument/2006/customXml" ds:itemID="{F5752B05-48D5-443C-92F3-AE9885071455}">
  <ds:schemaRefs>
    <ds:schemaRef ds:uri="http://schemas.openxmlformats.org/officeDocument/2006/bibliography"/>
  </ds:schemaRefs>
</ds:datastoreItem>
</file>

<file path=customXml/itemProps6.xml><?xml version="1.0" encoding="utf-8"?>
<ds:datastoreItem xmlns:ds="http://schemas.openxmlformats.org/officeDocument/2006/customXml" ds:itemID="{A0B90B8F-5462-423C-812A-971FDDD9A922}">
  <ds:schemaRefs>
    <ds:schemaRef ds:uri="http://schemas.openxmlformats.org/officeDocument/2006/bibliography"/>
  </ds:schemaRefs>
</ds:datastoreItem>
</file>

<file path=customXml/itemProps7.xml><?xml version="1.0" encoding="utf-8"?>
<ds:datastoreItem xmlns:ds="http://schemas.openxmlformats.org/officeDocument/2006/customXml" ds:itemID="{2FD052E6-BBF7-4043-8712-3C3AE3264DBE}">
  <ds:schemaRefs>
    <ds:schemaRef ds:uri="http://schemas.openxmlformats.org/officeDocument/2006/bibliography"/>
  </ds:schemaRefs>
</ds:datastoreItem>
</file>

<file path=customXml/itemProps8.xml><?xml version="1.0" encoding="utf-8"?>
<ds:datastoreItem xmlns:ds="http://schemas.openxmlformats.org/officeDocument/2006/customXml" ds:itemID="{CDFF2897-7EF7-43D5-A952-33C67BFE2EEE}">
  <ds:schemaRefs>
    <ds:schemaRef ds:uri="http://schemas.openxmlformats.org/officeDocument/2006/bibliography"/>
  </ds:schemaRefs>
</ds:datastoreItem>
</file>

<file path=customXml/itemProps9.xml><?xml version="1.0" encoding="utf-8"?>
<ds:datastoreItem xmlns:ds="http://schemas.openxmlformats.org/officeDocument/2006/customXml" ds:itemID="{DDA7B342-13C0-4E34-ACA1-57D5160C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9703</TotalTime>
  <Pages>48</Pages>
  <Words>78477</Words>
  <Characters>44732</Characters>
  <Application>Microsoft Office Word</Application>
  <DocSecurity>0</DocSecurity>
  <Lines>372</Lines>
  <Paragraphs>245</Paragraphs>
  <ScaleCrop>false</ScaleCrop>
  <HeadingPairs>
    <vt:vector size="2" baseType="variant">
      <vt:variant>
        <vt:lpstr>Title</vt:lpstr>
      </vt:variant>
      <vt:variant>
        <vt:i4>1</vt:i4>
      </vt:variant>
    </vt:vector>
  </HeadingPairs>
  <TitlesOfParts>
    <vt:vector size="1" baseType="lpstr">
      <vt:lpstr>Latvijas Vispārējās valdības budžeta plāna projekts 2018.gadam</vt:lpstr>
    </vt:vector>
  </TitlesOfParts>
  <Company>Finanšu ministrija</Company>
  <LinksUpToDate>false</LinksUpToDate>
  <CharactersWithSpaces>122964</CharactersWithSpaces>
  <SharedDoc>false</SharedDoc>
  <HLinks>
    <vt:vector size="240" baseType="variant">
      <vt:variant>
        <vt:i4>2293767</vt:i4>
      </vt:variant>
      <vt:variant>
        <vt:i4>234</vt:i4>
      </vt:variant>
      <vt:variant>
        <vt:i4>0</vt:i4>
      </vt:variant>
      <vt:variant>
        <vt:i4>5</vt:i4>
      </vt:variant>
      <vt:variant>
        <vt:lpwstr>mailto:Anda.Apse@fm.gov.lv</vt:lpwstr>
      </vt:variant>
      <vt:variant>
        <vt:lpwstr/>
      </vt:variant>
      <vt:variant>
        <vt:i4>7143484</vt:i4>
      </vt:variant>
      <vt:variant>
        <vt:i4>231</vt:i4>
      </vt:variant>
      <vt:variant>
        <vt:i4>0</vt:i4>
      </vt:variant>
      <vt:variant>
        <vt:i4>5</vt:i4>
      </vt:variant>
      <vt:variant>
        <vt:lpwstr>http://www.klientuskola.lv/</vt:lpwstr>
      </vt:variant>
      <vt:variant>
        <vt:lpwstr/>
      </vt:variant>
      <vt:variant>
        <vt:i4>1245233</vt:i4>
      </vt:variant>
      <vt:variant>
        <vt:i4>224</vt:i4>
      </vt:variant>
      <vt:variant>
        <vt:i4>0</vt:i4>
      </vt:variant>
      <vt:variant>
        <vt:i4>5</vt:i4>
      </vt:variant>
      <vt:variant>
        <vt:lpwstr/>
      </vt:variant>
      <vt:variant>
        <vt:lpwstr>_Toc322789885</vt:lpwstr>
      </vt:variant>
      <vt:variant>
        <vt:i4>1245233</vt:i4>
      </vt:variant>
      <vt:variant>
        <vt:i4>218</vt:i4>
      </vt:variant>
      <vt:variant>
        <vt:i4>0</vt:i4>
      </vt:variant>
      <vt:variant>
        <vt:i4>5</vt:i4>
      </vt:variant>
      <vt:variant>
        <vt:lpwstr/>
      </vt:variant>
      <vt:variant>
        <vt:lpwstr>_Toc322789884</vt:lpwstr>
      </vt:variant>
      <vt:variant>
        <vt:i4>1245233</vt:i4>
      </vt:variant>
      <vt:variant>
        <vt:i4>212</vt:i4>
      </vt:variant>
      <vt:variant>
        <vt:i4>0</vt:i4>
      </vt:variant>
      <vt:variant>
        <vt:i4>5</vt:i4>
      </vt:variant>
      <vt:variant>
        <vt:lpwstr/>
      </vt:variant>
      <vt:variant>
        <vt:lpwstr>_Toc322789883</vt:lpwstr>
      </vt:variant>
      <vt:variant>
        <vt:i4>1245233</vt:i4>
      </vt:variant>
      <vt:variant>
        <vt:i4>206</vt:i4>
      </vt:variant>
      <vt:variant>
        <vt:i4>0</vt:i4>
      </vt:variant>
      <vt:variant>
        <vt:i4>5</vt:i4>
      </vt:variant>
      <vt:variant>
        <vt:lpwstr/>
      </vt:variant>
      <vt:variant>
        <vt:lpwstr>_Toc322789882</vt:lpwstr>
      </vt:variant>
      <vt:variant>
        <vt:i4>1245233</vt:i4>
      </vt:variant>
      <vt:variant>
        <vt:i4>200</vt:i4>
      </vt:variant>
      <vt:variant>
        <vt:i4>0</vt:i4>
      </vt:variant>
      <vt:variant>
        <vt:i4>5</vt:i4>
      </vt:variant>
      <vt:variant>
        <vt:lpwstr/>
      </vt:variant>
      <vt:variant>
        <vt:lpwstr>_Toc322789881</vt:lpwstr>
      </vt:variant>
      <vt:variant>
        <vt:i4>1245233</vt:i4>
      </vt:variant>
      <vt:variant>
        <vt:i4>194</vt:i4>
      </vt:variant>
      <vt:variant>
        <vt:i4>0</vt:i4>
      </vt:variant>
      <vt:variant>
        <vt:i4>5</vt:i4>
      </vt:variant>
      <vt:variant>
        <vt:lpwstr/>
      </vt:variant>
      <vt:variant>
        <vt:lpwstr>_Toc322789880</vt:lpwstr>
      </vt:variant>
      <vt:variant>
        <vt:i4>1835057</vt:i4>
      </vt:variant>
      <vt:variant>
        <vt:i4>188</vt:i4>
      </vt:variant>
      <vt:variant>
        <vt:i4>0</vt:i4>
      </vt:variant>
      <vt:variant>
        <vt:i4>5</vt:i4>
      </vt:variant>
      <vt:variant>
        <vt:lpwstr/>
      </vt:variant>
      <vt:variant>
        <vt:lpwstr>_Toc322789879</vt:lpwstr>
      </vt:variant>
      <vt:variant>
        <vt:i4>1835057</vt:i4>
      </vt:variant>
      <vt:variant>
        <vt:i4>182</vt:i4>
      </vt:variant>
      <vt:variant>
        <vt:i4>0</vt:i4>
      </vt:variant>
      <vt:variant>
        <vt:i4>5</vt:i4>
      </vt:variant>
      <vt:variant>
        <vt:lpwstr/>
      </vt:variant>
      <vt:variant>
        <vt:lpwstr>_Toc322789878</vt:lpwstr>
      </vt:variant>
      <vt:variant>
        <vt:i4>1835057</vt:i4>
      </vt:variant>
      <vt:variant>
        <vt:i4>176</vt:i4>
      </vt:variant>
      <vt:variant>
        <vt:i4>0</vt:i4>
      </vt:variant>
      <vt:variant>
        <vt:i4>5</vt:i4>
      </vt:variant>
      <vt:variant>
        <vt:lpwstr/>
      </vt:variant>
      <vt:variant>
        <vt:lpwstr>_Toc322789877</vt:lpwstr>
      </vt:variant>
      <vt:variant>
        <vt:i4>1835057</vt:i4>
      </vt:variant>
      <vt:variant>
        <vt:i4>170</vt:i4>
      </vt:variant>
      <vt:variant>
        <vt:i4>0</vt:i4>
      </vt:variant>
      <vt:variant>
        <vt:i4>5</vt:i4>
      </vt:variant>
      <vt:variant>
        <vt:lpwstr/>
      </vt:variant>
      <vt:variant>
        <vt:lpwstr>_Toc322789876</vt:lpwstr>
      </vt:variant>
      <vt:variant>
        <vt:i4>1835057</vt:i4>
      </vt:variant>
      <vt:variant>
        <vt:i4>164</vt:i4>
      </vt:variant>
      <vt:variant>
        <vt:i4>0</vt:i4>
      </vt:variant>
      <vt:variant>
        <vt:i4>5</vt:i4>
      </vt:variant>
      <vt:variant>
        <vt:lpwstr/>
      </vt:variant>
      <vt:variant>
        <vt:lpwstr>_Toc322789875</vt:lpwstr>
      </vt:variant>
      <vt:variant>
        <vt:i4>1835057</vt:i4>
      </vt:variant>
      <vt:variant>
        <vt:i4>158</vt:i4>
      </vt:variant>
      <vt:variant>
        <vt:i4>0</vt:i4>
      </vt:variant>
      <vt:variant>
        <vt:i4>5</vt:i4>
      </vt:variant>
      <vt:variant>
        <vt:lpwstr/>
      </vt:variant>
      <vt:variant>
        <vt:lpwstr>_Toc322789874</vt:lpwstr>
      </vt:variant>
      <vt:variant>
        <vt:i4>1835057</vt:i4>
      </vt:variant>
      <vt:variant>
        <vt:i4>152</vt:i4>
      </vt:variant>
      <vt:variant>
        <vt:i4>0</vt:i4>
      </vt:variant>
      <vt:variant>
        <vt:i4>5</vt:i4>
      </vt:variant>
      <vt:variant>
        <vt:lpwstr/>
      </vt:variant>
      <vt:variant>
        <vt:lpwstr>_Toc322789873</vt:lpwstr>
      </vt:variant>
      <vt:variant>
        <vt:i4>1835057</vt:i4>
      </vt:variant>
      <vt:variant>
        <vt:i4>146</vt:i4>
      </vt:variant>
      <vt:variant>
        <vt:i4>0</vt:i4>
      </vt:variant>
      <vt:variant>
        <vt:i4>5</vt:i4>
      </vt:variant>
      <vt:variant>
        <vt:lpwstr/>
      </vt:variant>
      <vt:variant>
        <vt:lpwstr>_Toc322789872</vt:lpwstr>
      </vt:variant>
      <vt:variant>
        <vt:i4>1835057</vt:i4>
      </vt:variant>
      <vt:variant>
        <vt:i4>140</vt:i4>
      </vt:variant>
      <vt:variant>
        <vt:i4>0</vt:i4>
      </vt:variant>
      <vt:variant>
        <vt:i4>5</vt:i4>
      </vt:variant>
      <vt:variant>
        <vt:lpwstr/>
      </vt:variant>
      <vt:variant>
        <vt:lpwstr>_Toc322789871</vt:lpwstr>
      </vt:variant>
      <vt:variant>
        <vt:i4>1835057</vt:i4>
      </vt:variant>
      <vt:variant>
        <vt:i4>134</vt:i4>
      </vt:variant>
      <vt:variant>
        <vt:i4>0</vt:i4>
      </vt:variant>
      <vt:variant>
        <vt:i4>5</vt:i4>
      </vt:variant>
      <vt:variant>
        <vt:lpwstr/>
      </vt:variant>
      <vt:variant>
        <vt:lpwstr>_Toc322789870</vt:lpwstr>
      </vt:variant>
      <vt:variant>
        <vt:i4>1900593</vt:i4>
      </vt:variant>
      <vt:variant>
        <vt:i4>128</vt:i4>
      </vt:variant>
      <vt:variant>
        <vt:i4>0</vt:i4>
      </vt:variant>
      <vt:variant>
        <vt:i4>5</vt:i4>
      </vt:variant>
      <vt:variant>
        <vt:lpwstr/>
      </vt:variant>
      <vt:variant>
        <vt:lpwstr>_Toc322789869</vt:lpwstr>
      </vt:variant>
      <vt:variant>
        <vt:i4>1900593</vt:i4>
      </vt:variant>
      <vt:variant>
        <vt:i4>122</vt:i4>
      </vt:variant>
      <vt:variant>
        <vt:i4>0</vt:i4>
      </vt:variant>
      <vt:variant>
        <vt:i4>5</vt:i4>
      </vt:variant>
      <vt:variant>
        <vt:lpwstr/>
      </vt:variant>
      <vt:variant>
        <vt:lpwstr>_Toc322789868</vt:lpwstr>
      </vt:variant>
      <vt:variant>
        <vt:i4>1900593</vt:i4>
      </vt:variant>
      <vt:variant>
        <vt:i4>116</vt:i4>
      </vt:variant>
      <vt:variant>
        <vt:i4>0</vt:i4>
      </vt:variant>
      <vt:variant>
        <vt:i4>5</vt:i4>
      </vt:variant>
      <vt:variant>
        <vt:lpwstr/>
      </vt:variant>
      <vt:variant>
        <vt:lpwstr>_Toc322789867</vt:lpwstr>
      </vt:variant>
      <vt:variant>
        <vt:i4>1900593</vt:i4>
      </vt:variant>
      <vt:variant>
        <vt:i4>110</vt:i4>
      </vt:variant>
      <vt:variant>
        <vt:i4>0</vt:i4>
      </vt:variant>
      <vt:variant>
        <vt:i4>5</vt:i4>
      </vt:variant>
      <vt:variant>
        <vt:lpwstr/>
      </vt:variant>
      <vt:variant>
        <vt:lpwstr>_Toc322789866</vt:lpwstr>
      </vt:variant>
      <vt:variant>
        <vt:i4>1900593</vt:i4>
      </vt:variant>
      <vt:variant>
        <vt:i4>104</vt:i4>
      </vt:variant>
      <vt:variant>
        <vt:i4>0</vt:i4>
      </vt:variant>
      <vt:variant>
        <vt:i4>5</vt:i4>
      </vt:variant>
      <vt:variant>
        <vt:lpwstr/>
      </vt:variant>
      <vt:variant>
        <vt:lpwstr>_Toc322789865</vt:lpwstr>
      </vt:variant>
      <vt:variant>
        <vt:i4>1900593</vt:i4>
      </vt:variant>
      <vt:variant>
        <vt:i4>98</vt:i4>
      </vt:variant>
      <vt:variant>
        <vt:i4>0</vt:i4>
      </vt:variant>
      <vt:variant>
        <vt:i4>5</vt:i4>
      </vt:variant>
      <vt:variant>
        <vt:lpwstr/>
      </vt:variant>
      <vt:variant>
        <vt:lpwstr>_Toc322789864</vt:lpwstr>
      </vt:variant>
      <vt:variant>
        <vt:i4>1900593</vt:i4>
      </vt:variant>
      <vt:variant>
        <vt:i4>92</vt:i4>
      </vt:variant>
      <vt:variant>
        <vt:i4>0</vt:i4>
      </vt:variant>
      <vt:variant>
        <vt:i4>5</vt:i4>
      </vt:variant>
      <vt:variant>
        <vt:lpwstr/>
      </vt:variant>
      <vt:variant>
        <vt:lpwstr>_Toc322789863</vt:lpwstr>
      </vt:variant>
      <vt:variant>
        <vt:i4>1900593</vt:i4>
      </vt:variant>
      <vt:variant>
        <vt:i4>86</vt:i4>
      </vt:variant>
      <vt:variant>
        <vt:i4>0</vt:i4>
      </vt:variant>
      <vt:variant>
        <vt:i4>5</vt:i4>
      </vt:variant>
      <vt:variant>
        <vt:lpwstr/>
      </vt:variant>
      <vt:variant>
        <vt:lpwstr>_Toc322789862</vt:lpwstr>
      </vt:variant>
      <vt:variant>
        <vt:i4>1900593</vt:i4>
      </vt:variant>
      <vt:variant>
        <vt:i4>80</vt:i4>
      </vt:variant>
      <vt:variant>
        <vt:i4>0</vt:i4>
      </vt:variant>
      <vt:variant>
        <vt:i4>5</vt:i4>
      </vt:variant>
      <vt:variant>
        <vt:lpwstr/>
      </vt:variant>
      <vt:variant>
        <vt:lpwstr>_Toc322789861</vt:lpwstr>
      </vt:variant>
      <vt:variant>
        <vt:i4>1900593</vt:i4>
      </vt:variant>
      <vt:variant>
        <vt:i4>74</vt:i4>
      </vt:variant>
      <vt:variant>
        <vt:i4>0</vt:i4>
      </vt:variant>
      <vt:variant>
        <vt:i4>5</vt:i4>
      </vt:variant>
      <vt:variant>
        <vt:lpwstr/>
      </vt:variant>
      <vt:variant>
        <vt:lpwstr>_Toc322789860</vt:lpwstr>
      </vt:variant>
      <vt:variant>
        <vt:i4>1966129</vt:i4>
      </vt:variant>
      <vt:variant>
        <vt:i4>68</vt:i4>
      </vt:variant>
      <vt:variant>
        <vt:i4>0</vt:i4>
      </vt:variant>
      <vt:variant>
        <vt:i4>5</vt:i4>
      </vt:variant>
      <vt:variant>
        <vt:lpwstr/>
      </vt:variant>
      <vt:variant>
        <vt:lpwstr>_Toc322789859</vt:lpwstr>
      </vt:variant>
      <vt:variant>
        <vt:i4>1966129</vt:i4>
      </vt:variant>
      <vt:variant>
        <vt:i4>62</vt:i4>
      </vt:variant>
      <vt:variant>
        <vt:i4>0</vt:i4>
      </vt:variant>
      <vt:variant>
        <vt:i4>5</vt:i4>
      </vt:variant>
      <vt:variant>
        <vt:lpwstr/>
      </vt:variant>
      <vt:variant>
        <vt:lpwstr>_Toc322789858</vt:lpwstr>
      </vt:variant>
      <vt:variant>
        <vt:i4>1966129</vt:i4>
      </vt:variant>
      <vt:variant>
        <vt:i4>56</vt:i4>
      </vt:variant>
      <vt:variant>
        <vt:i4>0</vt:i4>
      </vt:variant>
      <vt:variant>
        <vt:i4>5</vt:i4>
      </vt:variant>
      <vt:variant>
        <vt:lpwstr/>
      </vt:variant>
      <vt:variant>
        <vt:lpwstr>_Toc322789857</vt:lpwstr>
      </vt:variant>
      <vt:variant>
        <vt:i4>1966129</vt:i4>
      </vt:variant>
      <vt:variant>
        <vt:i4>50</vt:i4>
      </vt:variant>
      <vt:variant>
        <vt:i4>0</vt:i4>
      </vt:variant>
      <vt:variant>
        <vt:i4>5</vt:i4>
      </vt:variant>
      <vt:variant>
        <vt:lpwstr/>
      </vt:variant>
      <vt:variant>
        <vt:lpwstr>_Toc322789856</vt:lpwstr>
      </vt:variant>
      <vt:variant>
        <vt:i4>1966129</vt:i4>
      </vt:variant>
      <vt:variant>
        <vt:i4>44</vt:i4>
      </vt:variant>
      <vt:variant>
        <vt:i4>0</vt:i4>
      </vt:variant>
      <vt:variant>
        <vt:i4>5</vt:i4>
      </vt:variant>
      <vt:variant>
        <vt:lpwstr/>
      </vt:variant>
      <vt:variant>
        <vt:lpwstr>_Toc322789855</vt:lpwstr>
      </vt:variant>
      <vt:variant>
        <vt:i4>1966129</vt:i4>
      </vt:variant>
      <vt:variant>
        <vt:i4>38</vt:i4>
      </vt:variant>
      <vt:variant>
        <vt:i4>0</vt:i4>
      </vt:variant>
      <vt:variant>
        <vt:i4>5</vt:i4>
      </vt:variant>
      <vt:variant>
        <vt:lpwstr/>
      </vt:variant>
      <vt:variant>
        <vt:lpwstr>_Toc322789854</vt:lpwstr>
      </vt:variant>
      <vt:variant>
        <vt:i4>1966129</vt:i4>
      </vt:variant>
      <vt:variant>
        <vt:i4>32</vt:i4>
      </vt:variant>
      <vt:variant>
        <vt:i4>0</vt:i4>
      </vt:variant>
      <vt:variant>
        <vt:i4>5</vt:i4>
      </vt:variant>
      <vt:variant>
        <vt:lpwstr/>
      </vt:variant>
      <vt:variant>
        <vt:lpwstr>_Toc322789853</vt:lpwstr>
      </vt:variant>
      <vt:variant>
        <vt:i4>1966129</vt:i4>
      </vt:variant>
      <vt:variant>
        <vt:i4>26</vt:i4>
      </vt:variant>
      <vt:variant>
        <vt:i4>0</vt:i4>
      </vt:variant>
      <vt:variant>
        <vt:i4>5</vt:i4>
      </vt:variant>
      <vt:variant>
        <vt:lpwstr/>
      </vt:variant>
      <vt:variant>
        <vt:lpwstr>_Toc322789852</vt:lpwstr>
      </vt:variant>
      <vt:variant>
        <vt:i4>1966129</vt:i4>
      </vt:variant>
      <vt:variant>
        <vt:i4>20</vt:i4>
      </vt:variant>
      <vt:variant>
        <vt:i4>0</vt:i4>
      </vt:variant>
      <vt:variant>
        <vt:i4>5</vt:i4>
      </vt:variant>
      <vt:variant>
        <vt:lpwstr/>
      </vt:variant>
      <vt:variant>
        <vt:lpwstr>_Toc322789851</vt:lpwstr>
      </vt:variant>
      <vt:variant>
        <vt:i4>1966129</vt:i4>
      </vt:variant>
      <vt:variant>
        <vt:i4>14</vt:i4>
      </vt:variant>
      <vt:variant>
        <vt:i4>0</vt:i4>
      </vt:variant>
      <vt:variant>
        <vt:i4>5</vt:i4>
      </vt:variant>
      <vt:variant>
        <vt:lpwstr/>
      </vt:variant>
      <vt:variant>
        <vt:lpwstr>_Toc322789850</vt:lpwstr>
      </vt:variant>
      <vt:variant>
        <vt:i4>2031665</vt:i4>
      </vt:variant>
      <vt:variant>
        <vt:i4>8</vt:i4>
      </vt:variant>
      <vt:variant>
        <vt:i4>0</vt:i4>
      </vt:variant>
      <vt:variant>
        <vt:i4>5</vt:i4>
      </vt:variant>
      <vt:variant>
        <vt:lpwstr/>
      </vt:variant>
      <vt:variant>
        <vt:lpwstr>_Toc322789849</vt:lpwstr>
      </vt:variant>
      <vt:variant>
        <vt:i4>2031665</vt:i4>
      </vt:variant>
      <vt:variant>
        <vt:i4>2</vt:i4>
      </vt:variant>
      <vt:variant>
        <vt:i4>0</vt:i4>
      </vt:variant>
      <vt:variant>
        <vt:i4>5</vt:i4>
      </vt:variant>
      <vt:variant>
        <vt:lpwstr/>
      </vt:variant>
      <vt:variant>
        <vt:lpwstr>_Toc322789848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Vispārējās valdības budžeta plāna projekts 2018.gadam</dc:title>
  <dc:subject>Informatīvais ziņojums</dc:subject>
  <dc:creator>Gerda Rubīna-Kiukucāne</dc:creator>
  <dc:description>67083911, Gerda.Rubina-Kiukucane@fm.gov.lv</dc:description>
  <cp:lastModifiedBy>Gerda Rubīna</cp:lastModifiedBy>
  <cp:revision>512</cp:revision>
  <cp:lastPrinted>2017-10-06T09:00:00Z</cp:lastPrinted>
  <dcterms:created xsi:type="dcterms:W3CDTF">2015-03-13T13:56:00Z</dcterms:created>
  <dcterms:modified xsi:type="dcterms:W3CDTF">2017-10-06T09:59:00Z</dcterms:modified>
</cp:coreProperties>
</file>