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DFAE" w14:textId="77777777" w:rsidR="00554B17" w:rsidRPr="008E7175" w:rsidRDefault="00554B17" w:rsidP="001D3984">
      <w:pPr>
        <w:spacing w:after="0" w:line="240" w:lineRule="auto"/>
        <w:rPr>
          <w:rFonts w:ascii="Times New Roman" w:hAnsi="Times New Roman"/>
          <w:sz w:val="20"/>
          <w:szCs w:val="20"/>
        </w:rPr>
      </w:pPr>
    </w:p>
    <w:p w14:paraId="111CF5F9" w14:textId="77777777" w:rsidR="00914649" w:rsidRPr="008E7175" w:rsidRDefault="00914649" w:rsidP="00914649">
      <w:pPr>
        <w:spacing w:after="0" w:line="240" w:lineRule="auto"/>
        <w:jc w:val="center"/>
        <w:rPr>
          <w:rFonts w:ascii="Times New Roman" w:hAnsi="Times New Roman"/>
          <w:sz w:val="20"/>
          <w:szCs w:val="20"/>
        </w:rPr>
      </w:pPr>
      <w:r w:rsidRPr="008E7175">
        <w:rPr>
          <w:rFonts w:ascii="Times New Roman" w:hAnsi="Times New Roman"/>
          <w:sz w:val="20"/>
          <w:szCs w:val="20"/>
        </w:rPr>
        <w:t>Rīgā</w:t>
      </w:r>
    </w:p>
    <w:p w14:paraId="1F150A2E" w14:textId="77777777" w:rsidR="00914649" w:rsidRPr="008E7175"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914649" w:rsidRPr="008E7175" w14:paraId="42D462A6" w14:textId="77777777" w:rsidTr="00F705BF">
        <w:tc>
          <w:tcPr>
            <w:tcW w:w="2293" w:type="dxa"/>
            <w:gridSpan w:val="2"/>
            <w:tcBorders>
              <w:bottom w:val="single" w:sz="4" w:space="0" w:color="auto"/>
            </w:tcBorders>
            <w:shd w:val="clear" w:color="auto" w:fill="auto"/>
            <w:vAlign w:val="bottom"/>
          </w:tcPr>
          <w:p w14:paraId="05344D72" w14:textId="50989A62" w:rsidR="00914649" w:rsidRPr="00340397" w:rsidRDefault="00340397" w:rsidP="00B33D92">
            <w:pPr>
              <w:spacing w:after="0" w:line="240" w:lineRule="auto"/>
              <w:rPr>
                <w:rFonts w:ascii="Times New Roman" w:hAnsi="Times New Roman"/>
                <w:sz w:val="24"/>
                <w:szCs w:val="24"/>
              </w:rPr>
            </w:pPr>
            <w:r>
              <w:rPr>
                <w:rFonts w:ascii="Times New Roman" w:hAnsi="Times New Roman"/>
              </w:rPr>
              <w:t xml:space="preserve">       </w:t>
            </w:r>
            <w:r w:rsidRPr="00340397">
              <w:rPr>
                <w:rFonts w:ascii="Times New Roman" w:hAnsi="Times New Roman"/>
                <w:sz w:val="24"/>
                <w:szCs w:val="24"/>
              </w:rPr>
              <w:t>25.09.2017.</w:t>
            </w:r>
          </w:p>
        </w:tc>
        <w:tc>
          <w:tcPr>
            <w:tcW w:w="478" w:type="dxa"/>
            <w:shd w:val="clear" w:color="auto" w:fill="auto"/>
            <w:vAlign w:val="bottom"/>
          </w:tcPr>
          <w:p w14:paraId="428BD3DF" w14:textId="77777777" w:rsidR="00914649" w:rsidRPr="008E7175" w:rsidRDefault="00914649" w:rsidP="00F705BF">
            <w:pPr>
              <w:spacing w:after="0" w:line="240" w:lineRule="auto"/>
              <w:rPr>
                <w:rFonts w:ascii="Times New Roman" w:hAnsi="Times New Roman"/>
                <w:sz w:val="20"/>
                <w:szCs w:val="20"/>
              </w:rPr>
            </w:pPr>
            <w:r w:rsidRPr="008E7175">
              <w:rPr>
                <w:rFonts w:ascii="Times New Roman" w:hAnsi="Times New Roman"/>
                <w:sz w:val="20"/>
                <w:szCs w:val="20"/>
              </w:rPr>
              <w:t>Nr.</w:t>
            </w:r>
          </w:p>
        </w:tc>
        <w:tc>
          <w:tcPr>
            <w:tcW w:w="2157" w:type="dxa"/>
            <w:tcBorders>
              <w:bottom w:val="single" w:sz="4" w:space="0" w:color="auto"/>
            </w:tcBorders>
            <w:shd w:val="clear" w:color="auto" w:fill="auto"/>
            <w:vAlign w:val="bottom"/>
          </w:tcPr>
          <w:p w14:paraId="094BFA77" w14:textId="0706B4C5" w:rsidR="00914649" w:rsidRPr="00340397" w:rsidRDefault="00340397" w:rsidP="00F705BF">
            <w:pPr>
              <w:spacing w:after="0" w:line="240" w:lineRule="auto"/>
              <w:rPr>
                <w:rFonts w:ascii="Times New Roman" w:hAnsi="Times New Roman"/>
                <w:sz w:val="24"/>
                <w:szCs w:val="24"/>
              </w:rPr>
            </w:pPr>
            <w:r w:rsidRPr="00340397">
              <w:rPr>
                <w:rFonts w:ascii="Times New Roman" w:hAnsi="Times New Roman"/>
                <w:sz w:val="24"/>
                <w:szCs w:val="24"/>
              </w:rPr>
              <w:t>20-VK/6984</w:t>
            </w:r>
          </w:p>
        </w:tc>
      </w:tr>
      <w:tr w:rsidR="00914649" w:rsidRPr="008E7175" w14:paraId="07EA5CBC" w14:textId="77777777" w:rsidTr="00F705BF">
        <w:tc>
          <w:tcPr>
            <w:tcW w:w="2293" w:type="dxa"/>
            <w:gridSpan w:val="2"/>
            <w:tcBorders>
              <w:top w:val="single" w:sz="4" w:space="0" w:color="auto"/>
            </w:tcBorders>
            <w:shd w:val="clear" w:color="auto" w:fill="auto"/>
            <w:vAlign w:val="bottom"/>
          </w:tcPr>
          <w:p w14:paraId="68D955B7" w14:textId="77777777" w:rsidR="00914649" w:rsidRPr="008E7175"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74BA3E65" w14:textId="77777777" w:rsidR="00914649" w:rsidRPr="008E7175"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27F89EA1" w14:textId="77777777" w:rsidR="00914649" w:rsidRPr="008E7175" w:rsidRDefault="00914649" w:rsidP="00F705BF">
            <w:pPr>
              <w:spacing w:after="0" w:line="240" w:lineRule="auto"/>
              <w:rPr>
                <w:rFonts w:ascii="Times New Roman" w:hAnsi="Times New Roman"/>
                <w:sz w:val="20"/>
                <w:szCs w:val="20"/>
              </w:rPr>
            </w:pPr>
          </w:p>
        </w:tc>
      </w:tr>
      <w:tr w:rsidR="00914649" w:rsidRPr="008E7175" w14:paraId="0A004744" w14:textId="77777777" w:rsidTr="00F705BF">
        <w:tc>
          <w:tcPr>
            <w:tcW w:w="450" w:type="dxa"/>
            <w:shd w:val="clear" w:color="auto" w:fill="auto"/>
            <w:vAlign w:val="bottom"/>
          </w:tcPr>
          <w:p w14:paraId="44F44E65" w14:textId="77777777" w:rsidR="00914649" w:rsidRPr="008E7175" w:rsidRDefault="00914649" w:rsidP="00F705BF">
            <w:pPr>
              <w:spacing w:after="0" w:line="240" w:lineRule="auto"/>
              <w:rPr>
                <w:rFonts w:ascii="Times New Roman" w:hAnsi="Times New Roman"/>
                <w:sz w:val="20"/>
                <w:szCs w:val="20"/>
              </w:rPr>
            </w:pPr>
            <w:r w:rsidRPr="008E7175">
              <w:rPr>
                <w:rFonts w:ascii="Times New Roman" w:hAnsi="Times New Roman"/>
                <w:sz w:val="20"/>
                <w:szCs w:val="20"/>
              </w:rPr>
              <w:t>Uz</w:t>
            </w:r>
          </w:p>
        </w:tc>
        <w:tc>
          <w:tcPr>
            <w:tcW w:w="1843" w:type="dxa"/>
            <w:tcBorders>
              <w:bottom w:val="single" w:sz="4" w:space="0" w:color="auto"/>
            </w:tcBorders>
            <w:shd w:val="clear" w:color="auto" w:fill="auto"/>
            <w:vAlign w:val="bottom"/>
          </w:tcPr>
          <w:p w14:paraId="6B705813" w14:textId="77777777" w:rsidR="00914649" w:rsidRPr="008E7175"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4FEFB382" w14:textId="77777777" w:rsidR="00914649" w:rsidRPr="008E7175" w:rsidRDefault="00914649" w:rsidP="00F705BF">
            <w:pPr>
              <w:spacing w:after="0" w:line="240" w:lineRule="auto"/>
              <w:rPr>
                <w:rFonts w:ascii="Times New Roman" w:hAnsi="Times New Roman"/>
                <w:sz w:val="20"/>
                <w:szCs w:val="20"/>
              </w:rPr>
            </w:pPr>
            <w:r w:rsidRPr="008E7175">
              <w:rPr>
                <w:rFonts w:ascii="Times New Roman" w:hAnsi="Times New Roman"/>
                <w:sz w:val="20"/>
                <w:szCs w:val="20"/>
              </w:rPr>
              <w:t>Nr.</w:t>
            </w:r>
          </w:p>
        </w:tc>
        <w:tc>
          <w:tcPr>
            <w:tcW w:w="2157" w:type="dxa"/>
            <w:tcBorders>
              <w:bottom w:val="single" w:sz="4" w:space="0" w:color="auto"/>
            </w:tcBorders>
            <w:shd w:val="clear" w:color="auto" w:fill="auto"/>
            <w:vAlign w:val="bottom"/>
          </w:tcPr>
          <w:p w14:paraId="39C65D91" w14:textId="77777777" w:rsidR="00914649" w:rsidRPr="008E7175" w:rsidRDefault="00914649" w:rsidP="00F705BF">
            <w:pPr>
              <w:spacing w:after="0" w:line="240" w:lineRule="auto"/>
              <w:rPr>
                <w:rFonts w:ascii="Times New Roman" w:hAnsi="Times New Roman"/>
                <w:sz w:val="20"/>
                <w:szCs w:val="20"/>
              </w:rPr>
            </w:pPr>
          </w:p>
        </w:tc>
      </w:tr>
    </w:tbl>
    <w:p w14:paraId="47BAA909" w14:textId="77777777" w:rsidR="000A0ECA" w:rsidRPr="007B1768" w:rsidRDefault="00BD4E28" w:rsidP="000A0ECA">
      <w:pPr>
        <w:spacing w:after="0" w:line="240" w:lineRule="auto"/>
        <w:ind w:firstLine="720"/>
        <w:jc w:val="right"/>
        <w:rPr>
          <w:rFonts w:ascii="Times New Roman" w:hAnsi="Times New Roman"/>
          <w:b/>
          <w:sz w:val="26"/>
          <w:szCs w:val="26"/>
        </w:rPr>
      </w:pPr>
      <w:r w:rsidRPr="007B1768">
        <w:rPr>
          <w:rFonts w:ascii="Times New Roman" w:hAnsi="Times New Roman"/>
          <w:b/>
          <w:sz w:val="26"/>
          <w:szCs w:val="26"/>
        </w:rPr>
        <w:t>Valsts kancelejai</w:t>
      </w:r>
    </w:p>
    <w:p w14:paraId="5EF393FC" w14:textId="77777777" w:rsidR="003658B5" w:rsidRPr="001E3B97" w:rsidRDefault="003658B5" w:rsidP="003658B5">
      <w:pPr>
        <w:spacing w:after="0" w:line="240" w:lineRule="auto"/>
        <w:ind w:firstLine="720"/>
        <w:jc w:val="right"/>
        <w:rPr>
          <w:rFonts w:ascii="Times New Roman" w:hAnsi="Times New Roman"/>
          <w:b/>
          <w:sz w:val="26"/>
          <w:szCs w:val="26"/>
        </w:rPr>
      </w:pPr>
      <w:bookmarkStart w:id="0" w:name="_GoBack"/>
      <w:bookmarkEnd w:id="0"/>
    </w:p>
    <w:p w14:paraId="418122F5" w14:textId="77777777" w:rsidR="00FE76E8" w:rsidRPr="001E3B97" w:rsidRDefault="00FE76E8" w:rsidP="00C906FC">
      <w:pPr>
        <w:tabs>
          <w:tab w:val="left" w:pos="6740"/>
        </w:tabs>
        <w:spacing w:after="0" w:line="240" w:lineRule="auto"/>
        <w:jc w:val="both"/>
        <w:rPr>
          <w:rFonts w:ascii="Times New Roman" w:hAnsi="Times New Roman"/>
          <w:i/>
          <w:sz w:val="26"/>
          <w:szCs w:val="26"/>
        </w:rPr>
      </w:pPr>
    </w:p>
    <w:p w14:paraId="1226E6E0" w14:textId="77777777" w:rsidR="000A0ECA" w:rsidRPr="001E3B97" w:rsidRDefault="00ED2CF5" w:rsidP="009A1F44">
      <w:pPr>
        <w:tabs>
          <w:tab w:val="left" w:pos="6740"/>
        </w:tabs>
        <w:spacing w:after="0" w:line="240" w:lineRule="auto"/>
        <w:jc w:val="both"/>
        <w:rPr>
          <w:rFonts w:ascii="Times New Roman" w:hAnsi="Times New Roman"/>
          <w:i/>
          <w:sz w:val="26"/>
          <w:szCs w:val="26"/>
          <w:lang w:eastAsia="lv-LV"/>
        </w:rPr>
      </w:pPr>
      <w:r w:rsidRPr="001E3B97">
        <w:rPr>
          <w:rFonts w:ascii="Times New Roman" w:hAnsi="Times New Roman"/>
          <w:i/>
          <w:sz w:val="26"/>
          <w:szCs w:val="26"/>
        </w:rPr>
        <w:t xml:space="preserve">Par </w:t>
      </w:r>
      <w:r w:rsidR="009A1F44" w:rsidRPr="001E3B97">
        <w:rPr>
          <w:rFonts w:ascii="Times New Roman" w:hAnsi="Times New Roman"/>
          <w:i/>
          <w:sz w:val="26"/>
          <w:szCs w:val="26"/>
          <w:lang w:eastAsia="lv-LV"/>
        </w:rPr>
        <w:t>Ministru kabineta sēdes</w:t>
      </w:r>
    </w:p>
    <w:p w14:paraId="7973D8FE" w14:textId="77777777" w:rsidR="009A1F44" w:rsidRPr="001E3B97" w:rsidRDefault="009A1F44" w:rsidP="009A1F44">
      <w:pPr>
        <w:tabs>
          <w:tab w:val="left" w:pos="6740"/>
        </w:tabs>
        <w:spacing w:after="0" w:line="240" w:lineRule="auto"/>
        <w:jc w:val="both"/>
        <w:rPr>
          <w:rFonts w:ascii="Times New Roman" w:hAnsi="Times New Roman"/>
          <w:i/>
          <w:sz w:val="26"/>
          <w:szCs w:val="26"/>
          <w:lang w:eastAsia="lv-LV"/>
        </w:rPr>
      </w:pPr>
      <w:proofErr w:type="spellStart"/>
      <w:r w:rsidRPr="001E3B97">
        <w:rPr>
          <w:rFonts w:ascii="Times New Roman" w:hAnsi="Times New Roman"/>
          <w:i/>
          <w:sz w:val="26"/>
          <w:szCs w:val="26"/>
          <w:lang w:eastAsia="lv-LV"/>
        </w:rPr>
        <w:t>protokollēmuma</w:t>
      </w:r>
      <w:proofErr w:type="spellEnd"/>
      <w:r w:rsidRPr="001E3B97">
        <w:rPr>
          <w:rFonts w:ascii="Times New Roman" w:hAnsi="Times New Roman"/>
          <w:i/>
          <w:sz w:val="26"/>
          <w:szCs w:val="26"/>
          <w:lang w:eastAsia="lv-LV"/>
        </w:rPr>
        <w:t xml:space="preserve"> projektu</w:t>
      </w:r>
    </w:p>
    <w:p w14:paraId="6C587C43" w14:textId="77777777" w:rsidR="009A1F44" w:rsidRPr="001E3B97" w:rsidRDefault="009A1F44" w:rsidP="009A1F44">
      <w:pPr>
        <w:tabs>
          <w:tab w:val="left" w:pos="6740"/>
        </w:tabs>
        <w:spacing w:after="0" w:line="240" w:lineRule="auto"/>
        <w:jc w:val="both"/>
        <w:rPr>
          <w:rFonts w:ascii="Times New Roman" w:hAnsi="Times New Roman"/>
          <w:sz w:val="26"/>
          <w:szCs w:val="26"/>
          <w:lang w:eastAsia="lv-LV"/>
        </w:rPr>
      </w:pPr>
    </w:p>
    <w:p w14:paraId="6A7341BC" w14:textId="628B0601" w:rsidR="00E16479" w:rsidRPr="00641155" w:rsidRDefault="003658B5" w:rsidP="00E16479">
      <w:pPr>
        <w:widowControl/>
        <w:autoSpaceDE w:val="0"/>
        <w:autoSpaceDN w:val="0"/>
        <w:adjustRightInd w:val="0"/>
        <w:spacing w:after="0" w:line="240" w:lineRule="auto"/>
        <w:ind w:firstLine="720"/>
        <w:jc w:val="both"/>
        <w:rPr>
          <w:rFonts w:ascii="Times New Roman" w:hAnsi="Times New Roman"/>
          <w:sz w:val="26"/>
          <w:szCs w:val="26"/>
          <w:lang w:eastAsia="lv-LV"/>
        </w:rPr>
      </w:pPr>
      <w:r w:rsidRPr="00641155">
        <w:rPr>
          <w:rFonts w:ascii="Times New Roman" w:hAnsi="Times New Roman"/>
          <w:sz w:val="26"/>
          <w:szCs w:val="26"/>
          <w:lang w:eastAsia="lv-LV"/>
        </w:rPr>
        <w:t>P</w:t>
      </w:r>
      <w:r w:rsidR="00B8685F" w:rsidRPr="00641155">
        <w:rPr>
          <w:rFonts w:ascii="Times New Roman" w:hAnsi="Times New Roman"/>
          <w:sz w:val="26"/>
          <w:szCs w:val="26"/>
          <w:lang w:eastAsia="lv-LV"/>
        </w:rPr>
        <w:t>amatojoties uz Ministru kabineta 2009.</w:t>
      </w:r>
      <w:r w:rsidR="000A0ECA" w:rsidRPr="00641155">
        <w:rPr>
          <w:rFonts w:ascii="Times New Roman" w:hAnsi="Times New Roman"/>
          <w:sz w:val="26"/>
          <w:szCs w:val="26"/>
          <w:lang w:eastAsia="lv-LV"/>
        </w:rPr>
        <w:t>gada 7.aprīļa noteikumu Nr.300 „</w:t>
      </w:r>
      <w:r w:rsidR="00B8685F" w:rsidRPr="00641155">
        <w:rPr>
          <w:rFonts w:ascii="Times New Roman" w:hAnsi="Times New Roman"/>
          <w:sz w:val="26"/>
          <w:szCs w:val="26"/>
          <w:lang w:eastAsia="lv-LV"/>
        </w:rPr>
        <w:t>Mi</w:t>
      </w:r>
      <w:r w:rsidR="000A0ECA" w:rsidRPr="00641155">
        <w:rPr>
          <w:rFonts w:ascii="Times New Roman" w:hAnsi="Times New Roman"/>
          <w:sz w:val="26"/>
          <w:szCs w:val="26"/>
          <w:lang w:eastAsia="lv-LV"/>
        </w:rPr>
        <w:t>nistru kabineta kārtības rullis”</w:t>
      </w:r>
      <w:r w:rsidR="00B8685F" w:rsidRPr="00641155">
        <w:rPr>
          <w:rFonts w:ascii="Times New Roman" w:hAnsi="Times New Roman"/>
          <w:sz w:val="26"/>
          <w:szCs w:val="26"/>
          <w:lang w:eastAsia="lv-LV"/>
        </w:rPr>
        <w:t xml:space="preserve"> </w:t>
      </w:r>
      <w:r w:rsidR="00840F62" w:rsidRPr="00641155">
        <w:rPr>
          <w:rFonts w:ascii="Times New Roman" w:hAnsi="Times New Roman"/>
          <w:sz w:val="26"/>
          <w:szCs w:val="26"/>
          <w:lang w:eastAsia="lv-LV"/>
        </w:rPr>
        <w:t>164.</w:t>
      </w:r>
      <w:r w:rsidR="00DA3CA2" w:rsidRPr="00641155">
        <w:rPr>
          <w:rFonts w:ascii="Times New Roman" w:hAnsi="Times New Roman"/>
          <w:sz w:val="26"/>
          <w:szCs w:val="26"/>
          <w:lang w:eastAsia="lv-LV"/>
        </w:rPr>
        <w:t>4.</w:t>
      </w:r>
      <w:r w:rsidR="00994867" w:rsidRPr="00641155">
        <w:rPr>
          <w:rFonts w:ascii="Times New Roman" w:hAnsi="Times New Roman"/>
          <w:sz w:val="26"/>
          <w:szCs w:val="26"/>
          <w:lang w:eastAsia="lv-LV"/>
        </w:rPr>
        <w:t>punktu</w:t>
      </w:r>
      <w:r w:rsidR="00B8685F" w:rsidRPr="00641155">
        <w:rPr>
          <w:rFonts w:ascii="Times New Roman" w:hAnsi="Times New Roman"/>
          <w:sz w:val="26"/>
          <w:szCs w:val="26"/>
          <w:lang w:eastAsia="lv-LV"/>
        </w:rPr>
        <w:t xml:space="preserve">, </w:t>
      </w:r>
      <w:r w:rsidRPr="00641155">
        <w:rPr>
          <w:rFonts w:ascii="Times New Roman" w:hAnsi="Times New Roman"/>
          <w:sz w:val="26"/>
          <w:szCs w:val="26"/>
          <w:lang w:eastAsia="lv-LV"/>
        </w:rPr>
        <w:t xml:space="preserve">iesniedzu izskatīšanai Ministru kabineta sēdē </w:t>
      </w:r>
      <w:r w:rsidR="00DA3CA2" w:rsidRPr="00641155">
        <w:rPr>
          <w:rFonts w:ascii="Times New Roman" w:hAnsi="Times New Roman"/>
          <w:sz w:val="26"/>
          <w:szCs w:val="26"/>
          <w:lang w:eastAsia="lv-LV"/>
        </w:rPr>
        <w:t xml:space="preserve">Ministru kabineta </w:t>
      </w:r>
      <w:r w:rsidR="009774E7" w:rsidRPr="00641155">
        <w:rPr>
          <w:rFonts w:ascii="Times New Roman" w:hAnsi="Times New Roman"/>
          <w:sz w:val="26"/>
          <w:szCs w:val="26"/>
          <w:lang w:eastAsia="lv-LV"/>
        </w:rPr>
        <w:t xml:space="preserve">sēdes </w:t>
      </w:r>
      <w:proofErr w:type="spellStart"/>
      <w:r w:rsidR="00DA3CA2" w:rsidRPr="00641155">
        <w:rPr>
          <w:rFonts w:ascii="Times New Roman" w:hAnsi="Times New Roman"/>
          <w:sz w:val="26"/>
          <w:szCs w:val="26"/>
          <w:lang w:eastAsia="lv-LV"/>
        </w:rPr>
        <w:t>protokollēmuma</w:t>
      </w:r>
      <w:proofErr w:type="spellEnd"/>
      <w:r w:rsidR="009774E7" w:rsidRPr="00641155">
        <w:rPr>
          <w:rFonts w:ascii="Times New Roman" w:hAnsi="Times New Roman"/>
          <w:sz w:val="26"/>
          <w:szCs w:val="26"/>
          <w:lang w:eastAsia="lv-LV"/>
        </w:rPr>
        <w:t xml:space="preserve"> projektu</w:t>
      </w:r>
      <w:r w:rsidR="00DA3CA2" w:rsidRPr="00641155">
        <w:rPr>
          <w:rFonts w:ascii="Times New Roman" w:hAnsi="Times New Roman"/>
          <w:sz w:val="26"/>
          <w:szCs w:val="26"/>
          <w:lang w:eastAsia="lv-LV"/>
        </w:rPr>
        <w:t xml:space="preserve"> </w:t>
      </w:r>
      <w:r w:rsidR="00E16479" w:rsidRPr="00641155">
        <w:rPr>
          <w:rFonts w:ascii="Times New Roman" w:hAnsi="Times New Roman"/>
          <w:sz w:val="26"/>
          <w:szCs w:val="26"/>
          <w:lang w:eastAsia="lv-LV"/>
        </w:rPr>
        <w:t xml:space="preserve">“Par </w:t>
      </w:r>
      <w:r w:rsidR="00E16479" w:rsidRPr="003702F1">
        <w:rPr>
          <w:rFonts w:ascii="Times New Roman" w:hAnsi="Times New Roman"/>
          <w:sz w:val="26"/>
          <w:szCs w:val="26"/>
        </w:rPr>
        <w:t xml:space="preserve">Ministru kabineta 2017.gada 7.marta sēdes </w:t>
      </w:r>
      <w:proofErr w:type="spellStart"/>
      <w:r w:rsidR="00E16479" w:rsidRPr="003702F1">
        <w:rPr>
          <w:rFonts w:ascii="Times New Roman" w:hAnsi="Times New Roman"/>
          <w:sz w:val="26"/>
          <w:szCs w:val="26"/>
        </w:rPr>
        <w:t>protokollēmuma</w:t>
      </w:r>
      <w:proofErr w:type="spellEnd"/>
      <w:r w:rsidR="00E16479" w:rsidRPr="003702F1">
        <w:rPr>
          <w:rFonts w:ascii="Times New Roman" w:hAnsi="Times New Roman"/>
          <w:sz w:val="26"/>
          <w:szCs w:val="26"/>
        </w:rPr>
        <w:t xml:space="preserve"> (prot. Nr.11 9.§) “Noteikumu projekts “Revīzijas pakalpojumu kvalitātes kontroles prasību ievērošanas pārbaudes noteikumi un pilnvaroto pārstāvju kvalifikācijas prasības””</w:t>
      </w:r>
      <w:r w:rsidR="00E16479" w:rsidRPr="00641155">
        <w:rPr>
          <w:rFonts w:ascii="Times New Roman" w:hAnsi="Times New Roman"/>
          <w:sz w:val="26"/>
          <w:szCs w:val="26"/>
          <w:lang w:eastAsia="lv-LV"/>
        </w:rPr>
        <w:t xml:space="preserve"> 2.punktā dotā uzdevuma izpildi” (turpmāk – </w:t>
      </w:r>
      <w:proofErr w:type="spellStart"/>
      <w:r w:rsidR="00E16479" w:rsidRPr="00641155">
        <w:rPr>
          <w:rFonts w:ascii="Times New Roman" w:hAnsi="Times New Roman"/>
          <w:sz w:val="26"/>
          <w:szCs w:val="26"/>
          <w:lang w:eastAsia="lv-LV"/>
        </w:rPr>
        <w:t>protokollēmuma</w:t>
      </w:r>
      <w:proofErr w:type="spellEnd"/>
      <w:r w:rsidR="00E16479" w:rsidRPr="00641155">
        <w:rPr>
          <w:rFonts w:ascii="Times New Roman" w:hAnsi="Times New Roman"/>
          <w:sz w:val="26"/>
          <w:szCs w:val="26"/>
          <w:lang w:eastAsia="lv-LV"/>
        </w:rPr>
        <w:t xml:space="preserve"> projekts).</w:t>
      </w:r>
    </w:p>
    <w:p w14:paraId="424A5A8F" w14:textId="77777777" w:rsidR="00CC2D1B" w:rsidRPr="001E3B97" w:rsidRDefault="00CC2D1B" w:rsidP="00CC2D1B">
      <w:pPr>
        <w:spacing w:after="0" w:line="240" w:lineRule="auto"/>
        <w:ind w:firstLine="720"/>
        <w:jc w:val="both"/>
        <w:rPr>
          <w:rFonts w:ascii="Times New Roman" w:eastAsia="Times New Roman" w:hAnsi="Times New Roman"/>
          <w:b/>
          <w:sz w:val="26"/>
          <w:szCs w:val="26"/>
        </w:rPr>
      </w:pPr>
    </w:p>
    <w:tbl>
      <w:tblPr>
        <w:tblStyle w:val="TableGrid"/>
        <w:tblW w:w="0" w:type="auto"/>
        <w:tblLook w:val="04A0" w:firstRow="1" w:lastRow="0" w:firstColumn="1" w:lastColumn="0" w:noHBand="0" w:noVBand="1"/>
      </w:tblPr>
      <w:tblGrid>
        <w:gridCol w:w="3114"/>
        <w:gridCol w:w="5953"/>
      </w:tblGrid>
      <w:tr w:rsidR="00473A89" w:rsidRPr="001E3B97" w14:paraId="570FED96" w14:textId="77777777" w:rsidTr="00473A89">
        <w:tc>
          <w:tcPr>
            <w:tcW w:w="3114" w:type="dxa"/>
          </w:tcPr>
          <w:p w14:paraId="398104CE" w14:textId="77777777" w:rsidR="00DE4B1F" w:rsidRPr="007B1768" w:rsidRDefault="00473A89" w:rsidP="00ED2CF5">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sz w:val="26"/>
                <w:szCs w:val="26"/>
                <w:lang w:eastAsia="lv-LV"/>
              </w:rPr>
              <w:t>Iesniegšanas pamatojums</w:t>
            </w:r>
          </w:p>
          <w:p w14:paraId="25A2190C" w14:textId="77777777" w:rsidR="00DE4B1F" w:rsidRPr="007B1768" w:rsidRDefault="00DE4B1F" w:rsidP="00DE4B1F">
            <w:pPr>
              <w:rPr>
                <w:rFonts w:ascii="Times New Roman" w:hAnsi="Times New Roman"/>
                <w:sz w:val="26"/>
                <w:szCs w:val="26"/>
                <w:lang w:eastAsia="lv-LV"/>
              </w:rPr>
            </w:pPr>
          </w:p>
          <w:p w14:paraId="56A79C67" w14:textId="77777777" w:rsidR="00DE4B1F" w:rsidRPr="007B1768" w:rsidRDefault="00DE4B1F" w:rsidP="00DE4B1F">
            <w:pPr>
              <w:rPr>
                <w:rFonts w:ascii="Times New Roman" w:hAnsi="Times New Roman"/>
                <w:sz w:val="26"/>
                <w:szCs w:val="26"/>
                <w:lang w:eastAsia="lv-LV"/>
              </w:rPr>
            </w:pPr>
          </w:p>
          <w:p w14:paraId="7727FA59" w14:textId="77777777" w:rsidR="00DE4B1F" w:rsidRPr="007B1768" w:rsidRDefault="00DE4B1F" w:rsidP="00DE4B1F">
            <w:pPr>
              <w:rPr>
                <w:rFonts w:ascii="Times New Roman" w:hAnsi="Times New Roman"/>
                <w:sz w:val="26"/>
                <w:szCs w:val="26"/>
                <w:lang w:eastAsia="lv-LV"/>
              </w:rPr>
            </w:pPr>
          </w:p>
          <w:p w14:paraId="53BC2DDA" w14:textId="77777777" w:rsidR="00DE4B1F" w:rsidRPr="007B1768" w:rsidRDefault="00DE4B1F" w:rsidP="00DE4B1F">
            <w:pPr>
              <w:rPr>
                <w:rFonts w:ascii="Times New Roman" w:hAnsi="Times New Roman"/>
                <w:sz w:val="26"/>
                <w:szCs w:val="26"/>
                <w:lang w:eastAsia="lv-LV"/>
              </w:rPr>
            </w:pPr>
          </w:p>
          <w:p w14:paraId="7537F868" w14:textId="77777777" w:rsidR="00DE4B1F" w:rsidRPr="007B1768" w:rsidRDefault="00DE4B1F" w:rsidP="00DE4B1F">
            <w:pPr>
              <w:rPr>
                <w:rFonts w:ascii="Times New Roman" w:hAnsi="Times New Roman"/>
                <w:sz w:val="26"/>
                <w:szCs w:val="26"/>
                <w:lang w:eastAsia="lv-LV"/>
              </w:rPr>
            </w:pPr>
          </w:p>
          <w:p w14:paraId="7F41A36A" w14:textId="77777777" w:rsidR="00DE4B1F" w:rsidRPr="007B1768" w:rsidRDefault="00DE4B1F" w:rsidP="00DE4B1F">
            <w:pPr>
              <w:rPr>
                <w:rFonts w:ascii="Times New Roman" w:hAnsi="Times New Roman"/>
                <w:sz w:val="26"/>
                <w:szCs w:val="26"/>
                <w:lang w:eastAsia="lv-LV"/>
              </w:rPr>
            </w:pPr>
          </w:p>
          <w:p w14:paraId="1427209B" w14:textId="77777777" w:rsidR="00DE4B1F" w:rsidRPr="007B1768" w:rsidRDefault="00DE4B1F" w:rsidP="00DE4B1F">
            <w:pPr>
              <w:rPr>
                <w:rFonts w:ascii="Times New Roman" w:hAnsi="Times New Roman"/>
                <w:sz w:val="26"/>
                <w:szCs w:val="26"/>
                <w:lang w:eastAsia="lv-LV"/>
              </w:rPr>
            </w:pPr>
          </w:p>
          <w:p w14:paraId="3C1AA0F7" w14:textId="77777777" w:rsidR="00DE4B1F" w:rsidRPr="007B1768" w:rsidRDefault="00DE4B1F" w:rsidP="00DE4B1F">
            <w:pPr>
              <w:rPr>
                <w:rFonts w:ascii="Times New Roman" w:hAnsi="Times New Roman"/>
                <w:sz w:val="26"/>
                <w:szCs w:val="26"/>
                <w:lang w:eastAsia="lv-LV"/>
              </w:rPr>
            </w:pPr>
          </w:p>
          <w:p w14:paraId="649E0895" w14:textId="77777777" w:rsidR="00DE4B1F" w:rsidRPr="007B1768" w:rsidRDefault="00DE4B1F" w:rsidP="00DE4B1F">
            <w:pPr>
              <w:rPr>
                <w:rFonts w:ascii="Times New Roman" w:hAnsi="Times New Roman"/>
                <w:sz w:val="26"/>
                <w:szCs w:val="26"/>
                <w:lang w:eastAsia="lv-LV"/>
              </w:rPr>
            </w:pPr>
          </w:p>
          <w:p w14:paraId="1DBC28B4" w14:textId="77777777" w:rsidR="00DE4B1F" w:rsidRPr="007B1768" w:rsidRDefault="00DE4B1F" w:rsidP="00DE4B1F">
            <w:pPr>
              <w:rPr>
                <w:rFonts w:ascii="Times New Roman" w:hAnsi="Times New Roman"/>
                <w:sz w:val="26"/>
                <w:szCs w:val="26"/>
                <w:lang w:eastAsia="lv-LV"/>
              </w:rPr>
            </w:pPr>
          </w:p>
          <w:p w14:paraId="56723C6F" w14:textId="2D677F67" w:rsidR="007B1768" w:rsidRDefault="00F47BCA" w:rsidP="007B1768">
            <w:pPr>
              <w:tabs>
                <w:tab w:val="left" w:pos="720"/>
              </w:tabs>
              <w:rPr>
                <w:rFonts w:ascii="Times New Roman" w:hAnsi="Times New Roman"/>
                <w:sz w:val="26"/>
                <w:szCs w:val="26"/>
                <w:lang w:eastAsia="lv-LV"/>
              </w:rPr>
            </w:pPr>
            <w:r w:rsidRPr="007B1768">
              <w:rPr>
                <w:rFonts w:ascii="Times New Roman" w:hAnsi="Times New Roman"/>
                <w:sz w:val="26"/>
                <w:szCs w:val="26"/>
                <w:lang w:eastAsia="lv-LV"/>
              </w:rPr>
              <w:tab/>
            </w:r>
          </w:p>
          <w:p w14:paraId="768F4DD5" w14:textId="77777777" w:rsidR="00473A89" w:rsidRPr="007B1768" w:rsidRDefault="00473A89" w:rsidP="007B1768">
            <w:pPr>
              <w:jc w:val="center"/>
              <w:rPr>
                <w:rFonts w:ascii="Times New Roman" w:hAnsi="Times New Roman"/>
                <w:sz w:val="26"/>
                <w:szCs w:val="26"/>
                <w:lang w:eastAsia="lv-LV"/>
              </w:rPr>
            </w:pPr>
          </w:p>
        </w:tc>
        <w:tc>
          <w:tcPr>
            <w:tcW w:w="5953" w:type="dxa"/>
          </w:tcPr>
          <w:p w14:paraId="16E6F2FA" w14:textId="28ABA3DE" w:rsidR="009216B2" w:rsidRDefault="009216B2" w:rsidP="009216B2">
            <w:pPr>
              <w:spacing w:after="0" w:line="240" w:lineRule="auto"/>
              <w:jc w:val="both"/>
              <w:rPr>
                <w:rFonts w:ascii="Times New Roman" w:hAnsi="Times New Roman"/>
                <w:sz w:val="26"/>
                <w:szCs w:val="26"/>
              </w:rPr>
            </w:pPr>
            <w:r>
              <w:rPr>
                <w:rFonts w:ascii="Times New Roman" w:hAnsi="Times New Roman"/>
                <w:bCs/>
                <w:sz w:val="26"/>
                <w:szCs w:val="26"/>
                <w:lang w:eastAsia="lv-LV"/>
              </w:rPr>
              <w:lastRenderedPageBreak/>
              <w:t xml:space="preserve">       </w:t>
            </w:r>
            <w:r w:rsidR="004329E9" w:rsidRPr="009216B2">
              <w:rPr>
                <w:rFonts w:ascii="Times New Roman" w:hAnsi="Times New Roman"/>
                <w:bCs/>
                <w:sz w:val="26"/>
                <w:szCs w:val="26"/>
                <w:lang w:eastAsia="lv-LV"/>
              </w:rPr>
              <w:t>Ministru kabinets 201</w:t>
            </w:r>
            <w:r w:rsidR="00D735D9" w:rsidRPr="009216B2">
              <w:rPr>
                <w:rFonts w:ascii="Times New Roman" w:hAnsi="Times New Roman"/>
                <w:bCs/>
                <w:sz w:val="26"/>
                <w:szCs w:val="26"/>
                <w:lang w:eastAsia="lv-LV"/>
              </w:rPr>
              <w:t>7.gada 7</w:t>
            </w:r>
            <w:r w:rsidR="004329E9" w:rsidRPr="009216B2">
              <w:rPr>
                <w:rFonts w:ascii="Times New Roman" w:hAnsi="Times New Roman"/>
                <w:bCs/>
                <w:sz w:val="26"/>
                <w:szCs w:val="26"/>
                <w:lang w:eastAsia="lv-LV"/>
              </w:rPr>
              <w:t>.ma</w:t>
            </w:r>
            <w:r w:rsidR="00D735D9" w:rsidRPr="009216B2">
              <w:rPr>
                <w:rFonts w:ascii="Times New Roman" w:hAnsi="Times New Roman"/>
                <w:bCs/>
                <w:sz w:val="26"/>
                <w:szCs w:val="26"/>
                <w:lang w:eastAsia="lv-LV"/>
              </w:rPr>
              <w:t>rta</w:t>
            </w:r>
            <w:r w:rsidR="004329E9" w:rsidRPr="009216B2">
              <w:rPr>
                <w:rFonts w:ascii="Times New Roman" w:hAnsi="Times New Roman"/>
                <w:bCs/>
                <w:sz w:val="26"/>
                <w:szCs w:val="26"/>
                <w:lang w:eastAsia="lv-LV"/>
              </w:rPr>
              <w:t xml:space="preserve"> sēdē, atbalstot iesniegto Finanšu ministrijas</w:t>
            </w:r>
            <w:r w:rsidR="00D735D9" w:rsidRPr="009216B2">
              <w:rPr>
                <w:rFonts w:ascii="Times New Roman" w:hAnsi="Times New Roman"/>
                <w:bCs/>
                <w:sz w:val="26"/>
                <w:szCs w:val="26"/>
                <w:lang w:eastAsia="lv-LV"/>
              </w:rPr>
              <w:t xml:space="preserve"> izstrādāto noteikumu projektu</w:t>
            </w:r>
            <w:r w:rsidR="004329E9" w:rsidRPr="009216B2">
              <w:rPr>
                <w:rFonts w:ascii="Times New Roman" w:hAnsi="Times New Roman"/>
                <w:bCs/>
                <w:sz w:val="26"/>
                <w:szCs w:val="26"/>
                <w:lang w:eastAsia="lv-LV"/>
              </w:rPr>
              <w:t xml:space="preserve"> </w:t>
            </w:r>
            <w:r w:rsidR="00D735D9" w:rsidRPr="009216B2">
              <w:rPr>
                <w:rFonts w:ascii="Times New Roman" w:hAnsi="Times New Roman"/>
                <w:bCs/>
                <w:sz w:val="26"/>
                <w:szCs w:val="26"/>
                <w:lang w:eastAsia="lv-LV"/>
              </w:rPr>
              <w:t>“</w:t>
            </w:r>
            <w:r w:rsidR="00D735D9" w:rsidRPr="009216B2">
              <w:rPr>
                <w:rFonts w:ascii="Times New Roman" w:hAnsi="Times New Roman"/>
                <w:sz w:val="26"/>
                <w:szCs w:val="26"/>
              </w:rPr>
              <w:t>Revīzijas pakalpojumu kvalitātes kontroles prasību ievērošanas pārbaudes noteikumi un pilnvaroto pārstāvju kvalifikācijas prasības”</w:t>
            </w:r>
            <w:r w:rsidR="00D735D9" w:rsidRPr="009216B2">
              <w:rPr>
                <w:rFonts w:ascii="Times New Roman" w:hAnsi="Times New Roman"/>
                <w:bCs/>
                <w:sz w:val="26"/>
                <w:szCs w:val="26"/>
                <w:lang w:eastAsia="lv-LV"/>
              </w:rPr>
              <w:t xml:space="preserve"> </w:t>
            </w:r>
            <w:r w:rsidR="00C94D92" w:rsidRPr="009216B2">
              <w:rPr>
                <w:rFonts w:ascii="Times New Roman" w:hAnsi="Times New Roman"/>
                <w:bCs/>
                <w:sz w:val="26"/>
                <w:szCs w:val="26"/>
                <w:lang w:eastAsia="lv-LV"/>
              </w:rPr>
              <w:t xml:space="preserve">deva uzdevumu Finanšu ministrijai sagatavot un līdz 2017.gada </w:t>
            </w:r>
            <w:r w:rsidR="00D735D9" w:rsidRPr="009216B2">
              <w:rPr>
                <w:rFonts w:ascii="Times New Roman" w:hAnsi="Times New Roman"/>
                <w:bCs/>
                <w:sz w:val="26"/>
                <w:szCs w:val="26"/>
                <w:lang w:eastAsia="lv-LV"/>
              </w:rPr>
              <w:t>1</w:t>
            </w:r>
            <w:r w:rsidR="00C94D92" w:rsidRPr="009216B2">
              <w:rPr>
                <w:rFonts w:ascii="Times New Roman" w:hAnsi="Times New Roman"/>
                <w:bCs/>
                <w:sz w:val="26"/>
                <w:szCs w:val="26"/>
                <w:lang w:eastAsia="lv-LV"/>
              </w:rPr>
              <w:t>.</w:t>
            </w:r>
            <w:r w:rsidR="00D735D9" w:rsidRPr="009216B2">
              <w:rPr>
                <w:rFonts w:ascii="Times New Roman" w:hAnsi="Times New Roman"/>
                <w:bCs/>
                <w:sz w:val="26"/>
                <w:szCs w:val="26"/>
                <w:lang w:eastAsia="lv-LV"/>
              </w:rPr>
              <w:t>oktobrim</w:t>
            </w:r>
            <w:r w:rsidR="00C94D92" w:rsidRPr="009216B2">
              <w:rPr>
                <w:rFonts w:ascii="Times New Roman" w:hAnsi="Times New Roman"/>
                <w:bCs/>
                <w:sz w:val="26"/>
                <w:szCs w:val="26"/>
                <w:lang w:eastAsia="lv-LV"/>
              </w:rPr>
              <w:t xml:space="preserve"> noteiktā kārtībā </w:t>
            </w:r>
            <w:r w:rsidR="00D735D9" w:rsidRPr="009216B2">
              <w:rPr>
                <w:rFonts w:ascii="Times New Roman" w:hAnsi="Times New Roman"/>
                <w:bCs/>
                <w:sz w:val="26"/>
                <w:szCs w:val="26"/>
                <w:lang w:eastAsia="lv-LV"/>
              </w:rPr>
              <w:t xml:space="preserve">iesniegt </w:t>
            </w:r>
            <w:r w:rsidR="00C94D92" w:rsidRPr="009216B2">
              <w:rPr>
                <w:rFonts w:ascii="Times New Roman" w:hAnsi="Times New Roman"/>
                <w:bCs/>
                <w:sz w:val="26"/>
                <w:szCs w:val="26"/>
                <w:lang w:eastAsia="lv-LV"/>
              </w:rPr>
              <w:t xml:space="preserve">izskatīšanai Ministru kabinetā </w:t>
            </w:r>
            <w:r w:rsidR="00D735D9" w:rsidRPr="009216B2">
              <w:rPr>
                <w:rFonts w:ascii="Times New Roman" w:hAnsi="Times New Roman"/>
                <w:bCs/>
                <w:sz w:val="26"/>
                <w:szCs w:val="26"/>
                <w:lang w:eastAsia="lv-LV"/>
              </w:rPr>
              <w:t>likumprojektu “Grozījumi Revīzijas pakalpojumu likumā”</w:t>
            </w:r>
            <w:r w:rsidR="00AE3D81" w:rsidRPr="009216B2">
              <w:rPr>
                <w:rFonts w:ascii="Times New Roman" w:hAnsi="Times New Roman"/>
                <w:bCs/>
                <w:sz w:val="26"/>
                <w:szCs w:val="26"/>
                <w:lang w:eastAsia="lv-LV"/>
              </w:rPr>
              <w:t>, lai Revīzijas pakalpojumu likuma 35.prim panta sestajā daļā noteiktās prasības Finanšu ministrijas pilnvarotajiem pārstāvjiem saskaņotu ar Eiropas Parlamenta un Padomes 2014.gada 16.aprīļa regulas Nr.537/2014 par īpašām prasībām attiecībā uz obligātajām revīzijām sabiedriskas nozīmes struktūrās un ar ko atceļ Komisijas lēmumu 2005/909/EK 26.panta 5.punkta “c” apakšpunkta prasīb</w:t>
            </w:r>
            <w:r w:rsidR="006B799C" w:rsidRPr="009216B2">
              <w:rPr>
                <w:rFonts w:ascii="Times New Roman" w:hAnsi="Times New Roman"/>
                <w:bCs/>
                <w:sz w:val="26"/>
                <w:szCs w:val="26"/>
                <w:lang w:eastAsia="lv-LV"/>
              </w:rPr>
              <w:t xml:space="preserve">ām. Līdz ar to Revīzijas pakalpojumu likuma attiecīgā norma ir jāprecizē, </w:t>
            </w:r>
            <w:r w:rsidRPr="009216B2">
              <w:rPr>
                <w:rFonts w:ascii="Times New Roman" w:hAnsi="Times New Roman"/>
                <w:bCs/>
                <w:sz w:val="26"/>
                <w:szCs w:val="26"/>
                <w:lang w:eastAsia="lv-LV"/>
              </w:rPr>
              <w:t xml:space="preserve">paredzot, </w:t>
            </w:r>
            <w:r w:rsidRPr="009216B2">
              <w:rPr>
                <w:rFonts w:ascii="Times New Roman" w:eastAsia="Times New Roman" w:hAnsi="Times New Roman"/>
                <w:sz w:val="26"/>
                <w:szCs w:val="26"/>
                <w:lang w:eastAsia="lv-LV"/>
              </w:rPr>
              <w:t>ka pašlaik Revīzijas pakalpojumu likumā noteiktais interešu konflikta novēršanas termiņš</w:t>
            </w:r>
            <w:r w:rsidRPr="009216B2">
              <w:rPr>
                <w:rFonts w:ascii="Times New Roman" w:hAnsi="Times New Roman"/>
                <w:sz w:val="26"/>
                <w:szCs w:val="26"/>
              </w:rPr>
              <w:t xml:space="preserve"> divi gadi personai, kas drīkst būt par Finanšu ministrijas </w:t>
            </w:r>
            <w:r w:rsidRPr="009216B2">
              <w:rPr>
                <w:rFonts w:ascii="Times New Roman" w:hAnsi="Times New Roman"/>
                <w:sz w:val="26"/>
                <w:szCs w:val="26"/>
              </w:rPr>
              <w:lastRenderedPageBreak/>
              <w:t>pilnvarotā pārstāvi (inspektoru) ir pagarināts līdz trīs gadiem.</w:t>
            </w:r>
          </w:p>
          <w:p w14:paraId="57E0E488" w14:textId="08A282BE" w:rsidR="00FC1E71" w:rsidRPr="005815E0" w:rsidRDefault="009216B2" w:rsidP="00685C27">
            <w:pPr>
              <w:spacing w:after="0" w:line="240" w:lineRule="auto"/>
              <w:jc w:val="both"/>
              <w:rPr>
                <w:rFonts w:ascii="Times New Roman" w:hAnsi="Times New Roman"/>
                <w:sz w:val="26"/>
                <w:szCs w:val="26"/>
              </w:rPr>
            </w:pPr>
            <w:r>
              <w:rPr>
                <w:rFonts w:ascii="Times New Roman" w:hAnsi="Times New Roman"/>
                <w:sz w:val="26"/>
                <w:szCs w:val="26"/>
              </w:rPr>
              <w:t xml:space="preserve">       </w:t>
            </w:r>
            <w:r w:rsidR="00FC1E71">
              <w:rPr>
                <w:rFonts w:ascii="Times New Roman" w:hAnsi="Times New Roman"/>
                <w:sz w:val="26"/>
                <w:szCs w:val="26"/>
              </w:rPr>
              <w:t>Šobrīd p</w:t>
            </w:r>
            <w:r w:rsidRPr="009216B2">
              <w:rPr>
                <w:rFonts w:ascii="Times New Roman" w:hAnsi="Times New Roman"/>
                <w:sz w:val="26"/>
                <w:szCs w:val="26"/>
              </w:rPr>
              <w:t xml:space="preserve">apildus grozījumiem, kas paredzēti, lai izpildītu Ministru kabineta 2017.gada 7.marta sēdes protokola Nr.11 9.§ 2.punktā doto uzdevumu, </w:t>
            </w:r>
            <w:r w:rsidR="00FC1E71">
              <w:rPr>
                <w:rFonts w:ascii="Times New Roman" w:hAnsi="Times New Roman"/>
                <w:sz w:val="26"/>
                <w:szCs w:val="26"/>
              </w:rPr>
              <w:t xml:space="preserve">Revīzijas pakalpojumu likumā ir nepieciešams veikt vēl arī citus </w:t>
            </w:r>
            <w:r w:rsidR="00FC1E71" w:rsidRPr="005815E0">
              <w:rPr>
                <w:rFonts w:ascii="Times New Roman" w:hAnsi="Times New Roman"/>
                <w:sz w:val="26"/>
                <w:szCs w:val="26"/>
              </w:rPr>
              <w:t>grozījumus, piemēram, lai:</w:t>
            </w:r>
          </w:p>
          <w:p w14:paraId="2F1CE47F" w14:textId="4046C6D5" w:rsidR="005815E0" w:rsidRPr="005815E0" w:rsidRDefault="00FC1E71" w:rsidP="005815E0">
            <w:pPr>
              <w:tabs>
                <w:tab w:val="left" w:pos="639"/>
              </w:tabs>
              <w:spacing w:after="0" w:line="240" w:lineRule="auto"/>
              <w:jc w:val="both"/>
              <w:rPr>
                <w:rFonts w:ascii="Times New Roman" w:hAnsi="Times New Roman"/>
                <w:sz w:val="26"/>
                <w:szCs w:val="26"/>
              </w:rPr>
            </w:pPr>
            <w:r w:rsidRPr="005815E0">
              <w:rPr>
                <w:rFonts w:ascii="Times New Roman" w:hAnsi="Times New Roman"/>
                <w:sz w:val="26"/>
                <w:szCs w:val="26"/>
              </w:rPr>
              <w:t xml:space="preserve">- </w:t>
            </w:r>
            <w:r w:rsidR="005815E0" w:rsidRPr="005815E0">
              <w:rPr>
                <w:rFonts w:ascii="Times New Roman" w:hAnsi="Times New Roman"/>
                <w:sz w:val="26"/>
                <w:szCs w:val="26"/>
              </w:rPr>
              <w:t xml:space="preserve">papildinātu Revīzijas pakalpojumu likumu, paredzot likumā papildu izņēmuma gadījumu, kad zvērināts revidents drīkst atklāt klienta komercnoslēpumu saturošu informāciju, jo šobrīd </w:t>
            </w:r>
            <w:r w:rsidR="005815E0">
              <w:rPr>
                <w:rFonts w:ascii="Times New Roman" w:hAnsi="Times New Roman"/>
                <w:sz w:val="26"/>
                <w:szCs w:val="26"/>
              </w:rPr>
              <w:t xml:space="preserve">ar </w:t>
            </w:r>
            <w:r w:rsidR="005815E0" w:rsidRPr="005815E0">
              <w:rPr>
                <w:rFonts w:ascii="Times New Roman" w:hAnsi="Times New Roman"/>
                <w:sz w:val="26"/>
                <w:szCs w:val="26"/>
              </w:rPr>
              <w:t xml:space="preserve">Revīzijas pakalpojumu likumu zvērinātam revidentam dotās tiesības neizpaust klienta aizsargājamo informāciju rada situāciju, kad zvērināts revidents var nepildīt  likumā “Par nodokļiem un nodevām” noteikto prasību kā </w:t>
            </w:r>
            <w:r w:rsidR="005815E0" w:rsidRPr="005815E0">
              <w:rPr>
                <w:rFonts w:ascii="Times New Roman" w:hAnsi="Times New Roman"/>
                <w:bCs/>
                <w:sz w:val="26"/>
                <w:szCs w:val="26"/>
              </w:rPr>
              <w:t>Noziedzīgi iegūtu līdzekļu legalizācijas un terorisma finansēšanas novēršanas likuma</w:t>
            </w:r>
            <w:r w:rsidR="005815E0" w:rsidRPr="005815E0">
              <w:rPr>
                <w:rFonts w:ascii="Times New Roman" w:hAnsi="Times New Roman"/>
                <w:sz w:val="26"/>
                <w:szCs w:val="26"/>
              </w:rPr>
              <w:t xml:space="preserve"> subjektam ziņot Valsts ieņēmumu dienestam par tiem aizdomīgajiem darījumiem, kas skar nodokļu jomu;</w:t>
            </w:r>
          </w:p>
          <w:p w14:paraId="26428FD5" w14:textId="6353E6D3" w:rsidR="00685C27" w:rsidRDefault="00685C27" w:rsidP="00685C27">
            <w:pPr>
              <w:spacing w:after="0" w:line="240" w:lineRule="auto"/>
              <w:jc w:val="both"/>
              <w:rPr>
                <w:rFonts w:ascii="Times New Roman" w:hAnsi="Times New Roman"/>
                <w:color w:val="FF0000"/>
                <w:sz w:val="26"/>
                <w:szCs w:val="26"/>
              </w:rPr>
            </w:pPr>
            <w:r w:rsidRPr="005815E0">
              <w:rPr>
                <w:rFonts w:ascii="Times New Roman" w:hAnsi="Times New Roman"/>
                <w:sz w:val="26"/>
                <w:szCs w:val="26"/>
              </w:rPr>
              <w:t xml:space="preserve">- precizēt </w:t>
            </w:r>
            <w:r w:rsidR="00003382" w:rsidRPr="005815E0">
              <w:rPr>
                <w:rFonts w:ascii="Times New Roman" w:hAnsi="Times New Roman"/>
                <w:sz w:val="26"/>
                <w:szCs w:val="26"/>
              </w:rPr>
              <w:t xml:space="preserve">Revīzijas pakalpojumu </w:t>
            </w:r>
            <w:r w:rsidRPr="005815E0">
              <w:rPr>
                <w:rFonts w:ascii="Times New Roman" w:hAnsi="Times New Roman"/>
                <w:sz w:val="26"/>
                <w:szCs w:val="26"/>
              </w:rPr>
              <w:t>likuma normas attiecībā uz apstākļiem, kas ņemami vērā, Finanšu ministrijai pieņemot lēmumu par sankciju un/vai uzraudzības pasākumu piemērošanu zvērinātam revidentam vai zvērinātu revidentu komercsabiedrībai;</w:t>
            </w:r>
          </w:p>
          <w:p w14:paraId="7240B06B" w14:textId="4DD284E0" w:rsidR="00B459BB" w:rsidRPr="00B459BB" w:rsidRDefault="00FD63BD" w:rsidP="00FD63BD">
            <w:pPr>
              <w:tabs>
                <w:tab w:val="left" w:pos="639"/>
              </w:tabs>
              <w:spacing w:after="0" w:line="240" w:lineRule="auto"/>
              <w:jc w:val="both"/>
              <w:rPr>
                <w:rFonts w:ascii="Times New Roman" w:hAnsi="Times New Roman"/>
                <w:sz w:val="26"/>
                <w:szCs w:val="26"/>
              </w:rPr>
            </w:pPr>
            <w:r w:rsidRPr="00B459BB">
              <w:rPr>
                <w:rFonts w:ascii="Times New Roman" w:hAnsi="Times New Roman"/>
                <w:sz w:val="26"/>
                <w:szCs w:val="26"/>
              </w:rPr>
              <w:t>- precizētu atsevišķas</w:t>
            </w:r>
            <w:r w:rsidR="00003382">
              <w:rPr>
                <w:rFonts w:ascii="Times New Roman" w:hAnsi="Times New Roman"/>
                <w:sz w:val="26"/>
                <w:szCs w:val="26"/>
              </w:rPr>
              <w:t xml:space="preserve"> </w:t>
            </w:r>
            <w:r w:rsidR="00003382" w:rsidRPr="005815E0">
              <w:rPr>
                <w:rFonts w:ascii="Times New Roman" w:hAnsi="Times New Roman"/>
                <w:sz w:val="26"/>
                <w:szCs w:val="26"/>
              </w:rPr>
              <w:t>Revīzijas pakalpojumu</w:t>
            </w:r>
            <w:r w:rsidR="00003382">
              <w:rPr>
                <w:rFonts w:ascii="Times New Roman" w:hAnsi="Times New Roman"/>
                <w:sz w:val="26"/>
                <w:szCs w:val="26"/>
              </w:rPr>
              <w:t xml:space="preserve"> likuma</w:t>
            </w:r>
            <w:r w:rsidRPr="00B459BB">
              <w:rPr>
                <w:rFonts w:ascii="Times New Roman" w:hAnsi="Times New Roman"/>
                <w:sz w:val="26"/>
                <w:szCs w:val="26"/>
              </w:rPr>
              <w:t xml:space="preserve"> normas</w:t>
            </w:r>
            <w:r w:rsidR="00B459BB" w:rsidRPr="00B459BB">
              <w:rPr>
                <w:rFonts w:ascii="Times New Roman" w:hAnsi="Times New Roman"/>
                <w:sz w:val="26"/>
                <w:szCs w:val="26"/>
              </w:rPr>
              <w:t xml:space="preserve"> attiecībā uz lietpratēja un uzticības uzdevumu</w:t>
            </w:r>
            <w:r w:rsidRPr="00B459BB">
              <w:rPr>
                <w:rFonts w:ascii="Times New Roman" w:hAnsi="Times New Roman"/>
                <w:sz w:val="26"/>
                <w:szCs w:val="26"/>
              </w:rPr>
              <w:t xml:space="preserve">, </w:t>
            </w:r>
            <w:r w:rsidR="00B459BB" w:rsidRPr="00B459BB">
              <w:rPr>
                <w:rFonts w:ascii="Times New Roman" w:hAnsi="Times New Roman"/>
                <w:sz w:val="26"/>
                <w:szCs w:val="26"/>
              </w:rPr>
              <w:t xml:space="preserve">kurus cita starpā var veikt arī zvērināti revidenti, ņemot vērā likuma jauno mērķi un būtību, tas ir, likums turpmāk nereglamentēs tādus pakalpojumu veidus, kas nav revīzijas pakalpojumi, un šo pakalpojumu sniedzēju tiesības un pienākumus; </w:t>
            </w:r>
          </w:p>
          <w:p w14:paraId="57F0789A" w14:textId="03BF36E7" w:rsidR="00E73697" w:rsidRPr="00E73697" w:rsidRDefault="00E73697" w:rsidP="00FD63BD">
            <w:pPr>
              <w:tabs>
                <w:tab w:val="left" w:pos="639"/>
              </w:tabs>
              <w:spacing w:after="0" w:line="240" w:lineRule="auto"/>
              <w:jc w:val="both"/>
              <w:rPr>
                <w:rFonts w:ascii="Times New Roman" w:hAnsi="Times New Roman"/>
                <w:sz w:val="26"/>
                <w:szCs w:val="26"/>
              </w:rPr>
            </w:pPr>
            <w:r w:rsidRPr="00E73697">
              <w:rPr>
                <w:rFonts w:ascii="Times New Roman" w:hAnsi="Times New Roman"/>
                <w:sz w:val="26"/>
                <w:szCs w:val="26"/>
              </w:rPr>
              <w:t>- veiktu citus redakcionālus  un tehniskus precizējumus.</w:t>
            </w:r>
          </w:p>
          <w:p w14:paraId="0378E78A" w14:textId="5EA9EF28" w:rsidR="00FD63BD" w:rsidRPr="00685C27" w:rsidRDefault="00FD63BD" w:rsidP="00685C27">
            <w:pPr>
              <w:spacing w:after="0" w:line="240" w:lineRule="auto"/>
              <w:jc w:val="both"/>
              <w:rPr>
                <w:rFonts w:ascii="Times New Roman" w:hAnsi="Times New Roman"/>
                <w:color w:val="FF0000"/>
                <w:sz w:val="26"/>
                <w:szCs w:val="26"/>
              </w:rPr>
            </w:pPr>
          </w:p>
          <w:p w14:paraId="687F430D" w14:textId="304968DF" w:rsidR="00FC1E71" w:rsidRDefault="005815E0" w:rsidP="009216B2">
            <w:pPr>
              <w:spacing w:after="0" w:line="240" w:lineRule="auto"/>
              <w:jc w:val="both"/>
              <w:rPr>
                <w:rFonts w:ascii="Times New Roman" w:hAnsi="Times New Roman"/>
                <w:sz w:val="26"/>
                <w:szCs w:val="26"/>
              </w:rPr>
            </w:pPr>
            <w:r>
              <w:rPr>
                <w:rFonts w:ascii="Times New Roman" w:hAnsi="Times New Roman"/>
                <w:sz w:val="26"/>
                <w:szCs w:val="26"/>
              </w:rPr>
              <w:t xml:space="preserve">   </w:t>
            </w:r>
            <w:r w:rsidR="00C27218">
              <w:rPr>
                <w:rFonts w:ascii="Times New Roman" w:hAnsi="Times New Roman"/>
                <w:sz w:val="26"/>
                <w:szCs w:val="26"/>
              </w:rPr>
              <w:t xml:space="preserve">Līdz ar to ir lietderīgi visus šobrīd nepieciešamos grozījumus Revīzijas pakalpojumu likumā virzīt vienlaicīgi, iekļaujot tos </w:t>
            </w:r>
            <w:r w:rsidR="00F01612">
              <w:rPr>
                <w:rFonts w:ascii="Times New Roman" w:hAnsi="Times New Roman"/>
                <w:sz w:val="26"/>
                <w:szCs w:val="26"/>
              </w:rPr>
              <w:t xml:space="preserve">vienā </w:t>
            </w:r>
            <w:r w:rsidR="00C27218">
              <w:rPr>
                <w:rFonts w:ascii="Times New Roman" w:hAnsi="Times New Roman"/>
                <w:sz w:val="26"/>
                <w:szCs w:val="26"/>
              </w:rPr>
              <w:t>likumprojekt</w:t>
            </w:r>
            <w:r w:rsidR="00003382">
              <w:rPr>
                <w:rFonts w:ascii="Times New Roman" w:hAnsi="Times New Roman"/>
                <w:sz w:val="26"/>
                <w:szCs w:val="26"/>
              </w:rPr>
              <w:t xml:space="preserve">ā, lai izvairītos no situācijas, kad viens pēc otra īsā laika periodā tiek virzīti </w:t>
            </w:r>
            <w:r w:rsidR="00147AFA">
              <w:rPr>
                <w:rFonts w:ascii="Times New Roman" w:hAnsi="Times New Roman"/>
                <w:sz w:val="26"/>
                <w:szCs w:val="26"/>
              </w:rPr>
              <w:t xml:space="preserve">vairāki likumprojekti ar </w:t>
            </w:r>
            <w:r w:rsidR="00003382">
              <w:rPr>
                <w:rFonts w:ascii="Times New Roman" w:hAnsi="Times New Roman"/>
                <w:sz w:val="26"/>
                <w:szCs w:val="26"/>
              </w:rPr>
              <w:t>grozījumi</w:t>
            </w:r>
            <w:r w:rsidR="00147AFA">
              <w:rPr>
                <w:rFonts w:ascii="Times New Roman" w:hAnsi="Times New Roman"/>
                <w:sz w:val="26"/>
                <w:szCs w:val="26"/>
              </w:rPr>
              <w:t>em</w:t>
            </w:r>
            <w:r w:rsidR="00003382">
              <w:rPr>
                <w:rFonts w:ascii="Times New Roman" w:hAnsi="Times New Roman"/>
                <w:sz w:val="26"/>
                <w:szCs w:val="26"/>
              </w:rPr>
              <w:t xml:space="preserve"> </w:t>
            </w:r>
            <w:r w:rsidR="00F01612">
              <w:rPr>
                <w:rFonts w:ascii="Times New Roman" w:hAnsi="Times New Roman"/>
                <w:sz w:val="26"/>
                <w:szCs w:val="26"/>
              </w:rPr>
              <w:t>vienā un tajā pašā likumā (Revīzijas pakalpojumu likumā)</w:t>
            </w:r>
            <w:r w:rsidR="00003382">
              <w:rPr>
                <w:rFonts w:ascii="Times New Roman" w:hAnsi="Times New Roman"/>
                <w:sz w:val="26"/>
                <w:szCs w:val="26"/>
              </w:rPr>
              <w:t>.</w:t>
            </w:r>
          </w:p>
          <w:p w14:paraId="354E0ADA" w14:textId="4EC79746" w:rsidR="00FC1E71" w:rsidRDefault="005815E0" w:rsidP="009216B2">
            <w:pPr>
              <w:spacing w:after="0" w:line="240" w:lineRule="auto"/>
              <w:jc w:val="both"/>
              <w:rPr>
                <w:rFonts w:ascii="Times New Roman" w:hAnsi="Times New Roman"/>
                <w:sz w:val="26"/>
                <w:szCs w:val="26"/>
              </w:rPr>
            </w:pPr>
            <w:r>
              <w:rPr>
                <w:rFonts w:ascii="Times New Roman" w:hAnsi="Times New Roman"/>
                <w:sz w:val="26"/>
                <w:szCs w:val="26"/>
              </w:rPr>
              <w:t xml:space="preserve">   </w:t>
            </w:r>
            <w:r w:rsidR="00C27218">
              <w:rPr>
                <w:rFonts w:ascii="Times New Roman" w:hAnsi="Times New Roman"/>
                <w:sz w:val="26"/>
                <w:szCs w:val="26"/>
              </w:rPr>
              <w:t>Visu nepieciešamo grozījumu sagatavošanai un arī saskaņošanai ar iesaistītajām pusēm, piemēram, Latvijas Zvērinātu revidentu asociāciju un Valsts ieņēmumu dienestu, ir nepieciešams papildu laiks.</w:t>
            </w:r>
          </w:p>
          <w:p w14:paraId="5D0D01EE" w14:textId="233E9169" w:rsidR="007D491C" w:rsidRPr="009216B2" w:rsidRDefault="005815E0" w:rsidP="005815E0">
            <w:pPr>
              <w:spacing w:after="0" w:line="240" w:lineRule="auto"/>
              <w:jc w:val="both"/>
              <w:rPr>
                <w:rFonts w:ascii="Times New Roman" w:hAnsi="Times New Roman"/>
                <w:bCs/>
                <w:sz w:val="26"/>
                <w:szCs w:val="26"/>
                <w:lang w:eastAsia="lv-LV"/>
              </w:rPr>
            </w:pPr>
            <w:r>
              <w:rPr>
                <w:rFonts w:ascii="Times New Roman" w:hAnsi="Times New Roman"/>
                <w:bCs/>
                <w:sz w:val="26"/>
                <w:szCs w:val="26"/>
                <w:lang w:eastAsia="lv-LV"/>
              </w:rPr>
              <w:t xml:space="preserve">  </w:t>
            </w:r>
            <w:r w:rsidR="009216B2">
              <w:rPr>
                <w:rFonts w:ascii="Times New Roman" w:hAnsi="Times New Roman"/>
                <w:bCs/>
                <w:sz w:val="26"/>
                <w:szCs w:val="26"/>
                <w:lang w:eastAsia="lv-LV"/>
              </w:rPr>
              <w:t xml:space="preserve"> </w:t>
            </w:r>
            <w:r w:rsidR="00C27218">
              <w:rPr>
                <w:rFonts w:ascii="Times New Roman" w:hAnsi="Times New Roman"/>
                <w:bCs/>
                <w:sz w:val="26"/>
                <w:szCs w:val="26"/>
                <w:lang w:eastAsia="lv-LV"/>
              </w:rPr>
              <w:t>Pamatojoties uz minēto,</w:t>
            </w:r>
            <w:r w:rsidR="009216B2" w:rsidRPr="009216B2">
              <w:rPr>
                <w:rFonts w:ascii="Times New Roman" w:hAnsi="Times New Roman"/>
                <w:bCs/>
                <w:sz w:val="26"/>
                <w:szCs w:val="26"/>
                <w:lang w:eastAsia="lv-LV"/>
              </w:rPr>
              <w:t xml:space="preserve"> ir nepieciešams veikt grozījumu </w:t>
            </w:r>
            <w:r w:rsidR="009216B2" w:rsidRPr="009216B2">
              <w:rPr>
                <w:rFonts w:ascii="Times New Roman" w:hAnsi="Times New Roman"/>
                <w:sz w:val="26"/>
                <w:szCs w:val="26"/>
                <w:lang w:eastAsia="lv-LV"/>
              </w:rPr>
              <w:t>Ministru kabineta 201</w:t>
            </w:r>
            <w:r w:rsidR="00C27218">
              <w:rPr>
                <w:rFonts w:ascii="Times New Roman" w:hAnsi="Times New Roman"/>
                <w:sz w:val="26"/>
                <w:szCs w:val="26"/>
                <w:lang w:eastAsia="lv-LV"/>
              </w:rPr>
              <w:t>7</w:t>
            </w:r>
            <w:r w:rsidR="009216B2" w:rsidRPr="009216B2">
              <w:rPr>
                <w:rFonts w:ascii="Times New Roman" w:hAnsi="Times New Roman"/>
                <w:sz w:val="26"/>
                <w:szCs w:val="26"/>
                <w:lang w:eastAsia="lv-LV"/>
              </w:rPr>
              <w:t xml:space="preserve">.gada </w:t>
            </w:r>
            <w:r w:rsidR="00C27218">
              <w:rPr>
                <w:rFonts w:ascii="Times New Roman" w:hAnsi="Times New Roman"/>
                <w:sz w:val="26"/>
                <w:szCs w:val="26"/>
                <w:lang w:eastAsia="lv-LV"/>
              </w:rPr>
              <w:t>7</w:t>
            </w:r>
            <w:r w:rsidR="009216B2" w:rsidRPr="009216B2">
              <w:rPr>
                <w:rFonts w:ascii="Times New Roman" w:hAnsi="Times New Roman"/>
                <w:sz w:val="26"/>
                <w:szCs w:val="26"/>
                <w:lang w:eastAsia="lv-LV"/>
              </w:rPr>
              <w:t>.ma</w:t>
            </w:r>
            <w:r w:rsidR="00C27218">
              <w:rPr>
                <w:rFonts w:ascii="Times New Roman" w:hAnsi="Times New Roman"/>
                <w:sz w:val="26"/>
                <w:szCs w:val="26"/>
                <w:lang w:eastAsia="lv-LV"/>
              </w:rPr>
              <w:t>rt</w:t>
            </w:r>
            <w:r w:rsidR="009216B2" w:rsidRPr="009216B2">
              <w:rPr>
                <w:rFonts w:ascii="Times New Roman" w:hAnsi="Times New Roman"/>
                <w:sz w:val="26"/>
                <w:szCs w:val="26"/>
                <w:lang w:eastAsia="lv-LV"/>
              </w:rPr>
              <w:t>a sēdes protokola Nr.</w:t>
            </w:r>
            <w:r w:rsidR="00C27218">
              <w:rPr>
                <w:rFonts w:ascii="Times New Roman" w:hAnsi="Times New Roman"/>
                <w:sz w:val="26"/>
                <w:szCs w:val="26"/>
                <w:lang w:eastAsia="lv-LV"/>
              </w:rPr>
              <w:t>11</w:t>
            </w:r>
            <w:r w:rsidR="009216B2" w:rsidRPr="009216B2">
              <w:rPr>
                <w:rFonts w:ascii="Times New Roman" w:hAnsi="Times New Roman"/>
                <w:sz w:val="26"/>
                <w:szCs w:val="26"/>
                <w:lang w:eastAsia="lv-LV"/>
              </w:rPr>
              <w:t xml:space="preserve"> </w:t>
            </w:r>
            <w:r w:rsidR="00C27218">
              <w:rPr>
                <w:rFonts w:ascii="Times New Roman" w:hAnsi="Times New Roman"/>
                <w:sz w:val="26"/>
                <w:szCs w:val="26"/>
                <w:lang w:eastAsia="lv-LV"/>
              </w:rPr>
              <w:t>9.§ 2</w:t>
            </w:r>
            <w:r w:rsidR="009216B2" w:rsidRPr="009216B2">
              <w:rPr>
                <w:rFonts w:ascii="Times New Roman" w:hAnsi="Times New Roman"/>
                <w:sz w:val="26"/>
                <w:szCs w:val="26"/>
                <w:lang w:eastAsia="lv-LV"/>
              </w:rPr>
              <w:t xml:space="preserve">.punktā, pagarinot dotā uzdevuma </w:t>
            </w:r>
            <w:r w:rsidR="009216B2" w:rsidRPr="009216B2">
              <w:rPr>
                <w:rFonts w:ascii="Times New Roman" w:hAnsi="Times New Roman"/>
                <w:sz w:val="26"/>
                <w:szCs w:val="26"/>
                <w:lang w:eastAsia="lv-LV"/>
              </w:rPr>
              <w:lastRenderedPageBreak/>
              <w:t>izpildes termiņu līdz 201</w:t>
            </w:r>
            <w:r w:rsidR="00C27218">
              <w:rPr>
                <w:rFonts w:ascii="Times New Roman" w:hAnsi="Times New Roman"/>
                <w:sz w:val="26"/>
                <w:szCs w:val="26"/>
                <w:lang w:eastAsia="lv-LV"/>
              </w:rPr>
              <w:t>8</w:t>
            </w:r>
            <w:r w:rsidR="009216B2" w:rsidRPr="009216B2">
              <w:rPr>
                <w:rFonts w:ascii="Times New Roman" w:hAnsi="Times New Roman"/>
                <w:sz w:val="26"/>
                <w:szCs w:val="26"/>
                <w:lang w:eastAsia="lv-LV"/>
              </w:rPr>
              <w:t>.gada 1.janvārim.</w:t>
            </w:r>
          </w:p>
        </w:tc>
      </w:tr>
      <w:tr w:rsidR="00473A89" w:rsidRPr="001E3B97" w14:paraId="5CDB2B5B" w14:textId="77777777" w:rsidTr="00473A89">
        <w:tc>
          <w:tcPr>
            <w:tcW w:w="3114" w:type="dxa"/>
          </w:tcPr>
          <w:p w14:paraId="191A8370" w14:textId="77777777" w:rsidR="00473A89" w:rsidRPr="007B1768" w:rsidRDefault="00473A89" w:rsidP="00ED2CF5">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lastRenderedPageBreak/>
              <w:t>Valsts sekretāru sanāksmes datums un numurs</w:t>
            </w:r>
          </w:p>
        </w:tc>
        <w:tc>
          <w:tcPr>
            <w:tcW w:w="5953" w:type="dxa"/>
          </w:tcPr>
          <w:p w14:paraId="29312167" w14:textId="77777777" w:rsidR="00473A89" w:rsidRPr="007B1768" w:rsidRDefault="00473A89" w:rsidP="0006310F">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bCs/>
                <w:sz w:val="26"/>
                <w:szCs w:val="26"/>
                <w:lang w:eastAsia="lv-LV"/>
              </w:rPr>
              <w:t>Nav attiecināms.</w:t>
            </w:r>
          </w:p>
        </w:tc>
      </w:tr>
      <w:tr w:rsidR="00473A89" w:rsidRPr="001E3B97" w14:paraId="55BAB218" w14:textId="77777777" w:rsidTr="00473A89">
        <w:tc>
          <w:tcPr>
            <w:tcW w:w="3114" w:type="dxa"/>
          </w:tcPr>
          <w:p w14:paraId="5F1B3213" w14:textId="77777777" w:rsidR="00473A89" w:rsidRPr="007B1768" w:rsidRDefault="00473A89" w:rsidP="009B74CC">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t>Informācija par saskaņojumiem</w:t>
            </w:r>
          </w:p>
        </w:tc>
        <w:tc>
          <w:tcPr>
            <w:tcW w:w="5953" w:type="dxa"/>
          </w:tcPr>
          <w:p w14:paraId="315CF1F3" w14:textId="33AFAF97" w:rsidR="00CB2C08" w:rsidRPr="007B1768" w:rsidRDefault="00641155" w:rsidP="00D93687">
            <w:pPr>
              <w:spacing w:after="0" w:line="240" w:lineRule="auto"/>
              <w:ind w:firstLine="317"/>
              <w:jc w:val="both"/>
              <w:rPr>
                <w:rFonts w:ascii="Times New Roman" w:hAnsi="Times New Roman"/>
                <w:sz w:val="26"/>
                <w:szCs w:val="26"/>
              </w:rPr>
            </w:pPr>
            <w:proofErr w:type="spellStart"/>
            <w:r>
              <w:rPr>
                <w:rFonts w:ascii="Times New Roman" w:hAnsi="Times New Roman"/>
                <w:bCs/>
                <w:sz w:val="26"/>
                <w:szCs w:val="26"/>
                <w:lang w:eastAsia="lv-LV"/>
              </w:rPr>
              <w:t>Pro</w:t>
            </w:r>
            <w:r w:rsidR="00B7786C">
              <w:rPr>
                <w:rFonts w:ascii="Times New Roman" w:hAnsi="Times New Roman"/>
                <w:bCs/>
                <w:sz w:val="26"/>
                <w:szCs w:val="26"/>
                <w:lang w:eastAsia="lv-LV"/>
              </w:rPr>
              <w:t>to</w:t>
            </w:r>
            <w:r>
              <w:rPr>
                <w:rFonts w:ascii="Times New Roman" w:hAnsi="Times New Roman"/>
                <w:bCs/>
                <w:sz w:val="26"/>
                <w:szCs w:val="26"/>
                <w:lang w:eastAsia="lv-LV"/>
              </w:rPr>
              <w:t>kollēmuma</w:t>
            </w:r>
            <w:proofErr w:type="spellEnd"/>
            <w:r>
              <w:rPr>
                <w:rFonts w:ascii="Times New Roman" w:hAnsi="Times New Roman"/>
                <w:bCs/>
                <w:sz w:val="26"/>
                <w:szCs w:val="26"/>
                <w:lang w:eastAsia="lv-LV"/>
              </w:rPr>
              <w:t xml:space="preserve"> projekts tiek iesniegts saskaņā  ar</w:t>
            </w:r>
            <w:r>
              <w:t xml:space="preserve"> </w:t>
            </w:r>
            <w:r w:rsidRPr="00641155">
              <w:rPr>
                <w:rFonts w:ascii="Times New Roman" w:hAnsi="Times New Roman"/>
                <w:bCs/>
                <w:sz w:val="26"/>
                <w:szCs w:val="26"/>
                <w:lang w:eastAsia="lv-LV"/>
              </w:rPr>
              <w:t>Ministru kabineta 2009.gada 7.aprīļa noteikumu Nr.300 „Ministru kabineta kārtības rullis”</w:t>
            </w:r>
            <w:r>
              <w:rPr>
                <w:rFonts w:ascii="Times New Roman" w:hAnsi="Times New Roman"/>
                <w:bCs/>
                <w:sz w:val="26"/>
                <w:szCs w:val="26"/>
                <w:lang w:eastAsia="lv-LV"/>
              </w:rPr>
              <w:t xml:space="preserve"> 73.2.punktu, kas neparedz to izsludināt valsts sekretāru sanāksmē vai saskaņot ar citām ministrijām, jo netiek skarta to kompetence.</w:t>
            </w:r>
          </w:p>
        </w:tc>
      </w:tr>
      <w:tr w:rsidR="00473A89" w:rsidRPr="001E3B97" w14:paraId="64830D50" w14:textId="77777777" w:rsidTr="00473A89">
        <w:tc>
          <w:tcPr>
            <w:tcW w:w="3114" w:type="dxa"/>
          </w:tcPr>
          <w:p w14:paraId="764F331C" w14:textId="77777777" w:rsidR="00473A89" w:rsidRPr="007B1768" w:rsidRDefault="00473A89" w:rsidP="009B74CC">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t>Informācija par saskaņojumiem ar Eiropas Savienības institūcijām</w:t>
            </w:r>
          </w:p>
        </w:tc>
        <w:tc>
          <w:tcPr>
            <w:tcW w:w="5953" w:type="dxa"/>
          </w:tcPr>
          <w:p w14:paraId="5768A4B1" w14:textId="77777777" w:rsidR="00473A89" w:rsidRPr="007B1768" w:rsidRDefault="00473A89" w:rsidP="0006310F">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bCs/>
                <w:sz w:val="26"/>
                <w:szCs w:val="26"/>
                <w:lang w:eastAsia="lv-LV"/>
              </w:rPr>
              <w:t>Nav attiecināms.</w:t>
            </w:r>
          </w:p>
        </w:tc>
      </w:tr>
      <w:tr w:rsidR="00473A89" w:rsidRPr="001E3B97" w14:paraId="594D646E" w14:textId="77777777" w:rsidTr="00473A89">
        <w:tc>
          <w:tcPr>
            <w:tcW w:w="3114" w:type="dxa"/>
          </w:tcPr>
          <w:p w14:paraId="12A2AF4D" w14:textId="77777777" w:rsidR="00473A89" w:rsidRPr="007B1768" w:rsidRDefault="00473A89" w:rsidP="00ED2CF5">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t>Politikas joma</w:t>
            </w:r>
          </w:p>
        </w:tc>
        <w:tc>
          <w:tcPr>
            <w:tcW w:w="5953" w:type="dxa"/>
          </w:tcPr>
          <w:p w14:paraId="062BCC68" w14:textId="77777777" w:rsidR="00473A89" w:rsidRPr="007B1768" w:rsidRDefault="00473A89" w:rsidP="0006310F">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bCs/>
                <w:sz w:val="26"/>
                <w:szCs w:val="26"/>
                <w:lang w:eastAsia="lv-LV"/>
              </w:rPr>
              <w:t>Budžeta un finanšu politika.</w:t>
            </w:r>
          </w:p>
        </w:tc>
      </w:tr>
      <w:tr w:rsidR="00473A89" w:rsidRPr="001E3B97" w14:paraId="74EA53A8" w14:textId="77777777" w:rsidTr="00473A89">
        <w:tc>
          <w:tcPr>
            <w:tcW w:w="3114" w:type="dxa"/>
          </w:tcPr>
          <w:p w14:paraId="0912C813" w14:textId="77777777" w:rsidR="00473A89" w:rsidRPr="007B1768" w:rsidRDefault="00473A89" w:rsidP="00ED2CF5">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t>Atbildīgā amatpersona</w:t>
            </w:r>
          </w:p>
        </w:tc>
        <w:tc>
          <w:tcPr>
            <w:tcW w:w="5953" w:type="dxa"/>
          </w:tcPr>
          <w:p w14:paraId="30923AE6" w14:textId="77777777" w:rsidR="00473A89" w:rsidRPr="007B1768" w:rsidRDefault="00473A89" w:rsidP="0006310F">
            <w:pPr>
              <w:widowControl/>
              <w:spacing w:after="0" w:line="240" w:lineRule="auto"/>
              <w:ind w:firstLine="317"/>
              <w:jc w:val="both"/>
              <w:rPr>
                <w:rFonts w:ascii="Times New Roman" w:hAnsi="Times New Roman"/>
                <w:bCs/>
                <w:sz w:val="26"/>
                <w:szCs w:val="26"/>
                <w:lang w:eastAsia="lv-LV"/>
              </w:rPr>
            </w:pPr>
            <w:r w:rsidRPr="007B1768">
              <w:rPr>
                <w:rFonts w:ascii="Times New Roman" w:hAnsi="Times New Roman"/>
                <w:sz w:val="26"/>
                <w:szCs w:val="26"/>
              </w:rPr>
              <w:t>Finanšu ministrijas Nodokļu administrēšanas, grāmatvedības un revīzijas politikas departamenta direktore Jana Salmiņa</w:t>
            </w:r>
            <w:r w:rsidR="007C0790" w:rsidRPr="007B1768">
              <w:rPr>
                <w:rFonts w:ascii="Times New Roman" w:hAnsi="Times New Roman"/>
                <w:sz w:val="26"/>
                <w:szCs w:val="26"/>
              </w:rPr>
              <w:t>.</w:t>
            </w:r>
          </w:p>
        </w:tc>
      </w:tr>
      <w:tr w:rsidR="00473A89" w:rsidRPr="001E3B97" w14:paraId="08DC6BAB" w14:textId="77777777" w:rsidTr="00473A89">
        <w:tc>
          <w:tcPr>
            <w:tcW w:w="3114" w:type="dxa"/>
          </w:tcPr>
          <w:p w14:paraId="5C984685" w14:textId="77777777" w:rsidR="00473A89" w:rsidRPr="007B1768" w:rsidRDefault="00473A89" w:rsidP="00ED2CF5">
            <w:pPr>
              <w:widowControl/>
              <w:autoSpaceDE w:val="0"/>
              <w:autoSpaceDN w:val="0"/>
              <w:adjustRightInd w:val="0"/>
              <w:spacing w:after="0" w:line="240" w:lineRule="auto"/>
              <w:jc w:val="both"/>
              <w:rPr>
                <w:rFonts w:ascii="Times New Roman" w:hAnsi="Times New Roman"/>
                <w:bCs/>
                <w:sz w:val="26"/>
                <w:szCs w:val="26"/>
                <w:lang w:eastAsia="lv-LV"/>
              </w:rPr>
            </w:pPr>
            <w:r w:rsidRPr="007B1768">
              <w:rPr>
                <w:rFonts w:ascii="Times New Roman" w:hAnsi="Times New Roman"/>
                <w:bCs/>
                <w:sz w:val="26"/>
                <w:szCs w:val="26"/>
                <w:lang w:eastAsia="lv-LV"/>
              </w:rPr>
              <w:t>Uzaicināmās personas</w:t>
            </w:r>
          </w:p>
        </w:tc>
        <w:tc>
          <w:tcPr>
            <w:tcW w:w="5953" w:type="dxa"/>
          </w:tcPr>
          <w:p w14:paraId="58D64B22" w14:textId="77777777" w:rsidR="00CB2C08" w:rsidRPr="007B1768" w:rsidRDefault="00CB2C08" w:rsidP="00D4745B">
            <w:pPr>
              <w:widowControl/>
              <w:autoSpaceDE w:val="0"/>
              <w:autoSpaceDN w:val="0"/>
              <w:adjustRightInd w:val="0"/>
              <w:spacing w:after="0" w:line="240" w:lineRule="auto"/>
              <w:ind w:firstLine="317"/>
              <w:jc w:val="both"/>
              <w:rPr>
                <w:rFonts w:ascii="Times New Roman" w:hAnsi="Times New Roman"/>
                <w:sz w:val="26"/>
                <w:szCs w:val="26"/>
              </w:rPr>
            </w:pPr>
            <w:r w:rsidRPr="007B1768">
              <w:rPr>
                <w:rFonts w:ascii="Times New Roman" w:hAnsi="Times New Roman"/>
                <w:sz w:val="26"/>
                <w:szCs w:val="26"/>
              </w:rPr>
              <w:t>Finanšu ministrijas Nodokļu administrēšanas, grāmatvedības un revīzijas politikas departamenta direktore Jana Salmiņa;</w:t>
            </w:r>
          </w:p>
          <w:p w14:paraId="300D49FE" w14:textId="77777777" w:rsidR="00473A89" w:rsidRPr="007B1768" w:rsidRDefault="00D4745B" w:rsidP="004100C4">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sz w:val="26"/>
                <w:szCs w:val="26"/>
              </w:rPr>
              <w:t xml:space="preserve">Finanšu ministrijas Nodokļu administrēšanas, grāmatvedības un revīzijas politikas departamenta </w:t>
            </w:r>
            <w:r w:rsidR="004100C4" w:rsidRPr="007B1768">
              <w:rPr>
                <w:rFonts w:ascii="Times New Roman" w:hAnsi="Times New Roman"/>
                <w:sz w:val="26"/>
                <w:szCs w:val="26"/>
              </w:rPr>
              <w:t>Komercsabiedrību revīzijas politikas un uzraudzības nodaļas vadītāja Dace Šodnaka</w:t>
            </w:r>
            <w:r w:rsidR="003658B5" w:rsidRPr="007B1768">
              <w:rPr>
                <w:rFonts w:ascii="Times New Roman" w:hAnsi="Times New Roman"/>
                <w:sz w:val="26"/>
                <w:szCs w:val="26"/>
              </w:rPr>
              <w:t>.</w:t>
            </w:r>
          </w:p>
        </w:tc>
      </w:tr>
      <w:tr w:rsidR="00473A89" w:rsidRPr="001E3B97" w14:paraId="127AA5D8" w14:textId="77777777" w:rsidTr="00BC73ED">
        <w:tc>
          <w:tcPr>
            <w:tcW w:w="3114" w:type="dxa"/>
            <w:tcBorders>
              <w:bottom w:val="single" w:sz="4" w:space="0" w:color="auto"/>
            </w:tcBorders>
          </w:tcPr>
          <w:p w14:paraId="0B1B4329" w14:textId="77777777" w:rsidR="00473A89" w:rsidRPr="007B1768" w:rsidRDefault="00473A89" w:rsidP="00670CF3">
            <w:pPr>
              <w:widowControl/>
              <w:autoSpaceDE w:val="0"/>
              <w:autoSpaceDN w:val="0"/>
              <w:adjustRightInd w:val="0"/>
              <w:spacing w:after="0" w:line="240" w:lineRule="auto"/>
              <w:rPr>
                <w:rFonts w:ascii="Times New Roman" w:hAnsi="Times New Roman"/>
                <w:bCs/>
                <w:sz w:val="26"/>
                <w:szCs w:val="26"/>
                <w:lang w:eastAsia="lv-LV"/>
              </w:rPr>
            </w:pPr>
            <w:r w:rsidRPr="007B1768">
              <w:rPr>
                <w:rFonts w:ascii="Times New Roman" w:hAnsi="Times New Roman"/>
                <w:bCs/>
                <w:sz w:val="26"/>
                <w:szCs w:val="26"/>
                <w:lang w:eastAsia="lv-LV"/>
              </w:rPr>
              <w:t>Projekta ierobežotas pieejamības statuss</w:t>
            </w:r>
          </w:p>
        </w:tc>
        <w:tc>
          <w:tcPr>
            <w:tcW w:w="5953" w:type="dxa"/>
            <w:tcBorders>
              <w:bottom w:val="single" w:sz="4" w:space="0" w:color="auto"/>
            </w:tcBorders>
          </w:tcPr>
          <w:p w14:paraId="2FEC2CAD" w14:textId="77777777" w:rsidR="00473A89" w:rsidRPr="007B1768" w:rsidRDefault="00473A89" w:rsidP="0006310F">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bCs/>
                <w:sz w:val="26"/>
                <w:szCs w:val="26"/>
                <w:lang w:eastAsia="lv-LV"/>
              </w:rPr>
              <w:t>Nav ierobežotas pieejamības statuss.</w:t>
            </w:r>
          </w:p>
        </w:tc>
      </w:tr>
      <w:tr w:rsidR="00473A89" w:rsidRPr="001E3B97" w14:paraId="5BF7EAF9" w14:textId="77777777" w:rsidTr="009D04E8">
        <w:tc>
          <w:tcPr>
            <w:tcW w:w="3114" w:type="dxa"/>
          </w:tcPr>
          <w:p w14:paraId="0638FD67" w14:textId="77777777" w:rsidR="00473A89" w:rsidRPr="007B1768" w:rsidRDefault="00473A89" w:rsidP="00670CF3">
            <w:pPr>
              <w:widowControl/>
              <w:autoSpaceDE w:val="0"/>
              <w:autoSpaceDN w:val="0"/>
              <w:adjustRightInd w:val="0"/>
              <w:spacing w:after="0" w:line="240" w:lineRule="auto"/>
              <w:rPr>
                <w:rFonts w:ascii="Times New Roman" w:hAnsi="Times New Roman"/>
                <w:bCs/>
                <w:sz w:val="26"/>
                <w:szCs w:val="26"/>
                <w:lang w:eastAsia="lv-LV"/>
              </w:rPr>
            </w:pPr>
            <w:r w:rsidRPr="007B1768">
              <w:rPr>
                <w:rFonts w:ascii="Times New Roman" w:hAnsi="Times New Roman"/>
                <w:bCs/>
                <w:sz w:val="26"/>
                <w:szCs w:val="26"/>
                <w:lang w:eastAsia="lv-LV"/>
              </w:rPr>
              <w:t>Cita informācija</w:t>
            </w:r>
          </w:p>
        </w:tc>
        <w:tc>
          <w:tcPr>
            <w:tcW w:w="5953" w:type="dxa"/>
          </w:tcPr>
          <w:p w14:paraId="535E1928" w14:textId="77777777" w:rsidR="00473A89" w:rsidRPr="007B1768" w:rsidRDefault="00235EBC" w:rsidP="00840F62">
            <w:pPr>
              <w:widowControl/>
              <w:autoSpaceDE w:val="0"/>
              <w:autoSpaceDN w:val="0"/>
              <w:adjustRightInd w:val="0"/>
              <w:spacing w:after="0" w:line="240" w:lineRule="auto"/>
              <w:ind w:firstLine="317"/>
              <w:jc w:val="both"/>
              <w:rPr>
                <w:rFonts w:ascii="Times New Roman" w:hAnsi="Times New Roman"/>
                <w:bCs/>
                <w:sz w:val="26"/>
                <w:szCs w:val="26"/>
                <w:lang w:eastAsia="lv-LV"/>
              </w:rPr>
            </w:pPr>
            <w:r w:rsidRPr="007B1768">
              <w:rPr>
                <w:rFonts w:ascii="Times New Roman" w:hAnsi="Times New Roman"/>
                <w:iCs/>
                <w:sz w:val="26"/>
                <w:szCs w:val="26"/>
                <w:lang w:eastAsia="lv-LV"/>
              </w:rPr>
              <w:t>Nav.</w:t>
            </w:r>
          </w:p>
        </w:tc>
      </w:tr>
    </w:tbl>
    <w:p w14:paraId="50FE2B52" w14:textId="77777777" w:rsidR="00ED2CF5" w:rsidRPr="001E3B97" w:rsidRDefault="00ED2CF5" w:rsidP="00670CF3">
      <w:pPr>
        <w:widowControl/>
        <w:autoSpaceDE w:val="0"/>
        <w:autoSpaceDN w:val="0"/>
        <w:adjustRightInd w:val="0"/>
        <w:spacing w:after="0" w:line="240" w:lineRule="auto"/>
        <w:rPr>
          <w:rFonts w:ascii="Times New Roman" w:hAnsi="Times New Roman"/>
          <w:bCs/>
          <w:sz w:val="26"/>
          <w:szCs w:val="26"/>
          <w:lang w:eastAsia="lv-LV"/>
        </w:rPr>
      </w:pPr>
    </w:p>
    <w:tbl>
      <w:tblPr>
        <w:tblStyle w:val="TableGrid"/>
        <w:tblW w:w="91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5"/>
        <w:gridCol w:w="7480"/>
      </w:tblGrid>
      <w:tr w:rsidR="0006310F" w:rsidRPr="001E3B97" w14:paraId="7CFE1CF2" w14:textId="77777777" w:rsidTr="00E47547">
        <w:trPr>
          <w:trHeight w:val="132"/>
        </w:trPr>
        <w:tc>
          <w:tcPr>
            <w:tcW w:w="1276" w:type="dxa"/>
          </w:tcPr>
          <w:p w14:paraId="41D0D2F6" w14:textId="77777777" w:rsidR="0006310F" w:rsidRPr="001E3B97" w:rsidRDefault="0006310F" w:rsidP="00E47547">
            <w:pPr>
              <w:spacing w:after="0" w:line="240" w:lineRule="auto"/>
              <w:ind w:left="-108"/>
              <w:rPr>
                <w:rFonts w:ascii="Times New Roman" w:hAnsi="Times New Roman"/>
                <w:sz w:val="26"/>
                <w:szCs w:val="26"/>
                <w:lang w:eastAsia="lv-LV"/>
              </w:rPr>
            </w:pPr>
            <w:r w:rsidRPr="001E3B97">
              <w:rPr>
                <w:rFonts w:ascii="Times New Roman" w:hAnsi="Times New Roman"/>
                <w:sz w:val="26"/>
                <w:szCs w:val="26"/>
                <w:lang w:eastAsia="lv-LV"/>
              </w:rPr>
              <w:t>Pielikumā:</w:t>
            </w:r>
          </w:p>
        </w:tc>
        <w:tc>
          <w:tcPr>
            <w:tcW w:w="425" w:type="dxa"/>
          </w:tcPr>
          <w:p w14:paraId="033A0FF9" w14:textId="77777777" w:rsidR="0006310F" w:rsidRPr="001E3B97" w:rsidRDefault="0006310F" w:rsidP="00E47547">
            <w:pPr>
              <w:spacing w:after="0" w:line="240" w:lineRule="auto"/>
              <w:ind w:left="-108"/>
              <w:rPr>
                <w:rFonts w:ascii="Times New Roman" w:hAnsi="Times New Roman"/>
                <w:sz w:val="26"/>
                <w:szCs w:val="26"/>
                <w:lang w:eastAsia="lv-LV"/>
              </w:rPr>
            </w:pPr>
          </w:p>
        </w:tc>
        <w:tc>
          <w:tcPr>
            <w:tcW w:w="7480" w:type="dxa"/>
          </w:tcPr>
          <w:p w14:paraId="65836672" w14:textId="471B9F79" w:rsidR="0006310F" w:rsidRPr="001E3B97" w:rsidRDefault="009B74CC" w:rsidP="005815E0">
            <w:pPr>
              <w:spacing w:after="0" w:line="240" w:lineRule="auto"/>
              <w:jc w:val="both"/>
              <w:rPr>
                <w:rFonts w:ascii="Times New Roman" w:hAnsi="Times New Roman"/>
                <w:sz w:val="26"/>
                <w:szCs w:val="26"/>
                <w:lang w:eastAsia="lv-LV"/>
              </w:rPr>
            </w:pPr>
            <w:proofErr w:type="spellStart"/>
            <w:r w:rsidRPr="001E3B97">
              <w:rPr>
                <w:rFonts w:ascii="Times New Roman" w:hAnsi="Times New Roman"/>
                <w:sz w:val="26"/>
                <w:szCs w:val="26"/>
                <w:lang w:eastAsia="lv-LV"/>
              </w:rPr>
              <w:t>Protokollēmuma</w:t>
            </w:r>
            <w:proofErr w:type="spellEnd"/>
            <w:r w:rsidRPr="001E3B97">
              <w:rPr>
                <w:rFonts w:ascii="Times New Roman" w:hAnsi="Times New Roman"/>
                <w:sz w:val="26"/>
                <w:szCs w:val="26"/>
                <w:lang w:eastAsia="lv-LV"/>
              </w:rPr>
              <w:t xml:space="preserve"> p</w:t>
            </w:r>
            <w:r w:rsidR="0006310F" w:rsidRPr="001E3B97">
              <w:rPr>
                <w:rFonts w:ascii="Times New Roman" w:hAnsi="Times New Roman"/>
                <w:sz w:val="26"/>
                <w:szCs w:val="26"/>
                <w:lang w:eastAsia="lv-LV"/>
              </w:rPr>
              <w:t xml:space="preserve">rojekts (datne: </w:t>
            </w:r>
            <w:r w:rsidR="00105EB3" w:rsidRPr="001E3B97">
              <w:rPr>
                <w:rFonts w:ascii="Times New Roman" w:hAnsi="Times New Roman"/>
                <w:sz w:val="26"/>
                <w:szCs w:val="26"/>
                <w:lang w:eastAsia="lv-LV"/>
              </w:rPr>
              <w:t>FM</w:t>
            </w:r>
            <w:r w:rsidRPr="001E3B97">
              <w:rPr>
                <w:rFonts w:ascii="Times New Roman" w:hAnsi="Times New Roman"/>
                <w:sz w:val="26"/>
                <w:szCs w:val="26"/>
                <w:lang w:eastAsia="lv-LV"/>
              </w:rPr>
              <w:t>Prot</w:t>
            </w:r>
            <w:r w:rsidR="00105EB3" w:rsidRPr="001E3B97">
              <w:rPr>
                <w:rFonts w:ascii="Times New Roman" w:hAnsi="Times New Roman"/>
                <w:sz w:val="26"/>
                <w:szCs w:val="26"/>
                <w:lang w:eastAsia="lv-LV"/>
              </w:rPr>
              <w:t>_</w:t>
            </w:r>
            <w:r w:rsidR="00527BE9">
              <w:rPr>
                <w:rFonts w:ascii="Times New Roman" w:hAnsi="Times New Roman"/>
                <w:sz w:val="26"/>
                <w:szCs w:val="26"/>
                <w:lang w:eastAsia="lv-LV"/>
              </w:rPr>
              <w:t>21</w:t>
            </w:r>
            <w:r w:rsidR="005815E0">
              <w:rPr>
                <w:rFonts w:ascii="Times New Roman" w:hAnsi="Times New Roman"/>
                <w:sz w:val="26"/>
                <w:szCs w:val="26"/>
                <w:lang w:eastAsia="lv-LV"/>
              </w:rPr>
              <w:t>09</w:t>
            </w:r>
            <w:r w:rsidR="005C0ECB" w:rsidRPr="001E3B97">
              <w:rPr>
                <w:rFonts w:ascii="Times New Roman" w:hAnsi="Times New Roman"/>
                <w:sz w:val="26"/>
                <w:szCs w:val="26"/>
                <w:lang w:eastAsia="lv-LV"/>
              </w:rPr>
              <w:t>17</w:t>
            </w:r>
            <w:r w:rsidR="0006310F" w:rsidRPr="001E3B97">
              <w:rPr>
                <w:rFonts w:ascii="Times New Roman" w:hAnsi="Times New Roman"/>
                <w:sz w:val="26"/>
                <w:szCs w:val="26"/>
                <w:lang w:eastAsia="lv-LV"/>
              </w:rPr>
              <w:t>_</w:t>
            </w:r>
            <w:r w:rsidRPr="001E3B97">
              <w:rPr>
                <w:rFonts w:ascii="Times New Roman" w:hAnsi="Times New Roman"/>
                <w:sz w:val="26"/>
                <w:szCs w:val="26"/>
                <w:lang w:eastAsia="lv-LV"/>
              </w:rPr>
              <w:t>rev</w:t>
            </w:r>
            <w:r w:rsidR="00EB5A80" w:rsidRPr="001E3B97">
              <w:rPr>
                <w:rFonts w:ascii="Times New Roman" w:hAnsi="Times New Roman"/>
                <w:sz w:val="26"/>
                <w:szCs w:val="26"/>
                <w:lang w:eastAsia="lv-LV"/>
              </w:rPr>
              <w:t>izija</w:t>
            </w:r>
            <w:r w:rsidRPr="001E3B97">
              <w:rPr>
                <w:rFonts w:ascii="Times New Roman" w:hAnsi="Times New Roman"/>
                <w:sz w:val="26"/>
                <w:szCs w:val="26"/>
                <w:lang w:eastAsia="lv-LV"/>
              </w:rPr>
              <w:t>) uz 1 lp</w:t>
            </w:r>
            <w:r w:rsidR="00F47BCA" w:rsidRPr="001E3B97">
              <w:rPr>
                <w:rFonts w:ascii="Times New Roman" w:hAnsi="Times New Roman"/>
                <w:sz w:val="26"/>
                <w:szCs w:val="26"/>
                <w:lang w:eastAsia="lv-LV"/>
              </w:rPr>
              <w:t>p</w:t>
            </w:r>
            <w:r w:rsidRPr="001E3B97">
              <w:rPr>
                <w:rFonts w:ascii="Times New Roman" w:hAnsi="Times New Roman"/>
                <w:sz w:val="26"/>
                <w:szCs w:val="26"/>
                <w:lang w:eastAsia="lv-LV"/>
              </w:rPr>
              <w:t>.</w:t>
            </w:r>
          </w:p>
        </w:tc>
      </w:tr>
      <w:tr w:rsidR="0006310F" w:rsidRPr="001E3B97" w14:paraId="257D4340" w14:textId="77777777" w:rsidTr="00E47547">
        <w:trPr>
          <w:trHeight w:val="88"/>
        </w:trPr>
        <w:tc>
          <w:tcPr>
            <w:tcW w:w="1276" w:type="dxa"/>
          </w:tcPr>
          <w:p w14:paraId="3BA97895" w14:textId="77777777" w:rsidR="0006310F" w:rsidRPr="001E3B97" w:rsidRDefault="0006310F" w:rsidP="008D230F">
            <w:pPr>
              <w:spacing w:after="0" w:line="240" w:lineRule="auto"/>
              <w:ind w:firstLine="720"/>
              <w:rPr>
                <w:rFonts w:ascii="Times New Roman" w:hAnsi="Times New Roman"/>
                <w:sz w:val="26"/>
                <w:szCs w:val="26"/>
                <w:lang w:eastAsia="lv-LV"/>
              </w:rPr>
            </w:pPr>
          </w:p>
        </w:tc>
        <w:tc>
          <w:tcPr>
            <w:tcW w:w="425" w:type="dxa"/>
          </w:tcPr>
          <w:p w14:paraId="6F83D1F4" w14:textId="77777777" w:rsidR="0006310F" w:rsidRPr="001E3B97" w:rsidRDefault="0006310F" w:rsidP="00E47547">
            <w:pPr>
              <w:spacing w:after="0" w:line="240" w:lineRule="auto"/>
              <w:ind w:left="-108"/>
              <w:rPr>
                <w:rFonts w:ascii="Times New Roman" w:hAnsi="Times New Roman"/>
                <w:sz w:val="26"/>
                <w:szCs w:val="26"/>
                <w:lang w:eastAsia="lv-LV"/>
              </w:rPr>
            </w:pPr>
          </w:p>
        </w:tc>
        <w:tc>
          <w:tcPr>
            <w:tcW w:w="7480" w:type="dxa"/>
          </w:tcPr>
          <w:p w14:paraId="2F1A7813" w14:textId="77777777" w:rsidR="0006310F" w:rsidRPr="001E3B97" w:rsidRDefault="009A1F44" w:rsidP="009A1F44">
            <w:pPr>
              <w:tabs>
                <w:tab w:val="left" w:pos="1536"/>
              </w:tabs>
              <w:spacing w:after="0" w:line="240" w:lineRule="auto"/>
              <w:jc w:val="both"/>
              <w:rPr>
                <w:rFonts w:ascii="Times New Roman" w:hAnsi="Times New Roman"/>
                <w:sz w:val="26"/>
                <w:szCs w:val="26"/>
                <w:lang w:eastAsia="lv-LV"/>
              </w:rPr>
            </w:pPr>
            <w:r w:rsidRPr="001E3B97">
              <w:rPr>
                <w:rFonts w:ascii="Times New Roman" w:hAnsi="Times New Roman"/>
                <w:sz w:val="26"/>
                <w:szCs w:val="26"/>
                <w:lang w:eastAsia="lv-LV"/>
              </w:rPr>
              <w:tab/>
            </w:r>
          </w:p>
        </w:tc>
      </w:tr>
      <w:tr w:rsidR="002E1D7F" w:rsidRPr="001E3B97" w14:paraId="149CA4EB" w14:textId="77777777" w:rsidTr="00E47547">
        <w:trPr>
          <w:trHeight w:val="88"/>
        </w:trPr>
        <w:tc>
          <w:tcPr>
            <w:tcW w:w="1276" w:type="dxa"/>
          </w:tcPr>
          <w:p w14:paraId="5189B9A1" w14:textId="77777777" w:rsidR="002E1D7F" w:rsidRPr="001E3B97" w:rsidRDefault="002E1D7F" w:rsidP="008D230F">
            <w:pPr>
              <w:spacing w:after="0" w:line="240" w:lineRule="auto"/>
              <w:ind w:firstLine="720"/>
              <w:rPr>
                <w:rFonts w:ascii="Times New Roman" w:hAnsi="Times New Roman"/>
                <w:sz w:val="26"/>
                <w:szCs w:val="26"/>
                <w:lang w:eastAsia="lv-LV"/>
              </w:rPr>
            </w:pPr>
          </w:p>
        </w:tc>
        <w:tc>
          <w:tcPr>
            <w:tcW w:w="425" w:type="dxa"/>
          </w:tcPr>
          <w:p w14:paraId="2BA324FD" w14:textId="77777777" w:rsidR="002E1D7F" w:rsidRPr="001E3B97" w:rsidRDefault="002E1D7F" w:rsidP="00E47547">
            <w:pPr>
              <w:spacing w:after="0" w:line="240" w:lineRule="auto"/>
              <w:ind w:left="-108"/>
              <w:rPr>
                <w:rFonts w:ascii="Times New Roman" w:hAnsi="Times New Roman"/>
                <w:sz w:val="26"/>
                <w:szCs w:val="26"/>
                <w:lang w:eastAsia="lv-LV"/>
              </w:rPr>
            </w:pPr>
          </w:p>
        </w:tc>
        <w:tc>
          <w:tcPr>
            <w:tcW w:w="7480" w:type="dxa"/>
          </w:tcPr>
          <w:p w14:paraId="2CCECD09" w14:textId="77777777" w:rsidR="002E1D7F" w:rsidRPr="001E3B97" w:rsidRDefault="002E1D7F" w:rsidP="00E47547">
            <w:pPr>
              <w:spacing w:after="0" w:line="240" w:lineRule="auto"/>
              <w:jc w:val="both"/>
              <w:rPr>
                <w:rFonts w:ascii="Times New Roman" w:hAnsi="Times New Roman"/>
                <w:sz w:val="26"/>
                <w:szCs w:val="26"/>
                <w:lang w:eastAsia="lv-LV"/>
              </w:rPr>
            </w:pPr>
          </w:p>
        </w:tc>
      </w:tr>
      <w:tr w:rsidR="002E1D7F" w:rsidRPr="001E3B97" w14:paraId="32AB5222" w14:textId="77777777" w:rsidTr="00E47547">
        <w:trPr>
          <w:trHeight w:val="88"/>
        </w:trPr>
        <w:tc>
          <w:tcPr>
            <w:tcW w:w="1276" w:type="dxa"/>
          </w:tcPr>
          <w:p w14:paraId="586F8C42" w14:textId="77777777" w:rsidR="002E1D7F" w:rsidRPr="001E3B97" w:rsidRDefault="002E1D7F" w:rsidP="008D230F">
            <w:pPr>
              <w:spacing w:after="0" w:line="240" w:lineRule="auto"/>
              <w:ind w:firstLine="720"/>
              <w:rPr>
                <w:rFonts w:ascii="Times New Roman" w:hAnsi="Times New Roman"/>
                <w:sz w:val="26"/>
                <w:szCs w:val="26"/>
                <w:lang w:eastAsia="lv-LV"/>
              </w:rPr>
            </w:pPr>
          </w:p>
        </w:tc>
        <w:tc>
          <w:tcPr>
            <w:tcW w:w="425" w:type="dxa"/>
          </w:tcPr>
          <w:p w14:paraId="4A64A55B" w14:textId="77777777" w:rsidR="002E1D7F" w:rsidRPr="001E3B97" w:rsidRDefault="002E1D7F" w:rsidP="00E47547">
            <w:pPr>
              <w:spacing w:after="0" w:line="240" w:lineRule="auto"/>
              <w:ind w:left="-108"/>
              <w:rPr>
                <w:rFonts w:ascii="Times New Roman" w:hAnsi="Times New Roman"/>
                <w:sz w:val="26"/>
                <w:szCs w:val="26"/>
                <w:lang w:eastAsia="lv-LV"/>
              </w:rPr>
            </w:pPr>
          </w:p>
        </w:tc>
        <w:tc>
          <w:tcPr>
            <w:tcW w:w="7480" w:type="dxa"/>
          </w:tcPr>
          <w:p w14:paraId="122864AF" w14:textId="77777777" w:rsidR="002E1D7F" w:rsidRPr="001E3B97" w:rsidRDefault="002E1D7F" w:rsidP="00E5103E">
            <w:pPr>
              <w:spacing w:after="0" w:line="240" w:lineRule="auto"/>
              <w:jc w:val="both"/>
              <w:rPr>
                <w:rFonts w:ascii="Times New Roman" w:hAnsi="Times New Roman"/>
                <w:sz w:val="26"/>
                <w:szCs w:val="26"/>
                <w:lang w:eastAsia="lv-LV"/>
              </w:rPr>
            </w:pPr>
          </w:p>
        </w:tc>
      </w:tr>
      <w:tr w:rsidR="002E1D7F" w:rsidRPr="001E3B97" w14:paraId="2CB35550" w14:textId="77777777" w:rsidTr="00E47547">
        <w:trPr>
          <w:trHeight w:val="88"/>
        </w:trPr>
        <w:tc>
          <w:tcPr>
            <w:tcW w:w="1276" w:type="dxa"/>
          </w:tcPr>
          <w:p w14:paraId="717AC3E8" w14:textId="77777777" w:rsidR="002E1D7F" w:rsidRPr="001E3B97" w:rsidRDefault="002E1D7F" w:rsidP="008D230F">
            <w:pPr>
              <w:spacing w:after="0" w:line="240" w:lineRule="auto"/>
              <w:ind w:firstLine="720"/>
              <w:rPr>
                <w:rFonts w:ascii="Times New Roman" w:hAnsi="Times New Roman"/>
                <w:sz w:val="26"/>
                <w:szCs w:val="26"/>
                <w:lang w:eastAsia="lv-LV"/>
              </w:rPr>
            </w:pPr>
          </w:p>
        </w:tc>
        <w:tc>
          <w:tcPr>
            <w:tcW w:w="425" w:type="dxa"/>
          </w:tcPr>
          <w:p w14:paraId="0DBA8828" w14:textId="77777777" w:rsidR="002E1D7F" w:rsidRPr="001E3B97" w:rsidRDefault="002E1D7F" w:rsidP="00E47547">
            <w:pPr>
              <w:spacing w:after="0" w:line="240" w:lineRule="auto"/>
              <w:ind w:left="-108"/>
              <w:rPr>
                <w:rFonts w:ascii="Times New Roman" w:hAnsi="Times New Roman"/>
                <w:sz w:val="26"/>
                <w:szCs w:val="26"/>
                <w:lang w:eastAsia="lv-LV"/>
              </w:rPr>
            </w:pPr>
          </w:p>
        </w:tc>
        <w:tc>
          <w:tcPr>
            <w:tcW w:w="7480" w:type="dxa"/>
          </w:tcPr>
          <w:p w14:paraId="48061729" w14:textId="77777777" w:rsidR="002E1D7F" w:rsidRPr="001E3B97" w:rsidRDefault="002E1D7F" w:rsidP="00E47547">
            <w:pPr>
              <w:spacing w:after="0" w:line="240" w:lineRule="auto"/>
              <w:jc w:val="both"/>
              <w:rPr>
                <w:rFonts w:ascii="Times New Roman" w:hAnsi="Times New Roman"/>
                <w:sz w:val="26"/>
                <w:szCs w:val="26"/>
                <w:lang w:eastAsia="lv-LV"/>
              </w:rPr>
            </w:pPr>
          </w:p>
        </w:tc>
      </w:tr>
      <w:tr w:rsidR="00243D0B" w:rsidRPr="001E3B97" w14:paraId="764F5226" w14:textId="77777777" w:rsidTr="007B1768">
        <w:trPr>
          <w:trHeight w:val="68"/>
        </w:trPr>
        <w:tc>
          <w:tcPr>
            <w:tcW w:w="1276" w:type="dxa"/>
          </w:tcPr>
          <w:p w14:paraId="76DCBA99" w14:textId="77777777" w:rsidR="00243D0B" w:rsidRPr="001E3B97" w:rsidRDefault="00243D0B" w:rsidP="008D230F">
            <w:pPr>
              <w:spacing w:after="0" w:line="240" w:lineRule="auto"/>
              <w:ind w:firstLine="720"/>
              <w:rPr>
                <w:rFonts w:ascii="Times New Roman" w:hAnsi="Times New Roman"/>
                <w:sz w:val="26"/>
                <w:szCs w:val="26"/>
                <w:lang w:eastAsia="lv-LV"/>
              </w:rPr>
            </w:pPr>
          </w:p>
        </w:tc>
        <w:tc>
          <w:tcPr>
            <w:tcW w:w="425" w:type="dxa"/>
          </w:tcPr>
          <w:p w14:paraId="0CEF65F0" w14:textId="77777777" w:rsidR="00243D0B" w:rsidRPr="001E3B97" w:rsidRDefault="00243D0B" w:rsidP="009A1F44">
            <w:pPr>
              <w:spacing w:after="0" w:line="240" w:lineRule="auto"/>
              <w:rPr>
                <w:rFonts w:ascii="Times New Roman" w:hAnsi="Times New Roman"/>
                <w:sz w:val="26"/>
                <w:szCs w:val="26"/>
                <w:lang w:eastAsia="lv-LV"/>
              </w:rPr>
            </w:pPr>
          </w:p>
        </w:tc>
        <w:tc>
          <w:tcPr>
            <w:tcW w:w="7480" w:type="dxa"/>
          </w:tcPr>
          <w:p w14:paraId="57266075" w14:textId="77777777" w:rsidR="00243D0B" w:rsidRPr="001E3B97" w:rsidRDefault="00243D0B" w:rsidP="00E47547">
            <w:pPr>
              <w:spacing w:after="0" w:line="240" w:lineRule="auto"/>
              <w:jc w:val="both"/>
              <w:rPr>
                <w:rFonts w:ascii="Times New Roman" w:hAnsi="Times New Roman"/>
                <w:sz w:val="26"/>
                <w:szCs w:val="26"/>
              </w:rPr>
            </w:pPr>
          </w:p>
        </w:tc>
      </w:tr>
    </w:tbl>
    <w:p w14:paraId="59BBE2F9" w14:textId="77777777" w:rsidR="00670CF3" w:rsidRPr="001E3B97" w:rsidRDefault="009D04E8" w:rsidP="009D04E8">
      <w:pPr>
        <w:widowControl/>
        <w:tabs>
          <w:tab w:val="right" w:pos="9072"/>
        </w:tabs>
        <w:autoSpaceDE w:val="0"/>
        <w:autoSpaceDN w:val="0"/>
        <w:adjustRightInd w:val="0"/>
        <w:spacing w:after="0" w:line="240" w:lineRule="auto"/>
        <w:jc w:val="both"/>
        <w:rPr>
          <w:rFonts w:ascii="Times New Roman" w:hAnsi="Times New Roman"/>
          <w:bCs/>
          <w:sz w:val="26"/>
          <w:szCs w:val="26"/>
          <w:lang w:eastAsia="lv-LV"/>
        </w:rPr>
      </w:pPr>
      <w:r w:rsidRPr="001E3B97">
        <w:rPr>
          <w:rFonts w:ascii="Times New Roman" w:hAnsi="Times New Roman"/>
          <w:bCs/>
          <w:sz w:val="26"/>
          <w:szCs w:val="26"/>
          <w:lang w:eastAsia="lv-LV"/>
        </w:rPr>
        <w:t>Finanšu ministre</w:t>
      </w:r>
      <w:r w:rsidRPr="001E3B97">
        <w:rPr>
          <w:rFonts w:ascii="Times New Roman" w:hAnsi="Times New Roman"/>
          <w:bCs/>
          <w:sz w:val="26"/>
          <w:szCs w:val="26"/>
          <w:lang w:eastAsia="lv-LV"/>
        </w:rPr>
        <w:tab/>
      </w:r>
      <w:proofErr w:type="spellStart"/>
      <w:r w:rsidRPr="001E3B97">
        <w:rPr>
          <w:rFonts w:ascii="Times New Roman" w:hAnsi="Times New Roman"/>
          <w:bCs/>
          <w:sz w:val="26"/>
          <w:szCs w:val="26"/>
          <w:lang w:eastAsia="lv-LV"/>
        </w:rPr>
        <w:t>D.Reizniece</w:t>
      </w:r>
      <w:proofErr w:type="spellEnd"/>
      <w:r w:rsidRPr="001E3B97">
        <w:rPr>
          <w:rFonts w:ascii="Times New Roman" w:hAnsi="Times New Roman"/>
          <w:bCs/>
          <w:sz w:val="26"/>
          <w:szCs w:val="26"/>
          <w:lang w:eastAsia="lv-LV"/>
        </w:rPr>
        <w:t>-Ozola</w:t>
      </w:r>
    </w:p>
    <w:p w14:paraId="17FF41FA" w14:textId="77777777" w:rsidR="000869BA" w:rsidRDefault="000869BA" w:rsidP="00B8685F">
      <w:pPr>
        <w:widowControl/>
        <w:autoSpaceDE w:val="0"/>
        <w:autoSpaceDN w:val="0"/>
        <w:adjustRightInd w:val="0"/>
        <w:spacing w:after="0" w:line="240" w:lineRule="auto"/>
        <w:ind w:firstLine="720"/>
        <w:jc w:val="both"/>
        <w:rPr>
          <w:rFonts w:ascii="Times New Roman" w:hAnsi="Times New Roman"/>
          <w:bCs/>
          <w:sz w:val="28"/>
          <w:szCs w:val="28"/>
          <w:lang w:eastAsia="lv-LV"/>
        </w:rPr>
      </w:pPr>
    </w:p>
    <w:p w14:paraId="53112AF8" w14:textId="2BEDA22B" w:rsidR="009B74CC" w:rsidRDefault="009B74CC" w:rsidP="0006310F">
      <w:pPr>
        <w:spacing w:after="0" w:line="240" w:lineRule="auto"/>
        <w:rPr>
          <w:rFonts w:ascii="Times New Roman" w:hAnsi="Times New Roman"/>
        </w:rPr>
      </w:pPr>
    </w:p>
    <w:p w14:paraId="5673254F" w14:textId="4630FD3C" w:rsidR="007B1768" w:rsidRDefault="007B1768" w:rsidP="0006310F">
      <w:pPr>
        <w:spacing w:after="0" w:line="240" w:lineRule="auto"/>
        <w:rPr>
          <w:rFonts w:ascii="Times New Roman" w:hAnsi="Times New Roman"/>
        </w:rPr>
      </w:pPr>
    </w:p>
    <w:p w14:paraId="606FBF83" w14:textId="4A151FC6" w:rsidR="00527BE9" w:rsidRDefault="00527BE9" w:rsidP="0006310F">
      <w:pPr>
        <w:spacing w:after="0" w:line="240" w:lineRule="auto"/>
        <w:rPr>
          <w:rFonts w:ascii="Times New Roman" w:hAnsi="Times New Roman"/>
        </w:rPr>
      </w:pPr>
    </w:p>
    <w:p w14:paraId="2770D210" w14:textId="40A4E7C8" w:rsidR="00527BE9" w:rsidRDefault="00527BE9" w:rsidP="0006310F">
      <w:pPr>
        <w:spacing w:after="0" w:line="240" w:lineRule="auto"/>
        <w:rPr>
          <w:rFonts w:ascii="Times New Roman" w:hAnsi="Times New Roman"/>
        </w:rPr>
      </w:pPr>
    </w:p>
    <w:p w14:paraId="115CC6A4" w14:textId="56100684" w:rsidR="00527BE9" w:rsidRDefault="00527BE9" w:rsidP="0006310F">
      <w:pPr>
        <w:spacing w:after="0" w:line="240" w:lineRule="auto"/>
        <w:rPr>
          <w:rFonts w:ascii="Times New Roman" w:hAnsi="Times New Roman"/>
        </w:rPr>
      </w:pPr>
    </w:p>
    <w:p w14:paraId="3FD6E645" w14:textId="60920320" w:rsidR="00527BE9" w:rsidRDefault="00527BE9" w:rsidP="0006310F">
      <w:pPr>
        <w:spacing w:after="0" w:line="240" w:lineRule="auto"/>
        <w:rPr>
          <w:rFonts w:ascii="Times New Roman" w:hAnsi="Times New Roman"/>
        </w:rPr>
      </w:pPr>
    </w:p>
    <w:p w14:paraId="5C8ECB00" w14:textId="77777777" w:rsidR="00527BE9" w:rsidRPr="005F3019" w:rsidRDefault="00527BE9" w:rsidP="0006310F">
      <w:pPr>
        <w:spacing w:after="0" w:line="240" w:lineRule="auto"/>
        <w:rPr>
          <w:rFonts w:ascii="Times New Roman" w:hAnsi="Times New Roman"/>
        </w:rPr>
      </w:pPr>
    </w:p>
    <w:p w14:paraId="54AA4E40" w14:textId="77777777" w:rsidR="0006310F" w:rsidRPr="0006310F" w:rsidRDefault="009A1F44" w:rsidP="0006310F">
      <w:pPr>
        <w:spacing w:after="0" w:line="240" w:lineRule="auto"/>
        <w:rPr>
          <w:rFonts w:ascii="Times New Roman" w:hAnsi="Times New Roman"/>
        </w:rPr>
      </w:pPr>
      <w:r>
        <w:rPr>
          <w:rFonts w:ascii="Times New Roman" w:hAnsi="Times New Roman"/>
        </w:rPr>
        <w:t>Purviņa 67083805</w:t>
      </w:r>
    </w:p>
    <w:p w14:paraId="2488C525" w14:textId="77777777" w:rsidR="000869BA" w:rsidRPr="000869BA" w:rsidRDefault="00A77207" w:rsidP="00E47547">
      <w:pPr>
        <w:spacing w:after="0" w:line="240" w:lineRule="auto"/>
        <w:rPr>
          <w:rFonts w:ascii="Times New Roman" w:hAnsi="Times New Roman"/>
          <w:bCs/>
          <w:szCs w:val="28"/>
          <w:lang w:eastAsia="lv-LV"/>
        </w:rPr>
      </w:pPr>
      <w:hyperlink r:id="rId8" w:history="1">
        <w:r w:rsidR="009A1F44" w:rsidRPr="001A7397">
          <w:rPr>
            <w:rStyle w:val="Hyperlink"/>
            <w:rFonts w:ascii="Times New Roman" w:hAnsi="Times New Roman"/>
            <w:bCs/>
            <w:szCs w:val="28"/>
            <w:lang w:eastAsia="lv-LV"/>
          </w:rPr>
          <w:t>Ieva.Purvina@fm.gov.lv</w:t>
        </w:r>
      </w:hyperlink>
      <w:r w:rsidR="009A1F44">
        <w:rPr>
          <w:rFonts w:ascii="Times New Roman" w:hAnsi="Times New Roman"/>
          <w:bCs/>
          <w:szCs w:val="28"/>
          <w:lang w:eastAsia="lv-LV"/>
        </w:rPr>
        <w:t xml:space="preserve"> </w:t>
      </w:r>
    </w:p>
    <w:sectPr w:rsidR="000869BA" w:rsidRPr="000869BA" w:rsidSect="00ED2CF5">
      <w:headerReference w:type="default" r:id="rId9"/>
      <w:footerReference w:type="default" r:id="rId10"/>
      <w:headerReference w:type="first" r:id="rId11"/>
      <w:footerReference w:type="first" r:id="rId12"/>
      <w:type w:val="continuous"/>
      <w:pgSz w:w="11920" w:h="16840"/>
      <w:pgMar w:top="1276"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E03F" w14:textId="77777777" w:rsidR="00025D04" w:rsidRDefault="00025D04">
      <w:pPr>
        <w:spacing w:after="0" w:line="240" w:lineRule="auto"/>
      </w:pPr>
      <w:r>
        <w:separator/>
      </w:r>
    </w:p>
  </w:endnote>
  <w:endnote w:type="continuationSeparator" w:id="0">
    <w:p w14:paraId="39A1D0A9" w14:textId="77777777" w:rsidR="00025D04" w:rsidRDefault="0002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93C8" w14:textId="12BE0834" w:rsidR="009A1F44" w:rsidRPr="0006310F" w:rsidRDefault="009A1F44" w:rsidP="009A1F44">
    <w:pPr>
      <w:pStyle w:val="Footer"/>
      <w:rPr>
        <w:rFonts w:ascii="Times New Roman" w:hAnsi="Times New Roman"/>
        <w:sz w:val="20"/>
        <w:szCs w:val="20"/>
      </w:rPr>
    </w:pPr>
    <w:r w:rsidRPr="0006310F">
      <w:rPr>
        <w:rFonts w:ascii="Times New Roman" w:hAnsi="Times New Roman"/>
        <w:sz w:val="20"/>
        <w:szCs w:val="20"/>
      </w:rPr>
      <w:fldChar w:fldCharType="begin"/>
    </w:r>
    <w:r w:rsidRPr="0006310F">
      <w:rPr>
        <w:rFonts w:ascii="Times New Roman" w:hAnsi="Times New Roman"/>
        <w:sz w:val="20"/>
        <w:szCs w:val="20"/>
      </w:rPr>
      <w:instrText xml:space="preserve"> FILENAME   \* MERGEFORMAT </w:instrText>
    </w:r>
    <w:r w:rsidRPr="0006310F">
      <w:rPr>
        <w:rFonts w:ascii="Times New Roman" w:hAnsi="Times New Roman"/>
        <w:sz w:val="20"/>
        <w:szCs w:val="20"/>
      </w:rPr>
      <w:fldChar w:fldCharType="separate"/>
    </w:r>
    <w:r w:rsidR="00527BE9">
      <w:rPr>
        <w:rFonts w:ascii="Times New Roman" w:hAnsi="Times New Roman"/>
        <w:noProof/>
        <w:sz w:val="20"/>
        <w:szCs w:val="20"/>
      </w:rPr>
      <w:t>FMPav_210917_MK protokollēmums.docx</w:t>
    </w:r>
    <w:r w:rsidRPr="0006310F">
      <w:rPr>
        <w:rFonts w:ascii="Times New Roman" w:hAnsi="Times New Roman"/>
        <w:sz w:val="20"/>
        <w:szCs w:val="20"/>
      </w:rPr>
      <w:fldChar w:fldCharType="end"/>
    </w:r>
  </w:p>
  <w:p w14:paraId="2F3B4D5A" w14:textId="77777777" w:rsidR="000869BA" w:rsidRPr="009A1F44" w:rsidRDefault="000869BA" w:rsidP="009A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3EF1" w14:textId="75ED065F" w:rsidR="000869BA" w:rsidRPr="0006310F" w:rsidRDefault="0006310F" w:rsidP="0006310F">
    <w:pPr>
      <w:pStyle w:val="Footer"/>
      <w:rPr>
        <w:rFonts w:ascii="Times New Roman" w:hAnsi="Times New Roman"/>
        <w:sz w:val="20"/>
        <w:szCs w:val="20"/>
      </w:rPr>
    </w:pPr>
    <w:r w:rsidRPr="0006310F">
      <w:rPr>
        <w:rFonts w:ascii="Times New Roman" w:hAnsi="Times New Roman"/>
        <w:sz w:val="20"/>
        <w:szCs w:val="20"/>
      </w:rPr>
      <w:fldChar w:fldCharType="begin"/>
    </w:r>
    <w:r w:rsidRPr="0006310F">
      <w:rPr>
        <w:rFonts w:ascii="Times New Roman" w:hAnsi="Times New Roman"/>
        <w:sz w:val="20"/>
        <w:szCs w:val="20"/>
      </w:rPr>
      <w:instrText xml:space="preserve"> FILENAME   \* MERGEFORMAT </w:instrText>
    </w:r>
    <w:r w:rsidRPr="0006310F">
      <w:rPr>
        <w:rFonts w:ascii="Times New Roman" w:hAnsi="Times New Roman"/>
        <w:sz w:val="20"/>
        <w:szCs w:val="20"/>
      </w:rPr>
      <w:fldChar w:fldCharType="separate"/>
    </w:r>
    <w:r w:rsidR="00527BE9">
      <w:rPr>
        <w:rFonts w:ascii="Times New Roman" w:hAnsi="Times New Roman"/>
        <w:noProof/>
        <w:sz w:val="20"/>
        <w:szCs w:val="20"/>
      </w:rPr>
      <w:t>FMPav_210917_MK protokollēmums.docx</w:t>
    </w:r>
    <w:r w:rsidRPr="0006310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1579" w14:textId="77777777" w:rsidR="00025D04" w:rsidRDefault="00025D04">
      <w:pPr>
        <w:spacing w:after="0" w:line="240" w:lineRule="auto"/>
      </w:pPr>
      <w:r>
        <w:separator/>
      </w:r>
    </w:p>
  </w:footnote>
  <w:footnote w:type="continuationSeparator" w:id="0">
    <w:p w14:paraId="51422CCE" w14:textId="77777777" w:rsidR="00025D04" w:rsidRDefault="0002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19772"/>
      <w:docPartObj>
        <w:docPartGallery w:val="Page Numbers (Top of Page)"/>
        <w:docPartUnique/>
      </w:docPartObj>
    </w:sdtPr>
    <w:sdtEndPr>
      <w:rPr>
        <w:rFonts w:ascii="Times New Roman" w:hAnsi="Times New Roman"/>
        <w:noProof/>
        <w:sz w:val="24"/>
      </w:rPr>
    </w:sdtEndPr>
    <w:sdtContent>
      <w:p w14:paraId="08880576" w14:textId="13360DBD" w:rsidR="008E7175" w:rsidRPr="009F6F1E" w:rsidRDefault="008E7175">
        <w:pPr>
          <w:pStyle w:val="Header"/>
          <w:jc w:val="center"/>
          <w:rPr>
            <w:rFonts w:ascii="Times New Roman" w:hAnsi="Times New Roman"/>
            <w:sz w:val="24"/>
          </w:rPr>
        </w:pPr>
        <w:r w:rsidRPr="009F6F1E">
          <w:rPr>
            <w:rFonts w:ascii="Times New Roman" w:hAnsi="Times New Roman"/>
            <w:sz w:val="24"/>
          </w:rPr>
          <w:fldChar w:fldCharType="begin"/>
        </w:r>
        <w:r w:rsidRPr="009F6F1E">
          <w:rPr>
            <w:rFonts w:ascii="Times New Roman" w:hAnsi="Times New Roman"/>
            <w:sz w:val="24"/>
          </w:rPr>
          <w:instrText xml:space="preserve"> PAGE   \* MERGEFORMAT </w:instrText>
        </w:r>
        <w:r w:rsidRPr="009F6F1E">
          <w:rPr>
            <w:rFonts w:ascii="Times New Roman" w:hAnsi="Times New Roman"/>
            <w:sz w:val="24"/>
          </w:rPr>
          <w:fldChar w:fldCharType="separate"/>
        </w:r>
        <w:r w:rsidR="00A77207">
          <w:rPr>
            <w:rFonts w:ascii="Times New Roman" w:hAnsi="Times New Roman"/>
            <w:noProof/>
            <w:sz w:val="24"/>
          </w:rPr>
          <w:t>2</w:t>
        </w:r>
        <w:r w:rsidRPr="009F6F1E">
          <w:rPr>
            <w:rFonts w:ascii="Times New Roman" w:hAnsi="Times New Roman"/>
            <w:noProof/>
            <w:sz w:val="24"/>
          </w:rPr>
          <w:fldChar w:fldCharType="end"/>
        </w:r>
      </w:p>
    </w:sdtContent>
  </w:sdt>
  <w:p w14:paraId="654639A3" w14:textId="77777777" w:rsidR="008E7175" w:rsidRPr="0006310F" w:rsidRDefault="008E7175">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119E" w14:textId="77777777" w:rsidR="00604C34" w:rsidRDefault="00604C34" w:rsidP="00604C34">
    <w:pPr>
      <w:pStyle w:val="Header"/>
      <w:jc w:val="right"/>
      <w:rPr>
        <w:rFonts w:ascii="Times New Roman" w:hAnsi="Times New Roman"/>
        <w:noProof/>
        <w:lang w:eastAsia="lv-LV"/>
      </w:rPr>
    </w:pPr>
  </w:p>
  <w:p w14:paraId="48EC98D0" w14:textId="77777777"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26904A0B" wp14:editId="08755759">
          <wp:simplePos x="0" y="0"/>
          <wp:positionH relativeFrom="margin">
            <wp:posOffset>75565</wp:posOffset>
          </wp:positionH>
          <wp:positionV relativeFrom="page">
            <wp:posOffset>711200</wp:posOffset>
          </wp:positionV>
          <wp:extent cx="5914390" cy="1065600"/>
          <wp:effectExtent l="0" t="0" r="0" b="0"/>
          <wp:wrapNone/>
          <wp:docPr id="24" name="Picture 2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14:paraId="37AF492B" w14:textId="77777777" w:rsidR="00604C34" w:rsidRDefault="00604C34" w:rsidP="00604C34">
    <w:pPr>
      <w:pStyle w:val="Header"/>
      <w:jc w:val="right"/>
      <w:rPr>
        <w:rFonts w:ascii="Times New Roman" w:hAnsi="Times New Roman"/>
        <w:noProof/>
        <w:lang w:eastAsia="lv-LV"/>
      </w:rPr>
    </w:pPr>
  </w:p>
  <w:p w14:paraId="5A96B5C9" w14:textId="77777777" w:rsidR="00604C34" w:rsidRDefault="00604C34" w:rsidP="00604C34">
    <w:pPr>
      <w:pStyle w:val="Header"/>
      <w:jc w:val="right"/>
      <w:rPr>
        <w:rFonts w:ascii="Times New Roman" w:hAnsi="Times New Roman"/>
        <w:noProof/>
        <w:lang w:eastAsia="lv-LV"/>
      </w:rPr>
    </w:pPr>
  </w:p>
  <w:p w14:paraId="62C8BE94" w14:textId="77777777" w:rsidR="00604C34" w:rsidRPr="00604C34" w:rsidRDefault="00604C34" w:rsidP="00604C34">
    <w:pPr>
      <w:pStyle w:val="Header"/>
      <w:jc w:val="right"/>
      <w:rPr>
        <w:rFonts w:ascii="Times New Roman" w:hAnsi="Times New Roman"/>
        <w:noProof/>
        <w:lang w:eastAsia="lv-LV"/>
      </w:rPr>
    </w:pPr>
  </w:p>
  <w:p w14:paraId="4A441672" w14:textId="77777777" w:rsidR="00C85880" w:rsidRDefault="00C85880" w:rsidP="001D3984">
    <w:pPr>
      <w:pStyle w:val="Header"/>
      <w:jc w:val="center"/>
      <w:rPr>
        <w:rFonts w:ascii="Times New Roman" w:hAnsi="Times New Roman"/>
      </w:rPr>
    </w:pPr>
  </w:p>
  <w:p w14:paraId="311DF5B9" w14:textId="77777777" w:rsidR="00554B17" w:rsidRDefault="00554B17" w:rsidP="001D1D2E">
    <w:pPr>
      <w:pStyle w:val="Header"/>
      <w:jc w:val="center"/>
      <w:rPr>
        <w:rFonts w:ascii="Times New Roman" w:hAnsi="Times New Roman"/>
      </w:rPr>
    </w:pPr>
  </w:p>
  <w:p w14:paraId="656879AB" w14:textId="77777777" w:rsidR="00C85880" w:rsidRDefault="00C85880" w:rsidP="00554B17">
    <w:pPr>
      <w:pStyle w:val="Header"/>
      <w:jc w:val="right"/>
      <w:rPr>
        <w:rFonts w:ascii="Times New Roman" w:hAnsi="Times New Roman"/>
      </w:rPr>
    </w:pPr>
  </w:p>
  <w:p w14:paraId="74108F8D"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A600CC8" w14:textId="77777777"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18A4B286" wp14:editId="01617335">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6853B"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margin" anchory="page"/>
            </v:group>
          </w:pict>
        </mc:Fallback>
      </mc:AlternateContent>
    </w:r>
  </w:p>
  <w:p w14:paraId="11D7388A" w14:textId="77777777"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128D7865" wp14:editId="585080C0">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24B9"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7865"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236824B9"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B4559"/>
    <w:multiLevelType w:val="hybridMultilevel"/>
    <w:tmpl w:val="B204B3DA"/>
    <w:lvl w:ilvl="0" w:tplc="D17C223C">
      <w:start w:val="1"/>
      <w:numFmt w:val="decimal"/>
      <w:lvlText w:val="%1."/>
      <w:lvlJc w:val="left"/>
      <w:pPr>
        <w:ind w:left="3054" w:hanging="360"/>
      </w:pPr>
      <w:rPr>
        <w:rFonts w:hint="default"/>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2" w15:restartNumberingAfterBreak="0">
    <w:nsid w:val="76D807CE"/>
    <w:multiLevelType w:val="hybridMultilevel"/>
    <w:tmpl w:val="1D025CD4"/>
    <w:lvl w:ilvl="0" w:tplc="A0D8FD10">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5F"/>
    <w:rsid w:val="00003382"/>
    <w:rsid w:val="00004282"/>
    <w:rsid w:val="0000516F"/>
    <w:rsid w:val="00006384"/>
    <w:rsid w:val="00011F79"/>
    <w:rsid w:val="00025D04"/>
    <w:rsid w:val="00030349"/>
    <w:rsid w:val="000449C4"/>
    <w:rsid w:val="0006310F"/>
    <w:rsid w:val="00065882"/>
    <w:rsid w:val="0007137A"/>
    <w:rsid w:val="000835FB"/>
    <w:rsid w:val="000869BA"/>
    <w:rsid w:val="00090690"/>
    <w:rsid w:val="000A0ECA"/>
    <w:rsid w:val="000B2EB7"/>
    <w:rsid w:val="000F2AD0"/>
    <w:rsid w:val="00105EB3"/>
    <w:rsid w:val="00124173"/>
    <w:rsid w:val="00126F64"/>
    <w:rsid w:val="00127EE5"/>
    <w:rsid w:val="0013761A"/>
    <w:rsid w:val="001473E6"/>
    <w:rsid w:val="00147AFA"/>
    <w:rsid w:val="00153670"/>
    <w:rsid w:val="001560D5"/>
    <w:rsid w:val="00161E00"/>
    <w:rsid w:val="00180E49"/>
    <w:rsid w:val="00194896"/>
    <w:rsid w:val="001A338C"/>
    <w:rsid w:val="001D1D2E"/>
    <w:rsid w:val="001D3984"/>
    <w:rsid w:val="001E3B97"/>
    <w:rsid w:val="0021016C"/>
    <w:rsid w:val="002156A2"/>
    <w:rsid w:val="002168C2"/>
    <w:rsid w:val="00235EBC"/>
    <w:rsid w:val="00241EC4"/>
    <w:rsid w:val="00243D0B"/>
    <w:rsid w:val="00244A36"/>
    <w:rsid w:val="00275B9E"/>
    <w:rsid w:val="00281E87"/>
    <w:rsid w:val="002B3077"/>
    <w:rsid w:val="002B4378"/>
    <w:rsid w:val="002E1474"/>
    <w:rsid w:val="002E1D7F"/>
    <w:rsid w:val="0033541F"/>
    <w:rsid w:val="00340397"/>
    <w:rsid w:val="00340CA9"/>
    <w:rsid w:val="00357A06"/>
    <w:rsid w:val="003658B5"/>
    <w:rsid w:val="00365DD4"/>
    <w:rsid w:val="003702F1"/>
    <w:rsid w:val="00396817"/>
    <w:rsid w:val="003C5E8B"/>
    <w:rsid w:val="003E018F"/>
    <w:rsid w:val="003F1025"/>
    <w:rsid w:val="004100C4"/>
    <w:rsid w:val="004329E9"/>
    <w:rsid w:val="00436E43"/>
    <w:rsid w:val="00444A96"/>
    <w:rsid w:val="00473A89"/>
    <w:rsid w:val="00493308"/>
    <w:rsid w:val="004A1E52"/>
    <w:rsid w:val="004B1C9B"/>
    <w:rsid w:val="004B543C"/>
    <w:rsid w:val="004C6717"/>
    <w:rsid w:val="004D7269"/>
    <w:rsid w:val="004E5089"/>
    <w:rsid w:val="004E5D92"/>
    <w:rsid w:val="004F452D"/>
    <w:rsid w:val="00511D9D"/>
    <w:rsid w:val="00513599"/>
    <w:rsid w:val="0052490B"/>
    <w:rsid w:val="00526512"/>
    <w:rsid w:val="00527BE9"/>
    <w:rsid w:val="00535564"/>
    <w:rsid w:val="00554B17"/>
    <w:rsid w:val="00573C11"/>
    <w:rsid w:val="005815E0"/>
    <w:rsid w:val="0059173F"/>
    <w:rsid w:val="005A264D"/>
    <w:rsid w:val="005C0ECB"/>
    <w:rsid w:val="005D5D6F"/>
    <w:rsid w:val="005F5161"/>
    <w:rsid w:val="005F7B58"/>
    <w:rsid w:val="006042C8"/>
    <w:rsid w:val="00604C34"/>
    <w:rsid w:val="00605D03"/>
    <w:rsid w:val="006128BF"/>
    <w:rsid w:val="00621995"/>
    <w:rsid w:val="00623FF5"/>
    <w:rsid w:val="00631ECD"/>
    <w:rsid w:val="00641155"/>
    <w:rsid w:val="00643515"/>
    <w:rsid w:val="006436CE"/>
    <w:rsid w:val="00663C3A"/>
    <w:rsid w:val="00670CF3"/>
    <w:rsid w:val="006813DD"/>
    <w:rsid w:val="00685C27"/>
    <w:rsid w:val="006A3D77"/>
    <w:rsid w:val="006B35C1"/>
    <w:rsid w:val="006B456A"/>
    <w:rsid w:val="006B799C"/>
    <w:rsid w:val="006C1639"/>
    <w:rsid w:val="006C2AEB"/>
    <w:rsid w:val="006C7C0F"/>
    <w:rsid w:val="006F35AA"/>
    <w:rsid w:val="006F3D50"/>
    <w:rsid w:val="006F4E57"/>
    <w:rsid w:val="007118EA"/>
    <w:rsid w:val="00717C06"/>
    <w:rsid w:val="00734895"/>
    <w:rsid w:val="0075321D"/>
    <w:rsid w:val="007704BD"/>
    <w:rsid w:val="00787D01"/>
    <w:rsid w:val="00790424"/>
    <w:rsid w:val="00797542"/>
    <w:rsid w:val="007B1768"/>
    <w:rsid w:val="007B3BA5"/>
    <w:rsid w:val="007B48EC"/>
    <w:rsid w:val="007B6C37"/>
    <w:rsid w:val="007C0790"/>
    <w:rsid w:val="007D491C"/>
    <w:rsid w:val="007D70CC"/>
    <w:rsid w:val="007E4D1F"/>
    <w:rsid w:val="00815277"/>
    <w:rsid w:val="008246B6"/>
    <w:rsid w:val="00840F62"/>
    <w:rsid w:val="00876C21"/>
    <w:rsid w:val="008873CB"/>
    <w:rsid w:val="00890904"/>
    <w:rsid w:val="008A79AE"/>
    <w:rsid w:val="008E7175"/>
    <w:rsid w:val="008E79C8"/>
    <w:rsid w:val="00903333"/>
    <w:rsid w:val="009121D9"/>
    <w:rsid w:val="00914649"/>
    <w:rsid w:val="009216B2"/>
    <w:rsid w:val="00950055"/>
    <w:rsid w:val="00954D5A"/>
    <w:rsid w:val="0097642E"/>
    <w:rsid w:val="009774E7"/>
    <w:rsid w:val="0099484D"/>
    <w:rsid w:val="00994867"/>
    <w:rsid w:val="009967DE"/>
    <w:rsid w:val="009A1F44"/>
    <w:rsid w:val="009B34FC"/>
    <w:rsid w:val="009B74CC"/>
    <w:rsid w:val="009C4C06"/>
    <w:rsid w:val="009D04E8"/>
    <w:rsid w:val="009D20B9"/>
    <w:rsid w:val="009F6F1E"/>
    <w:rsid w:val="00A1438C"/>
    <w:rsid w:val="00A359CB"/>
    <w:rsid w:val="00A41446"/>
    <w:rsid w:val="00A65044"/>
    <w:rsid w:val="00A77207"/>
    <w:rsid w:val="00A81A79"/>
    <w:rsid w:val="00AA2417"/>
    <w:rsid w:val="00AB26D3"/>
    <w:rsid w:val="00AE3D81"/>
    <w:rsid w:val="00AE43D7"/>
    <w:rsid w:val="00B0246A"/>
    <w:rsid w:val="00B07C60"/>
    <w:rsid w:val="00B33D92"/>
    <w:rsid w:val="00B459BB"/>
    <w:rsid w:val="00B63323"/>
    <w:rsid w:val="00B7786C"/>
    <w:rsid w:val="00B834BF"/>
    <w:rsid w:val="00B8685F"/>
    <w:rsid w:val="00BC73ED"/>
    <w:rsid w:val="00BD4E28"/>
    <w:rsid w:val="00C00DCE"/>
    <w:rsid w:val="00C04795"/>
    <w:rsid w:val="00C27218"/>
    <w:rsid w:val="00C47F57"/>
    <w:rsid w:val="00C53826"/>
    <w:rsid w:val="00C56F02"/>
    <w:rsid w:val="00C75EA8"/>
    <w:rsid w:val="00C85880"/>
    <w:rsid w:val="00C906FC"/>
    <w:rsid w:val="00C94D92"/>
    <w:rsid w:val="00C97CE5"/>
    <w:rsid w:val="00CA187B"/>
    <w:rsid w:val="00CB2C08"/>
    <w:rsid w:val="00CC2D1B"/>
    <w:rsid w:val="00CD36B0"/>
    <w:rsid w:val="00CE6264"/>
    <w:rsid w:val="00CE6313"/>
    <w:rsid w:val="00D1108C"/>
    <w:rsid w:val="00D21FA6"/>
    <w:rsid w:val="00D22165"/>
    <w:rsid w:val="00D46BB4"/>
    <w:rsid w:val="00D46D5D"/>
    <w:rsid w:val="00D4745B"/>
    <w:rsid w:val="00D55B4B"/>
    <w:rsid w:val="00D735D9"/>
    <w:rsid w:val="00D93687"/>
    <w:rsid w:val="00DA00F0"/>
    <w:rsid w:val="00DA3CA2"/>
    <w:rsid w:val="00DC251C"/>
    <w:rsid w:val="00DD323F"/>
    <w:rsid w:val="00DD5815"/>
    <w:rsid w:val="00DE254E"/>
    <w:rsid w:val="00DE2D97"/>
    <w:rsid w:val="00DE4B1F"/>
    <w:rsid w:val="00E066C9"/>
    <w:rsid w:val="00E16479"/>
    <w:rsid w:val="00E2266E"/>
    <w:rsid w:val="00E365CE"/>
    <w:rsid w:val="00E47547"/>
    <w:rsid w:val="00E5103E"/>
    <w:rsid w:val="00E54046"/>
    <w:rsid w:val="00E66066"/>
    <w:rsid w:val="00E73697"/>
    <w:rsid w:val="00E81A4D"/>
    <w:rsid w:val="00E91C07"/>
    <w:rsid w:val="00EB5A80"/>
    <w:rsid w:val="00ED2CF5"/>
    <w:rsid w:val="00ED7D1C"/>
    <w:rsid w:val="00EF7D5C"/>
    <w:rsid w:val="00F01612"/>
    <w:rsid w:val="00F16FAC"/>
    <w:rsid w:val="00F47BCA"/>
    <w:rsid w:val="00F60586"/>
    <w:rsid w:val="00F705BF"/>
    <w:rsid w:val="00F756D0"/>
    <w:rsid w:val="00FC1E71"/>
    <w:rsid w:val="00FD63BD"/>
    <w:rsid w:val="00FE76E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23285"/>
  <w15:docId w15:val="{CA576851-7AEC-4802-B5CB-407D6151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F5"/>
    <w:pPr>
      <w:ind w:left="720"/>
      <w:contextualSpacing/>
    </w:pPr>
  </w:style>
  <w:style w:type="paragraph" w:styleId="NoSpacing">
    <w:name w:val="No Spacing"/>
    <w:uiPriority w:val="1"/>
    <w:qFormat/>
    <w:rsid w:val="0006310F"/>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9484D"/>
    <w:rPr>
      <w:sz w:val="16"/>
      <w:szCs w:val="16"/>
    </w:rPr>
  </w:style>
  <w:style w:type="paragraph" w:styleId="CommentText">
    <w:name w:val="annotation text"/>
    <w:basedOn w:val="Normal"/>
    <w:link w:val="CommentTextChar"/>
    <w:uiPriority w:val="99"/>
    <w:semiHidden/>
    <w:unhideWhenUsed/>
    <w:rsid w:val="0099484D"/>
    <w:pPr>
      <w:widowControl/>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9484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E3B97"/>
    <w:pPr>
      <w:widowControl w:val="0"/>
      <w:spacing w:after="20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1E3B9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1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eva.Purv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0803-C592-4E68-9668-2D5A9FD5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3369</Words>
  <Characters>1921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Pavadvēstule</vt:lpstr>
      <vt:lpstr>Par likumprojektu</vt:lpstr>
    </vt:vector>
  </TitlesOfParts>
  <Company>FM</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dc:title>
  <dc:subject>MK sēdes protokollēmuma projekta pavadvēstule</dc:subject>
  <dc:creator>Ieva Purviņa</dc:creator>
  <cp:keywords/>
  <dc:description>Ieva.Purvina@fm.gov.lv_x000d_
67083805</dc:description>
  <cp:lastModifiedBy>Ieva Purviņa</cp:lastModifiedBy>
  <cp:revision>6</cp:revision>
  <cp:lastPrinted>2017-09-21T11:23:00Z</cp:lastPrinted>
  <dcterms:created xsi:type="dcterms:W3CDTF">2017-09-21T11:21:00Z</dcterms:created>
  <dcterms:modified xsi:type="dcterms:W3CDTF">2017-09-25T12:58:00Z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