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15" w:rsidRDefault="00D83115" w:rsidP="00D83115">
      <w:pPr>
        <w:spacing w:after="0" w:line="240" w:lineRule="auto"/>
        <w:ind w:right="-99"/>
        <w:jc w:val="center"/>
        <w:rPr>
          <w:rFonts w:ascii="Times New Roman" w:hAnsi="Times New Roman"/>
          <w:b/>
          <w:sz w:val="24"/>
          <w:szCs w:val="24"/>
        </w:rPr>
      </w:pPr>
      <w:r w:rsidRPr="00136C68">
        <w:rPr>
          <w:rFonts w:ascii="Times New Roman" w:hAnsi="Times New Roman"/>
          <w:b/>
          <w:sz w:val="24"/>
          <w:szCs w:val="24"/>
        </w:rPr>
        <w:t>INFORMATĪVAIS ZIŅOJUMS</w:t>
      </w:r>
    </w:p>
    <w:p w:rsidR="00D83115" w:rsidRDefault="00D41B5A" w:rsidP="00D83115">
      <w:pPr>
        <w:spacing w:after="0" w:line="240" w:lineRule="auto"/>
        <w:ind w:right="-99"/>
        <w:jc w:val="center"/>
        <w:rPr>
          <w:rFonts w:ascii="Times New Roman" w:hAnsi="Times New Roman"/>
          <w:b/>
          <w:sz w:val="24"/>
          <w:szCs w:val="24"/>
        </w:rPr>
      </w:pPr>
      <w:r>
        <w:rPr>
          <w:rFonts w:ascii="Times New Roman" w:hAnsi="Times New Roman"/>
          <w:b/>
          <w:sz w:val="24"/>
          <w:szCs w:val="24"/>
        </w:rPr>
        <w:t>“</w:t>
      </w:r>
      <w:r w:rsidR="00D83115" w:rsidRPr="00136C68">
        <w:rPr>
          <w:rFonts w:ascii="Times New Roman" w:hAnsi="Times New Roman"/>
          <w:b/>
          <w:sz w:val="24"/>
          <w:szCs w:val="24"/>
        </w:rPr>
        <w:t xml:space="preserve">PAR VALSTS KONTROLES </w:t>
      </w:r>
      <w:r w:rsidR="00D83115">
        <w:rPr>
          <w:rFonts w:ascii="Times New Roman" w:hAnsi="Times New Roman"/>
          <w:b/>
          <w:sz w:val="24"/>
          <w:szCs w:val="24"/>
        </w:rPr>
        <w:t>REVĪZIJĀ</w:t>
      </w:r>
    </w:p>
    <w:p w:rsidR="00D83115" w:rsidRPr="00136C68" w:rsidRDefault="00D83115" w:rsidP="00D83115">
      <w:pPr>
        <w:spacing w:after="0" w:line="240" w:lineRule="auto"/>
        <w:ind w:right="-99"/>
        <w:jc w:val="center"/>
        <w:rPr>
          <w:rFonts w:ascii="Times New Roman" w:hAnsi="Times New Roman"/>
          <w:b/>
          <w:sz w:val="24"/>
          <w:szCs w:val="24"/>
        </w:rPr>
      </w:pPr>
      <w:r w:rsidRPr="00033124">
        <w:rPr>
          <w:rFonts w:ascii="Times New Roman" w:hAnsi="Times New Roman"/>
          <w:b/>
          <w:sz w:val="24"/>
          <w:szCs w:val="24"/>
        </w:rPr>
        <w:t>„P</w:t>
      </w:r>
      <w:r>
        <w:rPr>
          <w:rFonts w:ascii="Times New Roman" w:hAnsi="Times New Roman"/>
          <w:b/>
          <w:sz w:val="24"/>
          <w:szCs w:val="24"/>
        </w:rPr>
        <w:t xml:space="preserve">AR LATVIJAS REPUBLIKAS </w:t>
      </w:r>
      <w:r w:rsidRPr="00033124">
        <w:rPr>
          <w:rFonts w:ascii="Times New Roman" w:hAnsi="Times New Roman"/>
          <w:b/>
          <w:sz w:val="24"/>
          <w:szCs w:val="24"/>
        </w:rPr>
        <w:t>201</w:t>
      </w:r>
      <w:r>
        <w:rPr>
          <w:rFonts w:ascii="Times New Roman" w:hAnsi="Times New Roman"/>
          <w:b/>
          <w:sz w:val="24"/>
          <w:szCs w:val="24"/>
        </w:rPr>
        <w:t>6</w:t>
      </w:r>
      <w:r w:rsidRPr="00033124">
        <w:rPr>
          <w:rFonts w:ascii="Times New Roman" w:hAnsi="Times New Roman"/>
          <w:b/>
          <w:sz w:val="24"/>
          <w:szCs w:val="24"/>
        </w:rPr>
        <w:t>.</w:t>
      </w:r>
      <w:r>
        <w:rPr>
          <w:rFonts w:ascii="Times New Roman" w:hAnsi="Times New Roman"/>
          <w:b/>
          <w:sz w:val="24"/>
          <w:szCs w:val="24"/>
        </w:rPr>
        <w:t>GADA PĀRSKATU PAR VALSTS BUDŽETA IZPILDI UN PAR PAŠVALDĪBU BUDŽETIEM</w:t>
      </w:r>
      <w:r w:rsidRPr="00033124">
        <w:rPr>
          <w:rFonts w:ascii="Times New Roman" w:hAnsi="Times New Roman"/>
          <w:b/>
          <w:sz w:val="24"/>
          <w:szCs w:val="24"/>
        </w:rPr>
        <w:t>”</w:t>
      </w:r>
      <w:r>
        <w:rPr>
          <w:rFonts w:ascii="Times New Roman" w:hAnsi="Times New Roman"/>
          <w:b/>
          <w:sz w:val="24"/>
          <w:szCs w:val="24"/>
        </w:rPr>
        <w:t xml:space="preserve"> SNIEGTAJIEM IETEIKUMIEM UN FINANŠU MINISTRIJAS IEBILDUMIEM</w:t>
      </w:r>
      <w:r w:rsidR="00D41B5A">
        <w:rPr>
          <w:rFonts w:ascii="Times New Roman" w:hAnsi="Times New Roman"/>
          <w:b/>
          <w:sz w:val="24"/>
          <w:szCs w:val="24"/>
        </w:rPr>
        <w:t>”</w:t>
      </w:r>
    </w:p>
    <w:p w:rsidR="00D83115" w:rsidRPr="00136C68" w:rsidRDefault="00D83115" w:rsidP="00D83115">
      <w:pPr>
        <w:spacing w:after="0" w:line="240" w:lineRule="auto"/>
        <w:ind w:right="-99"/>
        <w:jc w:val="center"/>
        <w:rPr>
          <w:rFonts w:ascii="Times New Roman" w:hAnsi="Times New Roman"/>
          <w:b/>
          <w:sz w:val="24"/>
          <w:szCs w:val="24"/>
        </w:rPr>
      </w:pPr>
    </w:p>
    <w:p w:rsidR="00D83115" w:rsidRPr="00136C68" w:rsidRDefault="00D83115" w:rsidP="00D83115">
      <w:pPr>
        <w:spacing w:after="0" w:line="240" w:lineRule="auto"/>
        <w:ind w:left="142" w:right="-99" w:firstLine="720"/>
        <w:jc w:val="both"/>
        <w:rPr>
          <w:rFonts w:ascii="Times New Roman" w:hAnsi="Times New Roman"/>
          <w:sz w:val="24"/>
          <w:szCs w:val="24"/>
        </w:rPr>
      </w:pPr>
      <w:r w:rsidRPr="00136C68">
        <w:rPr>
          <w:rFonts w:ascii="Times New Roman" w:hAnsi="Times New Roman"/>
          <w:sz w:val="24"/>
          <w:szCs w:val="24"/>
        </w:rPr>
        <w:t>Saskaņā ar Ministru kabineta</w:t>
      </w:r>
      <w:r>
        <w:rPr>
          <w:rFonts w:ascii="Times New Roman" w:hAnsi="Times New Roman"/>
          <w:sz w:val="24"/>
          <w:szCs w:val="24"/>
        </w:rPr>
        <w:t xml:space="preserve"> </w:t>
      </w:r>
      <w:r w:rsidRPr="00136C68">
        <w:rPr>
          <w:rFonts w:ascii="Times New Roman" w:hAnsi="Times New Roman"/>
          <w:sz w:val="24"/>
          <w:szCs w:val="24"/>
        </w:rPr>
        <w:t>2009.gada 7.aprīļa noteikumu Nr.300 „Ministru kabineta kārtības rullis” 58.punktu Finanšu ministrija</w:t>
      </w:r>
      <w:r>
        <w:rPr>
          <w:rFonts w:ascii="Times New Roman" w:hAnsi="Times New Roman"/>
          <w:sz w:val="24"/>
          <w:szCs w:val="24"/>
        </w:rPr>
        <w:t xml:space="preserve"> </w:t>
      </w:r>
      <w:r w:rsidRPr="00136C68">
        <w:rPr>
          <w:rFonts w:ascii="Times New Roman" w:hAnsi="Times New Roman"/>
          <w:sz w:val="24"/>
          <w:szCs w:val="24"/>
        </w:rPr>
        <w:t>pēc savas iniciatīvas ir sagatavojusi informatīvo ziņojumu ar mērķi informēt Ministru kabine</w:t>
      </w:r>
      <w:r>
        <w:rPr>
          <w:rFonts w:ascii="Times New Roman" w:hAnsi="Times New Roman"/>
          <w:sz w:val="24"/>
          <w:szCs w:val="24"/>
        </w:rPr>
        <w:t>tu par atsevišķiem Valsts kontroles revīzijas rezultātā sniegtiem ieteikumiem.</w:t>
      </w:r>
    </w:p>
    <w:p w:rsidR="00D83115" w:rsidRPr="00136C68" w:rsidRDefault="00D83115" w:rsidP="00D83115">
      <w:pPr>
        <w:spacing w:after="0" w:line="240" w:lineRule="auto"/>
        <w:ind w:left="142" w:right="-99"/>
        <w:jc w:val="both"/>
        <w:rPr>
          <w:rFonts w:ascii="Times New Roman" w:hAnsi="Times New Roman"/>
          <w:b/>
          <w:sz w:val="24"/>
          <w:szCs w:val="24"/>
        </w:rPr>
      </w:pPr>
    </w:p>
    <w:p w:rsidR="00D83115" w:rsidRPr="00F80513" w:rsidRDefault="00D83115" w:rsidP="00D83115">
      <w:pPr>
        <w:spacing w:after="0" w:line="240" w:lineRule="auto"/>
        <w:ind w:left="142" w:right="-99" w:firstLine="709"/>
        <w:jc w:val="both"/>
        <w:rPr>
          <w:rFonts w:ascii="Times New Roman" w:hAnsi="Times New Roman"/>
          <w:b/>
          <w:sz w:val="24"/>
          <w:szCs w:val="24"/>
        </w:rPr>
      </w:pPr>
      <w:r w:rsidRPr="00F80513">
        <w:rPr>
          <w:rFonts w:ascii="Times New Roman" w:hAnsi="Times New Roman"/>
          <w:b/>
          <w:sz w:val="24"/>
          <w:szCs w:val="24"/>
        </w:rPr>
        <w:t>Esošā situācija</w:t>
      </w:r>
    </w:p>
    <w:p w:rsidR="00D83115" w:rsidRPr="00F80513" w:rsidRDefault="00D83115" w:rsidP="00D83115">
      <w:pPr>
        <w:spacing w:after="0" w:line="240" w:lineRule="auto"/>
        <w:ind w:left="142" w:right="-99" w:firstLine="709"/>
        <w:jc w:val="both"/>
        <w:rPr>
          <w:rFonts w:ascii="Times New Roman" w:hAnsi="Times New Roman"/>
          <w:sz w:val="24"/>
          <w:szCs w:val="24"/>
        </w:rPr>
      </w:pPr>
      <w:r w:rsidRPr="00F80513">
        <w:rPr>
          <w:rFonts w:ascii="Times New Roman" w:hAnsi="Times New Roman"/>
          <w:sz w:val="24"/>
          <w:szCs w:val="24"/>
        </w:rPr>
        <w:t>Valsts kontrole ir veikusi revīziju „Par Latvijas Republikas 201</w:t>
      </w:r>
      <w:r>
        <w:rPr>
          <w:rFonts w:ascii="Times New Roman" w:hAnsi="Times New Roman"/>
          <w:sz w:val="24"/>
          <w:szCs w:val="24"/>
        </w:rPr>
        <w:t>6</w:t>
      </w:r>
      <w:r w:rsidRPr="00F80513">
        <w:rPr>
          <w:rFonts w:ascii="Times New Roman" w:hAnsi="Times New Roman"/>
          <w:sz w:val="24"/>
          <w:szCs w:val="24"/>
        </w:rPr>
        <w:t>.gada pārskatu par valsts budžeta izpildi un par pašvaldību budžetiem” (turpmāk – revīzija)</w:t>
      </w:r>
      <w:r>
        <w:rPr>
          <w:rFonts w:ascii="Times New Roman" w:hAnsi="Times New Roman"/>
          <w:sz w:val="24"/>
          <w:szCs w:val="24"/>
        </w:rPr>
        <w:t xml:space="preserve"> un sniegusi atzinumu “</w:t>
      </w:r>
      <w:r w:rsidRPr="00F80513">
        <w:rPr>
          <w:rFonts w:ascii="Times New Roman" w:hAnsi="Times New Roman"/>
          <w:sz w:val="24"/>
          <w:szCs w:val="24"/>
        </w:rPr>
        <w:t>Par Latvijas Republikas 201</w:t>
      </w:r>
      <w:r>
        <w:rPr>
          <w:rFonts w:ascii="Times New Roman" w:hAnsi="Times New Roman"/>
          <w:sz w:val="24"/>
          <w:szCs w:val="24"/>
        </w:rPr>
        <w:t>6</w:t>
      </w:r>
      <w:r w:rsidRPr="00F80513">
        <w:rPr>
          <w:rFonts w:ascii="Times New Roman" w:hAnsi="Times New Roman"/>
          <w:sz w:val="24"/>
          <w:szCs w:val="24"/>
        </w:rPr>
        <w:t>.gada pārskat</w:t>
      </w:r>
      <w:r>
        <w:rPr>
          <w:rFonts w:ascii="Times New Roman" w:hAnsi="Times New Roman"/>
          <w:sz w:val="24"/>
          <w:szCs w:val="24"/>
        </w:rPr>
        <w:t>a</w:t>
      </w:r>
      <w:r w:rsidRPr="00F80513">
        <w:rPr>
          <w:rFonts w:ascii="Times New Roman" w:hAnsi="Times New Roman"/>
          <w:sz w:val="24"/>
          <w:szCs w:val="24"/>
        </w:rPr>
        <w:t xml:space="preserve"> par valsts budžeta izpildi un par pašvaldību budžetiem</w:t>
      </w:r>
      <w:r>
        <w:rPr>
          <w:rFonts w:ascii="Times New Roman" w:hAnsi="Times New Roman"/>
          <w:sz w:val="24"/>
          <w:szCs w:val="24"/>
        </w:rPr>
        <w:t xml:space="preserve"> sagatavošanas pareizību”. </w:t>
      </w:r>
    </w:p>
    <w:p w:rsidR="00D83115" w:rsidRDefault="00D83115" w:rsidP="00D83115">
      <w:pPr>
        <w:spacing w:after="0" w:line="240" w:lineRule="auto"/>
        <w:ind w:left="142" w:right="-99"/>
        <w:jc w:val="both"/>
        <w:rPr>
          <w:rFonts w:ascii="Times New Roman" w:hAnsi="Times New Roman"/>
          <w:b/>
          <w:bCs/>
          <w:sz w:val="24"/>
          <w:szCs w:val="24"/>
        </w:rPr>
      </w:pPr>
    </w:p>
    <w:p w:rsidR="00D83115" w:rsidRPr="00F80513" w:rsidRDefault="00D83115" w:rsidP="00D83115">
      <w:pPr>
        <w:spacing w:after="0" w:line="240" w:lineRule="auto"/>
        <w:ind w:left="142" w:right="-99" w:firstLine="709"/>
        <w:jc w:val="both"/>
        <w:rPr>
          <w:rFonts w:ascii="Times New Roman" w:hAnsi="Times New Roman"/>
          <w:b/>
          <w:bCs/>
          <w:sz w:val="24"/>
          <w:szCs w:val="24"/>
        </w:rPr>
      </w:pPr>
      <w:r w:rsidRPr="00F80513">
        <w:rPr>
          <w:rFonts w:ascii="Times New Roman" w:hAnsi="Times New Roman"/>
          <w:b/>
          <w:bCs/>
          <w:sz w:val="24"/>
          <w:szCs w:val="24"/>
        </w:rPr>
        <w:t>Problēmas raksturojums</w:t>
      </w:r>
    </w:p>
    <w:p w:rsidR="00D83115" w:rsidRDefault="00D83115" w:rsidP="004D0E5B">
      <w:pPr>
        <w:spacing w:after="0" w:line="240" w:lineRule="auto"/>
        <w:ind w:left="142" w:right="-99" w:firstLine="578"/>
        <w:jc w:val="both"/>
        <w:rPr>
          <w:rFonts w:ascii="Times New Roman" w:hAnsi="Times New Roman"/>
          <w:bCs/>
          <w:sz w:val="24"/>
          <w:szCs w:val="24"/>
        </w:rPr>
      </w:pPr>
      <w:r w:rsidRPr="00F80513">
        <w:rPr>
          <w:rFonts w:ascii="Times New Roman" w:hAnsi="Times New Roman"/>
          <w:bCs/>
          <w:sz w:val="24"/>
          <w:szCs w:val="24"/>
        </w:rPr>
        <w:t xml:space="preserve">Valsts kontroles </w:t>
      </w:r>
      <w:r>
        <w:rPr>
          <w:rFonts w:ascii="Times New Roman" w:hAnsi="Times New Roman"/>
          <w:bCs/>
          <w:sz w:val="24"/>
          <w:szCs w:val="24"/>
        </w:rPr>
        <w:t>r</w:t>
      </w:r>
      <w:r w:rsidRPr="00F80513">
        <w:rPr>
          <w:rFonts w:ascii="Times New Roman" w:hAnsi="Times New Roman"/>
          <w:bCs/>
          <w:sz w:val="24"/>
          <w:szCs w:val="24"/>
        </w:rPr>
        <w:t xml:space="preserve">evīzijas ziņojumā ir </w:t>
      </w:r>
      <w:r>
        <w:rPr>
          <w:rFonts w:ascii="Times New Roman" w:hAnsi="Times New Roman"/>
          <w:bCs/>
          <w:sz w:val="24"/>
          <w:szCs w:val="24"/>
        </w:rPr>
        <w:t xml:space="preserve">sniegti </w:t>
      </w:r>
      <w:r w:rsidR="007C7B4F">
        <w:rPr>
          <w:rFonts w:ascii="Times New Roman" w:hAnsi="Times New Roman"/>
          <w:bCs/>
          <w:sz w:val="24"/>
          <w:szCs w:val="24"/>
        </w:rPr>
        <w:t>septiņi ieteikumi, no kuriem vien</w:t>
      </w:r>
      <w:r w:rsidR="00A77EF2">
        <w:rPr>
          <w:rFonts w:ascii="Times New Roman" w:hAnsi="Times New Roman"/>
          <w:bCs/>
          <w:sz w:val="24"/>
          <w:szCs w:val="24"/>
        </w:rPr>
        <w:t>a</w:t>
      </w:r>
      <w:r w:rsidR="007C7B4F">
        <w:rPr>
          <w:rFonts w:ascii="Times New Roman" w:hAnsi="Times New Roman"/>
          <w:bCs/>
          <w:sz w:val="24"/>
          <w:szCs w:val="24"/>
        </w:rPr>
        <w:t xml:space="preserve"> ieteikuma ieviešana ir citas ministrijas kompetences jautājums, savukārt par sešiem ieteikumiem ziņojuma projekta saskaņošanas laikā netika panākta Valsts kontroles un Finanšu ministrijas savstarpēja vienošanās.</w:t>
      </w:r>
    </w:p>
    <w:p w:rsidR="007C7B4F" w:rsidRDefault="007C7B4F" w:rsidP="004D0E5B">
      <w:pPr>
        <w:spacing w:after="0" w:line="240" w:lineRule="auto"/>
        <w:ind w:left="142" w:right="-99" w:firstLine="578"/>
        <w:jc w:val="both"/>
        <w:rPr>
          <w:rFonts w:ascii="Times New Roman" w:hAnsi="Times New Roman"/>
          <w:bCs/>
          <w:sz w:val="24"/>
          <w:szCs w:val="24"/>
        </w:rPr>
      </w:pPr>
    </w:p>
    <w:p w:rsidR="007C7B4F" w:rsidRPr="0011794E" w:rsidRDefault="007C7B4F" w:rsidP="007C7B4F">
      <w:pPr>
        <w:spacing w:after="0" w:line="240" w:lineRule="auto"/>
        <w:ind w:left="142" w:right="-99"/>
        <w:jc w:val="center"/>
        <w:rPr>
          <w:rFonts w:ascii="Times New Roman" w:hAnsi="Times New Roman"/>
          <w:b/>
          <w:sz w:val="24"/>
          <w:szCs w:val="24"/>
        </w:rPr>
      </w:pPr>
      <w:r w:rsidRPr="0011794E">
        <w:rPr>
          <w:rFonts w:ascii="Times New Roman" w:hAnsi="Times New Roman"/>
          <w:b/>
          <w:sz w:val="24"/>
          <w:szCs w:val="24"/>
        </w:rPr>
        <w:t>I</w:t>
      </w:r>
      <w:r>
        <w:rPr>
          <w:rFonts w:ascii="Times New Roman" w:hAnsi="Times New Roman"/>
          <w:b/>
          <w:sz w:val="24"/>
          <w:szCs w:val="24"/>
        </w:rPr>
        <w:t>.</w:t>
      </w:r>
      <w:r w:rsidRPr="0011794E">
        <w:rPr>
          <w:rFonts w:ascii="Times New Roman" w:hAnsi="Times New Roman"/>
          <w:b/>
          <w:sz w:val="24"/>
          <w:szCs w:val="24"/>
        </w:rPr>
        <w:t xml:space="preserve">  Par Valsts kontroles revīzijas ziņojum</w:t>
      </w:r>
      <w:r>
        <w:rPr>
          <w:rFonts w:ascii="Times New Roman" w:hAnsi="Times New Roman"/>
          <w:b/>
          <w:sz w:val="24"/>
          <w:szCs w:val="24"/>
        </w:rPr>
        <w:t>ā</w:t>
      </w:r>
      <w:r w:rsidRPr="0011794E">
        <w:rPr>
          <w:rFonts w:ascii="Times New Roman" w:hAnsi="Times New Roman"/>
          <w:b/>
          <w:sz w:val="24"/>
          <w:szCs w:val="24"/>
        </w:rPr>
        <w:t xml:space="preserve"> sniegt</w:t>
      </w:r>
      <w:r>
        <w:rPr>
          <w:rFonts w:ascii="Times New Roman" w:hAnsi="Times New Roman"/>
          <w:b/>
          <w:sz w:val="24"/>
          <w:szCs w:val="24"/>
        </w:rPr>
        <w:t>o</w:t>
      </w:r>
      <w:r w:rsidRPr="0011794E">
        <w:rPr>
          <w:rFonts w:ascii="Times New Roman" w:hAnsi="Times New Roman"/>
          <w:b/>
          <w:sz w:val="24"/>
          <w:szCs w:val="24"/>
        </w:rPr>
        <w:t xml:space="preserve"> ieteikum</w:t>
      </w:r>
      <w:r>
        <w:rPr>
          <w:rFonts w:ascii="Times New Roman" w:hAnsi="Times New Roman"/>
          <w:b/>
          <w:sz w:val="24"/>
          <w:szCs w:val="24"/>
        </w:rPr>
        <w:t>u, kura</w:t>
      </w:r>
      <w:r w:rsidRPr="0011794E">
        <w:rPr>
          <w:rFonts w:ascii="Times New Roman" w:hAnsi="Times New Roman"/>
          <w:b/>
          <w:sz w:val="24"/>
          <w:szCs w:val="24"/>
        </w:rPr>
        <w:t xml:space="preserve"> izpildē</w:t>
      </w:r>
    </w:p>
    <w:p w:rsidR="007C7B4F" w:rsidRPr="0011794E" w:rsidRDefault="007C7B4F" w:rsidP="007C7B4F">
      <w:pPr>
        <w:spacing w:after="0" w:line="240" w:lineRule="auto"/>
        <w:ind w:left="142" w:right="-99"/>
        <w:jc w:val="center"/>
        <w:rPr>
          <w:rFonts w:ascii="Times New Roman" w:hAnsi="Times New Roman"/>
          <w:b/>
          <w:sz w:val="24"/>
          <w:szCs w:val="24"/>
        </w:rPr>
      </w:pPr>
      <w:r w:rsidRPr="0011794E">
        <w:rPr>
          <w:rFonts w:ascii="Times New Roman" w:hAnsi="Times New Roman"/>
          <w:b/>
          <w:sz w:val="24"/>
          <w:szCs w:val="24"/>
        </w:rPr>
        <w:t>iesaistāma cita ministrija</w:t>
      </w:r>
    </w:p>
    <w:p w:rsidR="007C7B4F" w:rsidRPr="0011794E" w:rsidRDefault="007C7B4F" w:rsidP="007C7B4F">
      <w:pPr>
        <w:pStyle w:val="tvhtmlmktable"/>
        <w:spacing w:before="0" w:beforeAutospacing="0" w:after="0" w:afterAutospacing="0"/>
        <w:ind w:left="142" w:right="-99" w:firstLine="709"/>
        <w:jc w:val="both"/>
        <w:rPr>
          <w:sz w:val="16"/>
          <w:szCs w:val="16"/>
          <w:lang w:val="lv-LV"/>
        </w:rPr>
      </w:pPr>
    </w:p>
    <w:p w:rsidR="007C7B4F" w:rsidRDefault="0061162F" w:rsidP="007C7B4F">
      <w:pPr>
        <w:pStyle w:val="tvhtmlmktable"/>
        <w:spacing w:before="0" w:beforeAutospacing="0" w:after="60" w:afterAutospacing="0"/>
        <w:ind w:left="142" w:right="-99" w:firstLine="709"/>
        <w:jc w:val="both"/>
        <w:rPr>
          <w:lang w:val="lv-LV"/>
        </w:rPr>
      </w:pPr>
      <w:r>
        <w:rPr>
          <w:lang w:val="lv-LV"/>
        </w:rPr>
        <w:t>Revīzijas ziņojumā</w:t>
      </w:r>
      <w:r w:rsidR="007C7B4F">
        <w:rPr>
          <w:lang w:val="lv-LV"/>
        </w:rPr>
        <w:t xml:space="preserve"> ir sniegts viens </w:t>
      </w:r>
      <w:r w:rsidR="007C7B4F" w:rsidRPr="0011794E">
        <w:rPr>
          <w:lang w:val="lv-LV"/>
        </w:rPr>
        <w:t>ieteikum</w:t>
      </w:r>
      <w:r w:rsidR="007C7B4F">
        <w:rPr>
          <w:lang w:val="lv-LV"/>
        </w:rPr>
        <w:t>s</w:t>
      </w:r>
      <w:r w:rsidR="007C7B4F" w:rsidRPr="0011794E">
        <w:rPr>
          <w:lang w:val="lv-LV"/>
        </w:rPr>
        <w:t>, kas īstenojam</w:t>
      </w:r>
      <w:r w:rsidR="007C7B4F">
        <w:rPr>
          <w:lang w:val="lv-LV"/>
        </w:rPr>
        <w:t>s</w:t>
      </w:r>
      <w:r w:rsidR="007C7B4F" w:rsidRPr="0011794E">
        <w:rPr>
          <w:lang w:val="lv-LV"/>
        </w:rPr>
        <w:t xml:space="preserve"> Finan</w:t>
      </w:r>
      <w:r w:rsidR="007C7B4F">
        <w:rPr>
          <w:lang w:val="lv-LV"/>
        </w:rPr>
        <w:t>šu ministrijai sadarbībā ar citu ministriju</w:t>
      </w:r>
      <w:r w:rsidR="007C7B4F" w:rsidRPr="0011794E">
        <w:rPr>
          <w:lang w:val="lv-LV"/>
        </w:rPr>
        <w:t>. Uzskatām, ka zemāk uzrādīt</w:t>
      </w:r>
      <w:r w:rsidR="007C7B4F">
        <w:rPr>
          <w:lang w:val="lv-LV"/>
        </w:rPr>
        <w:t>ā</w:t>
      </w:r>
      <w:r w:rsidR="007C7B4F" w:rsidRPr="0011794E">
        <w:rPr>
          <w:lang w:val="lv-LV"/>
        </w:rPr>
        <w:t xml:space="preserve"> ieteikum</w:t>
      </w:r>
      <w:r w:rsidR="007C7B4F">
        <w:rPr>
          <w:lang w:val="lv-LV"/>
        </w:rPr>
        <w:t>a</w:t>
      </w:r>
      <w:r w:rsidR="007C7B4F" w:rsidRPr="0011794E">
        <w:rPr>
          <w:lang w:val="lv-LV"/>
        </w:rPr>
        <w:t xml:space="preserve"> izpildē nav iesaistāma Finanšu ministrija</w:t>
      </w:r>
      <w:r w:rsidR="007C7B4F">
        <w:rPr>
          <w:lang w:val="lv-LV"/>
        </w:rPr>
        <w:t>.</w:t>
      </w:r>
    </w:p>
    <w:tbl>
      <w:tblPr>
        <w:tblStyle w:val="TableGrid"/>
        <w:tblW w:w="9209" w:type="dxa"/>
        <w:tblLook w:val="04A0" w:firstRow="1" w:lastRow="0" w:firstColumn="1" w:lastColumn="0" w:noHBand="0" w:noVBand="1"/>
      </w:tblPr>
      <w:tblGrid>
        <w:gridCol w:w="2405"/>
        <w:gridCol w:w="6804"/>
      </w:tblGrid>
      <w:tr w:rsidR="007C7B4F" w:rsidRPr="009D08D8" w:rsidTr="00D5354B">
        <w:tc>
          <w:tcPr>
            <w:tcW w:w="2405" w:type="dxa"/>
          </w:tcPr>
          <w:p w:rsidR="007C7B4F" w:rsidRPr="00454000" w:rsidRDefault="007C7B4F" w:rsidP="00D5354B">
            <w:pPr>
              <w:spacing w:after="0" w:line="240" w:lineRule="auto"/>
              <w:ind w:right="43"/>
              <w:jc w:val="both"/>
              <w:rPr>
                <w:rFonts w:ascii="Times New Roman" w:eastAsia="Times New Roman" w:hAnsi="Times New Roman"/>
                <w:b/>
                <w:color w:val="000000"/>
                <w:sz w:val="24"/>
                <w:szCs w:val="24"/>
                <w:lang w:eastAsia="lv-LV"/>
              </w:rPr>
            </w:pPr>
            <w:r w:rsidRPr="00454000">
              <w:rPr>
                <w:rFonts w:ascii="Times New Roman" w:eastAsia="Times New Roman" w:hAnsi="Times New Roman"/>
                <w:b/>
                <w:color w:val="000000"/>
                <w:sz w:val="24"/>
                <w:szCs w:val="24"/>
                <w:lang w:eastAsia="lv-LV"/>
              </w:rPr>
              <w:t>Valsts kontroles ieteikums</w:t>
            </w:r>
          </w:p>
        </w:tc>
        <w:tc>
          <w:tcPr>
            <w:tcW w:w="6804" w:type="dxa"/>
          </w:tcPr>
          <w:p w:rsidR="007C7B4F" w:rsidRPr="00454000" w:rsidRDefault="007C7B4F" w:rsidP="00D5354B">
            <w:pPr>
              <w:spacing w:after="0" w:line="240" w:lineRule="auto"/>
              <w:ind w:right="43"/>
              <w:jc w:val="both"/>
              <w:rPr>
                <w:rFonts w:ascii="Times New Roman" w:eastAsia="Times New Roman" w:hAnsi="Times New Roman"/>
                <w:b/>
                <w:sz w:val="24"/>
                <w:szCs w:val="24"/>
                <w:lang w:eastAsia="lv-LV"/>
              </w:rPr>
            </w:pPr>
            <w:r w:rsidRPr="00454000">
              <w:rPr>
                <w:rFonts w:ascii="Times New Roman" w:eastAsia="Times New Roman" w:hAnsi="Times New Roman"/>
                <w:b/>
                <w:sz w:val="24"/>
                <w:szCs w:val="24"/>
                <w:lang w:eastAsia="lv-LV"/>
              </w:rPr>
              <w:t>Finanšu ministrijas pamatojums:</w:t>
            </w:r>
          </w:p>
        </w:tc>
      </w:tr>
      <w:tr w:rsidR="007C7B4F" w:rsidRPr="009D08D8" w:rsidTr="00D5354B">
        <w:tc>
          <w:tcPr>
            <w:tcW w:w="2405" w:type="dxa"/>
          </w:tcPr>
          <w:p w:rsidR="007C7B4F" w:rsidRPr="0011794E" w:rsidRDefault="007C7B4F" w:rsidP="00D5354B">
            <w:pPr>
              <w:pStyle w:val="ListParagraph"/>
              <w:tabs>
                <w:tab w:val="left" w:pos="454"/>
              </w:tabs>
              <w:ind w:left="0" w:right="43"/>
              <w:contextualSpacing/>
              <w:jc w:val="both"/>
              <w:rPr>
                <w:rFonts w:eastAsia="Times New Roman"/>
              </w:rPr>
            </w:pPr>
            <w:r w:rsidRPr="00AF5504">
              <w:t>Finanšu ministrijai sadarbībā ar Tieslietu ministriju veikt pasākumus, lai nodrošinātu detalizētas informācijas uzskaiti un statistisko informāciju par konfiscējamajiem un konfiscētajiem noziedzīgi iegūtajiem līdzekļiem.</w:t>
            </w:r>
          </w:p>
        </w:tc>
        <w:tc>
          <w:tcPr>
            <w:tcW w:w="6804" w:type="dxa"/>
          </w:tcPr>
          <w:p w:rsidR="00736858" w:rsidRPr="00736858" w:rsidRDefault="00736858" w:rsidP="00736858">
            <w:pPr>
              <w:spacing w:after="0" w:line="240" w:lineRule="auto"/>
              <w:ind w:left="34" w:hanging="5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Detalizētas informācijas uzskaite</w:t>
            </w:r>
            <w:r w:rsidRPr="00736858">
              <w:rPr>
                <w:rFonts w:ascii="Times New Roman" w:eastAsia="Times New Roman" w:hAnsi="Times New Roman"/>
                <w:sz w:val="24"/>
                <w:szCs w:val="24"/>
                <w:lang w:eastAsia="lv-LV"/>
              </w:rPr>
              <w:t xml:space="preserve"> un statistisk</w:t>
            </w:r>
            <w:r>
              <w:rPr>
                <w:rFonts w:ascii="Times New Roman" w:eastAsia="Times New Roman" w:hAnsi="Times New Roman"/>
                <w:sz w:val="24"/>
                <w:szCs w:val="24"/>
                <w:lang w:eastAsia="lv-LV"/>
              </w:rPr>
              <w:t>ās informācijas</w:t>
            </w:r>
            <w:r w:rsidRPr="00736858">
              <w:rPr>
                <w:rFonts w:ascii="Times New Roman" w:eastAsia="Times New Roman" w:hAnsi="Times New Roman"/>
                <w:sz w:val="24"/>
                <w:szCs w:val="24"/>
                <w:lang w:eastAsia="lv-LV"/>
              </w:rPr>
              <w:t xml:space="preserve"> </w:t>
            </w:r>
            <w:r w:rsidR="00B32E30">
              <w:rPr>
                <w:rFonts w:ascii="Times New Roman" w:eastAsia="Times New Roman" w:hAnsi="Times New Roman"/>
                <w:sz w:val="24"/>
                <w:szCs w:val="24"/>
                <w:lang w:eastAsia="lv-LV"/>
              </w:rPr>
              <w:t>apkopošana</w:t>
            </w:r>
            <w:r>
              <w:rPr>
                <w:rFonts w:ascii="Times New Roman" w:eastAsia="Times New Roman" w:hAnsi="Times New Roman"/>
                <w:sz w:val="24"/>
                <w:szCs w:val="24"/>
                <w:lang w:eastAsia="lv-LV"/>
              </w:rPr>
              <w:t xml:space="preserve"> </w:t>
            </w:r>
            <w:r w:rsidRPr="00736858">
              <w:rPr>
                <w:rFonts w:ascii="Times New Roman" w:eastAsia="Times New Roman" w:hAnsi="Times New Roman"/>
                <w:sz w:val="24"/>
                <w:szCs w:val="24"/>
                <w:lang w:eastAsia="lv-LV"/>
              </w:rPr>
              <w:t xml:space="preserve">par konfiscējamajiem un konfiscētajiem noziedzīgi iegūtajiem līdzekļiem nav Finanšu ministrijas kompetences jautājums.  </w:t>
            </w:r>
          </w:p>
          <w:p w:rsidR="00736858" w:rsidRPr="00736858" w:rsidRDefault="00736858" w:rsidP="00736858">
            <w:pPr>
              <w:spacing w:after="0" w:line="240" w:lineRule="auto"/>
              <w:jc w:val="both"/>
              <w:rPr>
                <w:rFonts w:ascii="Times New Roman" w:eastAsia="Times New Roman" w:hAnsi="Times New Roman"/>
                <w:sz w:val="24"/>
                <w:szCs w:val="24"/>
                <w:lang w:eastAsia="lv-LV"/>
              </w:rPr>
            </w:pPr>
            <w:r w:rsidRPr="00736858">
              <w:rPr>
                <w:rFonts w:ascii="Times New Roman" w:eastAsia="Times New Roman" w:hAnsi="Times New Roman"/>
                <w:sz w:val="24"/>
                <w:szCs w:val="24"/>
                <w:lang w:eastAsia="lv-LV"/>
              </w:rPr>
              <w:t>Noziedzīgi iegūtu līdzekļu legalizācijas novēršanas dienests veic detalizētu informācijas uzskaiti un apkopo statistisko informāciju  par konfiscējamajiem un konfiscētajiem noziedzīgi iegūtiem līdzekļiem. No Statistikas likuma 6.panta izriet, ka statistikas iestāde (šajā gadījumā - Noziedzīgi iegūtu līdzekļu legalizācijas novēršanas dienests) ir atbildīga par oficiālās statistikas nodrošināšanu. Oficiālās statistikas programmā 2017.gadam ir ietverta Noziedzīgi iegūtu līdzekļu legalizācijas novēršanas dienesta sniegtā informācija par dienesta darbu noziedzīgi iegūtu līdzekļu legalizācijas, terorisma finansēšanas vai šo darbību mēģinājuma, vai cita ar to saistīta noziedzīga nodarījuma novēršanai, atklāšanai vai iztiesāšanai.</w:t>
            </w:r>
          </w:p>
          <w:p w:rsidR="007C7B4F" w:rsidRPr="00736858" w:rsidRDefault="00736858" w:rsidP="00736858">
            <w:pPr>
              <w:spacing w:after="0" w:line="240" w:lineRule="auto"/>
              <w:ind w:right="43" w:firstLine="34"/>
              <w:jc w:val="both"/>
              <w:rPr>
                <w:rFonts w:ascii="Times New Roman" w:eastAsia="Times New Roman" w:hAnsi="Times New Roman"/>
                <w:sz w:val="24"/>
                <w:szCs w:val="24"/>
                <w:lang w:eastAsia="lv-LV"/>
              </w:rPr>
            </w:pPr>
            <w:r w:rsidRPr="00736858">
              <w:rPr>
                <w:rFonts w:ascii="Times New Roman" w:eastAsia="Times New Roman" w:hAnsi="Times New Roman"/>
                <w:sz w:val="24"/>
                <w:szCs w:val="24"/>
                <w:lang w:eastAsia="lv-LV"/>
              </w:rPr>
              <w:t xml:space="preserve">Procesa īpašnieks ir Tieslietu ministrija, tāpēc uzskatām, ka vienīgi Tieslietu ministrija var veikt procesa uzlabojumus, t.sk. veikt detalizētu maksājumu analīzi atbilstoši ieņēmumu klasifikācijai Valsts kasē atvērtajos kontos, nepieciešamības gadījumā veikt </w:t>
            </w:r>
            <w:r w:rsidRPr="00736858">
              <w:rPr>
                <w:rFonts w:ascii="Times New Roman" w:eastAsia="Times New Roman" w:hAnsi="Times New Roman"/>
                <w:sz w:val="24"/>
                <w:szCs w:val="24"/>
                <w:lang w:eastAsia="lv-LV"/>
              </w:rPr>
              <w:lastRenderedPageBreak/>
              <w:t>darījumu pārklasifikāciju, kā arī sadarbībā ar zvērinātiem tiesu izpildītājiem nodrošināt jau sākotnēju klasifikācijai atbilstošu maksājumu novirzīšanu atbilstošos kontos.</w:t>
            </w:r>
          </w:p>
        </w:tc>
      </w:tr>
    </w:tbl>
    <w:p w:rsidR="007C7B4F" w:rsidRDefault="007C7B4F" w:rsidP="004D0E5B">
      <w:pPr>
        <w:spacing w:after="0" w:line="240" w:lineRule="auto"/>
        <w:ind w:left="142" w:right="-99" w:firstLine="578"/>
        <w:jc w:val="both"/>
        <w:rPr>
          <w:rFonts w:ascii="Times New Roman" w:hAnsi="Times New Roman"/>
          <w:bCs/>
          <w:sz w:val="24"/>
          <w:szCs w:val="24"/>
        </w:rPr>
      </w:pPr>
    </w:p>
    <w:p w:rsidR="007C7B4F" w:rsidRPr="00F80513" w:rsidRDefault="007C7B4F" w:rsidP="004D0E5B">
      <w:pPr>
        <w:spacing w:after="0" w:line="240" w:lineRule="auto"/>
        <w:ind w:left="142" w:right="-99" w:firstLine="578"/>
        <w:jc w:val="both"/>
        <w:rPr>
          <w:rFonts w:ascii="Times New Roman" w:hAnsi="Times New Roman"/>
          <w:bCs/>
          <w:sz w:val="24"/>
          <w:szCs w:val="24"/>
        </w:rPr>
      </w:pPr>
    </w:p>
    <w:p w:rsidR="00D83115" w:rsidRDefault="00D83115" w:rsidP="00D83115">
      <w:pPr>
        <w:pStyle w:val="tvhtmlmktable"/>
        <w:spacing w:before="0" w:beforeAutospacing="0" w:after="0" w:afterAutospacing="0"/>
        <w:ind w:left="142" w:right="-99" w:firstLine="709"/>
        <w:jc w:val="both"/>
        <w:rPr>
          <w:lang w:val="lv-LV"/>
        </w:rPr>
      </w:pPr>
    </w:p>
    <w:p w:rsidR="00D83115" w:rsidRPr="0011794E" w:rsidRDefault="007C7B4F" w:rsidP="00D83115">
      <w:pPr>
        <w:spacing w:after="0" w:line="240" w:lineRule="auto"/>
        <w:ind w:right="-99"/>
        <w:jc w:val="center"/>
        <w:rPr>
          <w:rFonts w:ascii="Times New Roman" w:hAnsi="Times New Roman"/>
          <w:b/>
          <w:sz w:val="24"/>
          <w:szCs w:val="24"/>
        </w:rPr>
      </w:pPr>
      <w:r>
        <w:rPr>
          <w:rFonts w:ascii="Times New Roman" w:hAnsi="Times New Roman"/>
          <w:b/>
          <w:sz w:val="24"/>
          <w:szCs w:val="24"/>
        </w:rPr>
        <w:t>I</w:t>
      </w:r>
      <w:r w:rsidR="00D83115" w:rsidRPr="00B420BE">
        <w:rPr>
          <w:rFonts w:ascii="Times New Roman" w:hAnsi="Times New Roman"/>
          <w:b/>
          <w:sz w:val="24"/>
          <w:szCs w:val="24"/>
        </w:rPr>
        <w:t>I</w:t>
      </w:r>
      <w:r w:rsidR="00D83115">
        <w:rPr>
          <w:rFonts w:ascii="Times New Roman" w:hAnsi="Times New Roman"/>
          <w:b/>
          <w:sz w:val="24"/>
          <w:szCs w:val="24"/>
        </w:rPr>
        <w:t>.</w:t>
      </w:r>
      <w:r w:rsidR="00D83115" w:rsidRPr="00B420BE">
        <w:rPr>
          <w:rFonts w:ascii="Times New Roman" w:hAnsi="Times New Roman"/>
          <w:b/>
          <w:sz w:val="24"/>
          <w:szCs w:val="24"/>
        </w:rPr>
        <w:t xml:space="preserve"> Par</w:t>
      </w:r>
      <w:r w:rsidR="00D83115" w:rsidRPr="0011794E">
        <w:rPr>
          <w:rFonts w:ascii="Times New Roman" w:hAnsi="Times New Roman"/>
          <w:b/>
          <w:sz w:val="24"/>
          <w:szCs w:val="24"/>
        </w:rPr>
        <w:t xml:space="preserve"> Valsts kontroles revīzijas ziņojum</w:t>
      </w:r>
      <w:r w:rsidR="00D83115">
        <w:rPr>
          <w:rFonts w:ascii="Times New Roman" w:hAnsi="Times New Roman"/>
          <w:b/>
          <w:sz w:val="24"/>
          <w:szCs w:val="24"/>
        </w:rPr>
        <w:t>ā</w:t>
      </w:r>
      <w:r w:rsidR="00D83115" w:rsidRPr="0011794E">
        <w:rPr>
          <w:rFonts w:ascii="Times New Roman" w:hAnsi="Times New Roman"/>
          <w:b/>
          <w:sz w:val="24"/>
          <w:szCs w:val="24"/>
        </w:rPr>
        <w:t xml:space="preserve"> sniegt</w:t>
      </w:r>
      <w:r w:rsidR="00D83115">
        <w:rPr>
          <w:rFonts w:ascii="Times New Roman" w:hAnsi="Times New Roman"/>
          <w:b/>
          <w:sz w:val="24"/>
          <w:szCs w:val="24"/>
        </w:rPr>
        <w:t>ajiem</w:t>
      </w:r>
      <w:r w:rsidR="00D83115" w:rsidRPr="0011794E">
        <w:rPr>
          <w:rFonts w:ascii="Times New Roman" w:hAnsi="Times New Roman"/>
          <w:b/>
          <w:sz w:val="24"/>
          <w:szCs w:val="24"/>
        </w:rPr>
        <w:t xml:space="preserve"> ieteikum</w:t>
      </w:r>
      <w:r w:rsidR="00D83115">
        <w:rPr>
          <w:rFonts w:ascii="Times New Roman" w:hAnsi="Times New Roman"/>
          <w:b/>
          <w:sz w:val="24"/>
          <w:szCs w:val="24"/>
        </w:rPr>
        <w:t>iem</w:t>
      </w:r>
      <w:r w:rsidR="00D83115" w:rsidRPr="0011794E">
        <w:rPr>
          <w:rFonts w:ascii="Times New Roman" w:hAnsi="Times New Roman"/>
          <w:b/>
          <w:sz w:val="24"/>
          <w:szCs w:val="24"/>
        </w:rPr>
        <w:t>, kur</w:t>
      </w:r>
      <w:r w:rsidR="00D83115">
        <w:rPr>
          <w:rFonts w:ascii="Times New Roman" w:hAnsi="Times New Roman"/>
          <w:b/>
          <w:sz w:val="24"/>
          <w:szCs w:val="24"/>
        </w:rPr>
        <w:t>i netika saskaņoti ar Finanšu ministriju</w:t>
      </w:r>
    </w:p>
    <w:p w:rsidR="00D83115" w:rsidRPr="00421A5F" w:rsidRDefault="00D83115" w:rsidP="00D83115">
      <w:pPr>
        <w:pStyle w:val="tvhtmlmktable"/>
        <w:spacing w:before="0" w:beforeAutospacing="0" w:after="0" w:afterAutospacing="0"/>
        <w:ind w:right="-99" w:firstLine="709"/>
        <w:jc w:val="both"/>
        <w:rPr>
          <w:sz w:val="16"/>
          <w:szCs w:val="16"/>
          <w:lang w:val="lv-LV"/>
        </w:rPr>
      </w:pPr>
    </w:p>
    <w:p w:rsidR="00D83115" w:rsidRDefault="00A37307" w:rsidP="00D83115">
      <w:pPr>
        <w:pStyle w:val="tvhtmlmktable"/>
        <w:spacing w:before="0" w:beforeAutospacing="0" w:after="60" w:afterAutospacing="0"/>
        <w:ind w:right="-99" w:firstLine="709"/>
        <w:jc w:val="both"/>
        <w:rPr>
          <w:lang w:val="lv-LV"/>
        </w:rPr>
      </w:pPr>
      <w:r>
        <w:rPr>
          <w:lang w:val="lv-LV"/>
        </w:rPr>
        <w:t>Revīzijas ziņojumā</w:t>
      </w:r>
      <w:r w:rsidR="00D83115">
        <w:rPr>
          <w:lang w:val="lv-LV"/>
        </w:rPr>
        <w:t xml:space="preserve"> </w:t>
      </w:r>
      <w:r w:rsidR="00D83115" w:rsidRPr="0011794E">
        <w:rPr>
          <w:lang w:val="lv-LV"/>
        </w:rPr>
        <w:t>ir sniegt</w:t>
      </w:r>
      <w:r w:rsidR="00D83115">
        <w:rPr>
          <w:lang w:val="lv-LV"/>
        </w:rPr>
        <w:t>i seši ieteikumi</w:t>
      </w:r>
      <w:r w:rsidR="00D83115" w:rsidRPr="0011794E">
        <w:rPr>
          <w:lang w:val="lv-LV"/>
        </w:rPr>
        <w:t xml:space="preserve">, </w:t>
      </w:r>
      <w:r w:rsidR="00D83115">
        <w:rPr>
          <w:lang w:val="lv-LV"/>
        </w:rPr>
        <w:t>kurus Finanšu ministrija atteicās īstenot, ņemot vērā zemāk sniegtos argumentus:</w:t>
      </w:r>
    </w:p>
    <w:tbl>
      <w:tblPr>
        <w:tblStyle w:val="TableGrid"/>
        <w:tblW w:w="9209" w:type="dxa"/>
        <w:tblLook w:val="04A0" w:firstRow="1" w:lastRow="0" w:firstColumn="1" w:lastColumn="0" w:noHBand="0" w:noVBand="1"/>
      </w:tblPr>
      <w:tblGrid>
        <w:gridCol w:w="2547"/>
        <w:gridCol w:w="6662"/>
      </w:tblGrid>
      <w:tr w:rsidR="00D83115" w:rsidRPr="0011794E" w:rsidTr="00BA47DB">
        <w:tc>
          <w:tcPr>
            <w:tcW w:w="2547" w:type="dxa"/>
          </w:tcPr>
          <w:p w:rsidR="00D83115" w:rsidRPr="00454000" w:rsidRDefault="00D83115" w:rsidP="00BA47DB">
            <w:pPr>
              <w:spacing w:after="0" w:line="240" w:lineRule="auto"/>
              <w:ind w:right="43"/>
              <w:jc w:val="both"/>
              <w:rPr>
                <w:rFonts w:ascii="Times New Roman" w:eastAsia="Times New Roman" w:hAnsi="Times New Roman"/>
                <w:b/>
                <w:color w:val="000000"/>
                <w:sz w:val="24"/>
                <w:szCs w:val="24"/>
                <w:lang w:eastAsia="lv-LV"/>
              </w:rPr>
            </w:pPr>
            <w:r w:rsidRPr="00454000">
              <w:rPr>
                <w:rFonts w:ascii="Times New Roman" w:eastAsia="Times New Roman" w:hAnsi="Times New Roman"/>
                <w:b/>
                <w:color w:val="000000"/>
                <w:sz w:val="24"/>
                <w:szCs w:val="24"/>
                <w:lang w:eastAsia="lv-LV"/>
              </w:rPr>
              <w:t>Valsts kontroles ieteikums</w:t>
            </w:r>
          </w:p>
        </w:tc>
        <w:tc>
          <w:tcPr>
            <w:tcW w:w="6662" w:type="dxa"/>
          </w:tcPr>
          <w:p w:rsidR="00D83115" w:rsidRPr="00454000" w:rsidRDefault="00D83115" w:rsidP="00BA47DB">
            <w:pPr>
              <w:spacing w:after="0" w:line="240" w:lineRule="auto"/>
              <w:ind w:right="43"/>
              <w:jc w:val="both"/>
              <w:rPr>
                <w:rFonts w:ascii="Times New Roman" w:eastAsia="Times New Roman" w:hAnsi="Times New Roman"/>
                <w:b/>
                <w:sz w:val="24"/>
                <w:szCs w:val="24"/>
                <w:lang w:eastAsia="lv-LV"/>
              </w:rPr>
            </w:pPr>
            <w:r w:rsidRPr="00454000">
              <w:rPr>
                <w:rFonts w:ascii="Times New Roman" w:eastAsia="Times New Roman" w:hAnsi="Times New Roman"/>
                <w:b/>
                <w:sz w:val="24"/>
                <w:szCs w:val="24"/>
                <w:lang w:eastAsia="lv-LV"/>
              </w:rPr>
              <w:t>Finanšu ministrijas pamatojums:</w:t>
            </w:r>
          </w:p>
        </w:tc>
      </w:tr>
      <w:tr w:rsidR="00D83115" w:rsidRPr="0011794E" w:rsidTr="00BA47DB">
        <w:tc>
          <w:tcPr>
            <w:tcW w:w="2547" w:type="dxa"/>
          </w:tcPr>
          <w:p w:rsidR="00D83115" w:rsidRPr="0011794E" w:rsidRDefault="00D83115" w:rsidP="00D83115">
            <w:pPr>
              <w:pStyle w:val="ListParagraph"/>
              <w:numPr>
                <w:ilvl w:val="0"/>
                <w:numId w:val="1"/>
              </w:numPr>
              <w:tabs>
                <w:tab w:val="left" w:pos="313"/>
              </w:tabs>
              <w:ind w:left="0" w:right="43" w:firstLine="0"/>
              <w:contextualSpacing/>
              <w:jc w:val="both"/>
            </w:pPr>
            <w:r w:rsidRPr="005A3783">
              <w:rPr>
                <w:color w:val="000000" w:themeColor="text1"/>
              </w:rPr>
              <w:t>Finanšu ministrijai pārskatīt ministriju iesniegto nodevu ieņēmumu prognožu pamatotības izvērtēšanas procesa efektivitāti, kā arī nodrošināt kontroles izsekojamību un sekot nodevu ieņēmumu plāna izpildei, savlaicīgi izvērtējot neizpildes iemeslus un veicot atbilstošas darbības.</w:t>
            </w:r>
          </w:p>
        </w:tc>
        <w:tc>
          <w:tcPr>
            <w:tcW w:w="6662" w:type="dxa"/>
          </w:tcPr>
          <w:p w:rsidR="00681979" w:rsidRDefault="00681979" w:rsidP="00681979">
            <w:pPr>
              <w:spacing w:after="0" w:line="240" w:lineRule="auto"/>
              <w:ind w:right="43"/>
              <w:jc w:val="both"/>
              <w:rPr>
                <w:rFonts w:ascii="Times New Roman" w:hAnsi="Times New Roman"/>
                <w:sz w:val="24"/>
                <w:szCs w:val="24"/>
              </w:rPr>
            </w:pPr>
            <w:r w:rsidRPr="005227CB">
              <w:rPr>
                <w:rFonts w:ascii="Times New Roman" w:hAnsi="Times New Roman"/>
                <w:sz w:val="24"/>
                <w:szCs w:val="24"/>
              </w:rPr>
              <w:t>F</w:t>
            </w:r>
            <w:r>
              <w:rPr>
                <w:rFonts w:ascii="Times New Roman" w:hAnsi="Times New Roman"/>
                <w:sz w:val="24"/>
                <w:szCs w:val="24"/>
              </w:rPr>
              <w:t>inanšu ministrija</w:t>
            </w:r>
            <w:r w:rsidRPr="005227CB">
              <w:rPr>
                <w:rFonts w:ascii="Times New Roman" w:hAnsi="Times New Roman"/>
                <w:sz w:val="24"/>
                <w:szCs w:val="24"/>
              </w:rPr>
              <w:t xml:space="preserve"> veido pamatbudžeta kopējo nenodokļu prognozi</w:t>
            </w:r>
            <w:r>
              <w:rPr>
                <w:rFonts w:ascii="Times New Roman" w:hAnsi="Times New Roman"/>
                <w:sz w:val="24"/>
                <w:szCs w:val="24"/>
              </w:rPr>
              <w:t>,</w:t>
            </w:r>
            <w:r w:rsidRPr="005227CB">
              <w:rPr>
                <w:rFonts w:ascii="Times New Roman" w:hAnsi="Times New Roman"/>
                <w:sz w:val="24"/>
                <w:szCs w:val="24"/>
              </w:rPr>
              <w:t xml:space="preserve"> </w:t>
            </w:r>
            <w:r>
              <w:rPr>
                <w:rFonts w:ascii="Times New Roman" w:hAnsi="Times New Roman"/>
                <w:sz w:val="24"/>
                <w:szCs w:val="24"/>
              </w:rPr>
              <w:t xml:space="preserve">sistemātiski vērtē nodevu ieņēmumu plāna izpildi un veic atbilstošas darbības, iegūstot </w:t>
            </w:r>
            <w:r w:rsidRPr="005227CB">
              <w:rPr>
                <w:rFonts w:ascii="Times New Roman" w:hAnsi="Times New Roman"/>
                <w:sz w:val="24"/>
                <w:szCs w:val="24"/>
              </w:rPr>
              <w:t>maksimāli pieejamo informāciju ieņēmumu attīstības analīzei, plāna izpildes analīzei un ietekmējošo faktoru identificēšanai</w:t>
            </w:r>
            <w:r>
              <w:rPr>
                <w:rFonts w:ascii="Times New Roman" w:hAnsi="Times New Roman"/>
                <w:sz w:val="24"/>
                <w:szCs w:val="24"/>
              </w:rPr>
              <w:t xml:space="preserve">. Tādējādi Finanšu ministrija jau īstenojusi Valsts kontroles ieteikuma daļu: “[..] </w:t>
            </w:r>
            <w:r w:rsidRPr="005227CB">
              <w:rPr>
                <w:rFonts w:ascii="Times New Roman" w:hAnsi="Times New Roman"/>
                <w:sz w:val="24"/>
                <w:szCs w:val="24"/>
              </w:rPr>
              <w:t>sekot nodevu ieņēmumu plāna izpildei, savlaicīgi izvērtējot neizpildes iemeslus un veicot atbilstošas darbības</w:t>
            </w:r>
            <w:r>
              <w:rPr>
                <w:rFonts w:ascii="Times New Roman" w:hAnsi="Times New Roman"/>
                <w:sz w:val="24"/>
                <w:szCs w:val="24"/>
              </w:rPr>
              <w:t xml:space="preserve">”. </w:t>
            </w:r>
            <w:r w:rsidRPr="005227CB">
              <w:rPr>
                <w:rFonts w:ascii="Times New Roman" w:hAnsi="Times New Roman"/>
                <w:sz w:val="24"/>
                <w:szCs w:val="24"/>
              </w:rPr>
              <w:t>Papildus tam F</w:t>
            </w:r>
            <w:r>
              <w:rPr>
                <w:rFonts w:ascii="Times New Roman" w:hAnsi="Times New Roman"/>
                <w:sz w:val="24"/>
                <w:szCs w:val="24"/>
              </w:rPr>
              <w:t xml:space="preserve">inanšu ministrija ir apņēmusies, </w:t>
            </w:r>
            <w:r w:rsidRPr="005227CB">
              <w:rPr>
                <w:rFonts w:ascii="Times New Roman" w:hAnsi="Times New Roman"/>
                <w:sz w:val="24"/>
                <w:szCs w:val="24"/>
              </w:rPr>
              <w:t>identificējot būtiskas un sistemātiskas faktisko ieņēmumu izpildes novirzes no plānotā, nodrošinā</w:t>
            </w:r>
            <w:r>
              <w:rPr>
                <w:rFonts w:ascii="Times New Roman" w:hAnsi="Times New Roman"/>
                <w:sz w:val="24"/>
                <w:szCs w:val="24"/>
              </w:rPr>
              <w:t xml:space="preserve">t </w:t>
            </w:r>
            <w:r w:rsidRPr="005227CB">
              <w:rPr>
                <w:rFonts w:ascii="Times New Roman" w:hAnsi="Times New Roman"/>
                <w:sz w:val="24"/>
                <w:szCs w:val="24"/>
              </w:rPr>
              <w:t>dokumentētas informācijas pieprasīšanu no atbildīgās ministrijas, tādējādi nodrošinot kontroles izsekojamību.</w:t>
            </w:r>
          </w:p>
          <w:p w:rsidR="00681979" w:rsidRDefault="00681979" w:rsidP="00681979">
            <w:pPr>
              <w:spacing w:after="0" w:line="240" w:lineRule="auto"/>
              <w:ind w:right="43"/>
              <w:jc w:val="both"/>
              <w:rPr>
                <w:rFonts w:ascii="Times New Roman" w:hAnsi="Times New Roman"/>
                <w:sz w:val="24"/>
                <w:szCs w:val="24"/>
              </w:rPr>
            </w:pPr>
            <w:r w:rsidRPr="005227CB">
              <w:rPr>
                <w:rFonts w:ascii="Times New Roman" w:hAnsi="Times New Roman"/>
                <w:sz w:val="24"/>
                <w:szCs w:val="24"/>
              </w:rPr>
              <w:t>Tāpat nodevu normatīvo aktu projektu virzības procesā F</w:t>
            </w:r>
            <w:r>
              <w:rPr>
                <w:rFonts w:ascii="Times New Roman" w:hAnsi="Times New Roman"/>
                <w:sz w:val="24"/>
                <w:szCs w:val="24"/>
              </w:rPr>
              <w:t>inanšu ministrija</w:t>
            </w:r>
            <w:r w:rsidRPr="005227CB">
              <w:rPr>
                <w:rFonts w:ascii="Times New Roman" w:hAnsi="Times New Roman"/>
                <w:sz w:val="24"/>
                <w:szCs w:val="24"/>
              </w:rPr>
              <w:t xml:space="preserve"> savas kompetences ietvaros izvērtē fiskālās ietekmes pamatotību, sniedzot projekta virzītājam atzinumu</w:t>
            </w:r>
            <w:r>
              <w:rPr>
                <w:rFonts w:ascii="Times New Roman" w:hAnsi="Times New Roman"/>
                <w:sz w:val="24"/>
                <w:szCs w:val="24"/>
              </w:rPr>
              <w:t>.</w:t>
            </w:r>
          </w:p>
          <w:p w:rsidR="005227CB" w:rsidRPr="0011794E" w:rsidRDefault="00681979" w:rsidP="00681979">
            <w:pPr>
              <w:spacing w:after="0" w:line="240" w:lineRule="auto"/>
              <w:ind w:right="43"/>
              <w:jc w:val="both"/>
              <w:rPr>
                <w:rFonts w:ascii="Times New Roman" w:hAnsi="Times New Roman"/>
                <w:sz w:val="24"/>
                <w:szCs w:val="24"/>
              </w:rPr>
            </w:pPr>
            <w:r>
              <w:rPr>
                <w:rFonts w:ascii="Times New Roman" w:hAnsi="Times New Roman"/>
                <w:sz w:val="24"/>
                <w:szCs w:val="24"/>
              </w:rPr>
              <w:t xml:space="preserve">Valsts kontroles </w:t>
            </w:r>
            <w:r w:rsidRPr="005227CB">
              <w:rPr>
                <w:rFonts w:ascii="Times New Roman" w:hAnsi="Times New Roman"/>
                <w:sz w:val="24"/>
                <w:szCs w:val="24"/>
              </w:rPr>
              <w:t>ieteikuma daļ</w:t>
            </w:r>
            <w:r>
              <w:rPr>
                <w:rFonts w:ascii="Times New Roman" w:hAnsi="Times New Roman"/>
                <w:sz w:val="24"/>
                <w:szCs w:val="24"/>
              </w:rPr>
              <w:t xml:space="preserve">u: </w:t>
            </w:r>
            <w:r w:rsidRPr="005227CB">
              <w:rPr>
                <w:rFonts w:ascii="Times New Roman" w:hAnsi="Times New Roman"/>
                <w:sz w:val="24"/>
                <w:szCs w:val="24"/>
              </w:rPr>
              <w:t>"</w:t>
            </w:r>
            <w:r>
              <w:rPr>
                <w:rFonts w:ascii="Times New Roman" w:hAnsi="Times New Roman"/>
                <w:sz w:val="24"/>
                <w:szCs w:val="24"/>
              </w:rPr>
              <w:t xml:space="preserve">[..] </w:t>
            </w:r>
            <w:r w:rsidRPr="005227CB">
              <w:rPr>
                <w:rFonts w:ascii="Times New Roman" w:hAnsi="Times New Roman"/>
                <w:sz w:val="24"/>
                <w:szCs w:val="24"/>
              </w:rPr>
              <w:t>pārskatīt ministriju iesniegto nodevu ieņēmumu prognožu pamatotības izvērtēšanas procesa efektivitāti</w:t>
            </w:r>
            <w:r>
              <w:rPr>
                <w:rFonts w:ascii="Times New Roman" w:hAnsi="Times New Roman"/>
                <w:sz w:val="24"/>
                <w:szCs w:val="24"/>
              </w:rPr>
              <w:t xml:space="preserve"> [..]</w:t>
            </w:r>
            <w:r w:rsidRPr="005227CB">
              <w:rPr>
                <w:rFonts w:ascii="Times New Roman" w:hAnsi="Times New Roman"/>
                <w:sz w:val="24"/>
                <w:szCs w:val="24"/>
              </w:rPr>
              <w:t>" uzskatām par svītrojamu, jo nozaru ministriju kompetencē ir pamatota nodevu prognožu un attiecīgi pamatota izdevumu pieprasījumu sagatavošana. F</w:t>
            </w:r>
            <w:r>
              <w:rPr>
                <w:rFonts w:ascii="Times New Roman" w:hAnsi="Times New Roman"/>
                <w:sz w:val="24"/>
                <w:szCs w:val="24"/>
              </w:rPr>
              <w:t xml:space="preserve">inanšu ministrijai </w:t>
            </w:r>
            <w:r w:rsidRPr="005227CB">
              <w:rPr>
                <w:rFonts w:ascii="Times New Roman" w:hAnsi="Times New Roman"/>
                <w:sz w:val="24"/>
                <w:szCs w:val="24"/>
              </w:rPr>
              <w:t>nav atbilstošas informācijas un kapacitātes, lai nodrošinātu prognožu kvalitatīvu izvērtēšanu nozaru ministriju līmenī.</w:t>
            </w:r>
            <w:bookmarkStart w:id="0" w:name="_GoBack"/>
            <w:bookmarkEnd w:id="0"/>
          </w:p>
        </w:tc>
      </w:tr>
      <w:tr w:rsidR="00D83115" w:rsidRPr="0011794E" w:rsidTr="00BA47DB">
        <w:tc>
          <w:tcPr>
            <w:tcW w:w="2547" w:type="dxa"/>
          </w:tcPr>
          <w:p w:rsidR="00D83115" w:rsidRPr="005A3783" w:rsidRDefault="00D83115" w:rsidP="00C66786">
            <w:pPr>
              <w:pStyle w:val="ListParagraph"/>
              <w:numPr>
                <w:ilvl w:val="0"/>
                <w:numId w:val="1"/>
              </w:numPr>
              <w:tabs>
                <w:tab w:val="left" w:pos="313"/>
              </w:tabs>
              <w:ind w:left="0" w:right="43" w:firstLine="0"/>
              <w:contextualSpacing/>
              <w:jc w:val="both"/>
              <w:rPr>
                <w:color w:val="000000" w:themeColor="text1"/>
              </w:rPr>
            </w:pPr>
            <w:r w:rsidRPr="002041FF">
              <w:rPr>
                <w:color w:val="000000" w:themeColor="text1"/>
              </w:rPr>
              <w:t>Lai efektīvāk sasniegtu mērķi – samazinātu nereģistrēto saimniecisko darbību, nodrošinātu godīgu konkurenci un novērstu personu izvairīšanos no nodokļu maksātāju pienākumu pildīšanas, V</w:t>
            </w:r>
            <w:r w:rsidR="00C66786">
              <w:rPr>
                <w:color w:val="000000" w:themeColor="text1"/>
              </w:rPr>
              <w:t>alsts ieņēmumu dienestam</w:t>
            </w:r>
            <w:r>
              <w:rPr>
                <w:color w:val="000000" w:themeColor="text1"/>
              </w:rPr>
              <w:t xml:space="preserve"> </w:t>
            </w:r>
            <w:r w:rsidRPr="00EE7B7E">
              <w:rPr>
                <w:color w:val="000000" w:themeColor="text1"/>
              </w:rPr>
              <w:t xml:space="preserve">izvērtēt nereģistrētas saimnieciskās darbības identificēšanai izlietoto </w:t>
            </w:r>
            <w:r w:rsidRPr="00EE7B7E">
              <w:rPr>
                <w:color w:val="000000" w:themeColor="text1"/>
              </w:rPr>
              <w:lastRenderedPageBreak/>
              <w:t>resursu efektivitāti, kā arī samērību pret sasniegto rezultātu</w:t>
            </w:r>
            <w:r>
              <w:rPr>
                <w:color w:val="000000" w:themeColor="text1"/>
              </w:rPr>
              <w:t>.</w:t>
            </w:r>
          </w:p>
        </w:tc>
        <w:tc>
          <w:tcPr>
            <w:tcW w:w="6662" w:type="dxa"/>
          </w:tcPr>
          <w:p w:rsidR="00C66786" w:rsidRPr="00C66786" w:rsidRDefault="00C66786" w:rsidP="00C66786">
            <w:pPr>
              <w:spacing w:after="0" w:line="240" w:lineRule="auto"/>
              <w:ind w:right="43"/>
              <w:jc w:val="both"/>
              <w:rPr>
                <w:rFonts w:ascii="Times New Roman" w:hAnsi="Times New Roman"/>
                <w:sz w:val="24"/>
                <w:szCs w:val="24"/>
              </w:rPr>
            </w:pPr>
            <w:r w:rsidRPr="00C66786">
              <w:rPr>
                <w:rFonts w:ascii="Times New Roman" w:hAnsi="Times New Roman"/>
                <w:sz w:val="24"/>
                <w:szCs w:val="24"/>
              </w:rPr>
              <w:lastRenderedPageBreak/>
              <w:t>V</w:t>
            </w:r>
            <w:r>
              <w:rPr>
                <w:rFonts w:ascii="Times New Roman" w:hAnsi="Times New Roman"/>
                <w:sz w:val="24"/>
                <w:szCs w:val="24"/>
              </w:rPr>
              <w:t xml:space="preserve">alsts ieņēmumu dienests </w:t>
            </w:r>
            <w:r w:rsidRPr="00C66786">
              <w:rPr>
                <w:rFonts w:ascii="Times New Roman" w:hAnsi="Times New Roman"/>
                <w:sz w:val="24"/>
                <w:szCs w:val="24"/>
              </w:rPr>
              <w:t>2016.gadā izvērtēja nereģistrētās saimnieciskās darbības identificēšanas un uzraudzības darba rezultātus</w:t>
            </w:r>
            <w:r>
              <w:rPr>
                <w:rFonts w:ascii="Times New Roman" w:hAnsi="Times New Roman"/>
                <w:sz w:val="24"/>
                <w:szCs w:val="24"/>
              </w:rPr>
              <w:t xml:space="preserve">, Valsts ieņēmumu dienesta cilvēkresursus, kā arī piemērotās darba metodes un secināja, ka </w:t>
            </w:r>
            <w:r w:rsidRPr="00C66786">
              <w:rPr>
                <w:rFonts w:ascii="Times New Roman" w:hAnsi="Times New Roman"/>
                <w:sz w:val="24"/>
                <w:szCs w:val="24"/>
              </w:rPr>
              <w:t xml:space="preserve">ir nepieciešams izveidot atsevišķu struktūrvienību, kuru nepieciešams specializēt minētā procesa izpildes nodrošināšanai. Tādējādi tika nolemts atteikties no līdz šim šajā procesā iesaistītajām 72 amata vietām, izveidojot </w:t>
            </w:r>
            <w:r>
              <w:rPr>
                <w:rFonts w:ascii="Times New Roman" w:hAnsi="Times New Roman"/>
                <w:sz w:val="24"/>
                <w:szCs w:val="24"/>
              </w:rPr>
              <w:t xml:space="preserve">Valsts ieņēmumu dienesta Nodokļu pārvaldes </w:t>
            </w:r>
            <w:r w:rsidRPr="00C66786">
              <w:rPr>
                <w:rFonts w:ascii="Times New Roman" w:hAnsi="Times New Roman"/>
                <w:sz w:val="24"/>
                <w:szCs w:val="24"/>
              </w:rPr>
              <w:t>Nereģistrētās saimnieciskās darbības un uzraudzības daļu ar 20 amata vietām. Vienlaikus šai struktūrvienībai tiek deleģēta ne tikai nereģistrētās saimnieciskās darbības identificēšanas un reģistrēšanās pienākuma uzraudzības funkcija, bet arī uzdevums monitorēt gada deklarācijas iesniegšanas un nodokļu nomaksas korektumu.</w:t>
            </w:r>
          </w:p>
          <w:p w:rsidR="00C66786" w:rsidRDefault="00C66786" w:rsidP="00C66786">
            <w:pPr>
              <w:spacing w:after="0" w:line="240" w:lineRule="auto"/>
              <w:ind w:right="43"/>
              <w:jc w:val="both"/>
              <w:rPr>
                <w:rFonts w:ascii="Times New Roman" w:hAnsi="Times New Roman"/>
                <w:sz w:val="24"/>
                <w:szCs w:val="24"/>
              </w:rPr>
            </w:pPr>
            <w:r w:rsidRPr="00C66786">
              <w:rPr>
                <w:rFonts w:ascii="Times New Roman" w:hAnsi="Times New Roman"/>
                <w:sz w:val="24"/>
                <w:szCs w:val="24"/>
              </w:rPr>
              <w:t>Minētā lēmuma lietderīb</w:t>
            </w:r>
            <w:r w:rsidR="00167B78">
              <w:rPr>
                <w:rFonts w:ascii="Times New Roman" w:hAnsi="Times New Roman"/>
                <w:sz w:val="24"/>
                <w:szCs w:val="24"/>
              </w:rPr>
              <w:t>u raksturo šādi darba rezultāti:</w:t>
            </w:r>
          </w:p>
          <w:p w:rsidR="00C66786" w:rsidRDefault="00167B78" w:rsidP="00C66786">
            <w:pPr>
              <w:pStyle w:val="ListParagraph"/>
              <w:numPr>
                <w:ilvl w:val="0"/>
                <w:numId w:val="5"/>
              </w:numPr>
              <w:ind w:left="317" w:right="43" w:hanging="317"/>
              <w:jc w:val="both"/>
            </w:pPr>
            <w:r>
              <w:lastRenderedPageBreak/>
              <w:t xml:space="preserve">2016.gada 8 mēnešos nosūtīti 4 </w:t>
            </w:r>
            <w:r w:rsidR="00C66786" w:rsidRPr="00167B78">
              <w:t xml:space="preserve">845 paziņojumi fiziskām personām ar atgādinājumu reģistrēties kā nodokļu maksātājiem, 1807 fiziskās personas pēc atgādinājuma saņemšanas reģistrējušās par nodokļu maksātājiem. </w:t>
            </w:r>
          </w:p>
          <w:p w:rsidR="00167B78" w:rsidRPr="00167B78" w:rsidRDefault="00167B78" w:rsidP="00167B78">
            <w:pPr>
              <w:pStyle w:val="ListParagraph"/>
              <w:numPr>
                <w:ilvl w:val="0"/>
                <w:numId w:val="5"/>
              </w:numPr>
              <w:ind w:left="317" w:right="45" w:hanging="317"/>
              <w:jc w:val="both"/>
            </w:pPr>
            <w:r>
              <w:t>2017.gada 8 mēnešos nosūtīti 4 </w:t>
            </w:r>
            <w:r w:rsidR="00C66786" w:rsidRPr="00167B78">
              <w:t xml:space="preserve">420 paziņojumi fiziskām personām ar atgādinājumu reģistrēties kā nodokļu maksātājiem, 1479 fiziskās personas pēc atgādinājuma saņemšanas reģistrējušās par nodokļu maksātājiem. </w:t>
            </w:r>
          </w:p>
          <w:p w:rsidR="00C66786" w:rsidRPr="00167B78" w:rsidRDefault="00C66786" w:rsidP="00167B78">
            <w:pPr>
              <w:spacing w:after="0" w:line="240" w:lineRule="auto"/>
              <w:ind w:right="45"/>
              <w:jc w:val="both"/>
            </w:pPr>
            <w:r w:rsidRPr="00167B78">
              <w:rPr>
                <w:rFonts w:ascii="Times New Roman" w:hAnsi="Times New Roman"/>
                <w:sz w:val="24"/>
                <w:szCs w:val="24"/>
              </w:rPr>
              <w:t>Izvērtējot rezultātus, secināms, ka vienas amata vietas efektivitāte ir gandrīz trīskāršojusies</w:t>
            </w:r>
            <w:r w:rsidRPr="00167B78">
              <w:t>.</w:t>
            </w:r>
          </w:p>
          <w:p w:rsidR="00C66786" w:rsidRPr="00C66786" w:rsidRDefault="00C66786" w:rsidP="00C66786">
            <w:pPr>
              <w:spacing w:after="0" w:line="240" w:lineRule="auto"/>
              <w:ind w:right="43"/>
              <w:jc w:val="both"/>
              <w:rPr>
                <w:rFonts w:ascii="Times New Roman" w:hAnsi="Times New Roman"/>
                <w:sz w:val="24"/>
                <w:szCs w:val="24"/>
              </w:rPr>
            </w:pPr>
            <w:r w:rsidRPr="00C66786">
              <w:rPr>
                <w:rFonts w:ascii="Times New Roman" w:hAnsi="Times New Roman"/>
                <w:sz w:val="24"/>
                <w:szCs w:val="24"/>
              </w:rPr>
              <w:t>V</w:t>
            </w:r>
            <w:r w:rsidR="00167B78">
              <w:rPr>
                <w:rFonts w:ascii="Times New Roman" w:hAnsi="Times New Roman"/>
                <w:sz w:val="24"/>
                <w:szCs w:val="24"/>
              </w:rPr>
              <w:t xml:space="preserve">alsts ieņēmumu dienests </w:t>
            </w:r>
            <w:r w:rsidRPr="00C66786">
              <w:rPr>
                <w:rFonts w:ascii="Times New Roman" w:hAnsi="Times New Roman"/>
                <w:sz w:val="24"/>
                <w:szCs w:val="24"/>
              </w:rPr>
              <w:t xml:space="preserve">ir izvērtējis resursu efektivitāti, veicis strukturālas izmaiņas un tādēļ neatbalsta Valsts kontroles izteikto ieteikumu attiecībā uz nereģistrētas saimnieciskās darbības identificēšanai izlietoto resursu efektivitāti. </w:t>
            </w:r>
          </w:p>
          <w:p w:rsidR="00CE25E3" w:rsidRPr="0011794E" w:rsidRDefault="00C66786" w:rsidP="00167B78">
            <w:pPr>
              <w:spacing w:after="0" w:line="240" w:lineRule="auto"/>
              <w:ind w:right="43"/>
              <w:jc w:val="both"/>
              <w:rPr>
                <w:rFonts w:ascii="Times New Roman" w:hAnsi="Times New Roman"/>
                <w:sz w:val="24"/>
                <w:szCs w:val="24"/>
              </w:rPr>
            </w:pPr>
            <w:r w:rsidRPr="00C66786">
              <w:rPr>
                <w:rFonts w:ascii="Times New Roman" w:hAnsi="Times New Roman"/>
                <w:sz w:val="24"/>
                <w:szCs w:val="24"/>
              </w:rPr>
              <w:t>Vienlaikus norādām, ka V</w:t>
            </w:r>
            <w:r w:rsidR="00167B78">
              <w:rPr>
                <w:rFonts w:ascii="Times New Roman" w:hAnsi="Times New Roman"/>
                <w:sz w:val="24"/>
                <w:szCs w:val="24"/>
              </w:rPr>
              <w:t xml:space="preserve">alsts ieņēmumu dienests </w:t>
            </w:r>
            <w:r w:rsidRPr="00C66786">
              <w:rPr>
                <w:rFonts w:ascii="Times New Roman" w:hAnsi="Times New Roman"/>
                <w:sz w:val="24"/>
                <w:szCs w:val="24"/>
              </w:rPr>
              <w:t>nepārtraukti analizē sava darba rezultātus, pilnveido darba metodes un meklē jaunas iespējas, tostarp arī izvērtējot resursu efektivitāti, lai novērstu personu izvairīšanos no nodokļu nomaksas.</w:t>
            </w:r>
          </w:p>
        </w:tc>
      </w:tr>
      <w:tr w:rsidR="00D83115" w:rsidRPr="0011794E" w:rsidTr="00BA47DB">
        <w:tc>
          <w:tcPr>
            <w:tcW w:w="2547" w:type="dxa"/>
          </w:tcPr>
          <w:p w:rsidR="00D83115" w:rsidRPr="005A3783" w:rsidRDefault="00D83115" w:rsidP="00D83115">
            <w:pPr>
              <w:pStyle w:val="ListParagraph"/>
              <w:numPr>
                <w:ilvl w:val="0"/>
                <w:numId w:val="1"/>
              </w:numPr>
              <w:tabs>
                <w:tab w:val="left" w:pos="313"/>
              </w:tabs>
              <w:ind w:left="0" w:right="43" w:firstLine="0"/>
              <w:contextualSpacing/>
              <w:jc w:val="both"/>
              <w:rPr>
                <w:color w:val="000000" w:themeColor="text1"/>
              </w:rPr>
            </w:pPr>
            <w:r w:rsidRPr="002B5933">
              <w:rPr>
                <w:color w:val="000000" w:themeColor="text1"/>
              </w:rPr>
              <w:lastRenderedPageBreak/>
              <w:t>Finanšu ministrijai rast risinājumu, lai nodrošinātu valsts budžeta ieņēmumu kontos ienākošo maksājumu kontroli.</w:t>
            </w:r>
          </w:p>
        </w:tc>
        <w:tc>
          <w:tcPr>
            <w:tcW w:w="6662" w:type="dxa"/>
          </w:tcPr>
          <w:p w:rsidR="00A040A2" w:rsidRPr="00A77EF2" w:rsidRDefault="00A040A2" w:rsidP="00A040A2">
            <w:pPr>
              <w:spacing w:after="0" w:line="240" w:lineRule="auto"/>
              <w:jc w:val="both"/>
              <w:rPr>
                <w:rFonts w:ascii="Times New Roman" w:eastAsia="Times New Roman" w:hAnsi="Times New Roman"/>
                <w:sz w:val="24"/>
                <w:szCs w:val="24"/>
                <w:lang w:eastAsia="lv-LV"/>
              </w:rPr>
            </w:pPr>
            <w:r w:rsidRPr="00A77EF2">
              <w:rPr>
                <w:rFonts w:ascii="Times New Roman" w:eastAsia="Times New Roman" w:hAnsi="Times New Roman"/>
                <w:sz w:val="24"/>
                <w:szCs w:val="24"/>
                <w:lang w:eastAsia="lv-LV"/>
              </w:rPr>
              <w:t>Valsts kontrole ir konstatējusi, ka valsts budžeta kontam “Ieņēmumi no konfiscēto noziedzīgi iegūto līdzekļu realizācijas, ko budžetā ieskaita zvērināti tiesu izpildītāji” piekritīgie ieņēmumi ne vienmēr ir atbilstoši ieskaitīti - daļu šim kontam piekritīgo ieņēmumu zvērinātie tiesu izpildītāji ir ieskaitījuši citā valsts budžeta kontā, bet daļa šajā kontā ieskaitīto līdzekļu neatbilst konta ekonomiskajai būtībai.  Līdz ar to Valsts kontrole norāda, ka valsts budžeta kontos ieskaitītie ieņēmumi neatbilst kontu ekonomiskajai būtībai, un izsaka ieteikumu Finanšu ministrijai nodrošināt valsts budžeta ieņēmumu kontos ienākošo maksājumu kontroli.</w:t>
            </w:r>
          </w:p>
          <w:p w:rsidR="00A040A2" w:rsidRPr="00A77EF2" w:rsidRDefault="00A040A2" w:rsidP="00A040A2">
            <w:pPr>
              <w:spacing w:after="0" w:line="240" w:lineRule="auto"/>
              <w:jc w:val="both"/>
              <w:rPr>
                <w:rFonts w:ascii="Times New Roman" w:eastAsia="Times New Roman" w:hAnsi="Times New Roman"/>
                <w:sz w:val="24"/>
                <w:szCs w:val="24"/>
                <w:lang w:eastAsia="lv-LV"/>
              </w:rPr>
            </w:pPr>
            <w:r w:rsidRPr="00A77EF2">
              <w:rPr>
                <w:rFonts w:ascii="Times New Roman" w:eastAsia="Times New Roman" w:hAnsi="Times New Roman"/>
                <w:sz w:val="24"/>
                <w:szCs w:val="24"/>
                <w:lang w:eastAsia="lv-LV"/>
              </w:rPr>
              <w:t xml:space="preserve">Budžeta ieņēmumu klasifikācija no </w:t>
            </w:r>
            <w:r w:rsidR="00A77EF2" w:rsidRPr="00A77EF2">
              <w:rPr>
                <w:rFonts w:ascii="Times New Roman" w:eastAsia="Times New Roman" w:hAnsi="Times New Roman"/>
                <w:sz w:val="24"/>
                <w:szCs w:val="24"/>
                <w:lang w:eastAsia="lv-LV"/>
              </w:rPr>
              <w:t>2015.gada 1.janvāra</w:t>
            </w:r>
            <w:r w:rsidRPr="00A77EF2">
              <w:rPr>
                <w:rFonts w:ascii="Times New Roman" w:eastAsia="Times New Roman" w:hAnsi="Times New Roman"/>
                <w:sz w:val="24"/>
                <w:szCs w:val="24"/>
                <w:lang w:eastAsia="lv-LV"/>
              </w:rPr>
              <w:t xml:space="preserve"> tika papildināta ar attiecīgiem uzskaites kodiem (12.1.6.0., 12.1.6.1., 12.1.6.2. un 12.1.6.9.), kas nodrošina atsevišķu ieņēmumu uzskaiti, kas iemaksāti valsts budžetā saskaņā ar tiesu nolēmumiem no noziedzīgi iegūto līdzekļu (finanšu līdzekļu</w:t>
            </w:r>
            <w:r w:rsidR="00A77EF2" w:rsidRPr="00A77EF2">
              <w:rPr>
                <w:rFonts w:ascii="Times New Roman" w:eastAsia="Times New Roman" w:hAnsi="Times New Roman"/>
                <w:sz w:val="24"/>
                <w:szCs w:val="24"/>
                <w:lang w:eastAsia="lv-LV"/>
              </w:rPr>
              <w:t xml:space="preserve"> un citas mantas) realizācijas </w:t>
            </w:r>
            <w:r w:rsidRPr="00A77EF2">
              <w:rPr>
                <w:rFonts w:ascii="Times New Roman" w:eastAsia="Times New Roman" w:hAnsi="Times New Roman"/>
                <w:sz w:val="24"/>
                <w:szCs w:val="24"/>
                <w:lang w:eastAsia="lv-LV"/>
              </w:rPr>
              <w:t>vai citu līdzekļu realizācijas noziedzīgi iegūto līdzekļu vērtībā, kā arī ieņēmumus no papildsoda (mantas konfiskācija) realizācijas. Minētie papildinājumi klasifikācijā tika izstrādāti pēc Noziedzīgi iegūto līdzekļu legalizācijas novēršanas dienesta iniciatīvas, sadarbojoties ar Tieslietu ministriju, un iesaistot Latvijas Zvērināto tiesu izpildītāju padomes pārstāvjus. Tādējādi Finanšu ministrija kā par budžetu klasifikāciju izst</w:t>
            </w:r>
            <w:r w:rsidR="00A77EF2" w:rsidRPr="00A77EF2">
              <w:rPr>
                <w:rFonts w:ascii="Times New Roman" w:eastAsia="Times New Roman" w:hAnsi="Times New Roman"/>
                <w:sz w:val="24"/>
                <w:szCs w:val="24"/>
                <w:lang w:eastAsia="lv-LV"/>
              </w:rPr>
              <w:t>r</w:t>
            </w:r>
            <w:r w:rsidRPr="00A77EF2">
              <w:rPr>
                <w:rFonts w:ascii="Times New Roman" w:eastAsia="Times New Roman" w:hAnsi="Times New Roman"/>
                <w:sz w:val="24"/>
                <w:szCs w:val="24"/>
                <w:lang w:eastAsia="lv-LV"/>
              </w:rPr>
              <w:t>ādi atbildīgā iestāde ir nodrošinājusi attiecīgas izmaiņas normatīvajā aktā, un ar minētajiem papildinājumiem ieņēmumu kodos jautājums ir sakārtots ieņēmumu uzskaites līmenī. Attiecīgie uzskaites kodu konti ir redzami Valsts kases tīmekļa vietnē – Valsts budžeta ieņēmumu kontu sarakstā (</w:t>
            </w:r>
            <w:hyperlink r:id="rId8" w:history="1">
              <w:r w:rsidRPr="00A77EF2">
                <w:rPr>
                  <w:rFonts w:ascii="Times New Roman" w:eastAsia="Times New Roman" w:hAnsi="Times New Roman"/>
                  <w:sz w:val="24"/>
                  <w:szCs w:val="24"/>
                  <w:lang w:eastAsia="lv-LV"/>
                </w:rPr>
                <w:t>http://www.kase.gov.lv/l/nodoklu-un-nodevu-konti/7112</w:t>
              </w:r>
            </w:hyperlink>
            <w:r w:rsidRPr="00A77EF2">
              <w:rPr>
                <w:rFonts w:ascii="Times New Roman" w:eastAsia="Times New Roman" w:hAnsi="Times New Roman"/>
                <w:sz w:val="24"/>
                <w:szCs w:val="24"/>
                <w:lang w:eastAsia="lv-LV"/>
              </w:rPr>
              <w:t>) – kur ir nepārprotami skaidri norādīts, kuros kontos ieņēmumus jāieskaita zvērinātiem tiesu izpildītājiem, un kuros – citām institūcijām.</w:t>
            </w:r>
          </w:p>
          <w:p w:rsidR="00A040A2" w:rsidRPr="00A77EF2" w:rsidRDefault="00A040A2" w:rsidP="00A040A2">
            <w:pPr>
              <w:spacing w:after="0" w:line="240" w:lineRule="auto"/>
              <w:jc w:val="both"/>
              <w:rPr>
                <w:rFonts w:ascii="Times New Roman" w:eastAsia="Times New Roman" w:hAnsi="Times New Roman"/>
                <w:sz w:val="24"/>
                <w:szCs w:val="24"/>
                <w:lang w:eastAsia="lv-LV"/>
              </w:rPr>
            </w:pPr>
            <w:r w:rsidRPr="00A77EF2">
              <w:rPr>
                <w:rFonts w:ascii="Times New Roman" w:eastAsia="Times New Roman" w:hAnsi="Times New Roman"/>
                <w:sz w:val="24"/>
                <w:szCs w:val="24"/>
                <w:lang w:eastAsia="lv-LV"/>
              </w:rPr>
              <w:lastRenderedPageBreak/>
              <w:t>Tādējādi ir radīti nosacījumi, lai ar klasifikācijas kodiem nodrošinātu salīdzinošās kopsavilkuma informācijas iegūšanu par valsts budžetā ieskaitītajiem ieņēmumiem no noziedzīgi iegūto līdzekļu un mantas realizācijas, ja ieņēmumi tiek atbilstoši ieskaitīti valsts budžeta ieņēmumu kontos saskaņā ar budžeta ieņēmumu klasifikāciju.</w:t>
            </w:r>
          </w:p>
          <w:p w:rsidR="00A040A2" w:rsidRPr="00A77EF2" w:rsidRDefault="002946AD" w:rsidP="001E1760">
            <w:pPr>
              <w:spacing w:after="6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Valsts kontroles konstatētā </w:t>
            </w:r>
            <w:r w:rsidR="00A040A2" w:rsidRPr="00A77EF2">
              <w:rPr>
                <w:rFonts w:ascii="Times New Roman" w:eastAsia="Times New Roman" w:hAnsi="Times New Roman"/>
                <w:sz w:val="24"/>
                <w:szCs w:val="24"/>
                <w:lang w:eastAsia="lv-LV"/>
              </w:rPr>
              <w:t>problēma risināma no procesa organizācijas aspekta līdz ieņēmumu ieskaitīšanai kontos, kas nav Finanšu ministrijas ietekmes sfērā. Tādējādi uzskatām, ka jautājuma  risināšana ir Tieslietu ministrijas kompetencē kā atbildīgās par zvērinātu tiesu izpi</w:t>
            </w:r>
            <w:r>
              <w:rPr>
                <w:rFonts w:ascii="Times New Roman" w:eastAsia="Times New Roman" w:hAnsi="Times New Roman"/>
                <w:sz w:val="24"/>
                <w:szCs w:val="24"/>
                <w:lang w:eastAsia="lv-LV"/>
              </w:rPr>
              <w:t xml:space="preserve">ldītāju darbības politikas jomu un skatāma </w:t>
            </w:r>
            <w:r w:rsidRPr="002946AD">
              <w:rPr>
                <w:rFonts w:ascii="Times New Roman" w:eastAsia="Times New Roman" w:hAnsi="Times New Roman"/>
                <w:sz w:val="24"/>
                <w:szCs w:val="24"/>
                <w:lang w:eastAsia="lv-LV"/>
              </w:rPr>
              <w:t>kontekstā ar ieteikumu Tieslietu ministrijai pilnveidot noziedzīgi iegūto līdzekļu legalizācijas rezultātā iegūto līdzekļu statistikas nodrošināšanas procesu</w:t>
            </w:r>
            <w:r>
              <w:rPr>
                <w:rFonts w:ascii="Times New Roman" w:eastAsia="Times New Roman" w:hAnsi="Times New Roman"/>
                <w:sz w:val="24"/>
                <w:szCs w:val="24"/>
                <w:lang w:eastAsia="lv-LV"/>
              </w:rPr>
              <w:t>.</w:t>
            </w:r>
          </w:p>
          <w:p w:rsidR="00CE25E3" w:rsidRPr="0011794E" w:rsidRDefault="001E1760" w:rsidP="001E1760">
            <w:pPr>
              <w:spacing w:after="0" w:line="240" w:lineRule="auto"/>
              <w:ind w:right="43"/>
              <w:jc w:val="both"/>
              <w:rPr>
                <w:rFonts w:ascii="Times New Roman" w:hAnsi="Times New Roman"/>
                <w:sz w:val="24"/>
                <w:szCs w:val="24"/>
              </w:rPr>
            </w:pPr>
            <w:r w:rsidRPr="001E1760">
              <w:rPr>
                <w:rFonts w:ascii="Times New Roman" w:hAnsi="Times New Roman"/>
                <w:sz w:val="24"/>
                <w:szCs w:val="24"/>
              </w:rPr>
              <w:t>Papildus vēršam uzmanību, ka Valsts kase kā maksājumu iestāde pilda Maksājumu pakalpojumu un elektroniskās naudas likumā noteiktās prasības, t.i., maksājumu saņēmēja kontā ieskaita atbilstoši maksājumā norādītajam unikālajam identifikatoram – IBAN. Līdz ar to pat klasificējot maksājuma mērķī norādīto informāciju un veicot tās analīzi ienākošo maksājumu apstrādes procesā Valsts kasei nebūtu tiesības novirzīt šo maksājumu uz citu saņēmēja kontu. Maksājumu pārvirzīšanu atbilstoši konstatētajai nepieciešamībai var veikt tikai ieņēmu</w:t>
            </w:r>
            <w:r>
              <w:rPr>
                <w:rFonts w:ascii="Times New Roman" w:hAnsi="Times New Roman"/>
                <w:sz w:val="24"/>
                <w:szCs w:val="24"/>
              </w:rPr>
              <w:t>mu</w:t>
            </w:r>
            <w:r w:rsidRPr="001E1760">
              <w:rPr>
                <w:rFonts w:ascii="Times New Roman" w:hAnsi="Times New Roman"/>
                <w:sz w:val="24"/>
                <w:szCs w:val="24"/>
              </w:rPr>
              <w:t xml:space="preserve"> administrējošā iestāde, šajā gadījumā Noziedzīgi iegūtu līdzekļu legalizācijas novēršanas dienests.</w:t>
            </w:r>
          </w:p>
        </w:tc>
      </w:tr>
      <w:tr w:rsidR="00D83115" w:rsidRPr="0011794E" w:rsidTr="00BA47DB">
        <w:tc>
          <w:tcPr>
            <w:tcW w:w="2547" w:type="dxa"/>
          </w:tcPr>
          <w:p w:rsidR="00D83115" w:rsidRPr="005A3783" w:rsidRDefault="00D83115" w:rsidP="00405020">
            <w:pPr>
              <w:pStyle w:val="ListParagraph"/>
              <w:numPr>
                <w:ilvl w:val="0"/>
                <w:numId w:val="1"/>
              </w:numPr>
              <w:tabs>
                <w:tab w:val="left" w:pos="313"/>
              </w:tabs>
              <w:ind w:left="0" w:right="43" w:firstLine="0"/>
              <w:contextualSpacing/>
              <w:jc w:val="both"/>
              <w:rPr>
                <w:color w:val="000000" w:themeColor="text1"/>
              </w:rPr>
            </w:pPr>
            <w:r w:rsidRPr="001C155D">
              <w:rPr>
                <w:color w:val="000000" w:themeColor="text1"/>
              </w:rPr>
              <w:lastRenderedPageBreak/>
              <w:t>Lai nodrošinātu uz klientu orientētu servisu, vienkāršotu administratīvo procedūru veikšanu, samazinātu administratīvo slogu nodokļu maksātājiem un neradītu papildu resursu izlietojumu nodokļu administrācijai</w:t>
            </w:r>
            <w:r>
              <w:rPr>
                <w:color w:val="000000" w:themeColor="text1"/>
              </w:rPr>
              <w:t xml:space="preserve">, </w:t>
            </w:r>
            <w:r w:rsidRPr="001C155D">
              <w:rPr>
                <w:color w:val="000000" w:themeColor="text1"/>
              </w:rPr>
              <w:t>V</w:t>
            </w:r>
            <w:r w:rsidR="00405020">
              <w:rPr>
                <w:color w:val="000000" w:themeColor="text1"/>
              </w:rPr>
              <w:t>alsts ieņēmumu dienestam</w:t>
            </w:r>
            <w:r w:rsidRPr="001C155D">
              <w:rPr>
                <w:color w:val="000000" w:themeColor="text1"/>
              </w:rPr>
              <w:t xml:space="preserve"> nodrošināt automātisku marku aprites pārskatu akceptēšanu</w:t>
            </w:r>
            <w:r>
              <w:rPr>
                <w:color w:val="000000" w:themeColor="text1"/>
              </w:rPr>
              <w:t>.</w:t>
            </w:r>
          </w:p>
        </w:tc>
        <w:tc>
          <w:tcPr>
            <w:tcW w:w="6662" w:type="dxa"/>
          </w:tcPr>
          <w:p w:rsidR="008F7B7A" w:rsidRDefault="008F7B7A" w:rsidP="008C5680">
            <w:pPr>
              <w:spacing w:after="0" w:line="240" w:lineRule="auto"/>
              <w:ind w:right="43"/>
              <w:jc w:val="both"/>
              <w:rPr>
                <w:rFonts w:ascii="Times New Roman" w:hAnsi="Times New Roman"/>
                <w:sz w:val="24"/>
                <w:szCs w:val="24"/>
              </w:rPr>
            </w:pPr>
            <w:r w:rsidRPr="00167E14">
              <w:rPr>
                <w:rFonts w:ascii="Times New Roman" w:hAnsi="Times New Roman"/>
                <w:sz w:val="24"/>
                <w:szCs w:val="24"/>
              </w:rPr>
              <w:t>V</w:t>
            </w:r>
            <w:r>
              <w:rPr>
                <w:rFonts w:ascii="Times New Roman" w:hAnsi="Times New Roman"/>
                <w:sz w:val="24"/>
                <w:szCs w:val="24"/>
              </w:rPr>
              <w:t>alsts ieņēmumu dienests</w:t>
            </w:r>
            <w:r w:rsidRPr="008C5680">
              <w:rPr>
                <w:rFonts w:ascii="Times New Roman" w:hAnsi="Times New Roman"/>
                <w:sz w:val="24"/>
                <w:szCs w:val="24"/>
              </w:rPr>
              <w:t xml:space="preserve"> uzskata, ka </w:t>
            </w:r>
            <w:r>
              <w:rPr>
                <w:rFonts w:ascii="Times New Roman" w:hAnsi="Times New Roman"/>
                <w:sz w:val="24"/>
                <w:szCs w:val="24"/>
              </w:rPr>
              <w:t xml:space="preserve">minētā </w:t>
            </w:r>
            <w:r w:rsidRPr="008C5680">
              <w:rPr>
                <w:rFonts w:ascii="Times New Roman" w:hAnsi="Times New Roman"/>
                <w:sz w:val="24"/>
                <w:szCs w:val="24"/>
              </w:rPr>
              <w:t>ieteikuma ieviešana nav lietderīga no izmaksu viedokļa</w:t>
            </w:r>
            <w:r>
              <w:rPr>
                <w:rFonts w:ascii="Times New Roman" w:hAnsi="Times New Roman"/>
                <w:sz w:val="24"/>
                <w:szCs w:val="24"/>
              </w:rPr>
              <w:t xml:space="preserve"> </w:t>
            </w:r>
            <w:r w:rsidRPr="008C5680">
              <w:rPr>
                <w:rFonts w:ascii="Times New Roman" w:hAnsi="Times New Roman"/>
                <w:sz w:val="24"/>
                <w:szCs w:val="24"/>
              </w:rPr>
              <w:t xml:space="preserve">līdz </w:t>
            </w:r>
            <w:r w:rsidRPr="00167E14">
              <w:rPr>
                <w:rFonts w:ascii="Times New Roman" w:hAnsi="Times New Roman"/>
                <w:sz w:val="24"/>
                <w:szCs w:val="24"/>
              </w:rPr>
              <w:t>Maksājumu administrēšana</w:t>
            </w:r>
            <w:r>
              <w:rPr>
                <w:rFonts w:ascii="Times New Roman" w:hAnsi="Times New Roman"/>
                <w:sz w:val="24"/>
                <w:szCs w:val="24"/>
              </w:rPr>
              <w:t>s</w:t>
            </w:r>
            <w:r w:rsidRPr="00167E14">
              <w:rPr>
                <w:rFonts w:ascii="Times New Roman" w:hAnsi="Times New Roman"/>
                <w:sz w:val="24"/>
                <w:szCs w:val="24"/>
              </w:rPr>
              <w:t xml:space="preserve"> informācijas sistēma</w:t>
            </w:r>
            <w:r>
              <w:rPr>
                <w:rFonts w:ascii="Times New Roman" w:hAnsi="Times New Roman"/>
                <w:sz w:val="24"/>
                <w:szCs w:val="24"/>
              </w:rPr>
              <w:t>s</w:t>
            </w:r>
            <w:r w:rsidRPr="00167E14">
              <w:rPr>
                <w:rFonts w:ascii="Times New Roman" w:hAnsi="Times New Roman"/>
                <w:sz w:val="24"/>
                <w:szCs w:val="24"/>
              </w:rPr>
              <w:t xml:space="preserve"> </w:t>
            </w:r>
            <w:r w:rsidRPr="008C5680">
              <w:rPr>
                <w:rFonts w:ascii="Times New Roman" w:hAnsi="Times New Roman"/>
                <w:sz w:val="24"/>
                <w:szCs w:val="24"/>
              </w:rPr>
              <w:t>ieviešanai, kad tiks nodrošināta marku aprites pārskatu automātiska akceptēšana</w:t>
            </w:r>
            <w:r>
              <w:rPr>
                <w:rFonts w:ascii="Times New Roman" w:hAnsi="Times New Roman"/>
                <w:sz w:val="24"/>
                <w:szCs w:val="24"/>
              </w:rPr>
              <w:t>.</w:t>
            </w:r>
          </w:p>
          <w:p w:rsidR="008F7B7A" w:rsidRDefault="008F7B7A" w:rsidP="008C5680">
            <w:pPr>
              <w:spacing w:after="0" w:line="240" w:lineRule="auto"/>
              <w:ind w:right="43"/>
              <w:jc w:val="both"/>
              <w:rPr>
                <w:rFonts w:ascii="Times New Roman" w:hAnsi="Times New Roman"/>
                <w:sz w:val="24"/>
                <w:szCs w:val="24"/>
              </w:rPr>
            </w:pPr>
            <w:r>
              <w:rPr>
                <w:rFonts w:ascii="Times New Roman" w:hAnsi="Times New Roman"/>
                <w:sz w:val="24"/>
                <w:szCs w:val="24"/>
              </w:rPr>
              <w:t>Ņ</w:t>
            </w:r>
            <w:r w:rsidRPr="008C5680">
              <w:rPr>
                <w:rFonts w:ascii="Times New Roman" w:hAnsi="Times New Roman"/>
                <w:sz w:val="24"/>
                <w:szCs w:val="24"/>
              </w:rPr>
              <w:t xml:space="preserve">emot vērā </w:t>
            </w:r>
            <w:r>
              <w:rPr>
                <w:rFonts w:ascii="Times New Roman" w:hAnsi="Times New Roman"/>
                <w:sz w:val="24"/>
                <w:szCs w:val="24"/>
              </w:rPr>
              <w:t xml:space="preserve">2016.gada </w:t>
            </w:r>
            <w:r w:rsidRPr="008C5680">
              <w:rPr>
                <w:rFonts w:ascii="Times New Roman" w:hAnsi="Times New Roman"/>
                <w:sz w:val="24"/>
                <w:szCs w:val="24"/>
              </w:rPr>
              <w:t>faktisko situāciju - 2016.gadā ir iesniegti 1661 marku aprites pārskati (149 pārskati par tabakas izstrādājumu akcīzes nodokļa marku apriti un 1512 pārskati par alkoholisko dzērienu akcīzes nodokļa mark</w:t>
            </w:r>
            <w:r>
              <w:rPr>
                <w:rFonts w:ascii="Times New Roman" w:hAnsi="Times New Roman"/>
                <w:sz w:val="24"/>
                <w:szCs w:val="24"/>
              </w:rPr>
              <w:t>u apriti) - a</w:t>
            </w:r>
            <w:r w:rsidRPr="008C5680">
              <w:rPr>
                <w:rFonts w:ascii="Times New Roman" w:hAnsi="Times New Roman"/>
                <w:sz w:val="24"/>
                <w:szCs w:val="24"/>
              </w:rPr>
              <w:t xml:space="preserve">ptuvenās ieteikuma ieviešanas izstrādes izmaksas ir 35 000 EUR un kopā ar </w:t>
            </w:r>
            <w:r>
              <w:rPr>
                <w:rFonts w:ascii="Times New Roman" w:hAnsi="Times New Roman"/>
                <w:sz w:val="24"/>
                <w:szCs w:val="24"/>
              </w:rPr>
              <w:t>esošajā informācijas sistēmā veikto izmaiņu 5 gadu uzturēšanas izmaksām</w:t>
            </w:r>
            <w:r w:rsidRPr="008C5680">
              <w:rPr>
                <w:rFonts w:ascii="Times New Roman" w:hAnsi="Times New Roman"/>
                <w:sz w:val="24"/>
                <w:szCs w:val="24"/>
              </w:rPr>
              <w:t xml:space="preserve"> ir </w:t>
            </w:r>
            <w:r>
              <w:rPr>
                <w:rFonts w:ascii="Times New Roman" w:hAnsi="Times New Roman"/>
                <w:sz w:val="24"/>
                <w:szCs w:val="24"/>
              </w:rPr>
              <w:t>aptuveni 48 000 </w:t>
            </w:r>
            <w:r w:rsidRPr="008C5680">
              <w:rPr>
                <w:rFonts w:ascii="Times New Roman" w:hAnsi="Times New Roman"/>
                <w:sz w:val="24"/>
                <w:szCs w:val="24"/>
              </w:rPr>
              <w:t>EUR</w:t>
            </w:r>
            <w:r>
              <w:rPr>
                <w:rFonts w:ascii="Times New Roman" w:hAnsi="Times New Roman"/>
                <w:sz w:val="24"/>
                <w:szCs w:val="24"/>
              </w:rPr>
              <w:t>.</w:t>
            </w:r>
          </w:p>
          <w:p w:rsidR="008F7B7A" w:rsidRDefault="008F7B7A" w:rsidP="008C5680">
            <w:pPr>
              <w:spacing w:after="0" w:line="240" w:lineRule="auto"/>
              <w:ind w:right="43"/>
              <w:jc w:val="both"/>
              <w:rPr>
                <w:rFonts w:ascii="Times New Roman" w:hAnsi="Times New Roman"/>
                <w:sz w:val="24"/>
                <w:szCs w:val="24"/>
              </w:rPr>
            </w:pPr>
          </w:p>
          <w:p w:rsidR="00CE25E3" w:rsidRPr="0011794E" w:rsidRDefault="00CE25E3" w:rsidP="008F7B7A">
            <w:pPr>
              <w:spacing w:after="0" w:line="240" w:lineRule="auto"/>
              <w:jc w:val="both"/>
              <w:rPr>
                <w:rFonts w:ascii="Times New Roman" w:hAnsi="Times New Roman"/>
                <w:sz w:val="24"/>
                <w:szCs w:val="24"/>
              </w:rPr>
            </w:pPr>
          </w:p>
        </w:tc>
      </w:tr>
      <w:tr w:rsidR="00D83115" w:rsidRPr="0011794E" w:rsidTr="00BA47DB">
        <w:tc>
          <w:tcPr>
            <w:tcW w:w="2547" w:type="dxa"/>
          </w:tcPr>
          <w:p w:rsidR="00D83115" w:rsidRPr="005A3783" w:rsidRDefault="00D83115" w:rsidP="006370C5">
            <w:pPr>
              <w:pStyle w:val="ListParagraph"/>
              <w:numPr>
                <w:ilvl w:val="0"/>
                <w:numId w:val="1"/>
              </w:numPr>
              <w:tabs>
                <w:tab w:val="left" w:pos="313"/>
              </w:tabs>
              <w:ind w:left="0" w:right="43" w:firstLine="0"/>
              <w:contextualSpacing/>
              <w:jc w:val="both"/>
              <w:rPr>
                <w:color w:val="000000" w:themeColor="text1"/>
              </w:rPr>
            </w:pPr>
            <w:r w:rsidRPr="001C155D">
              <w:rPr>
                <w:color w:val="000000" w:themeColor="text1"/>
              </w:rPr>
              <w:t xml:space="preserve">Lai nodrošinātu uz klientu orientētu servisu, vienkāršotu administratīvo procedūru veikšanu, samazinātu administratīvo slogu nodokļu maksātājiem </w:t>
            </w:r>
            <w:r w:rsidRPr="001C155D">
              <w:rPr>
                <w:color w:val="000000" w:themeColor="text1"/>
              </w:rPr>
              <w:lastRenderedPageBreak/>
              <w:t>un neradītu papildu resursu izlietojumu nodokļu administrācijai</w:t>
            </w:r>
            <w:r>
              <w:rPr>
                <w:color w:val="000000" w:themeColor="text1"/>
              </w:rPr>
              <w:t xml:space="preserve">, </w:t>
            </w:r>
            <w:r w:rsidRPr="001C155D">
              <w:rPr>
                <w:color w:val="000000" w:themeColor="text1"/>
              </w:rPr>
              <w:t>V</w:t>
            </w:r>
            <w:r w:rsidR="006370C5">
              <w:rPr>
                <w:color w:val="000000" w:themeColor="text1"/>
              </w:rPr>
              <w:t>alsts ieņēmumu dienestam</w:t>
            </w:r>
            <w:r w:rsidRPr="001C155D">
              <w:rPr>
                <w:color w:val="000000" w:themeColor="text1"/>
              </w:rPr>
              <w:t xml:space="preserve"> nodrošināt automātisku kontroli pār savstarpējām neatbilstībām marku aprites pārskatos un akcīzes nodokļa deklarācijās</w:t>
            </w:r>
            <w:r>
              <w:rPr>
                <w:color w:val="000000" w:themeColor="text1"/>
              </w:rPr>
              <w:t>.</w:t>
            </w:r>
          </w:p>
        </w:tc>
        <w:tc>
          <w:tcPr>
            <w:tcW w:w="6662" w:type="dxa"/>
          </w:tcPr>
          <w:p w:rsidR="00BE219E" w:rsidRDefault="00BE219E" w:rsidP="00BE219E">
            <w:pPr>
              <w:spacing w:after="0" w:line="240" w:lineRule="auto"/>
              <w:jc w:val="both"/>
              <w:rPr>
                <w:rFonts w:ascii="Times New Roman" w:hAnsi="Times New Roman"/>
                <w:sz w:val="24"/>
                <w:szCs w:val="24"/>
              </w:rPr>
            </w:pPr>
            <w:r w:rsidRPr="00BE219E">
              <w:rPr>
                <w:rFonts w:ascii="Times New Roman" w:hAnsi="Times New Roman"/>
                <w:sz w:val="24"/>
                <w:szCs w:val="24"/>
              </w:rPr>
              <w:lastRenderedPageBreak/>
              <w:t>Akcīzes nodokļa deklarācijas un marku aprites pārskatu iesniegšanas termiņi normatīvajos aktos ir noteikti vienādi, t.i.</w:t>
            </w:r>
            <w:r>
              <w:rPr>
                <w:rFonts w:ascii="Times New Roman" w:hAnsi="Times New Roman"/>
                <w:sz w:val="24"/>
                <w:szCs w:val="24"/>
              </w:rPr>
              <w:t>,</w:t>
            </w:r>
            <w:r w:rsidRPr="00BE219E">
              <w:rPr>
                <w:rFonts w:ascii="Times New Roman" w:hAnsi="Times New Roman"/>
                <w:sz w:val="24"/>
                <w:szCs w:val="24"/>
              </w:rPr>
              <w:t xml:space="preserve"> 15.datums. Līdz ar to V</w:t>
            </w:r>
            <w:r>
              <w:rPr>
                <w:rFonts w:ascii="Times New Roman" w:hAnsi="Times New Roman"/>
                <w:sz w:val="24"/>
                <w:szCs w:val="24"/>
              </w:rPr>
              <w:t>alsts ieņēmumu dienesta</w:t>
            </w:r>
            <w:r w:rsidRPr="00BE219E">
              <w:rPr>
                <w:rFonts w:ascii="Times New Roman" w:hAnsi="Times New Roman"/>
                <w:sz w:val="24"/>
                <w:szCs w:val="24"/>
              </w:rPr>
              <w:t xml:space="preserve"> rīcībā nav nodokļu maksātāja sagatavotā informācija, lai to automātiski iekļautu deklarācijā. </w:t>
            </w:r>
          </w:p>
          <w:p w:rsidR="00BE219E" w:rsidRDefault="00BE219E" w:rsidP="00BE219E">
            <w:pPr>
              <w:spacing w:after="0" w:line="240" w:lineRule="auto"/>
              <w:jc w:val="both"/>
              <w:rPr>
                <w:rFonts w:ascii="Times New Roman" w:hAnsi="Times New Roman"/>
                <w:sz w:val="24"/>
                <w:szCs w:val="24"/>
              </w:rPr>
            </w:pPr>
            <w:r w:rsidRPr="00BE219E">
              <w:rPr>
                <w:rFonts w:ascii="Times New Roman" w:hAnsi="Times New Roman"/>
                <w:sz w:val="24"/>
                <w:szCs w:val="24"/>
              </w:rPr>
              <w:t>Šajā gadījumā, lai izpildītu V</w:t>
            </w:r>
            <w:r>
              <w:rPr>
                <w:rFonts w:ascii="Times New Roman" w:hAnsi="Times New Roman"/>
                <w:sz w:val="24"/>
                <w:szCs w:val="24"/>
              </w:rPr>
              <w:t>alsts kontrole</w:t>
            </w:r>
            <w:r w:rsidR="006C2E53">
              <w:rPr>
                <w:rFonts w:ascii="Times New Roman" w:hAnsi="Times New Roman"/>
                <w:sz w:val="24"/>
                <w:szCs w:val="24"/>
              </w:rPr>
              <w:t>s</w:t>
            </w:r>
            <w:r w:rsidRPr="00BE219E">
              <w:rPr>
                <w:rFonts w:ascii="Times New Roman" w:hAnsi="Times New Roman"/>
                <w:sz w:val="24"/>
                <w:szCs w:val="24"/>
              </w:rPr>
              <w:t xml:space="preserve"> ieteikumu, V</w:t>
            </w:r>
            <w:r>
              <w:rPr>
                <w:rFonts w:ascii="Times New Roman" w:hAnsi="Times New Roman"/>
                <w:sz w:val="24"/>
                <w:szCs w:val="24"/>
              </w:rPr>
              <w:t>alsts ieņēmumu dienestam būtu jānosaka</w:t>
            </w:r>
            <w:r w:rsidRPr="00BE219E">
              <w:rPr>
                <w:rFonts w:ascii="Times New Roman" w:hAnsi="Times New Roman"/>
                <w:sz w:val="24"/>
                <w:szCs w:val="24"/>
              </w:rPr>
              <w:t>, ka nodokļu maksātājam marku aprites pārskats būtu iesniedzams E</w:t>
            </w:r>
            <w:r>
              <w:rPr>
                <w:rFonts w:ascii="Times New Roman" w:hAnsi="Times New Roman"/>
                <w:sz w:val="24"/>
                <w:szCs w:val="24"/>
              </w:rPr>
              <w:t xml:space="preserve">lektroniskajā deklarēšanās </w:t>
            </w:r>
            <w:r>
              <w:rPr>
                <w:rFonts w:ascii="Times New Roman" w:hAnsi="Times New Roman"/>
                <w:sz w:val="24"/>
                <w:szCs w:val="24"/>
              </w:rPr>
              <w:lastRenderedPageBreak/>
              <w:t>sistēmā</w:t>
            </w:r>
            <w:r w:rsidRPr="00BE219E">
              <w:rPr>
                <w:rFonts w:ascii="Times New Roman" w:hAnsi="Times New Roman"/>
                <w:sz w:val="24"/>
                <w:szCs w:val="24"/>
              </w:rPr>
              <w:t xml:space="preserve"> kā primārais dokuments, lai šie dati varētu </w:t>
            </w:r>
            <w:r>
              <w:rPr>
                <w:rFonts w:ascii="Times New Roman" w:hAnsi="Times New Roman"/>
                <w:sz w:val="24"/>
                <w:szCs w:val="24"/>
              </w:rPr>
              <w:t>tikt pārnesti</w:t>
            </w:r>
            <w:r w:rsidRPr="00BE219E">
              <w:rPr>
                <w:rFonts w:ascii="Times New Roman" w:hAnsi="Times New Roman"/>
                <w:sz w:val="24"/>
                <w:szCs w:val="24"/>
              </w:rPr>
              <w:t xml:space="preserve"> akcīzes nodokļa deklarācijā. Tādējādi varētu paredzēt funkcionāli brīdināt nodokļu maksātāju E</w:t>
            </w:r>
            <w:r>
              <w:rPr>
                <w:rFonts w:ascii="Times New Roman" w:hAnsi="Times New Roman"/>
                <w:sz w:val="24"/>
                <w:szCs w:val="24"/>
              </w:rPr>
              <w:t>lektroniskajā deklarēšanās sistēmā</w:t>
            </w:r>
            <w:r w:rsidRPr="00BE219E">
              <w:rPr>
                <w:rFonts w:ascii="Times New Roman" w:hAnsi="Times New Roman"/>
                <w:sz w:val="24"/>
                <w:szCs w:val="24"/>
              </w:rPr>
              <w:t xml:space="preserve">, ka akcīzes nodokļa deklarācijā norādītie dati atšķiras no marku aprites pārskatā uzrādītajiem datiem. </w:t>
            </w:r>
          </w:p>
          <w:p w:rsidR="008449EB" w:rsidRPr="0011794E" w:rsidRDefault="00BE219E" w:rsidP="00BE219E">
            <w:pPr>
              <w:spacing w:after="0" w:line="240" w:lineRule="auto"/>
              <w:jc w:val="both"/>
              <w:rPr>
                <w:rFonts w:ascii="Times New Roman" w:hAnsi="Times New Roman"/>
                <w:sz w:val="24"/>
                <w:szCs w:val="24"/>
              </w:rPr>
            </w:pPr>
            <w:r w:rsidRPr="00BE219E">
              <w:rPr>
                <w:rFonts w:ascii="Times New Roman" w:hAnsi="Times New Roman"/>
                <w:sz w:val="24"/>
                <w:szCs w:val="24"/>
              </w:rPr>
              <w:t>Pie šādiem nosacījumiem V</w:t>
            </w:r>
            <w:r>
              <w:rPr>
                <w:rFonts w:ascii="Times New Roman" w:hAnsi="Times New Roman"/>
                <w:sz w:val="24"/>
                <w:szCs w:val="24"/>
              </w:rPr>
              <w:t>alsts ieņēmumu dienests</w:t>
            </w:r>
            <w:r w:rsidRPr="00BE219E">
              <w:rPr>
                <w:rFonts w:ascii="Times New Roman" w:hAnsi="Times New Roman"/>
                <w:sz w:val="24"/>
                <w:szCs w:val="24"/>
              </w:rPr>
              <w:t xml:space="preserve"> uzskata, ka nodokļu maksātājiem tas nemazinātu administratīvo slogu</w:t>
            </w:r>
            <w:r>
              <w:rPr>
                <w:rFonts w:ascii="Times New Roman" w:hAnsi="Times New Roman"/>
                <w:sz w:val="24"/>
                <w:szCs w:val="24"/>
              </w:rPr>
              <w:t xml:space="preserve">.  </w:t>
            </w:r>
          </w:p>
        </w:tc>
      </w:tr>
      <w:tr w:rsidR="00D83115" w:rsidRPr="0011794E" w:rsidTr="00BA47DB">
        <w:tc>
          <w:tcPr>
            <w:tcW w:w="2547" w:type="dxa"/>
          </w:tcPr>
          <w:p w:rsidR="00D83115" w:rsidRPr="005A3783" w:rsidRDefault="00D83115" w:rsidP="009F6A1B">
            <w:pPr>
              <w:pStyle w:val="ListParagraph"/>
              <w:numPr>
                <w:ilvl w:val="0"/>
                <w:numId w:val="1"/>
              </w:numPr>
              <w:tabs>
                <w:tab w:val="left" w:pos="313"/>
              </w:tabs>
              <w:ind w:left="0" w:right="43" w:firstLine="0"/>
              <w:contextualSpacing/>
              <w:jc w:val="both"/>
              <w:rPr>
                <w:color w:val="000000" w:themeColor="text1"/>
              </w:rPr>
            </w:pPr>
            <w:r w:rsidRPr="007B2000">
              <w:lastRenderedPageBreak/>
              <w:t>Ievērojot labas pārvaldības principu un klientorientētu pieeju, V</w:t>
            </w:r>
            <w:r w:rsidR="009F6A1B">
              <w:t>alsts ieņēmumu dienestam</w:t>
            </w:r>
            <w:r w:rsidRPr="007B2000">
              <w:t xml:space="preserve"> rast risinājumu, lai potenciālie mantinieki pirms mantojuma lietas ierosināšanas varētu iegūt datus par mirušās personas nodokļu pārmaksu esību un apmēru, kā arī informēt sabiedrību par šāda pakalpojuma pieejamību un kārtību informācijas pieprasīšanai un saņemšanai.</w:t>
            </w:r>
          </w:p>
        </w:tc>
        <w:tc>
          <w:tcPr>
            <w:tcW w:w="6662" w:type="dxa"/>
          </w:tcPr>
          <w:p w:rsidR="00A01A1C" w:rsidRPr="009F6A1B" w:rsidRDefault="00A01A1C" w:rsidP="00A01A1C">
            <w:pPr>
              <w:spacing w:after="0" w:line="240" w:lineRule="auto"/>
              <w:jc w:val="both"/>
              <w:rPr>
                <w:rFonts w:ascii="Times New Roman" w:eastAsia="Times New Roman" w:hAnsi="Times New Roman"/>
                <w:sz w:val="24"/>
                <w:szCs w:val="24"/>
                <w:lang w:eastAsia="lv-LV"/>
              </w:rPr>
            </w:pPr>
            <w:r w:rsidRPr="009F6A1B">
              <w:rPr>
                <w:rFonts w:ascii="Times New Roman" w:eastAsia="Times New Roman" w:hAnsi="Times New Roman"/>
                <w:sz w:val="24"/>
                <w:szCs w:val="24"/>
                <w:lang w:eastAsia="lv-LV"/>
              </w:rPr>
              <w:t>Ņemot vērā to, ka informāciju par mantinieku apstiprināšanu mantojuma tiesībās V</w:t>
            </w:r>
            <w:r>
              <w:rPr>
                <w:rFonts w:ascii="Times New Roman" w:eastAsia="Times New Roman" w:hAnsi="Times New Roman"/>
                <w:sz w:val="24"/>
                <w:szCs w:val="24"/>
                <w:lang w:eastAsia="lv-LV"/>
              </w:rPr>
              <w:t>alsts ieņēmumu dienests</w:t>
            </w:r>
            <w:r w:rsidRPr="009F6A1B">
              <w:rPr>
                <w:rFonts w:ascii="Times New Roman" w:eastAsia="Times New Roman" w:hAnsi="Times New Roman"/>
                <w:sz w:val="24"/>
                <w:szCs w:val="24"/>
                <w:lang w:eastAsia="lv-LV"/>
              </w:rPr>
              <w:t xml:space="preserve"> iegūst ar nobīdi laikā (notāram nav pienākums informēt V</w:t>
            </w:r>
            <w:r>
              <w:rPr>
                <w:rFonts w:ascii="Times New Roman" w:eastAsia="Times New Roman" w:hAnsi="Times New Roman"/>
                <w:sz w:val="24"/>
                <w:szCs w:val="24"/>
                <w:lang w:eastAsia="lv-LV"/>
              </w:rPr>
              <w:t>alsts ieņēmumu dienestu</w:t>
            </w:r>
            <w:r w:rsidRPr="009F6A1B">
              <w:rPr>
                <w:rFonts w:ascii="Times New Roman" w:eastAsia="Times New Roman" w:hAnsi="Times New Roman"/>
                <w:sz w:val="24"/>
                <w:szCs w:val="24"/>
                <w:lang w:eastAsia="lv-LV"/>
              </w:rPr>
              <w:t xml:space="preserve"> par personas apstiprināšanu mantojuma tiesībās), var būt situācijas, kad atbilstoši V</w:t>
            </w:r>
            <w:r>
              <w:rPr>
                <w:rFonts w:ascii="Times New Roman" w:eastAsia="Times New Roman" w:hAnsi="Times New Roman"/>
                <w:sz w:val="24"/>
                <w:szCs w:val="24"/>
                <w:lang w:eastAsia="lv-LV"/>
              </w:rPr>
              <w:t>alsts ieņēmumu dienestā</w:t>
            </w:r>
            <w:r w:rsidRPr="009F6A1B">
              <w:rPr>
                <w:rFonts w:ascii="Times New Roman" w:eastAsia="Times New Roman" w:hAnsi="Times New Roman"/>
                <w:sz w:val="24"/>
                <w:szCs w:val="24"/>
                <w:lang w:eastAsia="lv-LV"/>
              </w:rPr>
              <w:t xml:space="preserve"> pieejamajai informācijai </w:t>
            </w:r>
            <w:r w:rsidRPr="00A01A1C">
              <w:rPr>
                <w:rFonts w:ascii="Times New Roman" w:eastAsia="Times New Roman" w:hAnsi="Times New Roman"/>
                <w:sz w:val="24"/>
                <w:szCs w:val="24"/>
                <w:lang w:eastAsia="lv-LV"/>
              </w:rPr>
              <w:t>nodokļu pārmaksas un parādi attiecas uz mirušo personu (mantojuma atstājēju), bet faktiski uz konkrēto brīdi šīs tiesības un saistības jau ir ieguvusi cita persona (mantinieks).</w:t>
            </w:r>
            <w:r w:rsidRPr="009F6A1B">
              <w:rPr>
                <w:rFonts w:ascii="Times New Roman" w:eastAsia="Times New Roman" w:hAnsi="Times New Roman"/>
                <w:sz w:val="24"/>
                <w:szCs w:val="24"/>
                <w:lang w:eastAsia="lv-LV"/>
              </w:rPr>
              <w:t xml:space="preserve"> Līdz ar to sniegt informāciju par mirušās personas saistību un tiesību apjomu kādam potenciālajam mantiniekam (radiniekam) nedrīkstētu arī tādēļ, ka šīs saistības un tiesības uz konkrēto brīdi jau iespējams ir ieguvusi cita persona, par kuru V</w:t>
            </w:r>
            <w:r>
              <w:rPr>
                <w:rFonts w:ascii="Times New Roman" w:eastAsia="Times New Roman" w:hAnsi="Times New Roman"/>
                <w:sz w:val="24"/>
                <w:szCs w:val="24"/>
                <w:lang w:eastAsia="lv-LV"/>
              </w:rPr>
              <w:t>alsts ieņēmumu dienestam</w:t>
            </w:r>
            <w:r w:rsidRPr="009F6A1B">
              <w:rPr>
                <w:rFonts w:ascii="Times New Roman" w:eastAsia="Times New Roman" w:hAnsi="Times New Roman"/>
                <w:sz w:val="24"/>
                <w:szCs w:val="24"/>
                <w:lang w:eastAsia="lv-LV"/>
              </w:rPr>
              <w:t xml:space="preserve"> informācija vēl nemaz nav saņemta. </w:t>
            </w:r>
            <w:r>
              <w:rPr>
                <w:rFonts w:ascii="Times New Roman" w:eastAsia="Times New Roman" w:hAnsi="Times New Roman"/>
                <w:sz w:val="24"/>
                <w:szCs w:val="24"/>
                <w:lang w:eastAsia="lv-LV"/>
              </w:rPr>
              <w:t>Šāda</w:t>
            </w:r>
            <w:r w:rsidRPr="009F6A1B">
              <w:rPr>
                <w:rFonts w:ascii="Times New Roman" w:eastAsia="Times New Roman" w:hAnsi="Times New Roman"/>
                <w:sz w:val="24"/>
                <w:szCs w:val="24"/>
                <w:lang w:eastAsia="lv-LV"/>
              </w:rPr>
              <w:t xml:space="preserve"> iemesla dēļ informācija par mantojuma atstājēja saistību un tiesību saturu būtu iegūstama tieši ierosinātās mantojuma lietas ietvaros. Tas izslēgtu iespējamo risku izsniegt informāciju par saistībām un tiesībām, kuras jau ir nodotas citām personām.</w:t>
            </w:r>
          </w:p>
          <w:p w:rsidR="008449EB" w:rsidRPr="00A01A1C" w:rsidRDefault="009F6A1B" w:rsidP="00A01A1C">
            <w:pPr>
              <w:spacing w:after="0" w:line="240" w:lineRule="auto"/>
              <w:jc w:val="both"/>
              <w:rPr>
                <w:rFonts w:ascii="Times New Roman" w:eastAsia="Times New Roman" w:hAnsi="Times New Roman"/>
                <w:sz w:val="24"/>
                <w:szCs w:val="24"/>
                <w:lang w:eastAsia="lv-LV"/>
              </w:rPr>
            </w:pPr>
            <w:r w:rsidRPr="009F6A1B">
              <w:rPr>
                <w:rFonts w:ascii="Times New Roman" w:eastAsia="Times New Roman" w:hAnsi="Times New Roman"/>
                <w:sz w:val="24"/>
                <w:szCs w:val="24"/>
                <w:lang w:eastAsia="lv-LV"/>
              </w:rPr>
              <w:t>Izvērtējot normatīvo regulējumu, secināms, ka normatīvais regulējums neparedz potenciālo mantinieku tiesības pieprasīt informāciju no V</w:t>
            </w:r>
            <w:r>
              <w:rPr>
                <w:rFonts w:ascii="Times New Roman" w:eastAsia="Times New Roman" w:hAnsi="Times New Roman"/>
                <w:sz w:val="24"/>
                <w:szCs w:val="24"/>
                <w:lang w:eastAsia="lv-LV"/>
              </w:rPr>
              <w:t>alsts ieņēmumu dienesta</w:t>
            </w:r>
            <w:r w:rsidRPr="009F6A1B">
              <w:rPr>
                <w:rFonts w:ascii="Times New Roman" w:eastAsia="Times New Roman" w:hAnsi="Times New Roman"/>
                <w:sz w:val="24"/>
                <w:szCs w:val="24"/>
                <w:lang w:eastAsia="lv-LV"/>
              </w:rPr>
              <w:t>. Šobrīd spēkā esošais regulējums nodrošina potenciālo mantinieku tiesību realizāciju noteiktā kārtībā (ierosinot mantojuma lietu pie notāra un tieši šīs mantojuma lietas ietvaros lūdzot noskaidrot atstātā mantojuma saturu). Šāda kārtība nodrošina to, ka informāciju tik tiešām pieprasa personas, kuras ir ieinteresētas saņemt mantojumu (potenciālie mantinieki)</w:t>
            </w:r>
            <w:r>
              <w:rPr>
                <w:rFonts w:ascii="Times New Roman" w:eastAsia="Times New Roman" w:hAnsi="Times New Roman"/>
                <w:sz w:val="24"/>
                <w:szCs w:val="24"/>
                <w:lang w:eastAsia="lv-LV"/>
              </w:rPr>
              <w:t>,</w:t>
            </w:r>
            <w:r w:rsidRPr="009F6A1B">
              <w:rPr>
                <w:rFonts w:ascii="Times New Roman" w:eastAsia="Times New Roman" w:hAnsi="Times New Roman"/>
                <w:sz w:val="24"/>
                <w:szCs w:val="24"/>
                <w:lang w:eastAsia="lv-LV"/>
              </w:rPr>
              <w:t xml:space="preserve"> un informācija tiek sniegta tikai tad, ja neviens līdz tam brīdim mantojuma tiesībās nav apstiprināts. </w:t>
            </w:r>
          </w:p>
        </w:tc>
      </w:tr>
    </w:tbl>
    <w:p w:rsidR="00D83115" w:rsidRDefault="00D83115" w:rsidP="00D83115">
      <w:pPr>
        <w:pStyle w:val="tvhtmlmktable"/>
        <w:spacing w:before="0" w:beforeAutospacing="0" w:after="0" w:afterAutospacing="0"/>
        <w:ind w:left="142" w:right="-99" w:firstLine="709"/>
        <w:jc w:val="both"/>
        <w:rPr>
          <w:lang w:val="lv-LV"/>
        </w:rPr>
      </w:pPr>
    </w:p>
    <w:p w:rsidR="00D83115" w:rsidRDefault="00D83115" w:rsidP="00D83115">
      <w:pPr>
        <w:pStyle w:val="tvhtmlmktable"/>
        <w:spacing w:before="0" w:beforeAutospacing="0" w:after="0" w:afterAutospacing="0"/>
        <w:ind w:left="142" w:right="-99" w:firstLine="709"/>
        <w:jc w:val="both"/>
        <w:rPr>
          <w:lang w:val="lv-LV"/>
        </w:rPr>
      </w:pPr>
    </w:p>
    <w:p w:rsidR="00C97005" w:rsidRDefault="00C97005" w:rsidP="00D83115">
      <w:pPr>
        <w:pStyle w:val="tvhtmlmktable"/>
        <w:spacing w:before="0" w:beforeAutospacing="0" w:after="0" w:afterAutospacing="0"/>
        <w:ind w:left="142" w:right="-99" w:firstLine="709"/>
        <w:jc w:val="both"/>
        <w:rPr>
          <w:lang w:val="lv-LV"/>
        </w:rPr>
      </w:pPr>
    </w:p>
    <w:p w:rsidR="00A01A1C" w:rsidRDefault="00A01A1C" w:rsidP="00D83115">
      <w:pPr>
        <w:pStyle w:val="tvhtmlmktable"/>
        <w:spacing w:before="0" w:beforeAutospacing="0" w:after="0" w:afterAutospacing="0"/>
        <w:ind w:left="142" w:right="-99" w:firstLine="709"/>
        <w:jc w:val="both"/>
        <w:rPr>
          <w:lang w:val="lv-LV"/>
        </w:rPr>
      </w:pPr>
    </w:p>
    <w:p w:rsidR="00A01A1C" w:rsidRDefault="00A01A1C" w:rsidP="00D83115">
      <w:pPr>
        <w:pStyle w:val="tvhtmlmktable"/>
        <w:spacing w:before="0" w:beforeAutospacing="0" w:after="0" w:afterAutospacing="0"/>
        <w:ind w:left="142" w:right="-99" w:firstLine="709"/>
        <w:jc w:val="both"/>
        <w:rPr>
          <w:lang w:val="lv-LV"/>
        </w:rPr>
      </w:pPr>
    </w:p>
    <w:p w:rsidR="00A01A1C" w:rsidRDefault="00A01A1C" w:rsidP="00D83115">
      <w:pPr>
        <w:pStyle w:val="tvhtmlmktable"/>
        <w:spacing w:before="0" w:beforeAutospacing="0" w:after="0" w:afterAutospacing="0"/>
        <w:ind w:left="142" w:right="-99" w:firstLine="709"/>
        <w:jc w:val="both"/>
        <w:rPr>
          <w:lang w:val="lv-LV"/>
        </w:rPr>
      </w:pPr>
    </w:p>
    <w:p w:rsidR="00C97005" w:rsidRDefault="00C97005" w:rsidP="00D83115">
      <w:pPr>
        <w:pStyle w:val="tvhtmlmktable"/>
        <w:spacing w:before="0" w:beforeAutospacing="0" w:after="0" w:afterAutospacing="0"/>
        <w:ind w:left="142" w:right="-99" w:firstLine="709"/>
        <w:jc w:val="both"/>
        <w:rPr>
          <w:lang w:val="lv-LV"/>
        </w:rPr>
      </w:pPr>
    </w:p>
    <w:p w:rsidR="00D83115" w:rsidRDefault="00D83115" w:rsidP="00D83115">
      <w:pPr>
        <w:spacing w:after="0" w:line="240" w:lineRule="auto"/>
        <w:ind w:right="43"/>
        <w:rPr>
          <w:rFonts w:ascii="Times New Roman" w:eastAsia="Times New Roman" w:hAnsi="Times New Roman"/>
          <w:sz w:val="24"/>
          <w:szCs w:val="24"/>
        </w:rPr>
      </w:pPr>
    </w:p>
    <w:p w:rsidR="00D83115" w:rsidRPr="00136C68" w:rsidRDefault="00D83115" w:rsidP="009F6A1B">
      <w:pPr>
        <w:rPr>
          <w:rFonts w:ascii="Times New Roman" w:hAnsi="Times New Roman"/>
          <w:b/>
          <w:bCs/>
          <w:sz w:val="24"/>
          <w:szCs w:val="24"/>
        </w:rPr>
      </w:pPr>
      <w:r>
        <w:rPr>
          <w:rFonts w:ascii="Times New Roman" w:eastAsia="Times New Roman" w:hAnsi="Times New Roman"/>
          <w:sz w:val="24"/>
          <w:szCs w:val="24"/>
        </w:rPr>
        <w:tab/>
      </w:r>
      <w:r w:rsidRPr="00136C68">
        <w:rPr>
          <w:rFonts w:ascii="Times New Roman" w:hAnsi="Times New Roman"/>
          <w:b/>
          <w:bCs/>
          <w:sz w:val="24"/>
          <w:szCs w:val="24"/>
        </w:rPr>
        <w:t>Problēmas risinājums</w:t>
      </w:r>
    </w:p>
    <w:p w:rsidR="00D83115" w:rsidRDefault="00D83115" w:rsidP="00D83115">
      <w:pPr>
        <w:spacing w:after="0" w:line="240" w:lineRule="auto"/>
        <w:ind w:right="-99" w:firstLine="709"/>
        <w:jc w:val="both"/>
        <w:rPr>
          <w:rFonts w:ascii="Times New Roman" w:hAnsi="Times New Roman"/>
          <w:bCs/>
          <w:sz w:val="24"/>
          <w:szCs w:val="24"/>
          <w:highlight w:val="yellow"/>
        </w:rPr>
      </w:pPr>
    </w:p>
    <w:p w:rsidR="00D83115" w:rsidRDefault="00D83115" w:rsidP="00D83115">
      <w:pPr>
        <w:pStyle w:val="tvhtmlmktable"/>
        <w:spacing w:before="0" w:beforeAutospacing="0" w:after="0" w:afterAutospacing="0"/>
        <w:ind w:right="-99" w:firstLine="709"/>
        <w:jc w:val="both"/>
        <w:rPr>
          <w:lang w:val="lv-LV"/>
        </w:rPr>
      </w:pPr>
      <w:r w:rsidRPr="001D0721">
        <w:rPr>
          <w:lang w:val="lv-LV"/>
        </w:rPr>
        <w:t>Lūdzam pārskatīt Valsts kontroles deleģējumu, lai novirzītu ieteikum</w:t>
      </w:r>
      <w:r w:rsidR="001D0721" w:rsidRPr="001D0721">
        <w:rPr>
          <w:lang w:val="lv-LV"/>
        </w:rPr>
        <w:t>a ieviešanu tieši tai ministrijai</w:t>
      </w:r>
      <w:r w:rsidRPr="001D0721">
        <w:rPr>
          <w:lang w:val="lv-LV"/>
        </w:rPr>
        <w:t>, kuru kompetencē ir minētais jautājums.</w:t>
      </w:r>
    </w:p>
    <w:p w:rsidR="00D83115" w:rsidRDefault="00D83115" w:rsidP="00D83115">
      <w:pPr>
        <w:spacing w:after="0" w:line="240" w:lineRule="auto"/>
        <w:ind w:right="-99"/>
        <w:jc w:val="center"/>
        <w:rPr>
          <w:rFonts w:ascii="Times New Roman" w:hAnsi="Times New Roman"/>
          <w:bCs/>
          <w:sz w:val="24"/>
          <w:szCs w:val="24"/>
        </w:rPr>
      </w:pPr>
    </w:p>
    <w:p w:rsidR="00D83115" w:rsidRDefault="00D83115" w:rsidP="00D83115">
      <w:pPr>
        <w:spacing w:after="0" w:line="240" w:lineRule="auto"/>
        <w:ind w:right="-99"/>
        <w:jc w:val="both"/>
        <w:rPr>
          <w:rFonts w:ascii="Times New Roman" w:hAnsi="Times New Roman"/>
          <w:bCs/>
          <w:sz w:val="24"/>
          <w:szCs w:val="24"/>
        </w:rPr>
      </w:pPr>
    </w:p>
    <w:p w:rsidR="00D83115" w:rsidRDefault="00D83115" w:rsidP="00D83115">
      <w:pPr>
        <w:spacing w:after="0" w:line="240" w:lineRule="auto"/>
        <w:ind w:right="-99"/>
        <w:jc w:val="both"/>
        <w:rPr>
          <w:rFonts w:ascii="Times New Roman" w:hAnsi="Times New Roman"/>
          <w:bCs/>
          <w:sz w:val="24"/>
          <w:szCs w:val="24"/>
        </w:rPr>
      </w:pPr>
    </w:p>
    <w:p w:rsidR="00C97005" w:rsidRDefault="00C97005" w:rsidP="00D83115">
      <w:pPr>
        <w:spacing w:after="0" w:line="240" w:lineRule="auto"/>
        <w:ind w:right="-99"/>
        <w:jc w:val="both"/>
        <w:rPr>
          <w:rFonts w:ascii="Times New Roman" w:hAnsi="Times New Roman"/>
          <w:bCs/>
          <w:sz w:val="24"/>
          <w:szCs w:val="24"/>
        </w:rPr>
      </w:pPr>
    </w:p>
    <w:p w:rsidR="00C97005" w:rsidRDefault="00C97005" w:rsidP="00D83115">
      <w:pPr>
        <w:spacing w:after="0" w:line="240" w:lineRule="auto"/>
        <w:ind w:right="-99"/>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908"/>
        <w:jc w:val="both"/>
        <w:rPr>
          <w:rFonts w:ascii="Times New Roman" w:hAnsi="Times New Roman"/>
          <w:bCs/>
          <w:sz w:val="24"/>
          <w:szCs w:val="24"/>
        </w:rPr>
      </w:pPr>
    </w:p>
    <w:p w:rsidR="00D83115" w:rsidRPr="00136C68" w:rsidRDefault="00D83115" w:rsidP="00D83115">
      <w:pPr>
        <w:spacing w:after="0" w:line="240" w:lineRule="auto"/>
        <w:ind w:right="-908"/>
        <w:jc w:val="both"/>
        <w:rPr>
          <w:rFonts w:ascii="Times New Roman" w:hAnsi="Times New Roman"/>
          <w:bCs/>
          <w:sz w:val="24"/>
          <w:szCs w:val="24"/>
        </w:rPr>
      </w:pPr>
      <w:r>
        <w:rPr>
          <w:rFonts w:ascii="Times New Roman" w:hAnsi="Times New Roman"/>
          <w:bCs/>
          <w:sz w:val="24"/>
          <w:szCs w:val="24"/>
        </w:rPr>
        <w:t>Finanšu ministre</w:t>
      </w:r>
      <w:r w:rsidRPr="00136C68">
        <w:rPr>
          <w:rFonts w:ascii="Times New Roman" w:hAnsi="Times New Roman"/>
          <w:bCs/>
          <w:sz w:val="24"/>
          <w:szCs w:val="24"/>
        </w:rPr>
        <w:tab/>
      </w:r>
      <w:r w:rsidRPr="00136C68">
        <w:rPr>
          <w:rFonts w:ascii="Times New Roman" w:hAnsi="Times New Roman"/>
          <w:bCs/>
          <w:sz w:val="24"/>
          <w:szCs w:val="24"/>
        </w:rPr>
        <w:tab/>
      </w:r>
      <w:r w:rsidRPr="00136C68">
        <w:rPr>
          <w:rFonts w:ascii="Times New Roman" w:hAnsi="Times New Roman"/>
          <w:bCs/>
          <w:sz w:val="24"/>
          <w:szCs w:val="24"/>
        </w:rPr>
        <w:tab/>
      </w:r>
      <w:r>
        <w:rPr>
          <w:rFonts w:ascii="Times New Roman" w:hAnsi="Times New Roman"/>
          <w:bCs/>
          <w:sz w:val="24"/>
          <w:szCs w:val="24"/>
        </w:rPr>
        <w:t xml:space="preserve"> </w:t>
      </w:r>
      <w:r w:rsidRPr="00136C68">
        <w:rPr>
          <w:rFonts w:ascii="Times New Roman" w:hAnsi="Times New Roman"/>
          <w:bCs/>
          <w:sz w:val="24"/>
          <w:szCs w:val="24"/>
        </w:rPr>
        <w:tab/>
      </w:r>
      <w:r w:rsidRPr="00136C68">
        <w:rPr>
          <w:rFonts w:ascii="Times New Roman" w:hAnsi="Times New Roman"/>
          <w:bCs/>
          <w:sz w:val="24"/>
          <w:szCs w:val="24"/>
        </w:rPr>
        <w:tab/>
      </w:r>
      <w:r w:rsidRPr="00136C68">
        <w:rPr>
          <w:rFonts w:ascii="Times New Roman" w:hAnsi="Times New Roman"/>
          <w:bCs/>
          <w:sz w:val="24"/>
          <w:szCs w:val="24"/>
        </w:rPr>
        <w:tab/>
        <w:t xml:space="preserve">    </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t>D.Reizniece-Ozola</w:t>
      </w: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C97005" w:rsidRDefault="00C97005" w:rsidP="00D83115">
      <w:pPr>
        <w:spacing w:after="0" w:line="240" w:lineRule="auto"/>
        <w:ind w:right="43"/>
        <w:jc w:val="both"/>
        <w:rPr>
          <w:rFonts w:ascii="Times New Roman" w:hAnsi="Times New Roman"/>
          <w:bCs/>
          <w:sz w:val="24"/>
          <w:szCs w:val="24"/>
        </w:rPr>
      </w:pPr>
    </w:p>
    <w:p w:rsidR="00C97005" w:rsidRDefault="00C97005" w:rsidP="00D83115">
      <w:pPr>
        <w:spacing w:after="0" w:line="240" w:lineRule="auto"/>
        <w:ind w:right="43"/>
        <w:jc w:val="both"/>
        <w:rPr>
          <w:rFonts w:ascii="Times New Roman" w:hAnsi="Times New Roman"/>
          <w:bCs/>
          <w:sz w:val="24"/>
          <w:szCs w:val="24"/>
        </w:rPr>
      </w:pPr>
    </w:p>
    <w:p w:rsidR="00C97005" w:rsidRDefault="00C97005" w:rsidP="00D83115">
      <w:pPr>
        <w:spacing w:after="0" w:line="240" w:lineRule="auto"/>
        <w:ind w:right="43"/>
        <w:jc w:val="both"/>
        <w:rPr>
          <w:rFonts w:ascii="Times New Roman" w:hAnsi="Times New Roman"/>
          <w:bCs/>
          <w:sz w:val="24"/>
          <w:szCs w:val="24"/>
        </w:rPr>
      </w:pPr>
    </w:p>
    <w:p w:rsidR="00C97005" w:rsidRDefault="00C97005" w:rsidP="00D83115">
      <w:pPr>
        <w:spacing w:after="0" w:line="240" w:lineRule="auto"/>
        <w:ind w:right="43"/>
        <w:jc w:val="both"/>
        <w:rPr>
          <w:rFonts w:ascii="Times New Roman" w:hAnsi="Times New Roman"/>
          <w:bCs/>
          <w:sz w:val="24"/>
          <w:szCs w:val="24"/>
        </w:rPr>
      </w:pPr>
    </w:p>
    <w:p w:rsidR="00C97005" w:rsidRDefault="00C97005" w:rsidP="00D83115">
      <w:pPr>
        <w:spacing w:after="0" w:line="240" w:lineRule="auto"/>
        <w:ind w:right="43"/>
        <w:jc w:val="both"/>
        <w:rPr>
          <w:rFonts w:ascii="Times New Roman" w:hAnsi="Times New Roman"/>
          <w:bCs/>
          <w:sz w:val="24"/>
          <w:szCs w:val="24"/>
        </w:rPr>
      </w:pPr>
    </w:p>
    <w:p w:rsidR="00C97005" w:rsidRDefault="00C97005" w:rsidP="00D83115">
      <w:pPr>
        <w:spacing w:after="0" w:line="240" w:lineRule="auto"/>
        <w:ind w:right="43"/>
        <w:jc w:val="both"/>
        <w:rPr>
          <w:rFonts w:ascii="Times New Roman" w:hAnsi="Times New Roman"/>
          <w:bCs/>
          <w:sz w:val="24"/>
          <w:szCs w:val="24"/>
        </w:rPr>
      </w:pPr>
    </w:p>
    <w:p w:rsidR="00C97005" w:rsidRDefault="00C97005" w:rsidP="00D83115">
      <w:pPr>
        <w:spacing w:after="0" w:line="240" w:lineRule="auto"/>
        <w:ind w:right="43"/>
        <w:jc w:val="both"/>
        <w:rPr>
          <w:rFonts w:ascii="Times New Roman" w:hAnsi="Times New Roman"/>
          <w:bCs/>
          <w:sz w:val="24"/>
          <w:szCs w:val="24"/>
        </w:rPr>
      </w:pPr>
    </w:p>
    <w:p w:rsidR="00C97005" w:rsidRDefault="00C97005" w:rsidP="00D83115">
      <w:pPr>
        <w:spacing w:after="0" w:line="240" w:lineRule="auto"/>
        <w:ind w:right="43"/>
        <w:jc w:val="both"/>
        <w:rPr>
          <w:rFonts w:ascii="Times New Roman" w:hAnsi="Times New Roman"/>
          <w:bCs/>
          <w:sz w:val="24"/>
          <w:szCs w:val="24"/>
        </w:rPr>
      </w:pPr>
    </w:p>
    <w:p w:rsidR="00C97005" w:rsidRDefault="00C97005" w:rsidP="00D83115">
      <w:pPr>
        <w:spacing w:after="0" w:line="240" w:lineRule="auto"/>
        <w:ind w:right="43"/>
        <w:jc w:val="both"/>
        <w:rPr>
          <w:rFonts w:ascii="Times New Roman" w:hAnsi="Times New Roman"/>
          <w:bCs/>
          <w:sz w:val="24"/>
          <w:szCs w:val="24"/>
        </w:rPr>
      </w:pPr>
    </w:p>
    <w:p w:rsidR="00C97005" w:rsidRDefault="00C97005" w:rsidP="00D83115">
      <w:pPr>
        <w:spacing w:after="0" w:line="240" w:lineRule="auto"/>
        <w:ind w:right="43"/>
        <w:jc w:val="both"/>
        <w:rPr>
          <w:rFonts w:ascii="Times New Roman" w:hAnsi="Times New Roman"/>
          <w:bCs/>
          <w:sz w:val="24"/>
          <w:szCs w:val="24"/>
        </w:rPr>
      </w:pPr>
    </w:p>
    <w:p w:rsidR="00C97005" w:rsidRDefault="00C9700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4"/>
          <w:szCs w:val="24"/>
        </w:rPr>
      </w:pPr>
    </w:p>
    <w:p w:rsidR="00D83115" w:rsidRDefault="00D83115" w:rsidP="00D83115">
      <w:pPr>
        <w:spacing w:after="0" w:line="240" w:lineRule="auto"/>
        <w:ind w:right="43"/>
        <w:jc w:val="both"/>
        <w:rPr>
          <w:rFonts w:ascii="Times New Roman" w:hAnsi="Times New Roman"/>
          <w:bCs/>
          <w:sz w:val="20"/>
          <w:szCs w:val="20"/>
        </w:rPr>
      </w:pPr>
    </w:p>
    <w:p w:rsidR="00D83115" w:rsidRDefault="00D83115" w:rsidP="00D83115">
      <w:pPr>
        <w:spacing w:after="0" w:line="240" w:lineRule="auto"/>
        <w:ind w:right="43"/>
        <w:jc w:val="both"/>
        <w:rPr>
          <w:rFonts w:ascii="Times New Roman" w:eastAsia="Times New Roman" w:hAnsi="Times New Roman"/>
          <w:sz w:val="20"/>
          <w:szCs w:val="20"/>
        </w:rPr>
      </w:pPr>
      <w:r>
        <w:rPr>
          <w:rFonts w:ascii="Times New Roman" w:eastAsia="Times New Roman" w:hAnsi="Times New Roman"/>
          <w:sz w:val="20"/>
          <w:szCs w:val="20"/>
        </w:rPr>
        <w:t>Bierne, 67083923</w:t>
      </w:r>
    </w:p>
    <w:p w:rsidR="00D83115" w:rsidRPr="00DF6078" w:rsidRDefault="00D83115" w:rsidP="00D83115">
      <w:pPr>
        <w:spacing w:after="0" w:line="240" w:lineRule="auto"/>
        <w:ind w:right="43"/>
        <w:jc w:val="both"/>
        <w:rPr>
          <w:rFonts w:ascii="Times New Roman" w:eastAsia="Times New Roman" w:hAnsi="Times New Roman"/>
          <w:sz w:val="20"/>
          <w:szCs w:val="20"/>
        </w:rPr>
      </w:pPr>
      <w:r>
        <w:rPr>
          <w:rFonts w:ascii="Times New Roman" w:eastAsia="Times New Roman" w:hAnsi="Times New Roman"/>
          <w:sz w:val="20"/>
          <w:szCs w:val="20"/>
        </w:rPr>
        <w:t>antra.bierne@fm.gov.lv</w:t>
      </w:r>
    </w:p>
    <w:p w:rsidR="00D83115" w:rsidRDefault="00D83115" w:rsidP="00D83115">
      <w:pPr>
        <w:tabs>
          <w:tab w:val="left" w:pos="5393"/>
        </w:tabs>
      </w:pPr>
      <w:r>
        <w:tab/>
      </w:r>
    </w:p>
    <w:p w:rsidR="00D83115" w:rsidRPr="00E932E3" w:rsidRDefault="00D83115" w:rsidP="00D83115"/>
    <w:p w:rsidR="00D83115" w:rsidRPr="00E932E3" w:rsidRDefault="00D83115" w:rsidP="00D83115"/>
    <w:p w:rsidR="00D942DC" w:rsidRDefault="00D942DC"/>
    <w:sectPr w:rsidR="00D942DC" w:rsidSect="0061162F">
      <w:headerReference w:type="default" r:id="rId9"/>
      <w:footerReference w:type="default" r:id="rId10"/>
      <w:footerReference w:type="first" r:id="rId11"/>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15" w:rsidRDefault="00D83115" w:rsidP="00D83115">
      <w:pPr>
        <w:spacing w:after="0" w:line="240" w:lineRule="auto"/>
      </w:pPr>
      <w:r>
        <w:separator/>
      </w:r>
    </w:p>
  </w:endnote>
  <w:endnote w:type="continuationSeparator" w:id="0">
    <w:p w:rsidR="00D83115" w:rsidRDefault="00D83115" w:rsidP="00D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671064"/>
      <w:docPartObj>
        <w:docPartGallery w:val="Page Numbers (Bottom of Page)"/>
        <w:docPartUnique/>
      </w:docPartObj>
    </w:sdtPr>
    <w:sdtEndPr>
      <w:rPr>
        <w:rFonts w:ascii="Times New Roman" w:hAnsi="Times New Roman"/>
        <w:noProof/>
      </w:rPr>
    </w:sdtEndPr>
    <w:sdtContent>
      <w:p w:rsidR="0061162F" w:rsidRDefault="0061162F" w:rsidP="0061162F">
        <w:pPr>
          <w:tabs>
            <w:tab w:val="center" w:pos="4153"/>
          </w:tabs>
          <w:spacing w:after="0" w:line="240" w:lineRule="auto"/>
        </w:pPr>
      </w:p>
      <w:p w:rsidR="0061162F" w:rsidRPr="009F521B" w:rsidRDefault="0061162F" w:rsidP="0061162F">
        <w:pPr>
          <w:tabs>
            <w:tab w:val="center" w:pos="4153"/>
          </w:tabs>
          <w:spacing w:after="0" w:line="240" w:lineRule="auto"/>
          <w:rPr>
            <w:rFonts w:ascii="Times New Roman" w:hAnsi="Times New Roman"/>
            <w:sz w:val="20"/>
            <w:szCs w:val="20"/>
          </w:rPr>
        </w:pPr>
        <w:r w:rsidRPr="009F521B">
          <w:rPr>
            <w:rFonts w:ascii="Times New Roman" w:hAnsi="Times New Roman"/>
            <w:sz w:val="20"/>
            <w:szCs w:val="20"/>
          </w:rPr>
          <w:t>FMzin_26092017_info.docx</w:t>
        </w:r>
      </w:p>
      <w:p w:rsidR="0061162F" w:rsidRPr="0061162F" w:rsidRDefault="0061162F">
        <w:pPr>
          <w:pStyle w:val="Footer"/>
          <w:jc w:val="center"/>
          <w:rPr>
            <w:rFonts w:ascii="Times New Roman" w:hAnsi="Times New Roman"/>
          </w:rPr>
        </w:pPr>
        <w:r w:rsidRPr="0061162F">
          <w:rPr>
            <w:rFonts w:ascii="Times New Roman" w:hAnsi="Times New Roman"/>
          </w:rPr>
          <w:fldChar w:fldCharType="begin"/>
        </w:r>
        <w:r w:rsidRPr="0061162F">
          <w:rPr>
            <w:rFonts w:ascii="Times New Roman" w:hAnsi="Times New Roman"/>
          </w:rPr>
          <w:instrText xml:space="preserve"> PAGE   \* MERGEFORMAT </w:instrText>
        </w:r>
        <w:r w:rsidRPr="0061162F">
          <w:rPr>
            <w:rFonts w:ascii="Times New Roman" w:hAnsi="Times New Roman"/>
          </w:rPr>
          <w:fldChar w:fldCharType="separate"/>
        </w:r>
        <w:r w:rsidR="00681979">
          <w:rPr>
            <w:rFonts w:ascii="Times New Roman" w:hAnsi="Times New Roman"/>
            <w:noProof/>
          </w:rPr>
          <w:t>2</w:t>
        </w:r>
        <w:r w:rsidRPr="0061162F">
          <w:rPr>
            <w:rFonts w:ascii="Times New Roman" w:hAnsi="Times New Roman"/>
            <w:noProof/>
          </w:rPr>
          <w:fldChar w:fldCharType="end"/>
        </w:r>
      </w:p>
    </w:sdtContent>
  </w:sdt>
  <w:p w:rsidR="00D83115" w:rsidRDefault="00D83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2F" w:rsidRPr="0061162F" w:rsidRDefault="0061162F" w:rsidP="0061162F">
    <w:pPr>
      <w:tabs>
        <w:tab w:val="center" w:pos="4153"/>
      </w:tabs>
      <w:spacing w:after="0" w:line="240" w:lineRule="auto"/>
      <w:rPr>
        <w:rFonts w:ascii="Times New Roman" w:hAnsi="Times New Roman"/>
        <w:sz w:val="20"/>
        <w:szCs w:val="20"/>
      </w:rPr>
    </w:pPr>
    <w:r w:rsidRPr="0061162F">
      <w:rPr>
        <w:rFonts w:ascii="Times New Roman" w:hAnsi="Times New Roman"/>
        <w:sz w:val="20"/>
        <w:szCs w:val="20"/>
      </w:rPr>
      <w:t>FMzin_26092017_info.docx</w:t>
    </w:r>
  </w:p>
  <w:p w:rsidR="0061162F" w:rsidRDefault="00611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15" w:rsidRDefault="00D83115" w:rsidP="00D83115">
      <w:pPr>
        <w:spacing w:after="0" w:line="240" w:lineRule="auto"/>
      </w:pPr>
      <w:r>
        <w:separator/>
      </w:r>
    </w:p>
  </w:footnote>
  <w:footnote w:type="continuationSeparator" w:id="0">
    <w:p w:rsidR="00D83115" w:rsidRDefault="00D83115" w:rsidP="00D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1791"/>
      <w:docPartObj>
        <w:docPartGallery w:val="Page Numbers (Top of Page)"/>
        <w:docPartUnique/>
      </w:docPartObj>
    </w:sdtPr>
    <w:sdtEndPr>
      <w:rPr>
        <w:rFonts w:ascii="Times New Roman" w:hAnsi="Times New Roman"/>
        <w:noProof/>
      </w:rPr>
    </w:sdtEndPr>
    <w:sdtContent>
      <w:p w:rsidR="00D83115" w:rsidRPr="00D83115" w:rsidRDefault="00681979">
        <w:pPr>
          <w:pStyle w:val="Header"/>
          <w:jc w:val="center"/>
          <w:rPr>
            <w:rFonts w:ascii="Times New Roman" w:hAnsi="Times New Roman"/>
          </w:rPr>
        </w:pPr>
      </w:p>
    </w:sdtContent>
  </w:sdt>
  <w:p w:rsidR="00D83115" w:rsidRDefault="00D83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B02BA"/>
    <w:multiLevelType w:val="hybridMultilevel"/>
    <w:tmpl w:val="6CA6B754"/>
    <w:lvl w:ilvl="0" w:tplc="04260011">
      <w:start w:val="1"/>
      <w:numFmt w:val="decimal"/>
      <w:lvlText w:val="%1)"/>
      <w:lvlJc w:val="left"/>
      <w:pPr>
        <w:ind w:left="501" w:hanging="360"/>
      </w:pPr>
      <w:rPr>
        <w:rFonts w:hint="default"/>
      </w:rPr>
    </w:lvl>
    <w:lvl w:ilvl="1" w:tplc="04260003">
      <w:start w:val="1"/>
      <w:numFmt w:val="bullet"/>
      <w:lvlText w:val="o"/>
      <w:lvlJc w:val="left"/>
      <w:pPr>
        <w:ind w:left="643"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
    <w:nsid w:val="3A03479C"/>
    <w:multiLevelType w:val="hybridMultilevel"/>
    <w:tmpl w:val="94F64552"/>
    <w:lvl w:ilvl="0" w:tplc="BB6483B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6A1050E"/>
    <w:multiLevelType w:val="hybridMultilevel"/>
    <w:tmpl w:val="42AC49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F196071"/>
    <w:multiLevelType w:val="hybridMultilevel"/>
    <w:tmpl w:val="153C14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48602BC"/>
    <w:multiLevelType w:val="hybridMultilevel"/>
    <w:tmpl w:val="95CC2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15"/>
    <w:rsid w:val="00067B48"/>
    <w:rsid w:val="00167B78"/>
    <w:rsid w:val="00167E14"/>
    <w:rsid w:val="001B1A6A"/>
    <w:rsid w:val="001B67D0"/>
    <w:rsid w:val="001D0721"/>
    <w:rsid w:val="001E1760"/>
    <w:rsid w:val="002946AD"/>
    <w:rsid w:val="002F5BD6"/>
    <w:rsid w:val="00345297"/>
    <w:rsid w:val="003A619E"/>
    <w:rsid w:val="003A6B60"/>
    <w:rsid w:val="00405020"/>
    <w:rsid w:val="00414603"/>
    <w:rsid w:val="00446018"/>
    <w:rsid w:val="004A69EA"/>
    <w:rsid w:val="004D0E5B"/>
    <w:rsid w:val="005227CB"/>
    <w:rsid w:val="0054213B"/>
    <w:rsid w:val="005A60D3"/>
    <w:rsid w:val="0061162F"/>
    <w:rsid w:val="006250A1"/>
    <w:rsid w:val="006355BF"/>
    <w:rsid w:val="006370C5"/>
    <w:rsid w:val="0066690D"/>
    <w:rsid w:val="00681979"/>
    <w:rsid w:val="006C2E53"/>
    <w:rsid w:val="00736858"/>
    <w:rsid w:val="007C7B4F"/>
    <w:rsid w:val="008449EB"/>
    <w:rsid w:val="008A193C"/>
    <w:rsid w:val="008B00FC"/>
    <w:rsid w:val="008C5680"/>
    <w:rsid w:val="008F7B7A"/>
    <w:rsid w:val="009F6A1B"/>
    <w:rsid w:val="00A01A1C"/>
    <w:rsid w:val="00A040A2"/>
    <w:rsid w:val="00A22982"/>
    <w:rsid w:val="00A37307"/>
    <w:rsid w:val="00A77EF2"/>
    <w:rsid w:val="00AE19B9"/>
    <w:rsid w:val="00B32E30"/>
    <w:rsid w:val="00B51638"/>
    <w:rsid w:val="00BC797A"/>
    <w:rsid w:val="00BE219E"/>
    <w:rsid w:val="00C0390E"/>
    <w:rsid w:val="00C53935"/>
    <w:rsid w:val="00C66786"/>
    <w:rsid w:val="00C97005"/>
    <w:rsid w:val="00CE25E3"/>
    <w:rsid w:val="00D41B5A"/>
    <w:rsid w:val="00D83115"/>
    <w:rsid w:val="00D942DC"/>
    <w:rsid w:val="00D94F81"/>
    <w:rsid w:val="00DB45C7"/>
    <w:rsid w:val="00E03E06"/>
    <w:rsid w:val="00E8601A"/>
    <w:rsid w:val="00F45F65"/>
    <w:rsid w:val="00F46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699A6A1-1D93-414F-AE0E-E86E3B26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15"/>
    <w:pPr>
      <w:spacing w:after="0" w:line="240" w:lineRule="auto"/>
      <w:ind w:left="720"/>
    </w:pPr>
    <w:rPr>
      <w:rFonts w:ascii="Times New Roman" w:hAnsi="Times New Roman"/>
      <w:sz w:val="24"/>
      <w:szCs w:val="24"/>
      <w:lang w:eastAsia="lv-LV"/>
    </w:rPr>
  </w:style>
  <w:style w:type="paragraph" w:customStyle="1" w:styleId="tvhtmlmktable">
    <w:name w:val="tv_html mk_table"/>
    <w:basedOn w:val="Normal"/>
    <w:rsid w:val="00D83115"/>
    <w:pPr>
      <w:spacing w:before="100" w:beforeAutospacing="1" w:after="100" w:afterAutospacing="1" w:line="240" w:lineRule="auto"/>
    </w:pPr>
    <w:rPr>
      <w:rFonts w:ascii="Times New Roman" w:eastAsia="Times New Roman" w:hAnsi="Times New Roman"/>
      <w:sz w:val="24"/>
      <w:szCs w:val="24"/>
      <w:lang w:val="en-GB"/>
    </w:rPr>
  </w:style>
  <w:style w:type="table" w:styleId="TableGrid">
    <w:name w:val="Table Grid"/>
    <w:basedOn w:val="TableNormal"/>
    <w:uiPriority w:val="39"/>
    <w:rsid w:val="00D8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1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3115"/>
    <w:rPr>
      <w:rFonts w:ascii="Calibri" w:eastAsia="Calibri" w:hAnsi="Calibri" w:cs="Times New Roman"/>
    </w:rPr>
  </w:style>
  <w:style w:type="paragraph" w:styleId="Footer">
    <w:name w:val="footer"/>
    <w:basedOn w:val="Normal"/>
    <w:link w:val="FooterChar"/>
    <w:uiPriority w:val="99"/>
    <w:unhideWhenUsed/>
    <w:rsid w:val="00D831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3115"/>
    <w:rPr>
      <w:rFonts w:ascii="Calibri" w:eastAsia="Calibri" w:hAnsi="Calibri" w:cs="Times New Roman"/>
    </w:rPr>
  </w:style>
  <w:style w:type="paragraph" w:styleId="BalloonText">
    <w:name w:val="Balloon Text"/>
    <w:basedOn w:val="Normal"/>
    <w:link w:val="BalloonTextChar"/>
    <w:uiPriority w:val="99"/>
    <w:semiHidden/>
    <w:unhideWhenUsed/>
    <w:rsid w:val="001B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e.gov.lv/l/nodoklu-un-nodevu-konti/71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C7CB-12A0-4495-9E5E-9FC29E12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9717</Words>
  <Characters>5539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Informatīvais ziņojums par Valsts kontroles revīzijā "Par Latvijas Republikas 2016.gada pārskatu par valsts budžeta izpildi un par pašvaldību budžetiem" sniegtajiem ieteikumiem un Finanšu ministrijas iebildumiem</vt:lpstr>
    </vt:vector>
  </TitlesOfParts>
  <Company>Finanšu ministrija</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kontroles revīzijā "Par Latvijas Republikas 2016.gada pārskatu par valsts budžeta izpildi un par pašvaldību budžetiem" sniegtajiem ieteikumiem un Finanšu ministrijas iebildumiem</dc:title>
  <dc:subject>Informatīvais ziņojums</dc:subject>
  <dc:creator>Antra Bierne</dc:creator>
  <cp:keywords/>
  <dc:description>67083923; antra.bierne@fm.gov.lv</dc:description>
  <cp:lastModifiedBy>Antra Bierne</cp:lastModifiedBy>
  <cp:revision>37</cp:revision>
  <cp:lastPrinted>2017-09-25T14:42:00Z</cp:lastPrinted>
  <dcterms:created xsi:type="dcterms:W3CDTF">2017-09-25T14:07:00Z</dcterms:created>
  <dcterms:modified xsi:type="dcterms:W3CDTF">2017-09-26T11:07:00Z</dcterms:modified>
</cp:coreProperties>
</file>