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5A5D2" w14:textId="77777777" w:rsidR="006A4494" w:rsidRDefault="006A4494" w:rsidP="000D3520">
      <w:pPr>
        <w:jc w:val="center"/>
        <w:rPr>
          <w:b/>
          <w:sz w:val="26"/>
          <w:szCs w:val="26"/>
          <w:lang w:eastAsia="ru-RU"/>
        </w:rPr>
      </w:pPr>
      <w:bookmarkStart w:id="0" w:name="_GoBack"/>
      <w:bookmarkEnd w:id="0"/>
    </w:p>
    <w:p w14:paraId="63BF7295" w14:textId="30FD0FA7" w:rsidR="004A7EF0" w:rsidRDefault="00E77EAE" w:rsidP="000D3520">
      <w:pPr>
        <w:jc w:val="center"/>
        <w:rPr>
          <w:b/>
          <w:bCs/>
          <w:sz w:val="26"/>
          <w:szCs w:val="26"/>
          <w:lang w:eastAsia="ru-RU"/>
        </w:rPr>
      </w:pPr>
      <w:r w:rsidRPr="0057600B">
        <w:rPr>
          <w:b/>
          <w:sz w:val="26"/>
          <w:szCs w:val="26"/>
          <w:lang w:eastAsia="ru-RU"/>
        </w:rPr>
        <w:t>Likumprojekta</w:t>
      </w:r>
      <w:r w:rsidR="004A7EF0" w:rsidRPr="0057600B">
        <w:rPr>
          <w:b/>
          <w:sz w:val="26"/>
          <w:szCs w:val="26"/>
          <w:lang w:eastAsia="ru-RU"/>
        </w:rPr>
        <w:t xml:space="preserve"> </w:t>
      </w:r>
      <w:r w:rsidR="00372B9B" w:rsidRPr="0057600B">
        <w:rPr>
          <w:b/>
          <w:sz w:val="26"/>
          <w:szCs w:val="26"/>
          <w:lang w:eastAsia="ru-RU"/>
        </w:rPr>
        <w:t>“</w:t>
      </w:r>
      <w:r w:rsidR="009F22AB" w:rsidRPr="0057600B">
        <w:rPr>
          <w:b/>
          <w:sz w:val="26"/>
          <w:szCs w:val="26"/>
          <w:lang w:eastAsia="ru-RU"/>
        </w:rPr>
        <w:t>Grozījum</w:t>
      </w:r>
      <w:r w:rsidR="005D43EE" w:rsidRPr="0057600B">
        <w:rPr>
          <w:b/>
          <w:sz w:val="26"/>
          <w:szCs w:val="26"/>
          <w:lang w:eastAsia="ru-RU"/>
        </w:rPr>
        <w:t>i</w:t>
      </w:r>
      <w:r w:rsidR="009F22AB" w:rsidRPr="0057600B">
        <w:rPr>
          <w:b/>
          <w:sz w:val="26"/>
          <w:szCs w:val="26"/>
          <w:lang w:eastAsia="ru-RU"/>
        </w:rPr>
        <w:t xml:space="preserve"> likumā “Par izložu un azartspēļu nodevu un nodokli”</w:t>
      </w:r>
      <w:r w:rsidR="004A7EF0" w:rsidRPr="0057600B">
        <w:rPr>
          <w:b/>
          <w:sz w:val="26"/>
          <w:szCs w:val="26"/>
          <w:lang w:eastAsia="ru-RU"/>
        </w:rPr>
        <w:t xml:space="preserve">” </w:t>
      </w:r>
      <w:r w:rsidR="004A7EF0" w:rsidRPr="0057600B">
        <w:rPr>
          <w:b/>
          <w:bCs/>
          <w:sz w:val="26"/>
          <w:szCs w:val="26"/>
          <w:lang w:eastAsia="ru-RU"/>
        </w:rPr>
        <w:t>sākotnējās ietekmes novērtējuma ziņojums (anotācija)</w:t>
      </w:r>
    </w:p>
    <w:p w14:paraId="774E4F3C" w14:textId="1E11A31D" w:rsidR="00464DA6" w:rsidRDefault="00464DA6" w:rsidP="000D3520">
      <w:pPr>
        <w:jc w:val="center"/>
        <w:rPr>
          <w:b/>
          <w:bCs/>
          <w:sz w:val="26"/>
          <w:szCs w:val="26"/>
          <w:lang w:eastAsia="ru-RU"/>
        </w:rPr>
      </w:pPr>
    </w:p>
    <w:tbl>
      <w:tblPr>
        <w:tblW w:w="5059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8"/>
        <w:gridCol w:w="2267"/>
        <w:gridCol w:w="6690"/>
      </w:tblGrid>
      <w:tr w:rsidR="00464DA6" w:rsidRPr="00464DA6" w14:paraId="16D4ACFE" w14:textId="77777777" w:rsidTr="006841E4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14:paraId="402CEEDF" w14:textId="77777777" w:rsidR="00464DA6" w:rsidRPr="00464DA6" w:rsidRDefault="00464DA6" w:rsidP="00464DA6">
            <w:pPr>
              <w:jc w:val="center"/>
              <w:rPr>
                <w:b/>
                <w:bCs/>
              </w:rPr>
            </w:pPr>
            <w:r w:rsidRPr="00464DA6">
              <w:rPr>
                <w:b/>
                <w:bCs/>
              </w:rPr>
              <w:t>I. Tiesību akta projekta izstrādes nepieciešamība</w:t>
            </w:r>
          </w:p>
        </w:tc>
      </w:tr>
      <w:tr w:rsidR="00464DA6" w:rsidRPr="00464DA6" w14:paraId="4932ED69" w14:textId="77777777" w:rsidTr="006841E4">
        <w:trPr>
          <w:trHeight w:val="443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D46CA" w14:textId="77777777" w:rsidR="00464DA6" w:rsidRPr="00464DA6" w:rsidRDefault="00464DA6" w:rsidP="00464DA6">
            <w:r w:rsidRPr="00464DA6">
              <w:t>1.</w:t>
            </w:r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1AE44" w14:textId="77777777" w:rsidR="00464DA6" w:rsidRPr="00464DA6" w:rsidRDefault="00464DA6" w:rsidP="00464DA6">
            <w:r w:rsidRPr="00464DA6">
              <w:t>Pamatojums</w:t>
            </w:r>
          </w:p>
        </w:tc>
        <w:tc>
          <w:tcPr>
            <w:tcW w:w="3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D73C58" w14:textId="51C8C83E" w:rsidR="00464DA6" w:rsidRPr="00464DA6" w:rsidRDefault="006E7292" w:rsidP="00397027">
            <w:pPr>
              <w:jc w:val="both"/>
            </w:pPr>
            <w:r w:rsidRPr="00BD24F5">
              <w:rPr>
                <w:shd w:val="clear" w:color="auto" w:fill="FFFFFF"/>
              </w:rPr>
              <w:t>Likumprojekt</w:t>
            </w:r>
            <w:r>
              <w:rPr>
                <w:shd w:val="clear" w:color="auto" w:fill="FFFFFF"/>
              </w:rPr>
              <w:t>s</w:t>
            </w:r>
            <w:r w:rsidRPr="00BD24F5">
              <w:rPr>
                <w:shd w:val="clear" w:color="auto" w:fill="FFFFFF"/>
              </w:rPr>
              <w:t xml:space="preserve"> </w:t>
            </w:r>
            <w:r w:rsidRPr="00BD24F5">
              <w:rPr>
                <w:lang w:eastAsia="ru-RU"/>
              </w:rPr>
              <w:t xml:space="preserve">“Grozījumi likumā “Par izložu un azartspēļu nodevu un nodokli”” </w:t>
            </w:r>
            <w:r>
              <w:rPr>
                <w:lang w:eastAsia="ru-RU"/>
              </w:rPr>
              <w:t xml:space="preserve">(turpmāk – </w:t>
            </w:r>
            <w:r w:rsidR="00595425">
              <w:t>Likumprojekts</w:t>
            </w:r>
            <w:r>
              <w:t>)</w:t>
            </w:r>
            <w:r w:rsidR="00595425">
              <w:t xml:space="preserve"> izstrādāts s</w:t>
            </w:r>
            <w:r w:rsidR="00A75DD4">
              <w:t>ak</w:t>
            </w:r>
            <w:r w:rsidR="00013C18">
              <w:t>a</w:t>
            </w:r>
            <w:r w:rsidR="00A75DD4">
              <w:t xml:space="preserve">rā </w:t>
            </w:r>
            <w:r w:rsidR="00013C18">
              <w:t>ar</w:t>
            </w:r>
            <w:r w:rsidR="00A75DD4" w:rsidRPr="00BD24F5">
              <w:t xml:space="preserve"> Saeimā 2017.gada 27.jūlijā pieņemt</w:t>
            </w:r>
            <w:r w:rsidR="00A75DD4">
              <w:t>ajiem</w:t>
            </w:r>
            <w:r w:rsidR="00A75DD4" w:rsidRPr="00BD24F5">
              <w:t xml:space="preserve"> </w:t>
            </w:r>
            <w:r w:rsidR="00A75DD4">
              <w:t>g</w:t>
            </w:r>
            <w:r w:rsidR="00A75DD4" w:rsidRPr="00BD24F5">
              <w:rPr>
                <w:lang w:eastAsia="ru-RU"/>
              </w:rPr>
              <w:t>rozījumi</w:t>
            </w:r>
            <w:r w:rsidR="00A75DD4">
              <w:rPr>
                <w:lang w:eastAsia="ru-RU"/>
              </w:rPr>
              <w:t>em</w:t>
            </w:r>
            <w:r w:rsidR="00A75DD4" w:rsidRPr="00BD24F5">
              <w:rPr>
                <w:lang w:eastAsia="ru-RU"/>
              </w:rPr>
              <w:t xml:space="preserve"> likumā “Par izložu un azartspēļu nodevu un nodokli”</w:t>
            </w:r>
            <w:r w:rsidR="00A75DD4">
              <w:rPr>
                <w:lang w:eastAsia="ru-RU"/>
              </w:rPr>
              <w:t>, kuros tiek paredzēts jauns azartspēļu nodokļa objekts, un</w:t>
            </w:r>
            <w:r w:rsidR="00C77EF1">
              <w:rPr>
                <w:lang w:eastAsia="ru-RU"/>
              </w:rPr>
              <w:t>,</w:t>
            </w:r>
            <w:r w:rsidR="00A75DD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lai </w:t>
            </w:r>
            <w:r>
              <w:rPr>
                <w:shd w:val="clear" w:color="auto" w:fill="FFFFFF"/>
              </w:rPr>
              <w:t>nodrošinātu jaunā azartspēļu nodokļa objekta piemērošanu,</w:t>
            </w:r>
            <w:r>
              <w:rPr>
                <w:lang w:eastAsia="ru-RU"/>
              </w:rPr>
              <w:t xml:space="preserve"> </w:t>
            </w:r>
            <w:r>
              <w:rPr>
                <w:shd w:val="clear" w:color="auto" w:fill="FFFFFF"/>
              </w:rPr>
              <w:t xml:space="preserve">ir nepieciešami grozījumi </w:t>
            </w:r>
            <w:r w:rsidRPr="00BD24F5">
              <w:rPr>
                <w:lang w:eastAsia="ru-RU"/>
              </w:rPr>
              <w:t>likumā “Par izložu un azartspēļu nodevu un nodokli”</w:t>
            </w:r>
            <w:r w:rsidR="00C77EF1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un </w:t>
            </w:r>
            <w:r w:rsidR="00C77EF1">
              <w:rPr>
                <w:lang w:eastAsia="ru-RU"/>
              </w:rPr>
              <w:t xml:space="preserve">nepieciešams </w:t>
            </w:r>
            <w:r w:rsidR="00A75DD4">
              <w:rPr>
                <w:lang w:eastAsia="ru-RU"/>
              </w:rPr>
              <w:t>paplašin</w:t>
            </w:r>
            <w:r w:rsidR="00C77EF1">
              <w:rPr>
                <w:lang w:eastAsia="ru-RU"/>
              </w:rPr>
              <w:t>āt</w:t>
            </w:r>
            <w:r w:rsidR="00A75DD4">
              <w:rPr>
                <w:lang w:eastAsia="ru-RU"/>
              </w:rPr>
              <w:t xml:space="preserve"> azartspēļu nodevas maksātāju lok</w:t>
            </w:r>
            <w:r w:rsidR="00397027">
              <w:rPr>
                <w:lang w:eastAsia="ru-RU"/>
              </w:rPr>
              <w:t>u</w:t>
            </w:r>
            <w:r w:rsidR="00A75DD4">
              <w:rPr>
                <w:lang w:eastAsia="ru-RU"/>
              </w:rPr>
              <w:t xml:space="preserve"> un </w:t>
            </w:r>
            <w:r w:rsidR="00397027">
              <w:rPr>
                <w:lang w:eastAsia="ru-RU"/>
              </w:rPr>
              <w:t>izveidot</w:t>
            </w:r>
            <w:r w:rsidR="00A75DD4">
              <w:rPr>
                <w:lang w:eastAsia="ru-RU"/>
              </w:rPr>
              <w:t xml:space="preserve"> sistēm</w:t>
            </w:r>
            <w:r w:rsidR="00397027">
              <w:rPr>
                <w:lang w:eastAsia="ru-RU"/>
              </w:rPr>
              <w:t>u</w:t>
            </w:r>
            <w:r w:rsidR="00A75DD4">
              <w:rPr>
                <w:lang w:eastAsia="ru-RU"/>
              </w:rPr>
              <w:t xml:space="preserve">, lai </w:t>
            </w:r>
            <w:r w:rsidR="00595425">
              <w:rPr>
                <w:lang w:eastAsia="ru-RU"/>
              </w:rPr>
              <w:t xml:space="preserve">azartspēļu </w:t>
            </w:r>
            <w:r w:rsidR="00DE714E">
              <w:rPr>
                <w:lang w:eastAsia="ru-RU"/>
              </w:rPr>
              <w:t xml:space="preserve">nodevas un </w:t>
            </w:r>
            <w:r w:rsidR="00A75DD4">
              <w:rPr>
                <w:lang w:eastAsia="ru-RU"/>
              </w:rPr>
              <w:t>nodokļa</w:t>
            </w:r>
            <w:r w:rsidR="00595425">
              <w:rPr>
                <w:lang w:eastAsia="ru-RU"/>
              </w:rPr>
              <w:t xml:space="preserve"> </w:t>
            </w:r>
            <w:r w:rsidR="00A75DD4">
              <w:rPr>
                <w:lang w:eastAsia="ru-RU"/>
              </w:rPr>
              <w:t xml:space="preserve">maksātājus būtu iespējams identificēt, saņemot licenci. </w:t>
            </w:r>
            <w:r w:rsidR="00A75DD4">
              <w:rPr>
                <w:shd w:val="clear" w:color="auto" w:fill="FFFFFF"/>
              </w:rPr>
              <w:t xml:space="preserve">Lai nodrošinātu jaunā </w:t>
            </w:r>
            <w:r w:rsidR="00F007F8">
              <w:rPr>
                <w:shd w:val="clear" w:color="auto" w:fill="FFFFFF"/>
              </w:rPr>
              <w:t xml:space="preserve">azartspēļu </w:t>
            </w:r>
            <w:r w:rsidR="00A75DD4">
              <w:rPr>
                <w:shd w:val="clear" w:color="auto" w:fill="FFFFFF"/>
              </w:rPr>
              <w:t>nodokļa obj</w:t>
            </w:r>
            <w:r w:rsidR="00934FC2">
              <w:rPr>
                <w:shd w:val="clear" w:color="auto" w:fill="FFFFFF"/>
              </w:rPr>
              <w:t>e</w:t>
            </w:r>
            <w:r w:rsidR="00A75DD4">
              <w:rPr>
                <w:shd w:val="clear" w:color="auto" w:fill="FFFFFF"/>
              </w:rPr>
              <w:t>kta piemērošanu</w:t>
            </w:r>
            <w:r w:rsidR="00A37093">
              <w:rPr>
                <w:shd w:val="clear" w:color="auto" w:fill="FFFFFF"/>
              </w:rPr>
              <w:t>,</w:t>
            </w:r>
            <w:r w:rsidR="00A75DD4">
              <w:rPr>
                <w:shd w:val="clear" w:color="auto" w:fill="FFFFFF"/>
              </w:rPr>
              <w:t xml:space="preserve"> ir nepieciešami </w:t>
            </w:r>
            <w:r w:rsidR="00371DA2">
              <w:rPr>
                <w:shd w:val="clear" w:color="auto" w:fill="FFFFFF"/>
              </w:rPr>
              <w:t xml:space="preserve">arī </w:t>
            </w:r>
            <w:r w:rsidR="00A75DD4">
              <w:rPr>
                <w:shd w:val="clear" w:color="auto" w:fill="FFFFFF"/>
              </w:rPr>
              <w:t xml:space="preserve">grozījumi </w:t>
            </w:r>
            <w:r w:rsidR="00A75DD4" w:rsidRPr="00BD24F5">
              <w:rPr>
                <w:shd w:val="clear" w:color="auto" w:fill="FFFFFF"/>
              </w:rPr>
              <w:t>Azartspēļu un izložu likumā</w:t>
            </w:r>
            <w:r w:rsidR="002C385D">
              <w:rPr>
                <w:shd w:val="clear" w:color="auto" w:fill="FFFFFF"/>
              </w:rPr>
              <w:t>, kas virzāmi vienotā paketē</w:t>
            </w:r>
            <w:r w:rsidR="00397027">
              <w:rPr>
                <w:shd w:val="clear" w:color="auto" w:fill="FFFFFF"/>
              </w:rPr>
              <w:t xml:space="preserve"> ar </w:t>
            </w:r>
            <w:r w:rsidR="00371DA2">
              <w:rPr>
                <w:shd w:val="clear" w:color="auto" w:fill="FFFFFF"/>
              </w:rPr>
              <w:t>Likumprojektu</w:t>
            </w:r>
            <w:r w:rsidR="002C385D">
              <w:rPr>
                <w:shd w:val="clear" w:color="auto" w:fill="FFFFFF"/>
              </w:rPr>
              <w:t xml:space="preserve"> un to spēkā stāšanās jānodro</w:t>
            </w:r>
            <w:r w:rsidR="00934FC2">
              <w:rPr>
                <w:shd w:val="clear" w:color="auto" w:fill="FFFFFF"/>
              </w:rPr>
              <w:t>ši</w:t>
            </w:r>
            <w:r w:rsidR="002C385D">
              <w:rPr>
                <w:shd w:val="clear" w:color="auto" w:fill="FFFFFF"/>
              </w:rPr>
              <w:t>na ar 2018.gada 1.janvār</w:t>
            </w:r>
            <w:r w:rsidR="00C37DD2">
              <w:rPr>
                <w:shd w:val="clear" w:color="auto" w:fill="FFFFFF"/>
              </w:rPr>
              <w:t>i</w:t>
            </w:r>
            <w:r w:rsidR="002C385D">
              <w:rPr>
                <w:shd w:val="clear" w:color="auto" w:fill="FFFFFF"/>
              </w:rPr>
              <w:t>.</w:t>
            </w:r>
          </w:p>
        </w:tc>
      </w:tr>
      <w:tr w:rsidR="00464DA6" w:rsidRPr="00464DA6" w14:paraId="34756113" w14:textId="77777777" w:rsidTr="00F03B8B">
        <w:trPr>
          <w:trHeight w:val="9199"/>
        </w:trPr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CAAF22" w14:textId="77777777" w:rsidR="00464DA6" w:rsidRPr="00464DA6" w:rsidRDefault="00464DA6" w:rsidP="00464DA6">
            <w:r w:rsidRPr="00464DA6">
              <w:lastRenderedPageBreak/>
              <w:t>2.</w:t>
            </w:r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AD8AF6" w14:textId="77777777" w:rsidR="00464DA6" w:rsidRPr="00464DA6" w:rsidRDefault="00464DA6" w:rsidP="00464DA6">
            <w:r w:rsidRPr="00464DA6">
              <w:t>Pašreizējā situācija un problēmas, kuru risināšanai tiesību akta projekts izstrādāts, tiesiskā regulējuma mērķis un būtība</w:t>
            </w:r>
          </w:p>
          <w:p w14:paraId="77B8D083" w14:textId="77777777" w:rsidR="00464DA6" w:rsidRPr="00464DA6" w:rsidRDefault="00464DA6" w:rsidP="00464DA6">
            <w:pPr>
              <w:spacing w:after="160" w:line="259" w:lineRule="auto"/>
            </w:pPr>
          </w:p>
          <w:p w14:paraId="082426EE" w14:textId="77777777" w:rsidR="00464DA6" w:rsidRPr="00464DA6" w:rsidRDefault="00464DA6" w:rsidP="00464DA6">
            <w:pPr>
              <w:spacing w:after="160" w:line="259" w:lineRule="auto"/>
            </w:pPr>
          </w:p>
          <w:p w14:paraId="6DF63D51" w14:textId="77777777" w:rsidR="00464DA6" w:rsidRPr="00464DA6" w:rsidRDefault="00464DA6" w:rsidP="00464DA6">
            <w:pPr>
              <w:spacing w:after="160" w:line="259" w:lineRule="auto"/>
            </w:pPr>
          </w:p>
          <w:p w14:paraId="1A9B49DC" w14:textId="77777777" w:rsidR="00464DA6" w:rsidRPr="00464DA6" w:rsidRDefault="00464DA6" w:rsidP="00464DA6">
            <w:pPr>
              <w:spacing w:after="160" w:line="259" w:lineRule="auto"/>
            </w:pPr>
          </w:p>
          <w:p w14:paraId="526D3318" w14:textId="77777777" w:rsidR="00464DA6" w:rsidRPr="00464DA6" w:rsidRDefault="00464DA6" w:rsidP="00464DA6">
            <w:pPr>
              <w:spacing w:after="160" w:line="259" w:lineRule="auto"/>
            </w:pPr>
          </w:p>
          <w:p w14:paraId="424E0612" w14:textId="77777777" w:rsidR="00464DA6" w:rsidRPr="00464DA6" w:rsidRDefault="00464DA6" w:rsidP="00464DA6">
            <w:pPr>
              <w:spacing w:after="160" w:line="259" w:lineRule="auto"/>
            </w:pPr>
          </w:p>
          <w:p w14:paraId="464BBF06" w14:textId="77777777" w:rsidR="00464DA6" w:rsidRPr="00464DA6" w:rsidRDefault="00464DA6" w:rsidP="00464DA6">
            <w:pPr>
              <w:spacing w:after="160" w:line="259" w:lineRule="auto"/>
            </w:pPr>
          </w:p>
          <w:p w14:paraId="62EC24E4" w14:textId="77777777" w:rsidR="00464DA6" w:rsidRPr="00464DA6" w:rsidRDefault="00464DA6" w:rsidP="00464DA6">
            <w:pPr>
              <w:spacing w:after="160" w:line="259" w:lineRule="auto"/>
            </w:pPr>
          </w:p>
          <w:p w14:paraId="18502542" w14:textId="77777777" w:rsidR="00464DA6" w:rsidRPr="00464DA6" w:rsidRDefault="00464DA6" w:rsidP="00464DA6">
            <w:pPr>
              <w:spacing w:after="160" w:line="259" w:lineRule="auto"/>
            </w:pPr>
          </w:p>
          <w:p w14:paraId="55B21411" w14:textId="77777777" w:rsidR="00464DA6" w:rsidRPr="00464DA6" w:rsidRDefault="00464DA6" w:rsidP="00464DA6">
            <w:pPr>
              <w:spacing w:after="160" w:line="259" w:lineRule="auto"/>
            </w:pPr>
          </w:p>
          <w:p w14:paraId="2BB8A7C5" w14:textId="77777777" w:rsidR="00464DA6" w:rsidRPr="00464DA6" w:rsidRDefault="00464DA6" w:rsidP="00464DA6">
            <w:pPr>
              <w:spacing w:after="160" w:line="259" w:lineRule="auto"/>
            </w:pPr>
          </w:p>
          <w:p w14:paraId="6608F101" w14:textId="77777777" w:rsidR="00464DA6" w:rsidRPr="00464DA6" w:rsidRDefault="00464DA6" w:rsidP="00464DA6">
            <w:pPr>
              <w:spacing w:after="160" w:line="259" w:lineRule="auto"/>
            </w:pPr>
          </w:p>
          <w:p w14:paraId="0012954C" w14:textId="77777777" w:rsidR="00464DA6" w:rsidRPr="00464DA6" w:rsidRDefault="00464DA6" w:rsidP="00464DA6">
            <w:pPr>
              <w:spacing w:after="160" w:line="259" w:lineRule="auto"/>
            </w:pPr>
          </w:p>
          <w:p w14:paraId="63F64798" w14:textId="77777777" w:rsidR="00464DA6" w:rsidRPr="00464DA6" w:rsidRDefault="00464DA6" w:rsidP="00464DA6">
            <w:pPr>
              <w:spacing w:after="160" w:line="259" w:lineRule="auto"/>
            </w:pPr>
          </w:p>
          <w:p w14:paraId="7A257AE4" w14:textId="77777777" w:rsidR="00464DA6" w:rsidRPr="00464DA6" w:rsidRDefault="00464DA6" w:rsidP="00464DA6">
            <w:pPr>
              <w:spacing w:after="160" w:line="259" w:lineRule="auto"/>
            </w:pPr>
          </w:p>
          <w:p w14:paraId="0AE88128" w14:textId="57EECFC0" w:rsidR="00C8744E" w:rsidRDefault="00C8744E" w:rsidP="00464DA6">
            <w:pPr>
              <w:spacing w:after="160" w:line="259" w:lineRule="auto"/>
            </w:pPr>
          </w:p>
          <w:p w14:paraId="3B81AC1F" w14:textId="77777777" w:rsidR="00C8744E" w:rsidRPr="00C8744E" w:rsidRDefault="00C8744E" w:rsidP="00E56C89"/>
          <w:p w14:paraId="7FA4D9B4" w14:textId="7240D03D" w:rsidR="00464DA6" w:rsidRPr="00C8744E" w:rsidRDefault="00464DA6" w:rsidP="00E56C89"/>
          <w:p w14:paraId="14AF869E" w14:textId="77777777" w:rsidR="00464DA6" w:rsidRPr="00464DA6" w:rsidRDefault="00464DA6" w:rsidP="00464DA6">
            <w:pPr>
              <w:spacing w:after="160" w:line="259" w:lineRule="auto"/>
            </w:pPr>
          </w:p>
          <w:p w14:paraId="2CCC1FE2" w14:textId="77777777" w:rsidR="00464DA6" w:rsidRPr="00464DA6" w:rsidRDefault="00464DA6" w:rsidP="00464DA6">
            <w:pPr>
              <w:spacing w:after="160" w:line="259" w:lineRule="auto"/>
            </w:pPr>
          </w:p>
          <w:p w14:paraId="2DEFFBB1" w14:textId="77777777" w:rsidR="00464DA6" w:rsidRPr="00464DA6" w:rsidRDefault="00464DA6" w:rsidP="00464DA6">
            <w:pPr>
              <w:spacing w:after="160" w:line="259" w:lineRule="auto"/>
            </w:pPr>
          </w:p>
          <w:p w14:paraId="6A977FED" w14:textId="77777777" w:rsidR="00464DA6" w:rsidRPr="00464DA6" w:rsidRDefault="00464DA6" w:rsidP="00464DA6">
            <w:pPr>
              <w:spacing w:after="160" w:line="259" w:lineRule="auto"/>
            </w:pPr>
          </w:p>
          <w:p w14:paraId="5113A401" w14:textId="2B91AAF9" w:rsidR="00E835A5" w:rsidRDefault="00E835A5" w:rsidP="00464DA6">
            <w:pPr>
              <w:spacing w:after="160" w:line="259" w:lineRule="auto"/>
            </w:pPr>
          </w:p>
          <w:p w14:paraId="0E58D479" w14:textId="77777777" w:rsidR="003F37E8" w:rsidRPr="00E835A5" w:rsidRDefault="003F37E8" w:rsidP="00823884"/>
          <w:p w14:paraId="35ECCFEE" w14:textId="77777777" w:rsidR="003F37E8" w:rsidRPr="003F37E8" w:rsidRDefault="003F37E8" w:rsidP="003F37E8"/>
          <w:p w14:paraId="483AC2E0" w14:textId="77777777" w:rsidR="003F37E8" w:rsidRPr="003F37E8" w:rsidRDefault="003F37E8" w:rsidP="003F37E8"/>
          <w:p w14:paraId="329DD2C2" w14:textId="77777777" w:rsidR="003F37E8" w:rsidRPr="003F37E8" w:rsidRDefault="003F37E8" w:rsidP="003F37E8"/>
          <w:p w14:paraId="2277D14A" w14:textId="77777777" w:rsidR="003F37E8" w:rsidRPr="003F37E8" w:rsidRDefault="003F37E8" w:rsidP="003F37E8"/>
          <w:p w14:paraId="29FC4440" w14:textId="6BAB375D" w:rsidR="00464DA6" w:rsidRPr="003F37E8" w:rsidRDefault="00464DA6" w:rsidP="003F37E8"/>
        </w:tc>
        <w:tc>
          <w:tcPr>
            <w:tcW w:w="3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796656D" w14:textId="4663E450" w:rsidR="00C53913" w:rsidRDefault="00464DA6">
            <w:pPr>
              <w:jc w:val="both"/>
              <w:rPr>
                <w:shd w:val="clear" w:color="auto" w:fill="FFFFFF"/>
              </w:rPr>
            </w:pPr>
            <w:r w:rsidRPr="00BD24F5">
              <w:t xml:space="preserve">Ar Saeimā 2017.gada 27.jūlijā pieņemtā likuma </w:t>
            </w:r>
            <w:r w:rsidRPr="00BD24F5">
              <w:rPr>
                <w:lang w:eastAsia="ru-RU"/>
              </w:rPr>
              <w:t>“Grozījumi likumā “Par izložu un azartspēļu nodevu un nodokli””</w:t>
            </w:r>
            <w:r w:rsidR="00C53913">
              <w:rPr>
                <w:lang w:eastAsia="ru-RU"/>
              </w:rPr>
              <w:t xml:space="preserve"> </w:t>
            </w:r>
            <w:r w:rsidR="00C53913" w:rsidRPr="00C53913">
              <w:rPr>
                <w:lang w:eastAsia="ru-RU"/>
              </w:rPr>
              <w:t xml:space="preserve">(kas stāsies spēkā </w:t>
            </w:r>
            <w:r w:rsidR="00C53913" w:rsidRPr="00F03B8B">
              <w:rPr>
                <w:shd w:val="clear" w:color="auto" w:fill="FFFFFF"/>
              </w:rPr>
              <w:t>2018.gada 1.janvārī)</w:t>
            </w:r>
            <w:r w:rsidR="006400EC" w:rsidRPr="00BD24F5">
              <w:rPr>
                <w:lang w:eastAsia="ru-RU"/>
              </w:rPr>
              <w:t xml:space="preserve"> </w:t>
            </w:r>
            <w:r w:rsidRPr="00BD24F5">
              <w:rPr>
                <w:lang w:eastAsia="ru-RU"/>
              </w:rPr>
              <w:t xml:space="preserve">1. un </w:t>
            </w:r>
            <w:r w:rsidRPr="00BD24F5">
              <w:t xml:space="preserve">2.pantu tika izdarīti grozījumi </w:t>
            </w:r>
            <w:r w:rsidRPr="00BD24F5">
              <w:rPr>
                <w:lang w:eastAsia="ru-RU"/>
              </w:rPr>
              <w:t xml:space="preserve">likuma “Par izložu un azartspēļu nodevu un nodokli” (turpmāk – Likums) 1.pantā </w:t>
            </w:r>
            <w:r w:rsidRPr="00BD24F5">
              <w:t>un 3.pant</w:t>
            </w:r>
            <w:r w:rsidR="00371DA2">
              <w:t>ā</w:t>
            </w:r>
            <w:r w:rsidRPr="00BD24F5">
              <w:t xml:space="preserve">, papildinot </w:t>
            </w:r>
            <w:r w:rsidR="00371DA2">
              <w:t xml:space="preserve">pirmo daļu </w:t>
            </w:r>
            <w:r w:rsidRPr="00BD24F5">
              <w:t xml:space="preserve">ar 4.punktu. Likums tika papildināts ar jaunu azartspēļu nodokļa objektu </w:t>
            </w:r>
            <w:r w:rsidR="006400EC" w:rsidRPr="00BD24F5">
              <w:t>–</w:t>
            </w:r>
            <w:r w:rsidRPr="00BD24F5">
              <w:t xml:space="preserve"> </w:t>
            </w:r>
            <w:r w:rsidRPr="00BD24F5">
              <w:rPr>
                <w:shd w:val="clear" w:color="auto" w:fill="FFFFFF"/>
              </w:rPr>
              <w:t>kāršu, kauliņu spēles un ruletes (cilindriskās spēles) galdu, kas tiek izmantots azartspēļu video tiešsaistei ar trešajām personām, nosakot</w:t>
            </w:r>
            <w:r w:rsidR="00950D63">
              <w:rPr>
                <w:shd w:val="clear" w:color="auto" w:fill="FFFFFF"/>
              </w:rPr>
              <w:t xml:space="preserve"> azart</w:t>
            </w:r>
            <w:r w:rsidR="00300AE0">
              <w:rPr>
                <w:shd w:val="clear" w:color="auto" w:fill="FFFFFF"/>
              </w:rPr>
              <w:t>s</w:t>
            </w:r>
            <w:r w:rsidR="00950D63">
              <w:rPr>
                <w:shd w:val="clear" w:color="auto" w:fill="FFFFFF"/>
              </w:rPr>
              <w:t>pēļu nodokļa</w:t>
            </w:r>
            <w:r w:rsidRPr="00BD24F5">
              <w:rPr>
                <w:shd w:val="clear" w:color="auto" w:fill="FFFFFF"/>
              </w:rPr>
              <w:t xml:space="preserve"> likmi par katru kārtējo kalendāro gadu par katru galdu  </w:t>
            </w:r>
            <w:r w:rsidRPr="00BD24F5">
              <w:t xml:space="preserve">– </w:t>
            </w:r>
            <w:r w:rsidRPr="00BD24F5">
              <w:rPr>
                <w:shd w:val="clear" w:color="auto" w:fill="FFFFFF"/>
              </w:rPr>
              <w:t>11 700 </w:t>
            </w:r>
            <w:proofErr w:type="spellStart"/>
            <w:r w:rsidRPr="00BD24F5">
              <w:rPr>
                <w:i/>
                <w:iCs/>
                <w:shd w:val="clear" w:color="auto" w:fill="FFFFFF"/>
              </w:rPr>
              <w:t>euro</w:t>
            </w:r>
            <w:proofErr w:type="spellEnd"/>
            <w:r w:rsidRPr="00BD24F5">
              <w:rPr>
                <w:i/>
                <w:iCs/>
                <w:shd w:val="clear" w:color="auto" w:fill="FFFFFF"/>
              </w:rPr>
              <w:t xml:space="preserve"> </w:t>
            </w:r>
            <w:r w:rsidRPr="00BD24F5">
              <w:rPr>
                <w:iCs/>
                <w:shd w:val="clear" w:color="auto" w:fill="FFFFFF"/>
              </w:rPr>
              <w:t>apmērā</w:t>
            </w:r>
            <w:r w:rsidRPr="00BD24F5">
              <w:rPr>
                <w:shd w:val="clear" w:color="auto" w:fill="FFFFFF"/>
              </w:rPr>
              <w:t>.</w:t>
            </w:r>
            <w:r w:rsidR="00BC5026">
              <w:rPr>
                <w:shd w:val="clear" w:color="auto" w:fill="FFFFFF"/>
              </w:rPr>
              <w:t xml:space="preserve"> </w:t>
            </w:r>
          </w:p>
          <w:p w14:paraId="1C250708" w14:textId="58D487FF" w:rsidR="006400EC" w:rsidRPr="00BD24F5" w:rsidRDefault="002C385D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Ņemot vērā, ka atbilstoši Azartspēļu un izložu likumā noteiktajam </w:t>
            </w:r>
            <w:r w:rsidR="000858A9">
              <w:rPr>
                <w:shd w:val="clear" w:color="auto" w:fill="FFFFFF"/>
              </w:rPr>
              <w:t>termini “</w:t>
            </w:r>
            <w:r w:rsidR="00332D09">
              <w:rPr>
                <w:shd w:val="clear" w:color="auto" w:fill="FFFFFF"/>
              </w:rPr>
              <w:t>azartspēle</w:t>
            </w:r>
            <w:r w:rsidR="000858A9">
              <w:rPr>
                <w:shd w:val="clear" w:color="auto" w:fill="FFFFFF"/>
              </w:rPr>
              <w:t>”</w:t>
            </w:r>
            <w:r w:rsidR="00332D09">
              <w:rPr>
                <w:shd w:val="clear" w:color="auto" w:fill="FFFFFF"/>
              </w:rPr>
              <w:t xml:space="preserve"> </w:t>
            </w:r>
            <w:r w:rsidR="008E79E4">
              <w:rPr>
                <w:shd w:val="clear" w:color="auto" w:fill="FFFFFF"/>
              </w:rPr>
              <w:t xml:space="preserve">un </w:t>
            </w:r>
            <w:r w:rsidR="000858A9">
              <w:rPr>
                <w:shd w:val="clear" w:color="auto" w:fill="FFFFFF"/>
              </w:rPr>
              <w:t>“</w:t>
            </w:r>
            <w:r w:rsidR="008E79E4">
              <w:rPr>
                <w:shd w:val="clear" w:color="auto" w:fill="FFFFFF"/>
              </w:rPr>
              <w:t>azartspēļu</w:t>
            </w:r>
            <w:r w:rsidR="000858A9">
              <w:rPr>
                <w:shd w:val="clear" w:color="auto" w:fill="FFFFFF"/>
              </w:rPr>
              <w:t xml:space="preserve"> organizētājs”</w:t>
            </w:r>
            <w:r w:rsidR="008E79E4">
              <w:rPr>
                <w:shd w:val="clear" w:color="auto" w:fill="FFFFFF"/>
              </w:rPr>
              <w:t xml:space="preserve"> </w:t>
            </w:r>
            <w:r w:rsidR="00332D09">
              <w:rPr>
                <w:shd w:val="clear" w:color="auto" w:fill="FFFFFF"/>
              </w:rPr>
              <w:t>ir definēt</w:t>
            </w:r>
            <w:r w:rsidR="000858A9">
              <w:rPr>
                <w:shd w:val="clear" w:color="auto" w:fill="FFFFFF"/>
              </w:rPr>
              <w:t>i</w:t>
            </w:r>
            <w:r w:rsidR="00332D09">
              <w:rPr>
                <w:shd w:val="clear" w:color="auto" w:fill="FFFFFF"/>
              </w:rPr>
              <w:t xml:space="preserve"> kā vairāku elementu kopums, bet jaun</w:t>
            </w:r>
            <w:r w:rsidR="000858A9">
              <w:rPr>
                <w:shd w:val="clear" w:color="auto" w:fill="FFFFFF"/>
              </w:rPr>
              <w:t>o</w:t>
            </w:r>
            <w:r w:rsidR="000858A9" w:rsidRPr="00BD24F5">
              <w:rPr>
                <w:lang w:eastAsia="ru-RU"/>
              </w:rPr>
              <w:t xml:space="preserve"> </w:t>
            </w:r>
            <w:r w:rsidR="000F51E6">
              <w:rPr>
                <w:lang w:eastAsia="ru-RU"/>
              </w:rPr>
              <w:t>L</w:t>
            </w:r>
            <w:r w:rsidR="000858A9" w:rsidRPr="00BD24F5">
              <w:rPr>
                <w:lang w:eastAsia="ru-RU"/>
              </w:rPr>
              <w:t>ikuma</w:t>
            </w:r>
            <w:r w:rsidR="00332D09">
              <w:rPr>
                <w:shd w:val="clear" w:color="auto" w:fill="FFFFFF"/>
              </w:rPr>
              <w:t xml:space="preserve"> </w:t>
            </w:r>
            <w:r w:rsidR="00332D09">
              <w:rPr>
                <w:lang w:eastAsia="ru-RU"/>
              </w:rPr>
              <w:t>3.panta pirmās daļas 4.punktā noteikt</w:t>
            </w:r>
            <w:r w:rsidR="000858A9">
              <w:rPr>
                <w:lang w:eastAsia="ru-RU"/>
              </w:rPr>
              <w:t>o</w:t>
            </w:r>
            <w:r w:rsidR="00332D09">
              <w:rPr>
                <w:lang w:eastAsia="ru-RU"/>
              </w:rPr>
              <w:t xml:space="preserve"> regulējum</w:t>
            </w:r>
            <w:r w:rsidR="000858A9">
              <w:rPr>
                <w:lang w:eastAsia="ru-RU"/>
              </w:rPr>
              <w:t>u</w:t>
            </w:r>
            <w:r w:rsidR="00332D09">
              <w:rPr>
                <w:lang w:eastAsia="ru-RU"/>
              </w:rPr>
              <w:t xml:space="preserve"> ir paredzēts </w:t>
            </w:r>
            <w:r w:rsidR="000858A9">
              <w:rPr>
                <w:lang w:eastAsia="ru-RU"/>
              </w:rPr>
              <w:t>piemērot</w:t>
            </w:r>
            <w:r w:rsidR="00332D09">
              <w:rPr>
                <w:lang w:eastAsia="ru-RU"/>
              </w:rPr>
              <w:t xml:space="preserve"> personām, kuras Latvijā neorganizē azartspē</w:t>
            </w:r>
            <w:r w:rsidR="000858A9">
              <w:rPr>
                <w:lang w:eastAsia="ru-RU"/>
              </w:rPr>
              <w:t>l</w:t>
            </w:r>
            <w:r w:rsidR="00332D09">
              <w:rPr>
                <w:lang w:eastAsia="ru-RU"/>
              </w:rPr>
              <w:t>es</w:t>
            </w:r>
            <w:r w:rsidR="000858A9">
              <w:rPr>
                <w:lang w:eastAsia="ru-RU"/>
              </w:rPr>
              <w:t>,</w:t>
            </w:r>
            <w:r w:rsidR="00332D09">
              <w:rPr>
                <w:lang w:eastAsia="ru-RU"/>
              </w:rPr>
              <w:t xml:space="preserve"> bet </w:t>
            </w:r>
            <w:r w:rsidR="00BA2F3A">
              <w:rPr>
                <w:lang w:eastAsia="ru-RU"/>
              </w:rPr>
              <w:t xml:space="preserve">rada un </w:t>
            </w:r>
            <w:r w:rsidR="00332D09">
              <w:rPr>
                <w:lang w:eastAsia="ru-RU"/>
              </w:rPr>
              <w:t xml:space="preserve">nodrošina vienu azartspēļu elementu </w:t>
            </w:r>
            <w:r w:rsidR="00332D09" w:rsidRPr="0065356C">
              <w:rPr>
                <w:lang w:eastAsia="ru-RU"/>
              </w:rPr>
              <w:t>azartspēļu organ</w:t>
            </w:r>
            <w:r w:rsidR="000F51E6" w:rsidRPr="0065356C">
              <w:rPr>
                <w:lang w:eastAsia="ru-RU"/>
              </w:rPr>
              <w:t>i</w:t>
            </w:r>
            <w:r w:rsidR="00332D09" w:rsidRPr="0065356C">
              <w:rPr>
                <w:lang w:eastAsia="ru-RU"/>
              </w:rPr>
              <w:t>zētājiem</w:t>
            </w:r>
            <w:r w:rsidR="00332D09">
              <w:rPr>
                <w:lang w:eastAsia="ru-RU"/>
              </w:rPr>
              <w:t>, ir nepieciešams radīt regulējumu, kas noš</w:t>
            </w:r>
            <w:r w:rsidR="000858A9">
              <w:rPr>
                <w:lang w:eastAsia="ru-RU"/>
              </w:rPr>
              <w:t>ķ</w:t>
            </w:r>
            <w:r w:rsidR="00332D09">
              <w:rPr>
                <w:lang w:eastAsia="ru-RU"/>
              </w:rPr>
              <w:t>ir azart</w:t>
            </w:r>
            <w:r w:rsidR="000858A9">
              <w:rPr>
                <w:lang w:eastAsia="ru-RU"/>
              </w:rPr>
              <w:t>s</w:t>
            </w:r>
            <w:r w:rsidR="00332D09">
              <w:rPr>
                <w:lang w:eastAsia="ru-RU"/>
              </w:rPr>
              <w:t xml:space="preserve">pēļu organizētāju un </w:t>
            </w:r>
            <w:r w:rsidR="00332D09" w:rsidRPr="00BD24F5">
              <w:rPr>
                <w:shd w:val="clear" w:color="auto" w:fill="FFFFFF"/>
              </w:rPr>
              <w:t xml:space="preserve">azartspēļu pakalpojumu </w:t>
            </w:r>
            <w:r w:rsidR="00332D09">
              <w:rPr>
                <w:shd w:val="clear" w:color="auto" w:fill="FFFFFF"/>
              </w:rPr>
              <w:t xml:space="preserve">sniedzēju, kas azartspēles pats pilnībā neorganizē. </w:t>
            </w:r>
            <w:r w:rsidR="006400EC" w:rsidRPr="00BD24F5">
              <w:rPr>
                <w:shd w:val="clear" w:color="auto" w:fill="FFFFFF"/>
              </w:rPr>
              <w:t>Šobrīd Azartspēļu un izložu likumā nav tiesiskā regulējuma</w:t>
            </w:r>
            <w:r w:rsidR="00ED135D">
              <w:rPr>
                <w:shd w:val="clear" w:color="auto" w:fill="FFFFFF"/>
              </w:rPr>
              <w:t xml:space="preserve"> šādu </w:t>
            </w:r>
            <w:r w:rsidR="00ED135D" w:rsidRPr="00BD24F5">
              <w:rPr>
                <w:shd w:val="clear" w:color="auto" w:fill="FFFFFF"/>
              </w:rPr>
              <w:t>azartspēļu pakalpojumu sniegšanai</w:t>
            </w:r>
            <w:r w:rsidR="00ED135D">
              <w:rPr>
                <w:shd w:val="clear" w:color="auto" w:fill="FFFFFF"/>
              </w:rPr>
              <w:t>.</w:t>
            </w:r>
            <w:r w:rsidR="00ED135D" w:rsidRPr="00BD24F5">
              <w:rPr>
                <w:shd w:val="clear" w:color="auto" w:fill="FFFFFF"/>
              </w:rPr>
              <w:t xml:space="preserve"> </w:t>
            </w:r>
            <w:r w:rsidR="006400EC" w:rsidRPr="00BD24F5">
              <w:rPr>
                <w:shd w:val="clear" w:color="auto" w:fill="FFFFFF"/>
              </w:rPr>
              <w:t xml:space="preserve">Tādējādi paredzēts izstrādāt </w:t>
            </w:r>
            <w:r w:rsidR="00191715" w:rsidRPr="00BD24F5">
              <w:rPr>
                <w:shd w:val="clear" w:color="auto" w:fill="FFFFFF"/>
              </w:rPr>
              <w:t>likumprojektu “G</w:t>
            </w:r>
            <w:r w:rsidR="006400EC" w:rsidRPr="00BD24F5">
              <w:rPr>
                <w:shd w:val="clear" w:color="auto" w:fill="FFFFFF"/>
              </w:rPr>
              <w:t>rozījum</w:t>
            </w:r>
            <w:r w:rsidR="00191715" w:rsidRPr="00BD24F5">
              <w:rPr>
                <w:shd w:val="clear" w:color="auto" w:fill="FFFFFF"/>
              </w:rPr>
              <w:t>i</w:t>
            </w:r>
            <w:r w:rsidR="006400EC" w:rsidRPr="00BD24F5">
              <w:rPr>
                <w:shd w:val="clear" w:color="auto" w:fill="FFFFFF"/>
              </w:rPr>
              <w:t xml:space="preserve"> Azartspēļu un izložu likumā</w:t>
            </w:r>
            <w:r w:rsidR="00191715" w:rsidRPr="00BD24F5">
              <w:rPr>
                <w:shd w:val="clear" w:color="auto" w:fill="FFFFFF"/>
              </w:rPr>
              <w:t>”</w:t>
            </w:r>
            <w:r w:rsidR="006400EC" w:rsidRPr="00BD24F5">
              <w:rPr>
                <w:shd w:val="clear" w:color="auto" w:fill="FFFFFF"/>
              </w:rPr>
              <w:t>, kas paredzētu tiesisko regul</w:t>
            </w:r>
            <w:r w:rsidR="00300AE0">
              <w:rPr>
                <w:shd w:val="clear" w:color="auto" w:fill="FFFFFF"/>
              </w:rPr>
              <w:t>ē</w:t>
            </w:r>
            <w:r w:rsidR="006400EC" w:rsidRPr="00BD24F5">
              <w:rPr>
                <w:shd w:val="clear" w:color="auto" w:fill="FFFFFF"/>
              </w:rPr>
              <w:t>jumu azartspēļu pakalpojumu snie</w:t>
            </w:r>
            <w:r w:rsidR="00191715" w:rsidRPr="00BD24F5">
              <w:rPr>
                <w:shd w:val="clear" w:color="auto" w:fill="FFFFFF"/>
              </w:rPr>
              <w:t>gšanai</w:t>
            </w:r>
            <w:r w:rsidR="006400EC" w:rsidRPr="00BD24F5">
              <w:rPr>
                <w:shd w:val="clear" w:color="auto" w:fill="FFFFFF"/>
              </w:rPr>
              <w:t>.</w:t>
            </w:r>
            <w:r w:rsidR="00C53913">
              <w:rPr>
                <w:shd w:val="clear" w:color="auto" w:fill="FFFFFF"/>
              </w:rPr>
              <w:t xml:space="preserve"> Likumpr</w:t>
            </w:r>
            <w:r w:rsidR="00BA2681">
              <w:rPr>
                <w:shd w:val="clear" w:color="auto" w:fill="FFFFFF"/>
              </w:rPr>
              <w:t>o</w:t>
            </w:r>
            <w:r w:rsidR="00C53913">
              <w:rPr>
                <w:shd w:val="clear" w:color="auto" w:fill="FFFFFF"/>
              </w:rPr>
              <w:t xml:space="preserve">jektā </w:t>
            </w:r>
            <w:r w:rsidR="00C53913" w:rsidRPr="00BD24F5">
              <w:rPr>
                <w:shd w:val="clear" w:color="auto" w:fill="FFFFFF"/>
              </w:rPr>
              <w:t>“Grozījumi Azartspēļu un izložu likumā”</w:t>
            </w:r>
            <w:r w:rsidR="00C53913">
              <w:rPr>
                <w:shd w:val="clear" w:color="auto" w:fill="FFFFFF"/>
              </w:rPr>
              <w:t xml:space="preserve"> paredzēts definēt terminus “azartspēļu pakalpojumu sniegšana”, “azartspēļu pakalpojumu sniedzējs” un </w:t>
            </w:r>
            <w:r w:rsidR="006400EC" w:rsidRPr="00BD24F5">
              <w:rPr>
                <w:shd w:val="clear" w:color="auto" w:fill="FFFFFF"/>
              </w:rPr>
              <w:t xml:space="preserve"> </w:t>
            </w:r>
            <w:r w:rsidR="00C53913">
              <w:rPr>
                <w:shd w:val="clear" w:color="auto" w:fill="FFFFFF"/>
              </w:rPr>
              <w:t xml:space="preserve">“azartspēļu pakalpojumu radīšanas vieta”. </w:t>
            </w:r>
            <w:r w:rsidR="00A569BE">
              <w:rPr>
                <w:shd w:val="clear" w:color="auto" w:fill="FFFFFF"/>
              </w:rPr>
              <w:t xml:space="preserve">Saskaņā ar Azartspēļu un izložu likumu azartspēļu organizētājam, cita starpā, ir jābūt  Latvijas Republikā reģistrētai kapitālsabiedrībai. Savukārt, atbilstoši likumprojektā </w:t>
            </w:r>
            <w:r w:rsidR="00A569BE" w:rsidRPr="00BD24F5">
              <w:rPr>
                <w:shd w:val="clear" w:color="auto" w:fill="FFFFFF"/>
              </w:rPr>
              <w:t>“Grozījumi Azartspēļu un izložu likumā”</w:t>
            </w:r>
            <w:r w:rsidR="00A569BE">
              <w:rPr>
                <w:shd w:val="clear" w:color="auto" w:fill="FFFFFF"/>
              </w:rPr>
              <w:t xml:space="preserve"> paredzētajam</w:t>
            </w:r>
            <w:r w:rsidR="004A4428">
              <w:rPr>
                <w:shd w:val="clear" w:color="auto" w:fill="FFFFFF"/>
              </w:rPr>
              <w:t xml:space="preserve"> attiecībā uz</w:t>
            </w:r>
            <w:r w:rsidR="00A569BE">
              <w:rPr>
                <w:shd w:val="clear" w:color="auto" w:fill="FFFFFF"/>
              </w:rPr>
              <w:t xml:space="preserve"> a</w:t>
            </w:r>
            <w:r w:rsidR="004A4428">
              <w:rPr>
                <w:shd w:val="clear" w:color="auto" w:fill="FFFFFF"/>
              </w:rPr>
              <w:t xml:space="preserve">zartspēļu pakalpojumu sniedzēja kā komersanta juridisko formu netiek paredzēti ierobežojumi. </w:t>
            </w:r>
            <w:r w:rsidR="00C976D0">
              <w:rPr>
                <w:shd w:val="clear" w:color="auto" w:fill="FFFFFF"/>
              </w:rPr>
              <w:t>Lai nodrošinātu plānotā azartspēļu nodokļa iekasēšanu, l</w:t>
            </w:r>
            <w:r w:rsidR="00191715" w:rsidRPr="00BD24F5">
              <w:rPr>
                <w:shd w:val="clear" w:color="auto" w:fill="FFFFFF"/>
              </w:rPr>
              <w:t>ikumprojektā “Grozījumi Azartspēļu un izložu likumā” paredzēts azartspēļu pakalpojumu snie</w:t>
            </w:r>
            <w:r w:rsidR="00C976D0">
              <w:rPr>
                <w:shd w:val="clear" w:color="auto" w:fill="FFFFFF"/>
              </w:rPr>
              <w:t>dzēju</w:t>
            </w:r>
            <w:r w:rsidR="00191715" w:rsidRPr="00BD24F5">
              <w:rPr>
                <w:shd w:val="clear" w:color="auto" w:fill="FFFFFF"/>
              </w:rPr>
              <w:t xml:space="preserve"> licencēt</w:t>
            </w:r>
            <w:r w:rsidR="00332D09">
              <w:rPr>
                <w:shd w:val="clear" w:color="auto" w:fill="FFFFFF"/>
              </w:rPr>
              <w:t xml:space="preserve">, </w:t>
            </w:r>
            <w:r w:rsidR="00C976D0">
              <w:rPr>
                <w:shd w:val="clear" w:color="auto" w:fill="FFFFFF"/>
              </w:rPr>
              <w:t>kas</w:t>
            </w:r>
            <w:r w:rsidR="00332D09">
              <w:rPr>
                <w:shd w:val="clear" w:color="auto" w:fill="FFFFFF"/>
              </w:rPr>
              <w:t xml:space="preserve"> nodrošinātu vienveidīgu regulējumu personām, kuras maksā azartspēļu nodokli</w:t>
            </w:r>
            <w:r w:rsidR="00C976D0">
              <w:rPr>
                <w:shd w:val="clear" w:color="auto" w:fill="FFFFFF"/>
              </w:rPr>
              <w:t>,</w:t>
            </w:r>
            <w:r w:rsidR="00332D09">
              <w:rPr>
                <w:shd w:val="clear" w:color="auto" w:fill="FFFFFF"/>
              </w:rPr>
              <w:t xml:space="preserve"> un būtu ie</w:t>
            </w:r>
            <w:r w:rsidR="00C53913">
              <w:rPr>
                <w:shd w:val="clear" w:color="auto" w:fill="FFFFFF"/>
              </w:rPr>
              <w:t>s</w:t>
            </w:r>
            <w:r w:rsidR="00332D09">
              <w:rPr>
                <w:shd w:val="clear" w:color="auto" w:fill="FFFFFF"/>
              </w:rPr>
              <w:t xml:space="preserve">pējams tās regulāri identificēt un uzraudzīt. </w:t>
            </w:r>
            <w:r w:rsidR="00191715" w:rsidRPr="00BD24F5">
              <w:rPr>
                <w:shd w:val="clear" w:color="auto" w:fill="FFFFFF"/>
              </w:rPr>
              <w:t>Plānots</w:t>
            </w:r>
            <w:r w:rsidR="00B52557" w:rsidRPr="00BD24F5">
              <w:rPr>
                <w:shd w:val="clear" w:color="auto" w:fill="FFFFFF"/>
              </w:rPr>
              <w:t xml:space="preserve"> paredzēt</w:t>
            </w:r>
            <w:r w:rsidR="00191715" w:rsidRPr="00BD24F5">
              <w:rPr>
                <w:shd w:val="clear" w:color="auto" w:fill="FFFFFF"/>
              </w:rPr>
              <w:t>, ka azartspēļu pakalpojumu sniegšanas li</w:t>
            </w:r>
            <w:r w:rsidR="00B52557" w:rsidRPr="00BD24F5">
              <w:rPr>
                <w:shd w:val="clear" w:color="auto" w:fill="FFFFFF"/>
              </w:rPr>
              <w:t xml:space="preserve">cence dod tiesības tās saņēmējam sniegt azartspēļu pakalpojumu, kā arī to, ka azartspēļu </w:t>
            </w:r>
            <w:r w:rsidR="00B1067D">
              <w:rPr>
                <w:shd w:val="clear" w:color="auto" w:fill="FFFFFF"/>
              </w:rPr>
              <w:t xml:space="preserve">pakalpojumu sniegšanas </w:t>
            </w:r>
            <w:r w:rsidR="00B52557" w:rsidRPr="00BD24F5">
              <w:rPr>
                <w:shd w:val="clear" w:color="auto" w:fill="FFFFFF"/>
              </w:rPr>
              <w:t xml:space="preserve">licenci izsniedz uz nenoteiktu laiku, un katru gadu tā </w:t>
            </w:r>
            <w:r w:rsidR="0008397F" w:rsidRPr="00BD24F5">
              <w:rPr>
                <w:shd w:val="clear" w:color="auto" w:fill="FFFFFF"/>
              </w:rPr>
              <w:t xml:space="preserve">būs </w:t>
            </w:r>
            <w:r w:rsidR="00B52557" w:rsidRPr="00BD24F5">
              <w:rPr>
                <w:shd w:val="clear" w:color="auto" w:fill="FFFFFF"/>
              </w:rPr>
              <w:t>jāpārreģistrē Izložu</w:t>
            </w:r>
            <w:r w:rsidR="00B52557" w:rsidRPr="00BD24F5">
              <w:rPr>
                <w:rFonts w:eastAsiaTheme="minorHAnsi"/>
                <w:lang w:eastAsia="en-US"/>
              </w:rPr>
              <w:t xml:space="preserve"> </w:t>
            </w:r>
            <w:r w:rsidR="00B52557" w:rsidRPr="00464DA6">
              <w:rPr>
                <w:rFonts w:eastAsiaTheme="minorHAnsi"/>
                <w:lang w:eastAsia="en-US"/>
              </w:rPr>
              <w:t>un a</w:t>
            </w:r>
            <w:r w:rsidR="00B52557" w:rsidRPr="00BD24F5">
              <w:rPr>
                <w:rFonts w:eastAsiaTheme="minorHAnsi"/>
                <w:lang w:eastAsia="en-US"/>
              </w:rPr>
              <w:t>zartspēļu uzraudzības inspekcijā.</w:t>
            </w:r>
          </w:p>
          <w:p w14:paraId="5CC50501" w14:textId="3315C5C8" w:rsidR="00F71933" w:rsidRPr="00BD24F5" w:rsidRDefault="00F71933" w:rsidP="00F03B8B">
            <w:pPr>
              <w:pStyle w:val="tv213"/>
              <w:shd w:val="clear" w:color="auto" w:fill="FFFFFF"/>
              <w:tabs>
                <w:tab w:val="left" w:pos="800"/>
              </w:tabs>
              <w:spacing w:before="0" w:beforeAutospacing="0" w:after="0" w:afterAutospacing="0"/>
              <w:jc w:val="both"/>
            </w:pPr>
            <w:r w:rsidRPr="00BD24F5">
              <w:rPr>
                <w:shd w:val="clear" w:color="auto" w:fill="FFFFFF"/>
              </w:rPr>
              <w:t>L</w:t>
            </w:r>
            <w:r w:rsidR="00464DA6" w:rsidRPr="00BD24F5">
              <w:rPr>
                <w:shd w:val="clear" w:color="auto" w:fill="FFFFFF"/>
              </w:rPr>
              <w:t xml:space="preserve">ikumprojektā </w:t>
            </w:r>
            <w:r w:rsidR="00B52557" w:rsidRPr="00BD24F5">
              <w:rPr>
                <w:lang w:eastAsia="ru-RU"/>
              </w:rPr>
              <w:t xml:space="preserve"> paredzēts </w:t>
            </w:r>
            <w:r w:rsidR="00B52557" w:rsidRPr="00BD24F5">
              <w:rPr>
                <w:shd w:val="clear" w:color="auto" w:fill="FFFFFF"/>
              </w:rPr>
              <w:t xml:space="preserve">jauns azartspēļu nodevas objekts </w:t>
            </w:r>
            <w:r w:rsidR="00B52557" w:rsidRPr="00BD24F5">
              <w:rPr>
                <w:lang w:eastAsia="ru-RU"/>
              </w:rPr>
              <w:t>–</w:t>
            </w:r>
            <w:r w:rsidR="00B52557" w:rsidRPr="00BD24F5">
              <w:rPr>
                <w:shd w:val="clear" w:color="auto" w:fill="FFFFFF"/>
              </w:rPr>
              <w:t xml:space="preserve"> par a</w:t>
            </w:r>
            <w:r w:rsidR="00B52557" w:rsidRPr="00BD24F5">
              <w:t xml:space="preserve">zartspēļu pakalpojumu sniegšanas </w:t>
            </w:r>
            <w:r w:rsidR="00B52557" w:rsidRPr="00BD24F5">
              <w:rPr>
                <w:shd w:val="clear" w:color="auto" w:fill="FFFFFF"/>
              </w:rPr>
              <w:t>licences izsniegšanu vai pārreģistrāciju.</w:t>
            </w:r>
            <w:r w:rsidR="00497062" w:rsidRPr="00BD24F5">
              <w:rPr>
                <w:shd w:val="clear" w:color="auto" w:fill="FFFFFF"/>
              </w:rPr>
              <w:t xml:space="preserve"> Par šādas licences izsniegšanu vai pārreģistrāciju Likumprojektā paredzēta azartspēļu nodeva 1000 </w:t>
            </w:r>
            <w:proofErr w:type="spellStart"/>
            <w:r w:rsidR="00497062" w:rsidRPr="00BD24F5">
              <w:rPr>
                <w:i/>
                <w:shd w:val="clear" w:color="auto" w:fill="FFFFFF"/>
              </w:rPr>
              <w:t>euro</w:t>
            </w:r>
            <w:proofErr w:type="spellEnd"/>
            <w:r w:rsidR="00497062" w:rsidRPr="00BD24F5">
              <w:rPr>
                <w:shd w:val="clear" w:color="auto" w:fill="FFFFFF"/>
              </w:rPr>
              <w:t xml:space="preserve"> apmērā.</w:t>
            </w:r>
            <w:r w:rsidR="0008397F" w:rsidRPr="00BD24F5">
              <w:rPr>
                <w:shd w:val="clear" w:color="auto" w:fill="FFFFFF"/>
              </w:rPr>
              <w:t xml:space="preserve"> </w:t>
            </w:r>
            <w:r w:rsidRPr="00BD24F5">
              <w:rPr>
                <w:shd w:val="clear" w:color="auto" w:fill="FFFFFF"/>
              </w:rPr>
              <w:t>Likumprojektā p</w:t>
            </w:r>
            <w:r w:rsidR="0008397F" w:rsidRPr="00BD24F5">
              <w:rPr>
                <w:shd w:val="clear" w:color="auto" w:fill="FFFFFF"/>
              </w:rPr>
              <w:t>aredzēts, ka</w:t>
            </w:r>
            <w:r w:rsidR="002C385D">
              <w:rPr>
                <w:shd w:val="clear" w:color="auto" w:fill="FFFFFF"/>
              </w:rPr>
              <w:t xml:space="preserve"> </w:t>
            </w:r>
            <w:r w:rsidRPr="00BD24F5">
              <w:t>a</w:t>
            </w:r>
            <w:r w:rsidR="0008397F" w:rsidRPr="00BD24F5">
              <w:t>zartspēļu nodevu par azartspēļu pakalpojumu sniegšanas licences izsniegšanu maksā pirms licences izsniegšanas</w:t>
            </w:r>
            <w:r w:rsidR="002C385D">
              <w:t>.</w:t>
            </w:r>
          </w:p>
          <w:p w14:paraId="2D108F65" w14:textId="65516A29" w:rsidR="00464DA6" w:rsidRPr="00BD24F5" w:rsidRDefault="00497062" w:rsidP="00464DA6">
            <w:pPr>
              <w:jc w:val="both"/>
              <w:rPr>
                <w:rFonts w:eastAsiaTheme="minorHAnsi"/>
                <w:shd w:val="clear" w:color="auto" w:fill="FFFFFF"/>
                <w:lang w:eastAsia="en-US"/>
              </w:rPr>
            </w:pPr>
            <w:r w:rsidRPr="00BD24F5">
              <w:rPr>
                <w:lang w:eastAsia="ru-RU"/>
              </w:rPr>
              <w:t xml:space="preserve">Likumprojektā </w:t>
            </w:r>
            <w:r w:rsidR="00464DA6" w:rsidRPr="00BD24F5">
              <w:rPr>
                <w:shd w:val="clear" w:color="auto" w:fill="FFFFFF"/>
              </w:rPr>
              <w:t>paredzēts</w:t>
            </w:r>
            <w:r w:rsidRPr="00BD24F5">
              <w:rPr>
                <w:shd w:val="clear" w:color="auto" w:fill="FFFFFF"/>
              </w:rPr>
              <w:t xml:space="preserve"> precizēt</w:t>
            </w:r>
            <w:r w:rsidR="00464DA6" w:rsidRPr="00BD24F5">
              <w:rPr>
                <w:shd w:val="clear" w:color="auto" w:fill="FFFFFF"/>
              </w:rPr>
              <w:t xml:space="preserve">, ka par </w:t>
            </w:r>
            <w:r w:rsidRPr="00BD24F5">
              <w:t xml:space="preserve">jauno </w:t>
            </w:r>
            <w:r w:rsidRPr="00BD24F5">
              <w:rPr>
                <w:lang w:eastAsia="ru-RU"/>
              </w:rPr>
              <w:t xml:space="preserve">Likuma </w:t>
            </w:r>
            <w:r w:rsidRPr="00BD24F5">
              <w:t>3.panta pirmās daļas 4.punktā</w:t>
            </w:r>
            <w:r w:rsidRPr="00BD24F5">
              <w:rPr>
                <w:shd w:val="clear" w:color="auto" w:fill="FFFFFF"/>
              </w:rPr>
              <w:t xml:space="preserve"> noteikto</w:t>
            </w:r>
            <w:r w:rsidR="00464DA6" w:rsidRPr="00BD24F5">
              <w:rPr>
                <w:shd w:val="clear" w:color="auto" w:fill="FFFFFF"/>
              </w:rPr>
              <w:t xml:space="preserve"> objektu</w:t>
            </w:r>
            <w:r w:rsidRPr="00BD24F5">
              <w:rPr>
                <w:shd w:val="clear" w:color="auto" w:fill="FFFFFF"/>
              </w:rPr>
              <w:t xml:space="preserve"> kāršu, kauliņu spēles un ruletes (cilindriskās spēles) galdu</w:t>
            </w:r>
            <w:r w:rsidR="0008397F" w:rsidRPr="00BD24F5">
              <w:rPr>
                <w:shd w:val="clear" w:color="auto" w:fill="FFFFFF"/>
              </w:rPr>
              <w:t xml:space="preserve">, kas tiek izmantots azartspēļu video tiešsaistei ar trešajām personām, </w:t>
            </w:r>
            <w:r w:rsidR="00464DA6" w:rsidRPr="00BD24F5">
              <w:rPr>
                <w:shd w:val="clear" w:color="auto" w:fill="FFFFFF"/>
              </w:rPr>
              <w:t xml:space="preserve">azartspēļu nodokli maksās </w:t>
            </w:r>
            <w:r w:rsidR="00464DA6" w:rsidRPr="00BD24F5">
              <w:rPr>
                <w:rFonts w:eastAsiaTheme="minorHAnsi"/>
                <w:shd w:val="clear" w:color="auto" w:fill="FFFFFF"/>
                <w:lang w:eastAsia="en-US"/>
              </w:rPr>
              <w:t>komersants, kas likumā noteiktajā kārtībā saņēmis a</w:t>
            </w:r>
            <w:r w:rsidR="00464DA6" w:rsidRPr="00BD24F5">
              <w:rPr>
                <w:rFonts w:eastAsiaTheme="minorHAnsi"/>
                <w:lang w:eastAsia="en-US"/>
              </w:rPr>
              <w:t xml:space="preserve">zartspēļu </w:t>
            </w:r>
            <w:r w:rsidR="00464DA6" w:rsidRPr="00BD24F5">
              <w:rPr>
                <w:rFonts w:eastAsiaTheme="minorHAnsi"/>
                <w:lang w:eastAsia="en-US"/>
              </w:rPr>
              <w:lastRenderedPageBreak/>
              <w:t>pakalpojumu sniegšanas licenci</w:t>
            </w:r>
            <w:r w:rsidR="00464DA6" w:rsidRPr="00BD24F5">
              <w:rPr>
                <w:rFonts w:eastAsiaTheme="minorHAnsi"/>
                <w:shd w:val="clear" w:color="auto" w:fill="FFFFFF"/>
                <w:lang w:eastAsia="en-US"/>
              </w:rPr>
              <w:t>.</w:t>
            </w:r>
          </w:p>
          <w:p w14:paraId="4D012854" w14:textId="7F62A54C" w:rsidR="00F71933" w:rsidRPr="00BD24F5" w:rsidRDefault="00BD24F5" w:rsidP="00464DA6">
            <w:pPr>
              <w:jc w:val="both"/>
            </w:pPr>
            <w:r w:rsidRPr="00BD24F5">
              <w:t xml:space="preserve">Likumprojektā paredzēta kārtība, kādā azartspēļu pakalpojumu sniedzēji paziņos </w:t>
            </w:r>
            <w:r w:rsidRPr="00464DA6">
              <w:rPr>
                <w:rFonts w:eastAsiaTheme="minorHAnsi"/>
                <w:lang w:eastAsia="en-US"/>
              </w:rPr>
              <w:t>Izložu un azartspēļu uzraudzības inspekcija</w:t>
            </w:r>
            <w:r w:rsidRPr="00BD24F5">
              <w:rPr>
                <w:rFonts w:eastAsiaTheme="minorHAnsi"/>
                <w:lang w:eastAsia="en-US"/>
              </w:rPr>
              <w:t xml:space="preserve">i </w:t>
            </w:r>
            <w:r w:rsidRPr="00BD24F5">
              <w:rPr>
                <w:lang w:eastAsia="ru-RU"/>
              </w:rPr>
              <w:t xml:space="preserve">Likuma </w:t>
            </w:r>
            <w:r w:rsidRPr="00BD24F5">
              <w:t xml:space="preserve">3.panta pirmās daļas 4.punktā minēto galdu skaitu. </w:t>
            </w:r>
          </w:p>
          <w:p w14:paraId="05A2AD3B" w14:textId="6D5221A9" w:rsidR="00BD24F5" w:rsidRPr="00BD24F5" w:rsidRDefault="00BD24F5" w:rsidP="00464DA6">
            <w:pPr>
              <w:jc w:val="both"/>
              <w:rPr>
                <w:rFonts w:eastAsiaTheme="minorHAnsi"/>
                <w:lang w:eastAsia="en-US"/>
              </w:rPr>
            </w:pPr>
            <w:r w:rsidRPr="00BD24F5">
              <w:t>Likumprojektā paredzēts, ka</w:t>
            </w:r>
            <w:r w:rsidRPr="00BD24F5">
              <w:rPr>
                <w:rFonts w:eastAsiaTheme="minorHAnsi"/>
                <w:lang w:eastAsia="en-US"/>
              </w:rPr>
              <w:t xml:space="preserve"> azartspēļu nodoklis par </w:t>
            </w:r>
            <w:r w:rsidR="000F51E6">
              <w:rPr>
                <w:rFonts w:eastAsiaTheme="minorHAnsi"/>
                <w:lang w:eastAsia="en-US"/>
              </w:rPr>
              <w:t>L</w:t>
            </w:r>
            <w:r w:rsidRPr="00BD24F5">
              <w:rPr>
                <w:rFonts w:eastAsiaTheme="minorHAnsi"/>
                <w:lang w:eastAsia="en-US"/>
              </w:rPr>
              <w:t>ikuma 3.panta pirmās daļas 4.punktā minēto objektu maksājams katru mēnesi kā viena divpadsmitā daļa no gada kopējās nodokļa likmes.</w:t>
            </w:r>
          </w:p>
          <w:p w14:paraId="49827BC0" w14:textId="066C3EDD" w:rsidR="009B3320" w:rsidRPr="009B3320" w:rsidRDefault="00BD24F5" w:rsidP="009B3320">
            <w:pPr>
              <w:shd w:val="clear" w:color="auto" w:fill="FFFFFF"/>
              <w:jc w:val="both"/>
            </w:pPr>
            <w:r w:rsidRPr="009B3320">
              <w:t xml:space="preserve">Likumprojektā paredzēts, ka </w:t>
            </w:r>
            <w:r w:rsidR="009B3320" w:rsidRPr="009B3320">
              <w:t>azartspēļu pakalpojumu sniedzējs 20 dienu laikā pēc mēneša beigām iesniedz Valsts ieņēmumu dienestam azartspēļu nodokļa pārskatu par aprēķināto azartspēļu nodokli</w:t>
            </w:r>
            <w:r w:rsidR="00955273">
              <w:t xml:space="preserve"> par</w:t>
            </w:r>
            <w:r w:rsidR="009B3320" w:rsidRPr="009B3320">
              <w:t xml:space="preserve"> pārskata mēnes</w:t>
            </w:r>
            <w:r w:rsidR="00955273">
              <w:t>i</w:t>
            </w:r>
            <w:r w:rsidR="009B3320">
              <w:t>, kurā norāda šādu informāciju:</w:t>
            </w:r>
          </w:p>
          <w:p w14:paraId="76185FCE" w14:textId="7C1F41F6" w:rsidR="009B3320" w:rsidRPr="009B3320" w:rsidRDefault="009B3320" w:rsidP="009B3320">
            <w:pPr>
              <w:shd w:val="clear" w:color="auto" w:fill="FFFFFF"/>
              <w:ind w:firstLine="720"/>
              <w:jc w:val="both"/>
            </w:pPr>
            <w:r w:rsidRPr="009B3320">
              <w:t>1) a</w:t>
            </w:r>
            <w:r w:rsidRPr="009B3320">
              <w:rPr>
                <w:rFonts w:eastAsiaTheme="minorHAnsi"/>
                <w:lang w:eastAsia="en-US"/>
              </w:rPr>
              <w:t>zartspēļu pakalpojumu sniedzēja nosaukums</w:t>
            </w:r>
            <w:r w:rsidRPr="009B3320">
              <w:t xml:space="preserve">, reģistrācijas numurs, juridiskā adrese, </w:t>
            </w:r>
            <w:r w:rsidRPr="009B3320">
              <w:rPr>
                <w:rFonts w:eastAsiaTheme="minorHAnsi"/>
                <w:shd w:val="clear" w:color="auto" w:fill="FFFFFF"/>
                <w:lang w:eastAsia="en-US"/>
              </w:rPr>
              <w:t>a</w:t>
            </w:r>
            <w:r w:rsidRPr="009B3320">
              <w:rPr>
                <w:rFonts w:eastAsiaTheme="minorHAnsi"/>
                <w:lang w:eastAsia="en-US"/>
              </w:rPr>
              <w:t>zartspēļu pakalpojumu sniegšanas licences</w:t>
            </w:r>
            <w:r w:rsidRPr="009B3320">
              <w:t xml:space="preserve"> numurs;</w:t>
            </w:r>
          </w:p>
          <w:p w14:paraId="2020481E" w14:textId="72FE385E" w:rsidR="009B3320" w:rsidRPr="009B3320" w:rsidRDefault="009B3320" w:rsidP="009B3320">
            <w:pPr>
              <w:shd w:val="clear" w:color="auto" w:fill="FFFFFF"/>
              <w:ind w:firstLine="720"/>
              <w:jc w:val="both"/>
            </w:pPr>
            <w:r w:rsidRPr="009B3320">
              <w:t xml:space="preserve">2) pārskata mēnesī </w:t>
            </w:r>
            <w:r w:rsidRPr="009B3320">
              <w:rPr>
                <w:shd w:val="clear" w:color="auto" w:fill="FFFFFF"/>
              </w:rPr>
              <w:t>Izložu un azartspēļu uzraudzības inspekcijai</w:t>
            </w:r>
            <w:r w:rsidRPr="009B3320">
              <w:t xml:space="preserve"> paziņoto spēļu galdu skaits un to sadalījums pa veidiem (nosaukums);</w:t>
            </w:r>
          </w:p>
          <w:p w14:paraId="117B5821" w14:textId="77777777" w:rsidR="009B3320" w:rsidRPr="009B3320" w:rsidRDefault="009B3320" w:rsidP="009B3320">
            <w:pPr>
              <w:shd w:val="clear" w:color="auto" w:fill="FFFFFF"/>
              <w:ind w:firstLine="720"/>
              <w:jc w:val="both"/>
            </w:pPr>
            <w:r w:rsidRPr="009B3320">
              <w:t>3)  azartspēļu nodokļa summa (</w:t>
            </w:r>
            <w:proofErr w:type="spellStart"/>
            <w:r w:rsidRPr="009B3320">
              <w:rPr>
                <w:i/>
                <w:iCs/>
              </w:rPr>
              <w:t>euro</w:t>
            </w:r>
            <w:proofErr w:type="spellEnd"/>
            <w:r w:rsidRPr="009B3320">
              <w:t>) kopā par visiem spēļu galdiem.</w:t>
            </w:r>
          </w:p>
          <w:p w14:paraId="223C4B1F" w14:textId="676774CD" w:rsidR="009B3320" w:rsidRDefault="009B3320" w:rsidP="009B3320">
            <w:pPr>
              <w:jc w:val="both"/>
            </w:pPr>
            <w:r w:rsidRPr="009B3320">
              <w:t xml:space="preserve">Likumprojektā paredzēts, ka azartspēļu nodokli par </w:t>
            </w:r>
            <w:r w:rsidR="00DE2083">
              <w:t>L</w:t>
            </w:r>
            <w:r w:rsidRPr="009B3320">
              <w:t>ikuma 3.panta pirmās daļas 4.punktā minēto objektu maksā par mēnesi līdz nākamā mēneša 23.datumam (ieskaitot)</w:t>
            </w:r>
            <w:r w:rsidR="002C385D">
              <w:t>, vienlaicīgi paredzot pārejas noteikumus par kārtību kā azartspēļu nodokli maksā par periodu no 2018.gada 1.janvāra līdz mēnesim, kurā azartspēļu paka</w:t>
            </w:r>
            <w:r w:rsidR="00DE2083">
              <w:t>lp</w:t>
            </w:r>
            <w:r w:rsidR="002C385D">
              <w:t>ojumu sniedzējs iegūst azartspēļu pakal</w:t>
            </w:r>
            <w:r w:rsidR="00DE2083">
              <w:t>p</w:t>
            </w:r>
            <w:r w:rsidR="002C385D">
              <w:t>ojumu sniegšanas licenci</w:t>
            </w:r>
            <w:r w:rsidRPr="009B3320">
              <w:t>.</w:t>
            </w:r>
          </w:p>
          <w:p w14:paraId="10695883" w14:textId="68D6BF9C" w:rsidR="00464DA6" w:rsidRPr="00464DA6" w:rsidRDefault="00464DA6" w:rsidP="00464DA6">
            <w:pPr>
              <w:tabs>
                <w:tab w:val="center" w:pos="4680"/>
                <w:tab w:val="right" w:pos="9360"/>
              </w:tabs>
              <w:jc w:val="both"/>
              <w:rPr>
                <w:lang w:eastAsia="en-US"/>
              </w:rPr>
            </w:pPr>
            <w:r w:rsidRPr="00BD24F5">
              <w:t>Likumprojektā paredzēts, ka likums stāsies spēkā 2018.gada 1.janvārī.</w:t>
            </w:r>
          </w:p>
        </w:tc>
      </w:tr>
      <w:tr w:rsidR="00464DA6" w:rsidRPr="00464DA6" w14:paraId="527AB02C" w14:textId="77777777" w:rsidTr="006841E4"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9D452" w14:textId="77777777" w:rsidR="00464DA6" w:rsidRPr="00464DA6" w:rsidRDefault="00464DA6" w:rsidP="00464DA6">
            <w:r w:rsidRPr="00464DA6">
              <w:lastRenderedPageBreak/>
              <w:t>3.</w:t>
            </w:r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F30D07" w14:textId="77777777" w:rsidR="00464DA6" w:rsidRPr="00464DA6" w:rsidRDefault="00464DA6" w:rsidP="00464DA6">
            <w:r w:rsidRPr="00464DA6">
              <w:t>Projekta izstrādē iesaistītās institūcijas</w:t>
            </w:r>
          </w:p>
        </w:tc>
        <w:tc>
          <w:tcPr>
            <w:tcW w:w="3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47AB12" w14:textId="77777777" w:rsidR="00464DA6" w:rsidRPr="00464DA6" w:rsidRDefault="00464DA6" w:rsidP="00F03B8B">
            <w:pPr>
              <w:jc w:val="both"/>
            </w:pPr>
            <w:r w:rsidRPr="00464DA6">
              <w:rPr>
                <w:rFonts w:eastAsiaTheme="minorHAnsi"/>
                <w:lang w:eastAsia="en-US"/>
              </w:rPr>
              <w:t>Izložu un azartspēļu uzraudzības inspekcija un Valsts ieņēmumu dienests.</w:t>
            </w:r>
          </w:p>
        </w:tc>
      </w:tr>
      <w:tr w:rsidR="00464DA6" w:rsidRPr="00464DA6" w14:paraId="2E441782" w14:textId="77777777" w:rsidTr="006841E4">
        <w:tc>
          <w:tcPr>
            <w:tcW w:w="2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571A2" w14:textId="77777777" w:rsidR="00464DA6" w:rsidRPr="00464DA6" w:rsidRDefault="00464DA6" w:rsidP="00464DA6">
            <w:r w:rsidRPr="00464DA6">
              <w:t>4.</w:t>
            </w:r>
          </w:p>
        </w:tc>
        <w:tc>
          <w:tcPr>
            <w:tcW w:w="11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A53208" w14:textId="77777777" w:rsidR="00464DA6" w:rsidRPr="00464DA6" w:rsidRDefault="00464DA6" w:rsidP="00464DA6">
            <w:r w:rsidRPr="00464DA6">
              <w:t>Cita informācija</w:t>
            </w:r>
          </w:p>
        </w:tc>
        <w:tc>
          <w:tcPr>
            <w:tcW w:w="3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87D6978" w14:textId="77777777" w:rsidR="00464DA6" w:rsidRPr="00464DA6" w:rsidRDefault="00464DA6" w:rsidP="00464DA6">
            <w:pPr>
              <w:jc w:val="both"/>
            </w:pPr>
            <w:r w:rsidRPr="00464DA6">
              <w:t>Nav.</w:t>
            </w:r>
          </w:p>
        </w:tc>
      </w:tr>
    </w:tbl>
    <w:p w14:paraId="6B3738DC" w14:textId="62824EF8" w:rsidR="00D95716" w:rsidRPr="00990964" w:rsidRDefault="00D95716" w:rsidP="000D3520">
      <w:pPr>
        <w:pStyle w:val="NormalWeb"/>
        <w:spacing w:before="0" w:beforeAutospacing="0" w:after="0" w:afterAutospacing="0"/>
      </w:pPr>
    </w:p>
    <w:tbl>
      <w:tblPr>
        <w:tblW w:w="5059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1"/>
        <w:gridCol w:w="3720"/>
        <w:gridCol w:w="5414"/>
      </w:tblGrid>
      <w:tr w:rsidR="00990964" w:rsidRPr="00990964" w14:paraId="63BF72B9" w14:textId="77777777" w:rsidTr="00A436BC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14:paraId="63BF72B8" w14:textId="77777777" w:rsidR="001E4890" w:rsidRPr="00990964" w:rsidRDefault="001E4890" w:rsidP="000D352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90964">
              <w:rPr>
                <w:b/>
                <w:bCs/>
              </w:rPr>
              <w:t>II. Tiesību akta projekta ietekme uz sabiedrību</w:t>
            </w:r>
            <w:r w:rsidR="00E459BB" w:rsidRPr="00990964">
              <w:rPr>
                <w:b/>
                <w:bCs/>
              </w:rPr>
              <w:t>, tautsaimniecības attīstību un administratīvo slogu</w:t>
            </w:r>
          </w:p>
        </w:tc>
      </w:tr>
      <w:tr w:rsidR="00990964" w:rsidRPr="00990964" w14:paraId="63BF72BD" w14:textId="77777777" w:rsidTr="00BA07B9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BA" w14:textId="77777777" w:rsidR="001E4890" w:rsidRPr="00990964" w:rsidRDefault="001E4890" w:rsidP="000D3520">
            <w:pPr>
              <w:pStyle w:val="NormalWeb"/>
              <w:spacing w:before="0" w:beforeAutospacing="0" w:after="0" w:afterAutospacing="0"/>
            </w:pPr>
            <w:r w:rsidRPr="00990964">
              <w:t>1.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BB" w14:textId="77777777" w:rsidR="001E4890" w:rsidRPr="00990964" w:rsidRDefault="001E4890" w:rsidP="000D3520">
            <w:pPr>
              <w:pStyle w:val="NormalWeb"/>
              <w:spacing w:before="0" w:beforeAutospacing="0" w:after="0" w:afterAutospacing="0"/>
            </w:pPr>
            <w:r w:rsidRPr="00990964">
              <w:t>Sabiedrības mērķgrupa</w:t>
            </w:r>
            <w:r w:rsidR="00E459BB" w:rsidRPr="00990964">
              <w:t>s, kuras tiesiskais regulējums ietekmē vai varētu ietekmēt</w:t>
            </w:r>
          </w:p>
        </w:tc>
        <w:tc>
          <w:tcPr>
            <w:tcW w:w="2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BC" w14:textId="11DDE58D" w:rsidR="003A3E26" w:rsidRPr="00990964" w:rsidRDefault="00143C39" w:rsidP="00B1067D">
            <w:pPr>
              <w:pStyle w:val="naiskr"/>
              <w:tabs>
                <w:tab w:val="left" w:pos="2628"/>
              </w:tabs>
              <w:spacing w:before="0" w:after="120"/>
              <w:jc w:val="both"/>
            </w:pPr>
            <w:r w:rsidRPr="00990964">
              <w:t>Azartspēļu pakalpojumu sniedzēji</w:t>
            </w:r>
            <w:r w:rsidR="007D4A68" w:rsidRPr="00990964">
              <w:t xml:space="preserve">. Pašlaik Latvijā </w:t>
            </w:r>
            <w:r w:rsidRPr="00990964">
              <w:t>konstatēti 7 azartspēļu pakalpojumu sniedzēji</w:t>
            </w:r>
            <w:r w:rsidR="007D4A68" w:rsidRPr="00990964">
              <w:t xml:space="preserve">. </w:t>
            </w:r>
          </w:p>
        </w:tc>
      </w:tr>
      <w:tr w:rsidR="00990964" w:rsidRPr="00990964" w14:paraId="63BF72C3" w14:textId="77777777" w:rsidTr="00BA07B9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BE" w14:textId="77777777" w:rsidR="001E4890" w:rsidRPr="00990964" w:rsidRDefault="001E4890" w:rsidP="000D3520">
            <w:pPr>
              <w:pStyle w:val="NormalWeb"/>
              <w:spacing w:before="0" w:beforeAutospacing="0" w:after="0" w:afterAutospacing="0"/>
            </w:pPr>
            <w:r w:rsidRPr="00990964">
              <w:t>2.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BF" w14:textId="77777777" w:rsidR="001E4890" w:rsidRPr="00990964" w:rsidRDefault="00E459BB" w:rsidP="000D3520">
            <w:pPr>
              <w:pStyle w:val="NormalWeb"/>
              <w:spacing w:before="0" w:beforeAutospacing="0" w:after="0" w:afterAutospacing="0"/>
              <w:rPr>
                <w:spacing w:val="-4"/>
              </w:rPr>
            </w:pPr>
            <w:r w:rsidRPr="00990964">
              <w:rPr>
                <w:spacing w:val="-4"/>
              </w:rPr>
              <w:t>Tiesiskā regulējuma ietekme uz tautsaimniecību un administratīvo slogu</w:t>
            </w:r>
          </w:p>
        </w:tc>
        <w:tc>
          <w:tcPr>
            <w:tcW w:w="2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1319A" w14:textId="08BC1690" w:rsidR="00AC53B0" w:rsidRDefault="00AC53B0" w:rsidP="00AC53B0">
            <w:pPr>
              <w:jc w:val="both"/>
              <w:rPr>
                <w:shd w:val="clear" w:color="auto" w:fill="FFFFFF"/>
              </w:rPr>
            </w:pPr>
            <w:r w:rsidRPr="00076357">
              <w:rPr>
                <w:shd w:val="clear" w:color="auto" w:fill="FFFFFF"/>
              </w:rPr>
              <w:t xml:space="preserve">Likumprojektā paredzēts jauns azartspēļu nodevas objekts </w:t>
            </w:r>
            <w:r w:rsidRPr="00BD24F5">
              <w:rPr>
                <w:lang w:eastAsia="ru-RU"/>
              </w:rPr>
              <w:t>–</w:t>
            </w:r>
            <w:r w:rsidRPr="00076357">
              <w:rPr>
                <w:shd w:val="clear" w:color="auto" w:fill="FFFFFF"/>
              </w:rPr>
              <w:t xml:space="preserve"> </w:t>
            </w:r>
            <w:r w:rsidRPr="00990964">
              <w:rPr>
                <w:shd w:val="clear" w:color="auto" w:fill="FFFFFF"/>
              </w:rPr>
              <w:t>par a</w:t>
            </w:r>
            <w:r w:rsidRPr="00990964">
              <w:t xml:space="preserve">zartspēļu pakalpojumu sniegšanas </w:t>
            </w:r>
            <w:r w:rsidRPr="00990964">
              <w:rPr>
                <w:shd w:val="clear" w:color="auto" w:fill="FFFFFF"/>
              </w:rPr>
              <w:t xml:space="preserve">licences </w:t>
            </w:r>
            <w:r>
              <w:rPr>
                <w:shd w:val="clear" w:color="auto" w:fill="FFFFFF"/>
              </w:rPr>
              <w:t>izsniegšanu vai pārreģistrāciju.</w:t>
            </w:r>
          </w:p>
          <w:p w14:paraId="63BF72C2" w14:textId="2D1A3ED1" w:rsidR="007C454A" w:rsidRPr="00990964" w:rsidRDefault="00B40919" w:rsidP="00B1067D">
            <w:pPr>
              <w:jc w:val="both"/>
            </w:pPr>
            <w:r>
              <w:rPr>
                <w:shd w:val="clear" w:color="auto" w:fill="FFFFFF"/>
              </w:rPr>
              <w:t>Likumprojektā paredzēts, ka a</w:t>
            </w:r>
            <w:r w:rsidRPr="00990964">
              <w:t>zartspēļu pakalpojumu sniedzēji</w:t>
            </w:r>
            <w:r>
              <w:t>em</w:t>
            </w:r>
            <w:r w:rsidRPr="00BD24F5">
              <w:t xml:space="preserve"> </w:t>
            </w:r>
            <w:r w:rsidR="00E16B1E">
              <w:t>katru mēnes</w:t>
            </w:r>
            <w:r w:rsidR="00DE2083">
              <w:t>i</w:t>
            </w:r>
            <w:r w:rsidR="00E16B1E">
              <w:t xml:space="preserve"> </w:t>
            </w:r>
            <w:r>
              <w:t>jā</w:t>
            </w:r>
            <w:r w:rsidRPr="00BD24F5">
              <w:t xml:space="preserve">sniedz </w:t>
            </w:r>
            <w:r w:rsidR="00E16B1E">
              <w:t xml:space="preserve">uz attiecīgo mēnesi </w:t>
            </w:r>
            <w:r w:rsidR="00F63B93">
              <w:t>paredzētais ekspluatējamo</w:t>
            </w:r>
            <w:r w:rsidR="00E16B1E">
              <w:t xml:space="preserve"> spēļu galdu skaits Izložu un azartspēļu uzraudzības  inspekcijai un jāsniedz </w:t>
            </w:r>
            <w:r w:rsidRPr="00BD24F5">
              <w:t>Valsts ieņēmumu dienestam azartspēļu nodokļa pārskat</w:t>
            </w:r>
            <w:r>
              <w:t>s</w:t>
            </w:r>
            <w:r w:rsidRPr="00BD24F5">
              <w:t xml:space="preserve"> par aprēķināto azartspēļu nodokli </w:t>
            </w:r>
            <w:r w:rsidR="00955273">
              <w:t xml:space="preserve">par </w:t>
            </w:r>
            <w:r w:rsidRPr="00BD24F5">
              <w:t xml:space="preserve">pārskata </w:t>
            </w:r>
            <w:r w:rsidR="009B3320">
              <w:t>mēnes</w:t>
            </w:r>
            <w:r w:rsidR="00955273">
              <w:t>i</w:t>
            </w:r>
            <w:r w:rsidR="00DE2083">
              <w:t>.</w:t>
            </w:r>
            <w:r w:rsidRPr="00464DA6">
              <w:rPr>
                <w:shd w:val="clear" w:color="auto" w:fill="FFFFFF"/>
              </w:rPr>
              <w:t xml:space="preserve"> </w:t>
            </w:r>
            <w:r w:rsidR="00DE2083">
              <w:lastRenderedPageBreak/>
              <w:t>A</w:t>
            </w:r>
            <w:r w:rsidR="00DA658D" w:rsidRPr="00990964">
              <w:t>zartspēļu pakalpojumu sniedzējiem administratīvais slogs palielināsies</w:t>
            </w:r>
            <w:r w:rsidR="00E16B1E">
              <w:t xml:space="preserve"> nebūtiski. Ņemot vērā, ka pakalpojumus nevar sniegt, nezinot izmantoto galdu skaitu un to veidus, kā arī galdu skaita reizināšana ar nodokļa likmi (visi</w:t>
            </w:r>
            <w:r w:rsidR="00DE2083">
              <w:t>e</w:t>
            </w:r>
            <w:r w:rsidR="00E16B1E">
              <w:t xml:space="preserve">m galdu veidiem viena likme) nevar radīt vērā ņemamu administratīvo slogu.  </w:t>
            </w:r>
          </w:p>
        </w:tc>
      </w:tr>
      <w:tr w:rsidR="00990964" w:rsidRPr="00990964" w14:paraId="63BF72C7" w14:textId="77777777" w:rsidTr="00BA07B9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C4" w14:textId="4F7F3C19" w:rsidR="001E4890" w:rsidRPr="00990964" w:rsidRDefault="001E4890" w:rsidP="000D3520">
            <w:pPr>
              <w:pStyle w:val="NormalWeb"/>
              <w:spacing w:before="0" w:beforeAutospacing="0" w:after="0" w:afterAutospacing="0"/>
            </w:pPr>
            <w:r w:rsidRPr="00990964">
              <w:lastRenderedPageBreak/>
              <w:t>3.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C5" w14:textId="77777777" w:rsidR="001E4890" w:rsidRPr="00990964" w:rsidRDefault="00E459BB" w:rsidP="000D3520">
            <w:pPr>
              <w:pStyle w:val="NormalWeb"/>
              <w:spacing w:before="0" w:beforeAutospacing="0" w:after="0" w:afterAutospacing="0"/>
            </w:pPr>
            <w:r w:rsidRPr="00990964">
              <w:t>Administratīvo izmaksu monetārs novērtējums</w:t>
            </w:r>
          </w:p>
        </w:tc>
        <w:tc>
          <w:tcPr>
            <w:tcW w:w="2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C6" w14:textId="135D44DD" w:rsidR="004912EA" w:rsidRPr="00990964" w:rsidRDefault="00F379B8" w:rsidP="00B1067D">
            <w:pPr>
              <w:pStyle w:val="NormalWeb"/>
              <w:spacing w:before="0" w:beforeAutospacing="0" w:after="0" w:afterAutospacing="0"/>
              <w:jc w:val="both"/>
            </w:pPr>
            <w:r w:rsidRPr="00990964">
              <w:rPr>
                <w:iCs/>
              </w:rPr>
              <w:t xml:space="preserve">Administratīvās izmaksas </w:t>
            </w:r>
            <w:r w:rsidRPr="00990964">
              <w:t xml:space="preserve">azartspēļu pakalpojumu sniedzējiem, </w:t>
            </w:r>
            <w:r w:rsidR="00DE2083">
              <w:t xml:space="preserve">katru mēnesi </w:t>
            </w:r>
            <w:r w:rsidR="00DE2083" w:rsidRPr="00990964">
              <w:t>iesniedzot</w:t>
            </w:r>
            <w:r w:rsidR="00DE2083">
              <w:t xml:space="preserve"> uz attiecīgo mēnesi </w:t>
            </w:r>
            <w:r w:rsidR="00F63B93">
              <w:t>paredzēto ekspluatējamo</w:t>
            </w:r>
            <w:r w:rsidR="00DE2083">
              <w:t xml:space="preserve"> spēļu galdu skaitu Izložu un azartspēļu uzraudzības inspekcijai</w:t>
            </w:r>
            <w:r w:rsidR="00DE2083" w:rsidRPr="00990964">
              <w:t xml:space="preserve"> </w:t>
            </w:r>
            <w:r w:rsidR="00DE2083">
              <w:t xml:space="preserve">un iesniedzot </w:t>
            </w:r>
            <w:r w:rsidR="00DE2083" w:rsidRPr="00BD24F5">
              <w:t>Valsts ieņēmumu dienestam azartspēļu nodokļa</w:t>
            </w:r>
            <w:r w:rsidR="00DE2083" w:rsidRPr="00990964">
              <w:t xml:space="preserve"> </w:t>
            </w:r>
            <w:r w:rsidRPr="00990964">
              <w:t xml:space="preserve">pārskatu par </w:t>
            </w:r>
            <w:r w:rsidR="00B40919" w:rsidRPr="00BD24F5">
              <w:t>aprēķināto azartspēļu nodokli</w:t>
            </w:r>
            <w:r w:rsidR="00955273">
              <w:t xml:space="preserve"> par</w:t>
            </w:r>
            <w:r w:rsidR="00B40919" w:rsidRPr="00BD24F5">
              <w:t xml:space="preserve"> pārskata </w:t>
            </w:r>
            <w:r w:rsidR="009B3320">
              <w:t>mēnes</w:t>
            </w:r>
            <w:r w:rsidR="00955273">
              <w:t>i</w:t>
            </w:r>
            <w:r w:rsidRPr="00990964">
              <w:t xml:space="preserve">, </w:t>
            </w:r>
            <w:r w:rsidRPr="00990964">
              <w:rPr>
                <w:iCs/>
              </w:rPr>
              <w:t xml:space="preserve">nepārsniegs noteikto līmeni, kad nepieciešams novērtējums. </w:t>
            </w:r>
            <w:r w:rsidRPr="00990964">
              <w:t xml:space="preserve">Administratīvās izmaksas azartspēļu pakalpojumu sniedzējiem </w:t>
            </w:r>
            <w:r w:rsidR="00081B9F">
              <w:t xml:space="preserve">gadā laikā </w:t>
            </w:r>
            <w:r w:rsidRPr="00990964">
              <w:t>nepārsniegs</w:t>
            </w:r>
            <w:r w:rsidR="00B40919">
              <w:t xml:space="preserve"> </w:t>
            </w:r>
            <w:r w:rsidRPr="00990964">
              <w:t xml:space="preserve">2000 </w:t>
            </w:r>
            <w:proofErr w:type="spellStart"/>
            <w:r w:rsidRPr="00990964">
              <w:rPr>
                <w:i/>
              </w:rPr>
              <w:t>euro</w:t>
            </w:r>
            <w:proofErr w:type="spellEnd"/>
            <w:r w:rsidRPr="00990964">
              <w:t>.</w:t>
            </w:r>
          </w:p>
        </w:tc>
      </w:tr>
      <w:tr w:rsidR="00990964" w:rsidRPr="00990964" w14:paraId="63BF72CB" w14:textId="77777777" w:rsidTr="00BA07B9">
        <w:tc>
          <w:tcPr>
            <w:tcW w:w="2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C8" w14:textId="77777777" w:rsidR="001E4890" w:rsidRPr="00990964" w:rsidRDefault="00E459BB" w:rsidP="000D3520">
            <w:pPr>
              <w:pStyle w:val="NormalWeb"/>
              <w:spacing w:before="0" w:beforeAutospacing="0" w:after="0" w:afterAutospacing="0"/>
            </w:pPr>
            <w:r w:rsidRPr="00990964">
              <w:t>4</w:t>
            </w:r>
            <w:r w:rsidR="001E4890" w:rsidRPr="00990964">
              <w:t>.</w:t>
            </w:r>
          </w:p>
        </w:tc>
        <w:tc>
          <w:tcPr>
            <w:tcW w:w="195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C9" w14:textId="77777777" w:rsidR="001E4890" w:rsidRPr="00990964" w:rsidRDefault="001E4890" w:rsidP="000D3520">
            <w:pPr>
              <w:pStyle w:val="NormalWeb"/>
              <w:spacing w:before="0" w:beforeAutospacing="0" w:after="0" w:afterAutospacing="0"/>
            </w:pPr>
            <w:r w:rsidRPr="00990964">
              <w:t>Cita informācija</w:t>
            </w:r>
          </w:p>
        </w:tc>
        <w:tc>
          <w:tcPr>
            <w:tcW w:w="284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2CA" w14:textId="77777777" w:rsidR="001E4890" w:rsidRPr="00990964" w:rsidRDefault="001E4890" w:rsidP="000D3520">
            <w:pPr>
              <w:pStyle w:val="NormalWeb"/>
              <w:spacing w:before="0" w:beforeAutospacing="0" w:after="0" w:afterAutospacing="0"/>
            </w:pPr>
            <w:r w:rsidRPr="00990964">
              <w:t>Nav</w:t>
            </w:r>
            <w:r w:rsidR="0026359B" w:rsidRPr="00990964">
              <w:t>.</w:t>
            </w:r>
          </w:p>
        </w:tc>
      </w:tr>
    </w:tbl>
    <w:p w14:paraId="2933AB21" w14:textId="77777777" w:rsidR="00182FBD" w:rsidRDefault="00182FBD" w:rsidP="00182FBD"/>
    <w:tbl>
      <w:tblPr>
        <w:tblpPr w:leftFromText="180" w:rightFromText="180" w:vertAnchor="text" w:horzAnchor="margin" w:tblpX="-68" w:tblpY="151"/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81"/>
        <w:gridCol w:w="1284"/>
        <w:gridCol w:w="1580"/>
        <w:gridCol w:w="1094"/>
        <w:gridCol w:w="1028"/>
        <w:gridCol w:w="1147"/>
      </w:tblGrid>
      <w:tr w:rsidR="00182FBD" w14:paraId="27D5015B" w14:textId="77777777" w:rsidTr="00182FBD">
        <w:trPr>
          <w:trHeight w:val="260"/>
        </w:trPr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8E5CF" w14:textId="77777777" w:rsidR="00182FBD" w:rsidRDefault="00182F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182FBD" w14:paraId="41D5888A" w14:textId="77777777" w:rsidTr="00182FBD">
        <w:trPr>
          <w:trHeight w:val="304"/>
        </w:trPr>
        <w:tc>
          <w:tcPr>
            <w:tcW w:w="174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1BAA7" w14:textId="77777777" w:rsidR="00182FBD" w:rsidRDefault="00182FBD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Rādītāji</w:t>
            </w:r>
          </w:p>
        </w:tc>
        <w:tc>
          <w:tcPr>
            <w:tcW w:w="1521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27428" w14:textId="77777777" w:rsidR="00182FBD" w:rsidRDefault="00182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173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EF40E" w14:textId="77777777" w:rsidR="00182FBD" w:rsidRDefault="00182FBD">
            <w:pPr>
              <w:jc w:val="center"/>
            </w:pPr>
            <w:r>
              <w:t>Turpmākie trīs gadi (</w:t>
            </w:r>
            <w:proofErr w:type="spellStart"/>
            <w:r>
              <w:rPr>
                <w:i/>
              </w:rPr>
              <w:t>euro</w:t>
            </w:r>
            <w:proofErr w:type="spellEnd"/>
            <w:r>
              <w:t>)</w:t>
            </w:r>
          </w:p>
        </w:tc>
      </w:tr>
      <w:tr w:rsidR="00182FBD" w14:paraId="19E037BD" w14:textId="77777777" w:rsidTr="00182FBD">
        <w:trPr>
          <w:trHeight w:val="245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3EC9A" w14:textId="77777777" w:rsidR="00182FBD" w:rsidRDefault="00182FBD">
            <w:pPr>
              <w:rPr>
                <w:b/>
                <w:bCs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89AF3" w14:textId="77777777" w:rsidR="00182FBD" w:rsidRDefault="00182FBD">
            <w:pPr>
              <w:rPr>
                <w:b/>
                <w:bCs/>
              </w:rPr>
            </w:pP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D2F4D" w14:textId="77777777" w:rsidR="00182FBD" w:rsidRDefault="00182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C5A56" w14:textId="77777777" w:rsidR="00182FBD" w:rsidRDefault="00182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28C61" w14:textId="77777777" w:rsidR="00182FBD" w:rsidRDefault="00182FB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  <w:tr w:rsidR="00182FBD" w14:paraId="3564F3FD" w14:textId="77777777" w:rsidTr="00182FBD">
        <w:trPr>
          <w:trHeight w:val="191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7009C" w14:textId="77777777" w:rsidR="00182FBD" w:rsidRDefault="00182FBD">
            <w:pPr>
              <w:rPr>
                <w:b/>
                <w:bCs/>
              </w:rPr>
            </w:pP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F4E4A" w14:textId="77777777" w:rsidR="00182FBD" w:rsidRDefault="00182FBD">
            <w:pPr>
              <w:jc w:val="both"/>
            </w:pPr>
            <w:r>
              <w:t>Saskaņā ar valsts budžetu kārtējam gadam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B631F" w14:textId="77777777" w:rsidR="00182FBD" w:rsidRDefault="00182FBD">
            <w:pPr>
              <w:jc w:val="both"/>
            </w:pPr>
            <w:r>
              <w:t>Izmaiņas kārtējā gadā, salīdzinot ar budžetu kārtējam gadam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66804" w14:textId="77777777" w:rsidR="00182FBD" w:rsidRDefault="00182FBD">
            <w:pPr>
              <w:jc w:val="center"/>
            </w:pPr>
            <w:r>
              <w:t>Izmaiņas, salīdzinot ar kārtējo gadu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12D6E" w14:textId="77777777" w:rsidR="00182FBD" w:rsidRDefault="00182FBD">
            <w:pPr>
              <w:jc w:val="center"/>
            </w:pPr>
            <w:r>
              <w:t>Izmaiņas, salīdzinot ar kārtējo gadu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8B5D8" w14:textId="77777777" w:rsidR="00182FBD" w:rsidRDefault="00182FBD">
            <w:pPr>
              <w:jc w:val="center"/>
            </w:pPr>
            <w:r>
              <w:t>Izmaiņas, salīdzinot ar kārtējo gadu</w:t>
            </w:r>
          </w:p>
        </w:tc>
      </w:tr>
      <w:tr w:rsidR="00182FBD" w14:paraId="6E90BB15" w14:textId="77777777" w:rsidTr="00182FBD">
        <w:trPr>
          <w:trHeight w:val="260"/>
        </w:trPr>
        <w:tc>
          <w:tcPr>
            <w:tcW w:w="1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1068D" w14:textId="77777777" w:rsidR="00182FBD" w:rsidRDefault="00182FBD">
            <w:pPr>
              <w:jc w:val="center"/>
            </w:pPr>
            <w:r>
              <w:t>1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540AA" w14:textId="77777777" w:rsidR="00182FBD" w:rsidRDefault="00182FBD">
            <w:pPr>
              <w:jc w:val="center"/>
            </w:pPr>
            <w:r>
              <w:t>2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E93E6" w14:textId="77777777" w:rsidR="00182FBD" w:rsidRDefault="00182FBD">
            <w:pPr>
              <w:jc w:val="center"/>
            </w:pPr>
            <w:r>
              <w:t>3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CA5BD" w14:textId="77777777" w:rsidR="00182FBD" w:rsidRDefault="00182FBD">
            <w:pPr>
              <w:jc w:val="center"/>
            </w:pPr>
            <w:r>
              <w:t>4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F0C91" w14:textId="77777777" w:rsidR="00182FBD" w:rsidRDefault="00182FBD">
            <w:pPr>
              <w:jc w:val="center"/>
            </w:pPr>
            <w:r>
              <w:t>5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1E666" w14:textId="77777777" w:rsidR="00182FBD" w:rsidRDefault="00182FBD">
            <w:pPr>
              <w:jc w:val="center"/>
            </w:pPr>
            <w:r>
              <w:t>6</w:t>
            </w:r>
          </w:p>
        </w:tc>
      </w:tr>
      <w:tr w:rsidR="00182FBD" w14:paraId="0B1B07D2" w14:textId="77777777" w:rsidTr="00182FBD">
        <w:trPr>
          <w:trHeight w:val="275"/>
        </w:trPr>
        <w:tc>
          <w:tcPr>
            <w:tcW w:w="1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660146" w14:textId="77777777" w:rsidR="00182FBD" w:rsidRDefault="00182FBD">
            <w:pPr>
              <w:jc w:val="both"/>
            </w:pPr>
            <w:r>
              <w:t>1. Budžeta ieņēmumi: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BC2F5" w14:textId="77777777" w:rsidR="00182FBD" w:rsidRDefault="00182FBD">
            <w:pPr>
              <w:jc w:val="center"/>
              <w:rPr>
                <w:b/>
              </w:rPr>
            </w:pPr>
            <w:r>
              <w:rPr>
                <w:b/>
              </w:rPr>
              <w:t>2 510 750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82F364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C01AA0" w14:textId="77777777" w:rsidR="00182FBD" w:rsidRDefault="00182FBD">
            <w:pPr>
              <w:jc w:val="center"/>
            </w:pPr>
            <w:r>
              <w:rPr>
                <w:b/>
                <w:bCs/>
              </w:rPr>
              <w:t>+7 000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CA1C27" w14:textId="77777777" w:rsidR="00182FBD" w:rsidRDefault="00182FBD">
            <w:pPr>
              <w:jc w:val="center"/>
            </w:pPr>
            <w:r>
              <w:rPr>
                <w:b/>
                <w:bCs/>
              </w:rPr>
              <w:t>+7 000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A6EE91" w14:textId="77777777" w:rsidR="00182FBD" w:rsidRDefault="00182FBD">
            <w:pPr>
              <w:jc w:val="center"/>
            </w:pPr>
            <w:r>
              <w:rPr>
                <w:b/>
                <w:bCs/>
              </w:rPr>
              <w:t>+7 000</w:t>
            </w:r>
          </w:p>
        </w:tc>
      </w:tr>
      <w:tr w:rsidR="00182FBD" w14:paraId="73327513" w14:textId="77777777" w:rsidTr="00182FBD">
        <w:trPr>
          <w:trHeight w:val="797"/>
        </w:trPr>
        <w:tc>
          <w:tcPr>
            <w:tcW w:w="1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7C048" w14:textId="77777777" w:rsidR="00182FBD" w:rsidRDefault="00182FBD">
            <w:pPr>
              <w:jc w:val="both"/>
            </w:pPr>
            <w:r>
              <w:t>1</w:t>
            </w:r>
            <w:r>
              <w:rPr>
                <w:spacing w:val="-4"/>
              </w:rPr>
              <w:t>.1. valsts pamatbudžets, tai skaitā ieņēmumi no maksas pakalpojumiem un citi pašu ieņēmumi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685E73" w14:textId="77777777" w:rsidR="00182FBD" w:rsidRDefault="00182FBD">
            <w:pPr>
              <w:jc w:val="center"/>
            </w:pPr>
            <w:r>
              <w:t>2 510 750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FC48E2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84B72F" w14:textId="77777777" w:rsidR="00182FBD" w:rsidRDefault="00182FBD">
            <w:pPr>
              <w:jc w:val="center"/>
            </w:pPr>
            <w:r>
              <w:t>+7 000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743893" w14:textId="77777777" w:rsidR="00182FBD" w:rsidRDefault="00182FBD">
            <w:pPr>
              <w:jc w:val="center"/>
            </w:pPr>
            <w:r>
              <w:t>+7 000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B4994" w14:textId="77777777" w:rsidR="00182FBD" w:rsidRDefault="00182FBD">
            <w:pPr>
              <w:jc w:val="center"/>
            </w:pPr>
            <w:r>
              <w:t>+7 000</w:t>
            </w:r>
          </w:p>
        </w:tc>
      </w:tr>
      <w:tr w:rsidR="00182FBD" w14:paraId="7C6048A2" w14:textId="77777777" w:rsidTr="00182FBD">
        <w:trPr>
          <w:trHeight w:val="260"/>
        </w:trPr>
        <w:tc>
          <w:tcPr>
            <w:tcW w:w="1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C25096" w14:textId="77777777" w:rsidR="00182FBD" w:rsidRDefault="00182FBD">
            <w:pPr>
              <w:jc w:val="both"/>
            </w:pPr>
            <w:r>
              <w:t>t.sk. azartspēļu nodoklis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A7FE8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9B309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62C3F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9C4DC5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605317" w14:textId="77777777" w:rsidR="00182FBD" w:rsidRDefault="00182FBD">
            <w:pPr>
              <w:jc w:val="center"/>
            </w:pPr>
            <w:r>
              <w:t>0</w:t>
            </w:r>
          </w:p>
        </w:tc>
      </w:tr>
      <w:tr w:rsidR="00182FBD" w14:paraId="79038866" w14:textId="77777777" w:rsidTr="00182FBD">
        <w:trPr>
          <w:trHeight w:val="275"/>
        </w:trPr>
        <w:tc>
          <w:tcPr>
            <w:tcW w:w="1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CF604C" w14:textId="77777777" w:rsidR="00182FBD" w:rsidRDefault="00182FBD">
            <w:pPr>
              <w:jc w:val="both"/>
            </w:pPr>
            <w:r>
              <w:t>1.2. valsts speciālais budžets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DF762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F85826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5A72DC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53F95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9512EB" w14:textId="77777777" w:rsidR="00182FBD" w:rsidRDefault="00182FBD">
            <w:pPr>
              <w:jc w:val="center"/>
            </w:pPr>
            <w:r>
              <w:t>0</w:t>
            </w:r>
          </w:p>
        </w:tc>
      </w:tr>
      <w:tr w:rsidR="00182FBD" w14:paraId="55294A0B" w14:textId="77777777" w:rsidTr="00182FBD">
        <w:trPr>
          <w:trHeight w:val="260"/>
        </w:trPr>
        <w:tc>
          <w:tcPr>
            <w:tcW w:w="1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94B8C1" w14:textId="77777777" w:rsidR="00182FBD" w:rsidRDefault="00182FBD">
            <w:pPr>
              <w:jc w:val="both"/>
            </w:pPr>
            <w:r>
              <w:t>1.3. pašvaldību budžets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8075CB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33B0A2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0C000E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6B04AF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9F811E" w14:textId="77777777" w:rsidR="00182FBD" w:rsidRDefault="00182FBD">
            <w:pPr>
              <w:jc w:val="center"/>
            </w:pPr>
            <w:r>
              <w:t>0</w:t>
            </w:r>
          </w:p>
        </w:tc>
      </w:tr>
      <w:tr w:rsidR="00182FBD" w14:paraId="1D287762" w14:textId="77777777" w:rsidTr="00182FBD">
        <w:trPr>
          <w:trHeight w:val="275"/>
        </w:trPr>
        <w:tc>
          <w:tcPr>
            <w:tcW w:w="1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0A6270" w14:textId="77777777" w:rsidR="00182FBD" w:rsidRDefault="00182FBD">
            <w:pPr>
              <w:jc w:val="both"/>
            </w:pPr>
            <w:r>
              <w:t xml:space="preserve">t.sk. </w:t>
            </w:r>
            <w:proofErr w:type="spellStart"/>
            <w:r>
              <w:t>azartspeļu</w:t>
            </w:r>
            <w:proofErr w:type="spellEnd"/>
            <w:r>
              <w:t xml:space="preserve"> nodoklis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6F1F62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3AB06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94D668" w14:textId="77777777" w:rsidR="00182FBD" w:rsidRDefault="00182FBD">
            <w:pPr>
              <w:ind w:left="95" w:hanging="27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2035D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7C75F" w14:textId="77777777" w:rsidR="00182FBD" w:rsidRDefault="00182FBD">
            <w:pPr>
              <w:jc w:val="center"/>
            </w:pPr>
            <w:r>
              <w:t>0</w:t>
            </w:r>
          </w:p>
        </w:tc>
      </w:tr>
      <w:tr w:rsidR="00182FBD" w14:paraId="7F4B872D" w14:textId="77777777" w:rsidTr="00182FBD">
        <w:trPr>
          <w:trHeight w:val="275"/>
        </w:trPr>
        <w:tc>
          <w:tcPr>
            <w:tcW w:w="1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78A559" w14:textId="77777777" w:rsidR="00182FBD" w:rsidRDefault="00182FBD">
            <w:pPr>
              <w:jc w:val="both"/>
            </w:pPr>
            <w:r>
              <w:t>2. Budžeta izdevumi: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6C0A65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78DF9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6E55AA" w14:textId="77777777" w:rsidR="00182FBD" w:rsidRDefault="00182FBD">
            <w:pPr>
              <w:ind w:left="95" w:hanging="27"/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D903D2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45771" w14:textId="77777777" w:rsidR="00182FBD" w:rsidRDefault="00182FBD">
            <w:pPr>
              <w:jc w:val="center"/>
            </w:pPr>
            <w:r>
              <w:t>0</w:t>
            </w:r>
          </w:p>
        </w:tc>
      </w:tr>
      <w:tr w:rsidR="00182FBD" w14:paraId="5D59A51B" w14:textId="77777777" w:rsidTr="00182FBD">
        <w:trPr>
          <w:trHeight w:val="260"/>
        </w:trPr>
        <w:tc>
          <w:tcPr>
            <w:tcW w:w="1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8DD6BE" w14:textId="77777777" w:rsidR="00182FBD" w:rsidRDefault="00182FBD">
            <w:pPr>
              <w:jc w:val="both"/>
            </w:pPr>
            <w:r>
              <w:t>2.1. valsts pamatbudžets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3E135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939236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5CE0EE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2DF6F6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7EF70" w14:textId="77777777" w:rsidR="00182FBD" w:rsidRDefault="00182FBD">
            <w:pPr>
              <w:jc w:val="center"/>
            </w:pPr>
            <w:r>
              <w:t>0</w:t>
            </w:r>
          </w:p>
        </w:tc>
      </w:tr>
      <w:tr w:rsidR="00182FBD" w14:paraId="2616E8F6" w14:textId="77777777" w:rsidTr="00182FBD">
        <w:trPr>
          <w:trHeight w:val="260"/>
        </w:trPr>
        <w:tc>
          <w:tcPr>
            <w:tcW w:w="1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1FDBBE" w14:textId="77777777" w:rsidR="00182FBD" w:rsidRDefault="00182FBD">
            <w:pPr>
              <w:jc w:val="both"/>
            </w:pPr>
            <w:r>
              <w:t>2.2. valsts speciālais budžets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3DE730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DAC3C6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956AA1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288B50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755A52" w14:textId="77777777" w:rsidR="00182FBD" w:rsidRDefault="00182FBD">
            <w:pPr>
              <w:jc w:val="center"/>
            </w:pPr>
            <w:r>
              <w:t>0</w:t>
            </w:r>
          </w:p>
        </w:tc>
      </w:tr>
      <w:tr w:rsidR="00182FBD" w14:paraId="401D68EE" w14:textId="77777777" w:rsidTr="00182FBD">
        <w:trPr>
          <w:trHeight w:val="275"/>
        </w:trPr>
        <w:tc>
          <w:tcPr>
            <w:tcW w:w="1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F3F1DE" w14:textId="77777777" w:rsidR="00182FBD" w:rsidRDefault="00182FBD">
            <w:pPr>
              <w:jc w:val="both"/>
            </w:pPr>
            <w:r>
              <w:t>2.3. pašvaldību budžets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92BCF2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76DF3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F1DB8B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03C48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959FBA" w14:textId="77777777" w:rsidR="00182FBD" w:rsidRDefault="00182FBD">
            <w:pPr>
              <w:jc w:val="center"/>
            </w:pPr>
            <w:r>
              <w:t>0</w:t>
            </w:r>
          </w:p>
        </w:tc>
      </w:tr>
      <w:tr w:rsidR="00182FBD" w14:paraId="7F542902" w14:textId="77777777" w:rsidTr="00182FBD">
        <w:trPr>
          <w:trHeight w:val="260"/>
        </w:trPr>
        <w:tc>
          <w:tcPr>
            <w:tcW w:w="1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4F3B71" w14:textId="77777777" w:rsidR="00182FBD" w:rsidRDefault="00182FBD">
            <w:pPr>
              <w:jc w:val="both"/>
            </w:pPr>
            <w:r>
              <w:t>3. Finansiālā ietekme: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834BE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C3CEF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BA637C" w14:textId="77777777" w:rsidR="00182FBD" w:rsidRDefault="00182FBD">
            <w:pPr>
              <w:jc w:val="center"/>
            </w:pPr>
            <w:r>
              <w:t>+7 000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874A8A" w14:textId="77777777" w:rsidR="00182FBD" w:rsidRDefault="00182FBD">
            <w:pPr>
              <w:jc w:val="center"/>
            </w:pPr>
            <w:r>
              <w:t>+7 000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435658" w14:textId="77777777" w:rsidR="00182FBD" w:rsidRDefault="00182FBD">
            <w:pPr>
              <w:jc w:val="center"/>
            </w:pPr>
            <w:r>
              <w:t>+7 000</w:t>
            </w:r>
          </w:p>
        </w:tc>
      </w:tr>
      <w:tr w:rsidR="00182FBD" w14:paraId="22BE95E6" w14:textId="77777777" w:rsidTr="00182FBD">
        <w:trPr>
          <w:trHeight w:val="275"/>
        </w:trPr>
        <w:tc>
          <w:tcPr>
            <w:tcW w:w="1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B63706" w14:textId="77777777" w:rsidR="00182FBD" w:rsidRDefault="00182FBD">
            <w:pPr>
              <w:jc w:val="both"/>
            </w:pPr>
            <w:r>
              <w:t>3.1. valsts pamatbudžets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69C06B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7772D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73DCEE" w14:textId="77777777" w:rsidR="00182FBD" w:rsidRDefault="00182FBD">
            <w:pPr>
              <w:jc w:val="center"/>
            </w:pPr>
            <w:r>
              <w:t>+7 000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EF594C" w14:textId="77777777" w:rsidR="00182FBD" w:rsidRDefault="00182FBD">
            <w:pPr>
              <w:jc w:val="center"/>
            </w:pPr>
            <w:r>
              <w:t>+7 000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419359" w14:textId="77777777" w:rsidR="00182FBD" w:rsidRDefault="00182FBD">
            <w:pPr>
              <w:jc w:val="center"/>
            </w:pPr>
            <w:r>
              <w:t>+7 000</w:t>
            </w:r>
          </w:p>
        </w:tc>
      </w:tr>
      <w:tr w:rsidR="00182FBD" w14:paraId="2A2EAC53" w14:textId="77777777" w:rsidTr="00182FBD">
        <w:trPr>
          <w:trHeight w:val="260"/>
        </w:trPr>
        <w:tc>
          <w:tcPr>
            <w:tcW w:w="1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8966DC" w14:textId="77777777" w:rsidR="00182FBD" w:rsidRDefault="00182FBD">
            <w:pPr>
              <w:jc w:val="both"/>
            </w:pPr>
            <w:r>
              <w:t>3.2. speciālais budžets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3BB248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333C03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922058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EFC755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EC8EA" w14:textId="77777777" w:rsidR="00182FBD" w:rsidRDefault="00182FBD">
            <w:pPr>
              <w:jc w:val="center"/>
            </w:pPr>
            <w:r>
              <w:t>0</w:t>
            </w:r>
          </w:p>
        </w:tc>
      </w:tr>
      <w:tr w:rsidR="00182FBD" w14:paraId="0D64DA11" w14:textId="77777777" w:rsidTr="00182FBD">
        <w:trPr>
          <w:trHeight w:val="260"/>
        </w:trPr>
        <w:tc>
          <w:tcPr>
            <w:tcW w:w="1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95B488" w14:textId="77777777" w:rsidR="00182FBD" w:rsidRDefault="00182FBD">
            <w:pPr>
              <w:jc w:val="both"/>
            </w:pPr>
            <w:r>
              <w:t>3.3. pašvaldību budžets</w:t>
            </w:r>
          </w:p>
        </w:tc>
        <w:tc>
          <w:tcPr>
            <w:tcW w:w="6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BB115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526C8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AD8A51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A02017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FBE3F4" w14:textId="77777777" w:rsidR="00182FBD" w:rsidRDefault="00182FBD">
            <w:pPr>
              <w:jc w:val="center"/>
            </w:pPr>
            <w:r>
              <w:t>0</w:t>
            </w:r>
          </w:p>
        </w:tc>
      </w:tr>
      <w:tr w:rsidR="00182FBD" w14:paraId="0B7D70DA" w14:textId="77777777" w:rsidTr="00182FBD">
        <w:trPr>
          <w:trHeight w:val="304"/>
        </w:trPr>
        <w:tc>
          <w:tcPr>
            <w:tcW w:w="174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0E6A28" w14:textId="77777777" w:rsidR="00182FBD" w:rsidRDefault="00182FBD">
            <w:pPr>
              <w:jc w:val="both"/>
            </w:pPr>
            <w:r>
              <w:lastRenderedPageBreak/>
              <w:t>4. Finanšu līdzekļi papildu izdevumu finansēšanai (kompensējošu izdevumu samazinājumu norāda ar "+" zīmi)</w:t>
            </w:r>
          </w:p>
        </w:tc>
        <w:tc>
          <w:tcPr>
            <w:tcW w:w="68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B7246" w14:textId="77777777" w:rsidR="00182FBD" w:rsidRDefault="00182FBD">
            <w:pPr>
              <w:jc w:val="center"/>
            </w:pPr>
            <w:r>
              <w:t>X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2BB714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B5755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1FBEC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A4E60" w14:textId="77777777" w:rsidR="00182FBD" w:rsidRDefault="00182FBD">
            <w:pPr>
              <w:jc w:val="center"/>
            </w:pPr>
            <w:r>
              <w:t>0</w:t>
            </w:r>
          </w:p>
        </w:tc>
      </w:tr>
      <w:tr w:rsidR="00182FBD" w14:paraId="2E565E2D" w14:textId="77777777" w:rsidTr="00182FBD">
        <w:trPr>
          <w:trHeight w:val="333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F029B" w14:textId="77777777" w:rsidR="00182FBD" w:rsidRDefault="00182FBD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3E2FA" w14:textId="77777777" w:rsidR="00182FBD" w:rsidRDefault="00182FBD"/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577586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447451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F0AB7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BAC64E" w14:textId="77777777" w:rsidR="00182FBD" w:rsidRDefault="00182FBD">
            <w:pPr>
              <w:jc w:val="center"/>
            </w:pPr>
            <w:r>
              <w:t>0</w:t>
            </w:r>
          </w:p>
        </w:tc>
      </w:tr>
      <w:tr w:rsidR="00182FBD" w14:paraId="635E87C7" w14:textId="77777777" w:rsidTr="00182FBD">
        <w:trPr>
          <w:trHeight w:val="434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7B4E5" w14:textId="77777777" w:rsidR="00182FBD" w:rsidRDefault="00182FBD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39926" w14:textId="77777777" w:rsidR="00182FBD" w:rsidRDefault="00182FBD"/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67061E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7629966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A39221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29DF0B" w14:textId="77777777" w:rsidR="00182FBD" w:rsidRDefault="00182FBD">
            <w:pPr>
              <w:jc w:val="center"/>
            </w:pPr>
            <w:r>
              <w:t>0</w:t>
            </w:r>
          </w:p>
        </w:tc>
      </w:tr>
      <w:tr w:rsidR="00182FBD" w14:paraId="361B87E3" w14:textId="77777777" w:rsidTr="00182FBD">
        <w:trPr>
          <w:trHeight w:val="260"/>
        </w:trPr>
        <w:tc>
          <w:tcPr>
            <w:tcW w:w="1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8BD4E1" w14:textId="77777777" w:rsidR="00182FBD" w:rsidRDefault="00182FBD">
            <w:pPr>
              <w:jc w:val="both"/>
            </w:pPr>
            <w:r>
              <w:t>5. Precizēta finansiālā ietekme:</w:t>
            </w:r>
          </w:p>
        </w:tc>
        <w:tc>
          <w:tcPr>
            <w:tcW w:w="68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7291AE" w14:textId="77777777" w:rsidR="00182FBD" w:rsidRDefault="00182FBD">
            <w:pPr>
              <w:jc w:val="center"/>
            </w:pPr>
            <w:r>
              <w:t>X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4BA729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58BFC3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17CF3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E33956" w14:textId="77777777" w:rsidR="00182FBD" w:rsidRDefault="00182FBD">
            <w:pPr>
              <w:jc w:val="center"/>
            </w:pPr>
            <w:r>
              <w:t>0</w:t>
            </w:r>
          </w:p>
        </w:tc>
      </w:tr>
      <w:tr w:rsidR="00182FBD" w14:paraId="0002E4F5" w14:textId="77777777" w:rsidTr="00182FBD">
        <w:trPr>
          <w:trHeight w:val="275"/>
        </w:trPr>
        <w:tc>
          <w:tcPr>
            <w:tcW w:w="1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38DBAA" w14:textId="77777777" w:rsidR="00182FBD" w:rsidRDefault="00182FBD">
            <w:pPr>
              <w:jc w:val="both"/>
            </w:pPr>
            <w: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FFE8B" w14:textId="77777777" w:rsidR="00182FBD" w:rsidRDefault="00182FBD"/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50905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97B54C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2EC17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F81323" w14:textId="77777777" w:rsidR="00182FBD" w:rsidRDefault="00182FBD">
            <w:pPr>
              <w:jc w:val="center"/>
            </w:pPr>
            <w:r>
              <w:t>0</w:t>
            </w:r>
          </w:p>
        </w:tc>
      </w:tr>
      <w:tr w:rsidR="00182FBD" w14:paraId="0CA4F2D5" w14:textId="77777777" w:rsidTr="00182FBD">
        <w:trPr>
          <w:trHeight w:val="260"/>
        </w:trPr>
        <w:tc>
          <w:tcPr>
            <w:tcW w:w="1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64A2C" w14:textId="77777777" w:rsidR="00182FBD" w:rsidRDefault="00182FBD">
            <w:pPr>
              <w:jc w:val="both"/>
            </w:pPr>
            <w: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8322F" w14:textId="77777777" w:rsidR="00182FBD" w:rsidRDefault="00182FBD"/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9FF39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11FC0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BCDC2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1707B" w14:textId="77777777" w:rsidR="00182FBD" w:rsidRDefault="00182FBD">
            <w:pPr>
              <w:jc w:val="center"/>
            </w:pPr>
            <w:r>
              <w:t>0</w:t>
            </w:r>
          </w:p>
        </w:tc>
      </w:tr>
      <w:tr w:rsidR="00182FBD" w14:paraId="3C82943E" w14:textId="77777777" w:rsidTr="00182FBD">
        <w:trPr>
          <w:trHeight w:val="260"/>
        </w:trPr>
        <w:tc>
          <w:tcPr>
            <w:tcW w:w="1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04882F" w14:textId="77777777" w:rsidR="00182FBD" w:rsidRDefault="00182FBD">
            <w:pPr>
              <w:jc w:val="both"/>
            </w:pPr>
            <w: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92C65" w14:textId="77777777" w:rsidR="00182FBD" w:rsidRDefault="00182FBD"/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58F6CF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012E0E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5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0942C" w14:textId="77777777" w:rsidR="00182FBD" w:rsidRDefault="00182FBD">
            <w:pPr>
              <w:jc w:val="center"/>
            </w:pPr>
            <w:r>
              <w:t>0</w:t>
            </w:r>
          </w:p>
        </w:tc>
        <w:tc>
          <w:tcPr>
            <w:tcW w:w="6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12198" w14:textId="77777777" w:rsidR="00182FBD" w:rsidRDefault="00182FBD">
            <w:pPr>
              <w:jc w:val="center"/>
            </w:pPr>
            <w:r>
              <w:t>0</w:t>
            </w:r>
          </w:p>
        </w:tc>
      </w:tr>
      <w:tr w:rsidR="00182FBD" w14:paraId="5A85FF7B" w14:textId="77777777" w:rsidTr="00182FBD">
        <w:trPr>
          <w:trHeight w:val="1814"/>
        </w:trPr>
        <w:tc>
          <w:tcPr>
            <w:tcW w:w="1743" w:type="pct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14:paraId="787DE80F" w14:textId="77777777" w:rsidR="00182FBD" w:rsidRDefault="00182FBD">
            <w:pPr>
              <w:jc w:val="both"/>
            </w:pPr>
            <w:r>
              <w:t>6. Detalizēts ieņēmumu un izdevumu aprēķins (ja nepieciešams, detalizētu ieņēmumu un izdevumu aprēķinu var pievienot anotācijas pielikumā):</w:t>
            </w:r>
          </w:p>
        </w:tc>
        <w:tc>
          <w:tcPr>
            <w:tcW w:w="325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3C89FA" w14:textId="77777777" w:rsidR="00182FBD" w:rsidRDefault="00182FBD">
            <w:pPr>
              <w:jc w:val="both"/>
              <w:rPr>
                <w:rFonts w:eastAsiaTheme="minorHAnsi"/>
              </w:rPr>
            </w:pPr>
          </w:p>
        </w:tc>
      </w:tr>
      <w:tr w:rsidR="00182FBD" w14:paraId="1C2AAE56" w14:textId="77777777" w:rsidTr="00182FBD">
        <w:trPr>
          <w:trHeight w:val="955"/>
        </w:trPr>
        <w:tc>
          <w:tcPr>
            <w:tcW w:w="1743" w:type="pct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14:paraId="61A6EC58" w14:textId="77777777" w:rsidR="00182FBD" w:rsidRDefault="00182FBD">
            <w:pPr>
              <w:jc w:val="both"/>
            </w:pPr>
            <w:r>
              <w:t>6.1. detalizēts ieņēmumu aprēķins</w:t>
            </w:r>
          </w:p>
        </w:tc>
        <w:tc>
          <w:tcPr>
            <w:tcW w:w="3257" w:type="pct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5BC5E3ED" w14:textId="7C277DAA" w:rsidR="00182FBD" w:rsidRDefault="00182FBD">
            <w:pPr>
              <w:jc w:val="both"/>
            </w:pPr>
            <w:r>
              <w:rPr>
                <w:shd w:val="clear" w:color="auto" w:fill="FFFFFF"/>
              </w:rPr>
              <w:t xml:space="preserve">Likumprojektā paredzēts jauns azartspēļu nodevas objekts </w:t>
            </w:r>
            <w:r>
              <w:rPr>
                <w:lang w:eastAsia="ru-RU"/>
              </w:rPr>
              <w:t>–</w:t>
            </w:r>
            <w:r>
              <w:rPr>
                <w:shd w:val="clear" w:color="auto" w:fill="FFFFFF"/>
              </w:rPr>
              <w:t xml:space="preserve"> par a</w:t>
            </w:r>
            <w:r>
              <w:t xml:space="preserve">zartspēļu pakalpojumu sniegšanas </w:t>
            </w:r>
            <w:r>
              <w:rPr>
                <w:shd w:val="clear" w:color="auto" w:fill="FFFFFF"/>
              </w:rPr>
              <w:t xml:space="preserve">licences izsniegšanu vai pārreģistrāciju. </w:t>
            </w:r>
          </w:p>
          <w:p w14:paraId="51C5F3E2" w14:textId="77777777" w:rsidR="00182FBD" w:rsidRDefault="00182FBD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Saskaņā ar Izložu un azartspēļu uzraudzības inspekcijas sniegto informāciju par uzņēmumiem, kas sniedz šāda veida pakalpojumus – Latvijā šobrīd darbojas septiņi uzņēmumi.  </w:t>
            </w:r>
          </w:p>
          <w:p w14:paraId="3229F773" w14:textId="77777777" w:rsidR="00182FBD" w:rsidRDefault="00182FBD">
            <w:pPr>
              <w:jc w:val="both"/>
            </w:pPr>
          </w:p>
          <w:p w14:paraId="0F06C229" w14:textId="120CE97B" w:rsidR="00182FBD" w:rsidRDefault="00182FBD">
            <w:pPr>
              <w:jc w:val="both"/>
            </w:pPr>
            <w:r>
              <w:rPr>
                <w:i/>
                <w:iCs/>
              </w:rPr>
              <w:t>Fiskālā ietekme ieņēmumiem no azartspēļu nodevas</w:t>
            </w:r>
          </w:p>
          <w:p w14:paraId="11534809" w14:textId="77777777" w:rsidR="00182FBD" w:rsidRDefault="00182FBD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2018. gadā un turpmāk</w:t>
            </w:r>
          </w:p>
          <w:p w14:paraId="42FF2A08" w14:textId="4BA66D22" w:rsidR="00182FBD" w:rsidRDefault="00182FBD">
            <w:pPr>
              <w:jc w:val="both"/>
              <w:rPr>
                <w:i/>
                <w:iCs/>
              </w:rPr>
            </w:pPr>
            <w:r>
              <w:t>7*1 000 </w:t>
            </w:r>
            <w:proofErr w:type="spellStart"/>
            <w:r>
              <w:rPr>
                <w:i/>
                <w:iCs/>
              </w:rPr>
              <w:t>euro</w:t>
            </w:r>
            <w:proofErr w:type="spellEnd"/>
            <w:r>
              <w:t xml:space="preserve"> (nodeva par </w:t>
            </w:r>
            <w:r>
              <w:rPr>
                <w:iCs/>
              </w:rPr>
              <w:t>licences izsniegšanu vai pārreģistrāciju</w:t>
            </w:r>
            <w:r>
              <w:t>) = 7 000 </w:t>
            </w:r>
            <w:proofErr w:type="spellStart"/>
            <w:r>
              <w:rPr>
                <w:i/>
                <w:iCs/>
              </w:rPr>
              <w:t>euro</w:t>
            </w:r>
            <w:proofErr w:type="spellEnd"/>
          </w:p>
          <w:p w14:paraId="51FC478D" w14:textId="77777777" w:rsidR="00182FBD" w:rsidRDefault="00182FBD">
            <w:pPr>
              <w:jc w:val="both"/>
            </w:pPr>
          </w:p>
          <w:p w14:paraId="5651D379" w14:textId="55FBEFD3" w:rsidR="00182FBD" w:rsidRDefault="00182FBD" w:rsidP="00B1067D">
            <w:pPr>
              <w:jc w:val="both"/>
              <w:rPr>
                <w:iCs/>
              </w:rPr>
            </w:pPr>
            <w:r>
              <w:t> </w:t>
            </w:r>
            <w:r w:rsidR="00B1067D">
              <w:rPr>
                <w:iCs/>
              </w:rPr>
              <w:t>A</w:t>
            </w:r>
            <w:r>
              <w:rPr>
                <w:iCs/>
              </w:rPr>
              <w:t>zartspēļu nodevu par azartspēļu pakalpojumu sniegšanas licences pārreģistrāciju maksā par katru kārtējo gadu.</w:t>
            </w:r>
          </w:p>
        </w:tc>
      </w:tr>
      <w:tr w:rsidR="00182FBD" w14:paraId="6C3E08CF" w14:textId="77777777" w:rsidTr="00182FBD">
        <w:trPr>
          <w:trHeight w:val="348"/>
        </w:trPr>
        <w:tc>
          <w:tcPr>
            <w:tcW w:w="1743" w:type="pct"/>
            <w:tcBorders>
              <w:top w:val="outset" w:sz="6" w:space="0" w:color="000000"/>
              <w:left w:val="outset" w:sz="6" w:space="0" w:color="000000"/>
              <w:bottom w:val="nil"/>
              <w:right w:val="nil"/>
            </w:tcBorders>
            <w:hideMark/>
          </w:tcPr>
          <w:p w14:paraId="2C6EE9DE" w14:textId="77777777" w:rsidR="00182FBD" w:rsidRDefault="00182FBD">
            <w:pPr>
              <w:jc w:val="both"/>
            </w:pPr>
            <w:r>
              <w:t>6.2. detalizēts izdevumu aprēķins</w:t>
            </w:r>
          </w:p>
        </w:tc>
        <w:tc>
          <w:tcPr>
            <w:tcW w:w="3257" w:type="pct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</w:tcPr>
          <w:p w14:paraId="360EAE35" w14:textId="77777777" w:rsidR="00182FBD" w:rsidRDefault="00182FBD">
            <w:pPr>
              <w:jc w:val="both"/>
              <w:rPr>
                <w:shd w:val="clear" w:color="auto" w:fill="FFFFFF"/>
              </w:rPr>
            </w:pPr>
          </w:p>
        </w:tc>
      </w:tr>
      <w:tr w:rsidR="00182FBD" w14:paraId="3EBD25D3" w14:textId="77777777" w:rsidTr="00182FBD">
        <w:trPr>
          <w:trHeight w:val="260"/>
        </w:trPr>
        <w:tc>
          <w:tcPr>
            <w:tcW w:w="174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E4DA12" w14:textId="77777777" w:rsidR="00182FBD" w:rsidRDefault="00182FBD">
            <w:pPr>
              <w:jc w:val="both"/>
            </w:pPr>
            <w:r>
              <w:t>7. Cita informācija</w:t>
            </w:r>
          </w:p>
        </w:tc>
        <w:tc>
          <w:tcPr>
            <w:tcW w:w="325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8EBB88" w14:textId="77777777" w:rsidR="00182FBD" w:rsidRDefault="00182FBD">
            <w:pPr>
              <w:jc w:val="both"/>
            </w:pPr>
            <w:r>
              <w:t>Nav.</w:t>
            </w:r>
          </w:p>
        </w:tc>
      </w:tr>
    </w:tbl>
    <w:p w14:paraId="06C84AE1" w14:textId="77777777" w:rsidR="00182FBD" w:rsidRDefault="00182FBD" w:rsidP="000D3520"/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"/>
        <w:gridCol w:w="2815"/>
        <w:gridCol w:w="5874"/>
      </w:tblGrid>
      <w:tr w:rsidR="00286504" w:rsidRPr="00286504" w14:paraId="1A7CDB06" w14:textId="77777777" w:rsidTr="00D91695">
        <w:trPr>
          <w:trHeight w:val="302"/>
          <w:jc w:val="center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60720A9" w14:textId="4B16C250" w:rsidR="00E47F27" w:rsidRPr="00286504" w:rsidRDefault="00286504" w:rsidP="00286504">
            <w:pPr>
              <w:pStyle w:val="tvhtml"/>
              <w:spacing w:before="0" w:beforeAutospacing="0" w:after="0" w:afterAutospacing="0"/>
              <w:jc w:val="center"/>
              <w:rPr>
                <w:bCs/>
              </w:rPr>
            </w:pPr>
            <w:r w:rsidRPr="00990964">
              <w:rPr>
                <w:b/>
                <w:bCs/>
              </w:rPr>
              <w:t xml:space="preserve">IV. </w:t>
            </w:r>
            <w:r w:rsidRPr="00990964">
              <w:rPr>
                <w:b/>
              </w:rPr>
              <w:t>Tiesību aktu projekta ietekme uz spēkā esošo tiesību normu sistēmu</w:t>
            </w:r>
          </w:p>
        </w:tc>
      </w:tr>
      <w:tr w:rsidR="00286504" w:rsidRPr="00286504" w14:paraId="463C32F4" w14:textId="77777777" w:rsidTr="00D91695">
        <w:trPr>
          <w:jc w:val="center"/>
        </w:trPr>
        <w:tc>
          <w:tcPr>
            <w:tcW w:w="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2EB30AC" w14:textId="77777777" w:rsidR="00E47F27" w:rsidRPr="00286504" w:rsidRDefault="00E47F27" w:rsidP="006841E4">
            <w:r w:rsidRPr="00286504">
              <w:t>1.</w:t>
            </w:r>
          </w:p>
        </w:tc>
        <w:tc>
          <w:tcPr>
            <w:tcW w:w="1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B718DD" w14:textId="77777777" w:rsidR="00E47F27" w:rsidRPr="00286504" w:rsidRDefault="00E47F27" w:rsidP="006841E4">
            <w:r w:rsidRPr="00286504">
              <w:t>Nepieciešamie saistītie tiesību aktu projekti</w:t>
            </w:r>
          </w:p>
        </w:tc>
        <w:tc>
          <w:tcPr>
            <w:tcW w:w="3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8FC9C4" w14:textId="7F323809" w:rsidR="00E47F27" w:rsidRPr="00286504" w:rsidRDefault="00E47F27" w:rsidP="00536224">
            <w:pPr>
              <w:pStyle w:val="naisnod"/>
              <w:spacing w:before="0" w:after="0"/>
              <w:jc w:val="both"/>
              <w:rPr>
                <w:b w:val="0"/>
              </w:rPr>
            </w:pPr>
            <w:proofErr w:type="spellStart"/>
            <w:r w:rsidRPr="00286504">
              <w:rPr>
                <w:b w:val="0"/>
                <w:iCs/>
              </w:rPr>
              <w:t>Vienlaicīgi</w:t>
            </w:r>
            <w:proofErr w:type="spellEnd"/>
            <w:r w:rsidR="00A254AD" w:rsidRPr="00286504">
              <w:rPr>
                <w:b w:val="0"/>
                <w:iCs/>
              </w:rPr>
              <w:t xml:space="preserve"> </w:t>
            </w:r>
            <w:proofErr w:type="spellStart"/>
            <w:r w:rsidR="00A254AD" w:rsidRPr="00286504">
              <w:rPr>
                <w:b w:val="0"/>
                <w:iCs/>
              </w:rPr>
              <w:t>ar</w:t>
            </w:r>
            <w:proofErr w:type="spellEnd"/>
            <w:r w:rsidRPr="00286504">
              <w:rPr>
                <w:b w:val="0"/>
                <w:iCs/>
              </w:rPr>
              <w:t xml:space="preserve"> </w:t>
            </w:r>
            <w:proofErr w:type="spellStart"/>
            <w:r w:rsidR="00A254AD" w:rsidRPr="00286504">
              <w:rPr>
                <w:b w:val="0"/>
                <w:iCs/>
              </w:rPr>
              <w:t>L</w:t>
            </w:r>
            <w:r w:rsidRPr="00286504">
              <w:rPr>
                <w:b w:val="0"/>
                <w:iCs/>
              </w:rPr>
              <w:t>ikumprojekta</w:t>
            </w:r>
            <w:proofErr w:type="spellEnd"/>
            <w:r w:rsidR="00A254AD" w:rsidRPr="00286504">
              <w:rPr>
                <w:b w:val="0"/>
                <w:iCs/>
              </w:rPr>
              <w:t xml:space="preserve"> </w:t>
            </w:r>
            <w:proofErr w:type="spellStart"/>
            <w:r w:rsidR="00A254AD" w:rsidRPr="00286504">
              <w:rPr>
                <w:b w:val="0"/>
                <w:iCs/>
              </w:rPr>
              <w:t>izstrādi</w:t>
            </w:r>
            <w:proofErr w:type="spellEnd"/>
            <w:r w:rsidR="00A254AD" w:rsidRPr="00286504">
              <w:rPr>
                <w:b w:val="0"/>
                <w:iCs/>
              </w:rPr>
              <w:t xml:space="preserve"> </w:t>
            </w:r>
            <w:proofErr w:type="spellStart"/>
            <w:r w:rsidR="00A254AD" w:rsidRPr="00286504">
              <w:rPr>
                <w:b w:val="0"/>
                <w:iCs/>
              </w:rPr>
              <w:t>ti</w:t>
            </w:r>
            <w:r w:rsidR="00536224">
              <w:rPr>
                <w:b w:val="0"/>
                <w:iCs/>
              </w:rPr>
              <w:t>ek</w:t>
            </w:r>
            <w:proofErr w:type="spellEnd"/>
            <w:r w:rsidR="00A254AD" w:rsidRPr="00286504">
              <w:rPr>
                <w:b w:val="0"/>
                <w:iCs/>
              </w:rPr>
              <w:t xml:space="preserve"> </w:t>
            </w:r>
            <w:proofErr w:type="spellStart"/>
            <w:r w:rsidR="00A254AD" w:rsidRPr="00286504">
              <w:rPr>
                <w:b w:val="0"/>
                <w:iCs/>
              </w:rPr>
              <w:t>v</w:t>
            </w:r>
            <w:r w:rsidR="00536224">
              <w:rPr>
                <w:b w:val="0"/>
                <w:iCs/>
              </w:rPr>
              <w:t>irzīti</w:t>
            </w:r>
            <w:proofErr w:type="spellEnd"/>
            <w:r w:rsidR="00A254AD" w:rsidRPr="00286504">
              <w:rPr>
                <w:b w:val="0"/>
                <w:iCs/>
              </w:rPr>
              <w:t xml:space="preserve"> </w:t>
            </w:r>
            <w:proofErr w:type="spellStart"/>
            <w:r w:rsidR="00A254AD" w:rsidRPr="00286504">
              <w:rPr>
                <w:b w:val="0"/>
                <w:iCs/>
              </w:rPr>
              <w:t>grozījumi</w:t>
            </w:r>
            <w:proofErr w:type="spellEnd"/>
            <w:r w:rsidR="00A254AD" w:rsidRPr="00286504">
              <w:rPr>
                <w:b w:val="0"/>
                <w:iCs/>
              </w:rPr>
              <w:t xml:space="preserve"> </w:t>
            </w:r>
            <w:proofErr w:type="spellStart"/>
            <w:r w:rsidR="00465C9F" w:rsidRPr="00286504">
              <w:rPr>
                <w:b w:val="0"/>
                <w:iCs/>
              </w:rPr>
              <w:t>Azartspēļu</w:t>
            </w:r>
            <w:proofErr w:type="spellEnd"/>
            <w:r w:rsidR="00465C9F" w:rsidRPr="00286504">
              <w:rPr>
                <w:b w:val="0"/>
                <w:iCs/>
              </w:rPr>
              <w:t xml:space="preserve"> un </w:t>
            </w:r>
            <w:proofErr w:type="spellStart"/>
            <w:r w:rsidR="00465C9F" w:rsidRPr="00286504">
              <w:rPr>
                <w:b w:val="0"/>
                <w:iCs/>
              </w:rPr>
              <w:t>izložu</w:t>
            </w:r>
            <w:proofErr w:type="spellEnd"/>
            <w:r w:rsidR="00465C9F" w:rsidRPr="00286504">
              <w:rPr>
                <w:b w:val="0"/>
                <w:iCs/>
              </w:rPr>
              <w:t xml:space="preserve"> </w:t>
            </w:r>
            <w:proofErr w:type="spellStart"/>
            <w:r w:rsidR="00465C9F" w:rsidRPr="00286504">
              <w:rPr>
                <w:b w:val="0"/>
                <w:iCs/>
              </w:rPr>
              <w:t>likumā</w:t>
            </w:r>
            <w:proofErr w:type="spellEnd"/>
            <w:r w:rsidR="00465C9F" w:rsidRPr="00286504">
              <w:rPr>
                <w:b w:val="0"/>
                <w:iCs/>
              </w:rPr>
              <w:t xml:space="preserve">, </w:t>
            </w:r>
            <w:proofErr w:type="spellStart"/>
            <w:r w:rsidR="00465C9F" w:rsidRPr="00286504">
              <w:rPr>
                <w:b w:val="0"/>
                <w:iCs/>
              </w:rPr>
              <w:t>lai</w:t>
            </w:r>
            <w:proofErr w:type="spellEnd"/>
            <w:r w:rsidR="00465C9F" w:rsidRPr="00286504">
              <w:rPr>
                <w:b w:val="0"/>
                <w:iCs/>
              </w:rPr>
              <w:t xml:space="preserve"> </w:t>
            </w:r>
            <w:proofErr w:type="spellStart"/>
            <w:r w:rsidR="00465C9F" w:rsidRPr="00286504">
              <w:rPr>
                <w:b w:val="0"/>
                <w:iCs/>
              </w:rPr>
              <w:t>paredzētu</w:t>
            </w:r>
            <w:proofErr w:type="spellEnd"/>
            <w:r w:rsidR="00465C9F" w:rsidRPr="00286504">
              <w:rPr>
                <w:b w:val="0"/>
                <w:iCs/>
              </w:rPr>
              <w:t xml:space="preserve"> </w:t>
            </w:r>
            <w:proofErr w:type="spellStart"/>
            <w:r w:rsidR="00465C9F" w:rsidRPr="00286504">
              <w:rPr>
                <w:b w:val="0"/>
                <w:iCs/>
              </w:rPr>
              <w:t>tiesisko</w:t>
            </w:r>
            <w:proofErr w:type="spellEnd"/>
            <w:r w:rsidR="00465C9F" w:rsidRPr="00286504">
              <w:rPr>
                <w:b w:val="0"/>
                <w:iCs/>
              </w:rPr>
              <w:t xml:space="preserve"> </w:t>
            </w:r>
            <w:proofErr w:type="spellStart"/>
            <w:r w:rsidR="00465C9F" w:rsidRPr="00286504">
              <w:rPr>
                <w:b w:val="0"/>
                <w:iCs/>
              </w:rPr>
              <w:t>regulējumu</w:t>
            </w:r>
            <w:proofErr w:type="spellEnd"/>
            <w:r w:rsidR="00465C9F" w:rsidRPr="00286504">
              <w:rPr>
                <w:b w:val="0"/>
                <w:iCs/>
              </w:rPr>
              <w:t xml:space="preserve"> </w:t>
            </w:r>
            <w:proofErr w:type="spellStart"/>
            <w:r w:rsidR="00465C9F" w:rsidRPr="00286504">
              <w:rPr>
                <w:b w:val="0"/>
                <w:iCs/>
              </w:rPr>
              <w:t>azartspēļu</w:t>
            </w:r>
            <w:proofErr w:type="spellEnd"/>
            <w:r w:rsidR="00465C9F" w:rsidRPr="00286504">
              <w:rPr>
                <w:b w:val="0"/>
                <w:iCs/>
              </w:rPr>
              <w:t xml:space="preserve"> </w:t>
            </w:r>
            <w:proofErr w:type="spellStart"/>
            <w:r w:rsidR="00465C9F" w:rsidRPr="00286504">
              <w:rPr>
                <w:b w:val="0"/>
                <w:iCs/>
              </w:rPr>
              <w:t>pakalpojumu</w:t>
            </w:r>
            <w:proofErr w:type="spellEnd"/>
            <w:r w:rsidR="00465C9F" w:rsidRPr="00286504">
              <w:rPr>
                <w:b w:val="0"/>
                <w:iCs/>
              </w:rPr>
              <w:t xml:space="preserve"> </w:t>
            </w:r>
            <w:proofErr w:type="spellStart"/>
            <w:r w:rsidR="00465C9F" w:rsidRPr="00286504">
              <w:rPr>
                <w:b w:val="0"/>
                <w:iCs/>
              </w:rPr>
              <w:t>snie</w:t>
            </w:r>
            <w:r w:rsidR="00C53913">
              <w:rPr>
                <w:b w:val="0"/>
                <w:iCs/>
              </w:rPr>
              <w:t>gšanai</w:t>
            </w:r>
            <w:proofErr w:type="spellEnd"/>
            <w:r w:rsidR="00465C9F" w:rsidRPr="00286504">
              <w:rPr>
                <w:b w:val="0"/>
                <w:iCs/>
              </w:rPr>
              <w:t>.</w:t>
            </w:r>
          </w:p>
        </w:tc>
      </w:tr>
      <w:tr w:rsidR="00E47F27" w:rsidRPr="00286504" w14:paraId="2E5CE011" w14:textId="77777777" w:rsidTr="00D91695">
        <w:trPr>
          <w:jc w:val="center"/>
        </w:trPr>
        <w:tc>
          <w:tcPr>
            <w:tcW w:w="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E7B90D0" w14:textId="77777777" w:rsidR="00E47F27" w:rsidRPr="00286504" w:rsidRDefault="00E47F27" w:rsidP="006841E4">
            <w:r w:rsidRPr="00286504">
              <w:t>2.</w:t>
            </w:r>
          </w:p>
        </w:tc>
        <w:tc>
          <w:tcPr>
            <w:tcW w:w="1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6F2AB2" w14:textId="77777777" w:rsidR="00E47F27" w:rsidRPr="00286504" w:rsidRDefault="00E47F27" w:rsidP="006841E4">
            <w:r w:rsidRPr="00286504">
              <w:t>Atbildīgā institūcija</w:t>
            </w:r>
          </w:p>
        </w:tc>
        <w:tc>
          <w:tcPr>
            <w:tcW w:w="3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C5ABCF" w14:textId="77777777" w:rsidR="00E47F27" w:rsidRPr="00286504" w:rsidRDefault="00E47F27" w:rsidP="006841E4">
            <w:r w:rsidRPr="00286504">
              <w:t>Finanšu ministrija</w:t>
            </w:r>
          </w:p>
        </w:tc>
      </w:tr>
      <w:tr w:rsidR="00E47F27" w:rsidRPr="00286504" w14:paraId="3F653744" w14:textId="77777777" w:rsidTr="00D91695">
        <w:trPr>
          <w:jc w:val="center"/>
        </w:trPr>
        <w:tc>
          <w:tcPr>
            <w:tcW w:w="38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0CCB09" w14:textId="77777777" w:rsidR="00E47F27" w:rsidRPr="00286504" w:rsidRDefault="00E47F27" w:rsidP="006841E4">
            <w:r w:rsidRPr="00286504">
              <w:t>3.</w:t>
            </w:r>
          </w:p>
        </w:tc>
        <w:tc>
          <w:tcPr>
            <w:tcW w:w="14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1D5F076" w14:textId="77777777" w:rsidR="00E47F27" w:rsidRPr="00286504" w:rsidRDefault="00E47F27" w:rsidP="006841E4">
            <w:r w:rsidRPr="00286504">
              <w:t>Cita informācija</w:t>
            </w:r>
          </w:p>
        </w:tc>
        <w:tc>
          <w:tcPr>
            <w:tcW w:w="312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776B0B1" w14:textId="77777777" w:rsidR="00E47F27" w:rsidRPr="00286504" w:rsidRDefault="00E47F27" w:rsidP="006841E4">
            <w:pPr>
              <w:pStyle w:val="tvhtml"/>
              <w:spacing w:line="293" w:lineRule="atLeast"/>
            </w:pPr>
            <w:r w:rsidRPr="00286504">
              <w:t>Nav</w:t>
            </w:r>
          </w:p>
        </w:tc>
      </w:tr>
    </w:tbl>
    <w:p w14:paraId="75661CF0" w14:textId="78C277B8" w:rsidR="00E47F27" w:rsidRPr="00286504" w:rsidRDefault="00E47F27" w:rsidP="000D3520"/>
    <w:p w14:paraId="6FF551FF" w14:textId="23717007" w:rsidR="007C5838" w:rsidRPr="00990964" w:rsidRDefault="007C5838" w:rsidP="000D3520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1"/>
      </w:tblGrid>
      <w:tr w:rsidR="00990964" w:rsidRPr="00990964" w14:paraId="76FD8C59" w14:textId="77777777" w:rsidTr="00D91695">
        <w:trPr>
          <w:trHeight w:val="291"/>
          <w:jc w:val="center"/>
        </w:trPr>
        <w:tc>
          <w:tcPr>
            <w:tcW w:w="9351" w:type="dxa"/>
          </w:tcPr>
          <w:p w14:paraId="286648A4" w14:textId="77777777" w:rsidR="00D85A1C" w:rsidRPr="00990964" w:rsidRDefault="00D85A1C" w:rsidP="000D3520">
            <w:pPr>
              <w:jc w:val="center"/>
              <w:rPr>
                <w:b/>
                <w:bCs/>
              </w:rPr>
            </w:pPr>
            <w:r w:rsidRPr="00990964">
              <w:rPr>
                <w:b/>
                <w:bCs/>
              </w:rPr>
              <w:t xml:space="preserve">V. </w:t>
            </w:r>
            <w:r w:rsidRPr="00990964">
              <w:rPr>
                <w:b/>
              </w:rPr>
              <w:t>Tiesību aktu projekta atbilstība Latvijas Republikas starptautiskajām saistībām</w:t>
            </w:r>
          </w:p>
        </w:tc>
      </w:tr>
      <w:tr w:rsidR="00D85A1C" w:rsidRPr="00990964" w14:paraId="6CCBD030" w14:textId="77777777" w:rsidTr="00D91695">
        <w:trPr>
          <w:trHeight w:val="291"/>
          <w:jc w:val="center"/>
        </w:trPr>
        <w:tc>
          <w:tcPr>
            <w:tcW w:w="9351" w:type="dxa"/>
          </w:tcPr>
          <w:p w14:paraId="77FE2B30" w14:textId="77777777" w:rsidR="00D85A1C" w:rsidRPr="00990964" w:rsidRDefault="00D85A1C" w:rsidP="000D3520">
            <w:pPr>
              <w:jc w:val="center"/>
              <w:rPr>
                <w:bCs/>
              </w:rPr>
            </w:pPr>
            <w:r w:rsidRPr="00990964">
              <w:rPr>
                <w:bCs/>
              </w:rPr>
              <w:t>Projekts šo jomu neskar</w:t>
            </w:r>
          </w:p>
        </w:tc>
      </w:tr>
    </w:tbl>
    <w:p w14:paraId="2E73B7FE" w14:textId="77777777" w:rsidR="00D85A1C" w:rsidRPr="00990964" w:rsidRDefault="00D85A1C" w:rsidP="000D3520"/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5"/>
        <w:gridCol w:w="3029"/>
        <w:gridCol w:w="5735"/>
      </w:tblGrid>
      <w:tr w:rsidR="00990964" w:rsidRPr="00990964" w14:paraId="63BF73CD" w14:textId="77777777" w:rsidTr="00A14602">
        <w:trPr>
          <w:trHeight w:val="291"/>
          <w:jc w:val="center"/>
        </w:trPr>
        <w:tc>
          <w:tcPr>
            <w:tcW w:w="9209" w:type="dxa"/>
            <w:gridSpan w:val="3"/>
          </w:tcPr>
          <w:p w14:paraId="63BF73CC" w14:textId="38B9E957" w:rsidR="008515C5" w:rsidRPr="00990964" w:rsidRDefault="008515C5" w:rsidP="000D3520">
            <w:pPr>
              <w:jc w:val="center"/>
              <w:rPr>
                <w:b/>
                <w:bCs/>
              </w:rPr>
            </w:pPr>
            <w:r w:rsidRPr="00990964">
              <w:rPr>
                <w:b/>
                <w:bCs/>
              </w:rPr>
              <w:t xml:space="preserve">VI. </w:t>
            </w:r>
            <w:r w:rsidRPr="00990964">
              <w:rPr>
                <w:b/>
              </w:rPr>
              <w:t>Sabiedrības līdzdalība un komunikācijas aktivitātes</w:t>
            </w:r>
          </w:p>
        </w:tc>
      </w:tr>
      <w:tr w:rsidR="00990964" w:rsidRPr="00990964" w14:paraId="63BF73D1" w14:textId="77777777" w:rsidTr="00A14602">
        <w:trPr>
          <w:trHeight w:val="699"/>
          <w:jc w:val="center"/>
        </w:trPr>
        <w:tc>
          <w:tcPr>
            <w:tcW w:w="445" w:type="dxa"/>
          </w:tcPr>
          <w:p w14:paraId="63BF73CE" w14:textId="77777777" w:rsidR="0041108F" w:rsidRPr="00990964" w:rsidRDefault="0041108F" w:rsidP="000D3520">
            <w:pPr>
              <w:rPr>
                <w:iCs/>
              </w:rPr>
            </w:pPr>
            <w:r w:rsidRPr="00990964">
              <w:rPr>
                <w:iCs/>
              </w:rPr>
              <w:t>1.</w:t>
            </w:r>
          </w:p>
        </w:tc>
        <w:tc>
          <w:tcPr>
            <w:tcW w:w="3029" w:type="dxa"/>
          </w:tcPr>
          <w:p w14:paraId="63BF73CF" w14:textId="77777777" w:rsidR="0041108F" w:rsidRPr="00990964" w:rsidRDefault="0041108F" w:rsidP="000D3520">
            <w:pPr>
              <w:rPr>
                <w:iCs/>
              </w:rPr>
            </w:pPr>
            <w:r w:rsidRPr="00990964">
              <w:t>Plānotās sabiedrības līdzdalības un komunikācijas aktivitātes saistībā ar projektu</w:t>
            </w:r>
          </w:p>
        </w:tc>
        <w:tc>
          <w:tcPr>
            <w:tcW w:w="5735" w:type="dxa"/>
          </w:tcPr>
          <w:p w14:paraId="63BF73D0" w14:textId="4EC36968" w:rsidR="0041108F" w:rsidRPr="00990964" w:rsidRDefault="00286504" w:rsidP="00286504">
            <w:pPr>
              <w:jc w:val="both"/>
            </w:pPr>
            <w:r>
              <w:rPr>
                <w:shd w:val="clear" w:color="auto" w:fill="FFFFFF"/>
              </w:rPr>
              <w:t xml:space="preserve">Sabiedrības informēšanai Likumprojekts pēc iesniegšanas Ministru kabinetā tiks publicēts Ministru kabineta mājas lapā sadaļā “Tiesību aktu projekti”. </w:t>
            </w:r>
          </w:p>
        </w:tc>
      </w:tr>
      <w:tr w:rsidR="00990964" w:rsidRPr="00990964" w14:paraId="63BF73D5" w14:textId="77777777" w:rsidTr="00A14602">
        <w:trPr>
          <w:trHeight w:val="594"/>
          <w:jc w:val="center"/>
        </w:trPr>
        <w:tc>
          <w:tcPr>
            <w:tcW w:w="445" w:type="dxa"/>
          </w:tcPr>
          <w:p w14:paraId="63BF73D2" w14:textId="221F898F" w:rsidR="000B0624" w:rsidRPr="00990964" w:rsidRDefault="000B0624" w:rsidP="000D3520">
            <w:pPr>
              <w:rPr>
                <w:iCs/>
              </w:rPr>
            </w:pPr>
            <w:r w:rsidRPr="00990964">
              <w:rPr>
                <w:iCs/>
              </w:rPr>
              <w:lastRenderedPageBreak/>
              <w:t>2.</w:t>
            </w:r>
          </w:p>
        </w:tc>
        <w:tc>
          <w:tcPr>
            <w:tcW w:w="3029" w:type="dxa"/>
          </w:tcPr>
          <w:p w14:paraId="63BF73D3" w14:textId="77777777" w:rsidR="000B0624" w:rsidRPr="00990964" w:rsidRDefault="000B0624" w:rsidP="000D3520">
            <w:r w:rsidRPr="00990964">
              <w:t>Sabiedrības līdzdalība projekta izstrādē</w:t>
            </w:r>
          </w:p>
        </w:tc>
        <w:tc>
          <w:tcPr>
            <w:tcW w:w="5735" w:type="dxa"/>
          </w:tcPr>
          <w:p w14:paraId="63BF73D4" w14:textId="449CAC3A" w:rsidR="000B0624" w:rsidRPr="00990964" w:rsidRDefault="00286504" w:rsidP="007E388E">
            <w:pPr>
              <w:jc w:val="both"/>
            </w:pPr>
            <w:r w:rsidRPr="00990964">
              <w:rPr>
                <w:shd w:val="clear" w:color="auto" w:fill="FFFFFF"/>
              </w:rPr>
              <w:t>Likumprojekts</w:t>
            </w:r>
            <w:r w:rsidR="00C53913">
              <w:rPr>
                <w:shd w:val="clear" w:color="auto" w:fill="FFFFFF"/>
              </w:rPr>
              <w:t xml:space="preserve"> </w:t>
            </w:r>
            <w:r w:rsidR="003F37E8">
              <w:rPr>
                <w:shd w:val="clear" w:color="auto" w:fill="FFFFFF"/>
              </w:rPr>
              <w:t>ir</w:t>
            </w:r>
            <w:r w:rsidRPr="00990964">
              <w:rPr>
                <w:shd w:val="clear" w:color="auto" w:fill="FFFFFF"/>
              </w:rPr>
              <w:t xml:space="preserve"> nosūtīts</w:t>
            </w:r>
            <w:r w:rsidR="00C976D0">
              <w:rPr>
                <w:shd w:val="clear" w:color="auto" w:fill="FFFFFF"/>
              </w:rPr>
              <w:t xml:space="preserve"> saskaņošanai</w:t>
            </w:r>
            <w:r w:rsidRPr="00990964">
              <w:rPr>
                <w:shd w:val="clear" w:color="auto" w:fill="FFFFFF"/>
              </w:rPr>
              <w:t xml:space="preserve"> </w:t>
            </w:r>
            <w:r w:rsidRPr="00990964">
              <w:rPr>
                <w:rFonts w:eastAsia="Calibri"/>
              </w:rPr>
              <w:t>Latvijas Tirdzniecības un rūpniecības kamerai,</w:t>
            </w:r>
            <w:r w:rsidRPr="00990964">
              <w:rPr>
                <w:shd w:val="clear" w:color="auto" w:fill="FFFFFF"/>
              </w:rPr>
              <w:t xml:space="preserve"> Latvijas Darba devēju konfederācijai</w:t>
            </w:r>
            <w:r w:rsidR="000E57F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</w:t>
            </w:r>
            <w:r w:rsidR="007E388E">
              <w:rPr>
                <w:shd w:val="clear" w:color="auto" w:fill="FFFFFF"/>
              </w:rPr>
              <w:t>biedrībai “</w:t>
            </w:r>
            <w:r>
              <w:rPr>
                <w:shd w:val="clear" w:color="auto" w:fill="FFFFFF"/>
              </w:rPr>
              <w:t>Latvijas Spēļu biznesa asociācija</w:t>
            </w:r>
            <w:r w:rsidR="007E388E">
              <w:rPr>
                <w:shd w:val="clear" w:color="auto" w:fill="FFFFFF"/>
              </w:rPr>
              <w:t>”</w:t>
            </w:r>
            <w:r w:rsidR="000E57FB">
              <w:rPr>
                <w:shd w:val="clear" w:color="auto" w:fill="FFFFFF"/>
              </w:rPr>
              <w:t xml:space="preserve"> un VAS “Latvijas Loto”</w:t>
            </w:r>
            <w:r w:rsidRPr="00990964">
              <w:rPr>
                <w:shd w:val="clear" w:color="auto" w:fill="FFFFFF"/>
              </w:rPr>
              <w:t>.</w:t>
            </w:r>
          </w:p>
        </w:tc>
      </w:tr>
      <w:tr w:rsidR="00990964" w:rsidRPr="00990964" w14:paraId="63BF73D9" w14:textId="77777777" w:rsidTr="00A14602">
        <w:trPr>
          <w:trHeight w:val="607"/>
          <w:jc w:val="center"/>
        </w:trPr>
        <w:tc>
          <w:tcPr>
            <w:tcW w:w="445" w:type="dxa"/>
          </w:tcPr>
          <w:p w14:paraId="63BF73D6" w14:textId="77777777" w:rsidR="000B0624" w:rsidRPr="00990964" w:rsidRDefault="000B0624" w:rsidP="000D3520">
            <w:pPr>
              <w:rPr>
                <w:iCs/>
              </w:rPr>
            </w:pPr>
            <w:r w:rsidRPr="00990964">
              <w:rPr>
                <w:iCs/>
              </w:rPr>
              <w:t>3.</w:t>
            </w:r>
          </w:p>
        </w:tc>
        <w:tc>
          <w:tcPr>
            <w:tcW w:w="3029" w:type="dxa"/>
          </w:tcPr>
          <w:p w14:paraId="63BF73D7" w14:textId="77777777" w:rsidR="000B0624" w:rsidRPr="00990964" w:rsidRDefault="000B0624" w:rsidP="000D3520">
            <w:pPr>
              <w:rPr>
                <w:iCs/>
              </w:rPr>
            </w:pPr>
            <w:r w:rsidRPr="00990964">
              <w:t>Sabiedrības līdzdalības rezultāti</w:t>
            </w:r>
          </w:p>
        </w:tc>
        <w:tc>
          <w:tcPr>
            <w:tcW w:w="5735" w:type="dxa"/>
          </w:tcPr>
          <w:p w14:paraId="63BF73D8" w14:textId="3A927EFF" w:rsidR="000B0624" w:rsidRPr="00990964" w:rsidRDefault="007E388E" w:rsidP="00536224">
            <w:pPr>
              <w:jc w:val="both"/>
              <w:rPr>
                <w:iCs/>
              </w:rPr>
            </w:pPr>
            <w:r w:rsidRPr="007E388E">
              <w:t>Likumprojekts bez iebildumiem saskaņots ar Latvij</w:t>
            </w:r>
            <w:r w:rsidR="00D22512">
              <w:t xml:space="preserve">as Darba devēju konfederāciju, </w:t>
            </w:r>
            <w:r>
              <w:t>biedrību “</w:t>
            </w:r>
            <w:r w:rsidRPr="007E388E">
              <w:t>Latvijas Spēļu biznesa asociācij</w:t>
            </w:r>
            <w:r>
              <w:t>a”</w:t>
            </w:r>
            <w:r w:rsidR="00D22512">
              <w:t xml:space="preserve"> un </w:t>
            </w:r>
            <w:r w:rsidR="00D22512">
              <w:rPr>
                <w:iCs/>
              </w:rPr>
              <w:t>VAS “Latvijas Loto”</w:t>
            </w:r>
            <w:r w:rsidRPr="007E388E">
              <w:t>. No Latvijas Tirdzniecības un rūpniecības kameras nav saņemt</w:t>
            </w:r>
            <w:r w:rsidR="00536224">
              <w:t>s atzinums</w:t>
            </w:r>
            <w:r w:rsidRPr="007E388E">
              <w:t>.</w:t>
            </w:r>
          </w:p>
        </w:tc>
      </w:tr>
      <w:tr w:rsidR="000B0624" w:rsidRPr="00990964" w14:paraId="63BF73DD" w14:textId="77777777" w:rsidTr="00A14602">
        <w:trPr>
          <w:trHeight w:val="315"/>
          <w:jc w:val="center"/>
        </w:trPr>
        <w:tc>
          <w:tcPr>
            <w:tcW w:w="445" w:type="dxa"/>
          </w:tcPr>
          <w:p w14:paraId="63BF73DA" w14:textId="77777777" w:rsidR="000B0624" w:rsidRPr="00990964" w:rsidRDefault="000B0624" w:rsidP="000D3520">
            <w:pPr>
              <w:rPr>
                <w:iCs/>
              </w:rPr>
            </w:pPr>
            <w:r w:rsidRPr="00990964">
              <w:rPr>
                <w:iCs/>
              </w:rPr>
              <w:t>4.</w:t>
            </w:r>
          </w:p>
        </w:tc>
        <w:tc>
          <w:tcPr>
            <w:tcW w:w="3029" w:type="dxa"/>
          </w:tcPr>
          <w:p w14:paraId="63BF73DB" w14:textId="77777777" w:rsidR="000B0624" w:rsidRPr="00990964" w:rsidRDefault="000B0624" w:rsidP="000D3520">
            <w:r w:rsidRPr="00990964">
              <w:t>Cita informācija</w:t>
            </w:r>
          </w:p>
        </w:tc>
        <w:tc>
          <w:tcPr>
            <w:tcW w:w="5735" w:type="dxa"/>
          </w:tcPr>
          <w:p w14:paraId="63BF73DC" w14:textId="77777777" w:rsidR="000B0624" w:rsidRPr="00990964" w:rsidRDefault="000B0624" w:rsidP="000D3520">
            <w:r w:rsidRPr="00990964">
              <w:t>Nav.</w:t>
            </w:r>
          </w:p>
        </w:tc>
      </w:tr>
    </w:tbl>
    <w:p w14:paraId="63BF73DE" w14:textId="77777777" w:rsidR="008515C5" w:rsidRPr="00990964" w:rsidRDefault="008515C5" w:rsidP="000D3520"/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"/>
        <w:gridCol w:w="4248"/>
        <w:gridCol w:w="4713"/>
      </w:tblGrid>
      <w:tr w:rsidR="00990964" w:rsidRPr="00990964" w14:paraId="63BF73E0" w14:textId="77777777" w:rsidTr="00A14602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3DF" w14:textId="77777777" w:rsidR="001E4890" w:rsidRPr="00990964" w:rsidRDefault="001E4890" w:rsidP="000D352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990964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990964" w:rsidRPr="00990964" w14:paraId="63BF73E4" w14:textId="77777777" w:rsidTr="00A14602"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3E1" w14:textId="77777777" w:rsidR="001E4890" w:rsidRPr="00990964" w:rsidRDefault="001E4890" w:rsidP="000D3520">
            <w:pPr>
              <w:pStyle w:val="NormalWeb"/>
              <w:spacing w:before="0" w:beforeAutospacing="0" w:after="0" w:afterAutospacing="0"/>
            </w:pPr>
            <w:r w:rsidRPr="00990964">
              <w:t>1.</w:t>
            </w:r>
          </w:p>
        </w:tc>
        <w:tc>
          <w:tcPr>
            <w:tcW w:w="2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3E2" w14:textId="77777777" w:rsidR="001E4890" w:rsidRPr="00990964" w:rsidRDefault="001E4890" w:rsidP="000D3520">
            <w:pPr>
              <w:pStyle w:val="NormalWeb"/>
              <w:spacing w:before="0" w:beforeAutospacing="0" w:after="0" w:afterAutospacing="0"/>
            </w:pPr>
            <w:r w:rsidRPr="00990964">
              <w:t>Projekta izpildē iesaistītās institūcijas</w:t>
            </w:r>
          </w:p>
        </w:tc>
        <w:tc>
          <w:tcPr>
            <w:tcW w:w="2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3E3" w14:textId="4FE94F7E" w:rsidR="001E4890" w:rsidRPr="00990964" w:rsidRDefault="00572A89" w:rsidP="000D3520">
            <w:pPr>
              <w:pStyle w:val="NormalWeb"/>
              <w:spacing w:before="0" w:beforeAutospacing="0" w:after="0" w:afterAutospacing="0"/>
              <w:jc w:val="both"/>
            </w:pPr>
            <w:r w:rsidRPr="00990964">
              <w:rPr>
                <w:shd w:val="clear" w:color="auto" w:fill="FFFFFF"/>
              </w:rPr>
              <w:t>Izložu un azartspēļu uzraudzības inspekcija, Valsts ieņēmumu dienests.</w:t>
            </w:r>
          </w:p>
        </w:tc>
      </w:tr>
      <w:tr w:rsidR="00990964" w:rsidRPr="00990964" w14:paraId="63BF73EA" w14:textId="77777777" w:rsidTr="00A14602"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3E5" w14:textId="77777777" w:rsidR="001353B2" w:rsidRPr="00990964" w:rsidRDefault="001353B2" w:rsidP="000D3520">
            <w:pPr>
              <w:pStyle w:val="NormalWeb"/>
              <w:spacing w:before="0" w:beforeAutospacing="0" w:after="0" w:afterAutospacing="0"/>
            </w:pPr>
            <w:r w:rsidRPr="00990964">
              <w:t>2.</w:t>
            </w:r>
          </w:p>
        </w:tc>
        <w:tc>
          <w:tcPr>
            <w:tcW w:w="2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3E6" w14:textId="77777777" w:rsidR="001353B2" w:rsidRPr="00990964" w:rsidRDefault="001353B2" w:rsidP="000D3520">
            <w:pPr>
              <w:pStyle w:val="NormalWeb"/>
              <w:spacing w:before="0" w:beforeAutospacing="0" w:after="0" w:afterAutospacing="0"/>
            </w:pPr>
            <w:r w:rsidRPr="00990964">
              <w:t>Projekta izpildes ietekme uz pārvaldes funkcijām un institucionālo struktūru.</w:t>
            </w:r>
          </w:p>
          <w:p w14:paraId="63BF73E7" w14:textId="77777777" w:rsidR="001353B2" w:rsidRPr="00990964" w:rsidRDefault="001353B2" w:rsidP="000D3520">
            <w:pPr>
              <w:pStyle w:val="NormalWeb"/>
              <w:spacing w:before="0" w:beforeAutospacing="0" w:after="0" w:afterAutospacing="0"/>
            </w:pPr>
            <w:r w:rsidRPr="00990964">
              <w:t>Jaunu institūciju izveide, esošo institūciju likvidācija vai reorganizācija, to ietekme uz institūcijas cilvēkresursiem</w:t>
            </w:r>
          </w:p>
        </w:tc>
        <w:tc>
          <w:tcPr>
            <w:tcW w:w="2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3213AC" w14:textId="4D9EC157" w:rsidR="001353B2" w:rsidRPr="00990964" w:rsidRDefault="000C4D22" w:rsidP="000D3520">
            <w:pPr>
              <w:pStyle w:val="NormalWeb"/>
              <w:spacing w:before="0" w:beforeAutospacing="0" w:after="0" w:afterAutospacing="0"/>
              <w:jc w:val="both"/>
            </w:pPr>
            <w:r w:rsidRPr="00990964">
              <w:t>Funkc</w:t>
            </w:r>
            <w:r w:rsidR="00651117" w:rsidRPr="00990964">
              <w:t>ijas un uzdevumi netiek grozīti</w:t>
            </w:r>
            <w:r w:rsidRPr="00990964">
              <w:t>.</w:t>
            </w:r>
          </w:p>
          <w:p w14:paraId="5A299569" w14:textId="77777777" w:rsidR="001353B2" w:rsidRPr="00990964" w:rsidRDefault="001353B2" w:rsidP="000D3520">
            <w:pPr>
              <w:pStyle w:val="NormalWeb"/>
              <w:spacing w:before="0" w:beforeAutospacing="0" w:after="0" w:afterAutospacing="0"/>
              <w:jc w:val="both"/>
            </w:pPr>
            <w:r w:rsidRPr="00990964">
              <w:t>Jaunu institūciju izveide, esošo institūciju likvidācija vai reorganizācija netiek paredzēta.</w:t>
            </w:r>
          </w:p>
          <w:p w14:paraId="63BF73E9" w14:textId="252173C6" w:rsidR="00572A89" w:rsidRPr="00990964" w:rsidRDefault="001353B2" w:rsidP="00572A89">
            <w:pPr>
              <w:pStyle w:val="NormalWeb"/>
              <w:spacing w:before="0" w:beforeAutospacing="0" w:after="0" w:afterAutospacing="0"/>
              <w:jc w:val="both"/>
            </w:pPr>
            <w:r w:rsidRPr="00990964">
              <w:t xml:space="preserve">Likumprojekts tiks realizēts, </w:t>
            </w:r>
            <w:r w:rsidR="00651117" w:rsidRPr="00990964">
              <w:t>esošo cilvēkresursu ietvaros.</w:t>
            </w:r>
          </w:p>
        </w:tc>
      </w:tr>
      <w:tr w:rsidR="001E4890" w:rsidRPr="00990964" w14:paraId="63BF73EE" w14:textId="77777777" w:rsidTr="00A14602">
        <w:tc>
          <w:tcPr>
            <w:tcW w:w="2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3EB" w14:textId="77777777" w:rsidR="001E4890" w:rsidRPr="00990964" w:rsidRDefault="00880A15" w:rsidP="000D3520">
            <w:pPr>
              <w:pStyle w:val="NormalWeb"/>
              <w:spacing w:before="0" w:beforeAutospacing="0" w:after="0" w:afterAutospacing="0"/>
            </w:pPr>
            <w:r w:rsidRPr="00990964">
              <w:t>3</w:t>
            </w:r>
            <w:r w:rsidR="001E4890" w:rsidRPr="00990964">
              <w:t>.</w:t>
            </w:r>
          </w:p>
        </w:tc>
        <w:tc>
          <w:tcPr>
            <w:tcW w:w="22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3EC" w14:textId="77777777" w:rsidR="001E4890" w:rsidRPr="00990964" w:rsidRDefault="001E4890" w:rsidP="000D3520">
            <w:pPr>
              <w:pStyle w:val="NormalWeb"/>
              <w:spacing w:before="0" w:beforeAutospacing="0" w:after="0" w:afterAutospacing="0"/>
            </w:pPr>
            <w:r w:rsidRPr="00990964">
              <w:t>Cita informācija</w:t>
            </w:r>
          </w:p>
        </w:tc>
        <w:tc>
          <w:tcPr>
            <w:tcW w:w="25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F73ED" w14:textId="77777777" w:rsidR="001E4890" w:rsidRPr="00990964" w:rsidRDefault="001E4890" w:rsidP="000D3520">
            <w:pPr>
              <w:pStyle w:val="NormalWeb"/>
              <w:spacing w:before="0" w:beforeAutospacing="0" w:after="0" w:afterAutospacing="0"/>
            </w:pPr>
            <w:r w:rsidRPr="00990964">
              <w:t>Nav</w:t>
            </w:r>
            <w:r w:rsidR="0026359B" w:rsidRPr="00990964">
              <w:t>.</w:t>
            </w:r>
          </w:p>
        </w:tc>
      </w:tr>
    </w:tbl>
    <w:p w14:paraId="63BF73EF" w14:textId="77777777" w:rsidR="001E4890" w:rsidRPr="00990964" w:rsidRDefault="001E4890" w:rsidP="000D3520"/>
    <w:p w14:paraId="2797DFB7" w14:textId="77777777" w:rsidR="00C12AF6" w:rsidRPr="00990964" w:rsidRDefault="00C12AF6" w:rsidP="000D3520"/>
    <w:p w14:paraId="451093D6" w14:textId="77777777" w:rsidR="00CF7E80" w:rsidRPr="00990964" w:rsidRDefault="00CF7E80" w:rsidP="004D2EFA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</w:p>
    <w:p w14:paraId="1D4AAB30" w14:textId="080BBAF9" w:rsidR="004D2EFA" w:rsidRPr="00990964" w:rsidRDefault="004D2EFA" w:rsidP="00FE3135">
      <w:pPr>
        <w:tabs>
          <w:tab w:val="left" w:pos="6521"/>
          <w:tab w:val="right" w:pos="8820"/>
        </w:tabs>
        <w:rPr>
          <w:sz w:val="26"/>
          <w:szCs w:val="26"/>
        </w:rPr>
      </w:pPr>
      <w:r w:rsidRPr="00990964">
        <w:rPr>
          <w:sz w:val="26"/>
          <w:szCs w:val="26"/>
        </w:rPr>
        <w:t>Finanšu ministre</w:t>
      </w:r>
      <w:r w:rsidRPr="00990964">
        <w:rPr>
          <w:sz w:val="26"/>
          <w:szCs w:val="26"/>
        </w:rPr>
        <w:tab/>
        <w:t>Dana Reizniece-Ozola</w:t>
      </w:r>
    </w:p>
    <w:p w14:paraId="54960E67" w14:textId="77777777" w:rsidR="004D2EFA" w:rsidRPr="00990964" w:rsidRDefault="004D2EFA" w:rsidP="004D2EFA">
      <w:pPr>
        <w:pStyle w:val="naisf"/>
        <w:tabs>
          <w:tab w:val="left" w:pos="6804"/>
        </w:tabs>
        <w:spacing w:before="0" w:after="0"/>
        <w:ind w:firstLine="0"/>
        <w:rPr>
          <w:spacing w:val="-2"/>
          <w:sz w:val="28"/>
          <w:szCs w:val="28"/>
          <w:lang w:val="de-DE"/>
        </w:rPr>
      </w:pPr>
    </w:p>
    <w:p w14:paraId="51984312" w14:textId="77777777" w:rsidR="00CF7E80" w:rsidRPr="00990964" w:rsidRDefault="00CF7E80" w:rsidP="004D2EFA">
      <w:pPr>
        <w:tabs>
          <w:tab w:val="center" w:pos="4153"/>
          <w:tab w:val="right" w:pos="8306"/>
        </w:tabs>
        <w:rPr>
          <w:spacing w:val="-2"/>
          <w:sz w:val="20"/>
          <w:szCs w:val="20"/>
        </w:rPr>
      </w:pPr>
    </w:p>
    <w:p w14:paraId="1AF2CF9F" w14:textId="77777777" w:rsidR="00CF7E80" w:rsidRPr="00990964" w:rsidRDefault="00CF7E80" w:rsidP="004D2EFA">
      <w:pPr>
        <w:tabs>
          <w:tab w:val="center" w:pos="4153"/>
          <w:tab w:val="right" w:pos="8306"/>
        </w:tabs>
        <w:rPr>
          <w:spacing w:val="-2"/>
          <w:sz w:val="20"/>
          <w:szCs w:val="20"/>
        </w:rPr>
      </w:pPr>
    </w:p>
    <w:p w14:paraId="10B4D54E" w14:textId="77777777" w:rsidR="00CF7E80" w:rsidRPr="00990964" w:rsidRDefault="00CF7E80" w:rsidP="004D2EFA">
      <w:pPr>
        <w:tabs>
          <w:tab w:val="center" w:pos="4153"/>
          <w:tab w:val="right" w:pos="8306"/>
        </w:tabs>
        <w:rPr>
          <w:spacing w:val="-2"/>
          <w:sz w:val="20"/>
          <w:szCs w:val="20"/>
        </w:rPr>
      </w:pPr>
    </w:p>
    <w:p w14:paraId="02EE4FB2" w14:textId="77777777" w:rsidR="00CF7E80" w:rsidRPr="00990964" w:rsidRDefault="00CF7E80" w:rsidP="004D2EFA">
      <w:pPr>
        <w:tabs>
          <w:tab w:val="center" w:pos="4153"/>
          <w:tab w:val="right" w:pos="8306"/>
        </w:tabs>
        <w:rPr>
          <w:spacing w:val="-2"/>
          <w:sz w:val="20"/>
          <w:szCs w:val="20"/>
        </w:rPr>
      </w:pPr>
    </w:p>
    <w:p w14:paraId="0216038B" w14:textId="6D6626E0" w:rsidR="004D2EFA" w:rsidRPr="00990964" w:rsidRDefault="004D2EFA" w:rsidP="004D2EFA">
      <w:pPr>
        <w:tabs>
          <w:tab w:val="center" w:pos="4153"/>
          <w:tab w:val="right" w:pos="8306"/>
        </w:tabs>
        <w:rPr>
          <w:spacing w:val="-2"/>
          <w:sz w:val="20"/>
          <w:szCs w:val="20"/>
        </w:rPr>
      </w:pPr>
      <w:r w:rsidRPr="00990964">
        <w:rPr>
          <w:spacing w:val="-2"/>
          <w:sz w:val="20"/>
          <w:szCs w:val="20"/>
        </w:rPr>
        <w:t>Avotiņa, 67095515</w:t>
      </w:r>
    </w:p>
    <w:p w14:paraId="7C29048E" w14:textId="6CB3BB2A" w:rsidR="000D3520" w:rsidRPr="00DA4697" w:rsidRDefault="004A52BE" w:rsidP="004D2EFA">
      <w:pPr>
        <w:jc w:val="both"/>
        <w:rPr>
          <w:rStyle w:val="Hyperlink"/>
          <w:color w:val="1F497D"/>
          <w:spacing w:val="-2"/>
          <w:sz w:val="20"/>
          <w:szCs w:val="20"/>
        </w:rPr>
      </w:pPr>
      <w:hyperlink r:id="rId13" w:history="1">
        <w:r w:rsidR="004D2EFA" w:rsidRPr="00DA4697">
          <w:rPr>
            <w:rStyle w:val="Hyperlink"/>
            <w:color w:val="1F497D"/>
            <w:spacing w:val="-2"/>
            <w:sz w:val="20"/>
            <w:szCs w:val="20"/>
          </w:rPr>
          <w:t>inga.avotina@fm.gov.lv</w:t>
        </w:r>
      </w:hyperlink>
    </w:p>
    <w:p w14:paraId="46202AF3" w14:textId="1BA78290" w:rsidR="00DA4697" w:rsidRPr="00DA4697" w:rsidRDefault="00DA4697" w:rsidP="004D2EFA">
      <w:pPr>
        <w:jc w:val="both"/>
        <w:rPr>
          <w:rStyle w:val="Hyperlink"/>
          <w:color w:val="1F497D"/>
          <w:spacing w:val="-2"/>
          <w:sz w:val="20"/>
          <w:szCs w:val="20"/>
        </w:rPr>
      </w:pPr>
    </w:p>
    <w:sectPr w:rsidR="00DA4697" w:rsidRPr="00DA4697" w:rsidSect="00F03B8B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1134" w:right="851" w:bottom="993" w:left="1701" w:header="709" w:footer="5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E0A581" w14:textId="77777777" w:rsidR="004A52BE" w:rsidRDefault="004A52BE">
      <w:r>
        <w:separator/>
      </w:r>
    </w:p>
  </w:endnote>
  <w:endnote w:type="continuationSeparator" w:id="0">
    <w:p w14:paraId="69BF049C" w14:textId="77777777" w:rsidR="004A52BE" w:rsidRDefault="004A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F7418" w14:textId="77777777" w:rsidR="009439B5" w:rsidRDefault="009439B5" w:rsidP="005577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F7419" w14:textId="77777777" w:rsidR="009439B5" w:rsidRDefault="009439B5" w:rsidP="00E672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D8F9B" w14:textId="6EEA05E2" w:rsidR="00372B9B" w:rsidRPr="00372B9B" w:rsidRDefault="00372B9B">
    <w:pPr>
      <w:pStyle w:val="Footer"/>
      <w:rPr>
        <w:sz w:val="20"/>
        <w:szCs w:val="20"/>
      </w:rPr>
    </w:pPr>
    <w:r w:rsidRPr="00372B9B">
      <w:rPr>
        <w:sz w:val="20"/>
        <w:szCs w:val="20"/>
      </w:rPr>
      <w:t>FManot_</w:t>
    </w:r>
    <w:r w:rsidR="00C8744E">
      <w:rPr>
        <w:sz w:val="20"/>
        <w:szCs w:val="20"/>
      </w:rPr>
      <w:t>25</w:t>
    </w:r>
    <w:r w:rsidR="001713B2">
      <w:rPr>
        <w:sz w:val="20"/>
        <w:szCs w:val="20"/>
      </w:rPr>
      <w:t>09</w:t>
    </w:r>
    <w:r w:rsidRPr="00372B9B">
      <w:rPr>
        <w:sz w:val="20"/>
        <w:szCs w:val="20"/>
      </w:rPr>
      <w:t>17_IANNgroz.docx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F741B" w14:textId="3F9AB362" w:rsidR="009439B5" w:rsidRPr="00372B9B" w:rsidRDefault="00372B9B" w:rsidP="00FA6931">
    <w:pPr>
      <w:pStyle w:val="Footer"/>
      <w:rPr>
        <w:sz w:val="20"/>
        <w:szCs w:val="20"/>
      </w:rPr>
    </w:pPr>
    <w:r w:rsidRPr="00372B9B">
      <w:rPr>
        <w:sz w:val="20"/>
        <w:szCs w:val="20"/>
      </w:rPr>
      <w:t>FManot_</w:t>
    </w:r>
    <w:r w:rsidR="00C8744E">
      <w:rPr>
        <w:sz w:val="20"/>
        <w:szCs w:val="20"/>
      </w:rPr>
      <w:t>25</w:t>
    </w:r>
    <w:r w:rsidR="001713B2">
      <w:rPr>
        <w:sz w:val="20"/>
        <w:szCs w:val="20"/>
      </w:rPr>
      <w:t>09</w:t>
    </w:r>
    <w:r w:rsidRPr="00372B9B">
      <w:rPr>
        <w:sz w:val="20"/>
        <w:szCs w:val="20"/>
      </w:rPr>
      <w:t>17_IANNgroz.docx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976EC" w14:textId="77777777" w:rsidR="004A52BE" w:rsidRDefault="004A52BE">
      <w:r>
        <w:separator/>
      </w:r>
    </w:p>
  </w:footnote>
  <w:footnote w:type="continuationSeparator" w:id="0">
    <w:p w14:paraId="013974D9" w14:textId="77777777" w:rsidR="004A52BE" w:rsidRDefault="004A5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F7414" w14:textId="77777777" w:rsidR="009439B5" w:rsidRDefault="009439B5" w:rsidP="00F11D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BF7415" w14:textId="77777777" w:rsidR="009439B5" w:rsidRDefault="009439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F7416" w14:textId="5FB0CAAC" w:rsidR="009439B5" w:rsidRDefault="009439B5" w:rsidP="00F11D8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73B6E">
      <w:rPr>
        <w:rStyle w:val="PageNumber"/>
        <w:noProof/>
      </w:rPr>
      <w:t>6</w:t>
    </w:r>
    <w:r>
      <w:rPr>
        <w:rStyle w:val="PageNumber"/>
      </w:rPr>
      <w:fldChar w:fldCharType="end"/>
    </w:r>
  </w:p>
  <w:p w14:paraId="63BF7417" w14:textId="77777777" w:rsidR="009439B5" w:rsidRPr="004F7101" w:rsidRDefault="009439B5" w:rsidP="004F7101">
    <w:pPr>
      <w:pStyle w:val="Header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65F1"/>
    <w:multiLevelType w:val="hybridMultilevel"/>
    <w:tmpl w:val="5212F8BC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D2C15"/>
    <w:multiLevelType w:val="hybridMultilevel"/>
    <w:tmpl w:val="58F2A5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F554CE"/>
    <w:multiLevelType w:val="hybridMultilevel"/>
    <w:tmpl w:val="468843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B45CB"/>
    <w:multiLevelType w:val="hybridMultilevel"/>
    <w:tmpl w:val="957C3C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D1FB2"/>
    <w:multiLevelType w:val="hybridMultilevel"/>
    <w:tmpl w:val="6D3C1572"/>
    <w:lvl w:ilvl="0" w:tplc="0426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5">
    <w:nsid w:val="24F21702"/>
    <w:multiLevelType w:val="hybridMultilevel"/>
    <w:tmpl w:val="A12479EC"/>
    <w:lvl w:ilvl="0" w:tplc="BD6C7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15D6E"/>
    <w:multiLevelType w:val="hybridMultilevel"/>
    <w:tmpl w:val="ABC643DE"/>
    <w:lvl w:ilvl="0" w:tplc="3CA614C2">
      <w:numFmt w:val="bullet"/>
      <w:lvlText w:val="–"/>
      <w:lvlJc w:val="left"/>
      <w:pPr>
        <w:ind w:left="11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30877C4"/>
    <w:multiLevelType w:val="hybridMultilevel"/>
    <w:tmpl w:val="4672D0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0F4F32"/>
    <w:multiLevelType w:val="hybridMultilevel"/>
    <w:tmpl w:val="C85041DC"/>
    <w:lvl w:ilvl="0" w:tplc="01DA5A16">
      <w:start w:val="1"/>
      <w:numFmt w:val="bullet"/>
      <w:lvlText w:val="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BB0976"/>
    <w:multiLevelType w:val="hybridMultilevel"/>
    <w:tmpl w:val="3408776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F1C16"/>
    <w:multiLevelType w:val="hybridMultilevel"/>
    <w:tmpl w:val="7BD2B4A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D48AA"/>
    <w:multiLevelType w:val="hybridMultilevel"/>
    <w:tmpl w:val="D14A90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34BA6"/>
    <w:multiLevelType w:val="hybridMultilevel"/>
    <w:tmpl w:val="CC40333A"/>
    <w:lvl w:ilvl="0" w:tplc="0426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435A0D03"/>
    <w:multiLevelType w:val="hybridMultilevel"/>
    <w:tmpl w:val="C470B9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80AB8"/>
    <w:multiLevelType w:val="hybridMultilevel"/>
    <w:tmpl w:val="EB48EBC0"/>
    <w:lvl w:ilvl="0" w:tplc="0426000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15">
    <w:nsid w:val="43781735"/>
    <w:multiLevelType w:val="hybridMultilevel"/>
    <w:tmpl w:val="0CBE3B12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3955B12"/>
    <w:multiLevelType w:val="hybridMultilevel"/>
    <w:tmpl w:val="455C51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2D53D8"/>
    <w:multiLevelType w:val="hybridMultilevel"/>
    <w:tmpl w:val="9EF0DA8A"/>
    <w:lvl w:ilvl="0" w:tplc="E4B450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E1C42"/>
    <w:multiLevelType w:val="hybridMultilevel"/>
    <w:tmpl w:val="A8624B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825C9"/>
    <w:multiLevelType w:val="hybridMultilevel"/>
    <w:tmpl w:val="9A0EAB60"/>
    <w:lvl w:ilvl="0" w:tplc="F07C63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B3471B"/>
    <w:multiLevelType w:val="hybridMultilevel"/>
    <w:tmpl w:val="4830B8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AF11DA"/>
    <w:multiLevelType w:val="hybridMultilevel"/>
    <w:tmpl w:val="02421DE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82503"/>
    <w:multiLevelType w:val="hybridMultilevel"/>
    <w:tmpl w:val="636A5D2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B4376"/>
    <w:multiLevelType w:val="hybridMultilevel"/>
    <w:tmpl w:val="975E6E58"/>
    <w:lvl w:ilvl="0" w:tplc="042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4">
    <w:nsid w:val="6A1E4601"/>
    <w:multiLevelType w:val="hybridMultilevel"/>
    <w:tmpl w:val="47B4159E"/>
    <w:lvl w:ilvl="0" w:tplc="8F7AD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EFEF7F8">
      <w:numFmt w:val="none"/>
      <w:lvlText w:val=""/>
      <w:lvlJc w:val="left"/>
      <w:pPr>
        <w:tabs>
          <w:tab w:val="num" w:pos="360"/>
        </w:tabs>
      </w:pPr>
    </w:lvl>
    <w:lvl w:ilvl="2" w:tplc="791EFDD4">
      <w:numFmt w:val="none"/>
      <w:lvlText w:val=""/>
      <w:lvlJc w:val="left"/>
      <w:pPr>
        <w:tabs>
          <w:tab w:val="num" w:pos="360"/>
        </w:tabs>
      </w:pPr>
    </w:lvl>
    <w:lvl w:ilvl="3" w:tplc="48BEF74C">
      <w:numFmt w:val="none"/>
      <w:lvlText w:val=""/>
      <w:lvlJc w:val="left"/>
      <w:pPr>
        <w:tabs>
          <w:tab w:val="num" w:pos="360"/>
        </w:tabs>
      </w:pPr>
    </w:lvl>
    <w:lvl w:ilvl="4" w:tplc="D6BC9678">
      <w:numFmt w:val="none"/>
      <w:lvlText w:val=""/>
      <w:lvlJc w:val="left"/>
      <w:pPr>
        <w:tabs>
          <w:tab w:val="num" w:pos="360"/>
        </w:tabs>
      </w:pPr>
    </w:lvl>
    <w:lvl w:ilvl="5" w:tplc="16AC13DC">
      <w:numFmt w:val="none"/>
      <w:lvlText w:val=""/>
      <w:lvlJc w:val="left"/>
      <w:pPr>
        <w:tabs>
          <w:tab w:val="num" w:pos="360"/>
        </w:tabs>
      </w:pPr>
    </w:lvl>
    <w:lvl w:ilvl="6" w:tplc="245E9D74">
      <w:numFmt w:val="none"/>
      <w:lvlText w:val=""/>
      <w:lvlJc w:val="left"/>
      <w:pPr>
        <w:tabs>
          <w:tab w:val="num" w:pos="360"/>
        </w:tabs>
      </w:pPr>
    </w:lvl>
    <w:lvl w:ilvl="7" w:tplc="D1AAE5D4">
      <w:numFmt w:val="none"/>
      <w:lvlText w:val=""/>
      <w:lvlJc w:val="left"/>
      <w:pPr>
        <w:tabs>
          <w:tab w:val="num" w:pos="360"/>
        </w:tabs>
      </w:pPr>
    </w:lvl>
    <w:lvl w:ilvl="8" w:tplc="8C30A5C2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736B10D9"/>
    <w:multiLevelType w:val="hybridMultilevel"/>
    <w:tmpl w:val="01660F6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757767"/>
    <w:multiLevelType w:val="hybridMultilevel"/>
    <w:tmpl w:val="7A8A9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E51D37"/>
    <w:multiLevelType w:val="hybridMultilevel"/>
    <w:tmpl w:val="06F689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B5DE6"/>
    <w:multiLevelType w:val="hybridMultilevel"/>
    <w:tmpl w:val="24C4E6AC"/>
    <w:lvl w:ilvl="0" w:tplc="6556153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num w:numId="1">
    <w:abstractNumId w:val="28"/>
  </w:num>
  <w:num w:numId="2">
    <w:abstractNumId w:val="24"/>
  </w:num>
  <w:num w:numId="3">
    <w:abstractNumId w:val="26"/>
  </w:num>
  <w:num w:numId="4">
    <w:abstractNumId w:val="1"/>
  </w:num>
  <w:num w:numId="5">
    <w:abstractNumId w:val="8"/>
  </w:num>
  <w:num w:numId="6">
    <w:abstractNumId w:val="25"/>
  </w:num>
  <w:num w:numId="7">
    <w:abstractNumId w:val="4"/>
  </w:num>
  <w:num w:numId="8">
    <w:abstractNumId w:val="9"/>
  </w:num>
  <w:num w:numId="9">
    <w:abstractNumId w:val="15"/>
  </w:num>
  <w:num w:numId="10">
    <w:abstractNumId w:val="7"/>
  </w:num>
  <w:num w:numId="11">
    <w:abstractNumId w:val="21"/>
  </w:num>
  <w:num w:numId="12">
    <w:abstractNumId w:val="27"/>
  </w:num>
  <w:num w:numId="13">
    <w:abstractNumId w:val="3"/>
  </w:num>
  <w:num w:numId="14">
    <w:abstractNumId w:val="0"/>
  </w:num>
  <w:num w:numId="15">
    <w:abstractNumId w:val="5"/>
  </w:num>
  <w:num w:numId="16">
    <w:abstractNumId w:val="11"/>
  </w:num>
  <w:num w:numId="17">
    <w:abstractNumId w:val="20"/>
  </w:num>
  <w:num w:numId="18">
    <w:abstractNumId w:val="18"/>
  </w:num>
  <w:num w:numId="19">
    <w:abstractNumId w:val="12"/>
  </w:num>
  <w:num w:numId="20">
    <w:abstractNumId w:val="19"/>
  </w:num>
  <w:num w:numId="21">
    <w:abstractNumId w:val="2"/>
  </w:num>
  <w:num w:numId="22">
    <w:abstractNumId w:val="10"/>
  </w:num>
  <w:num w:numId="23">
    <w:abstractNumId w:val="13"/>
  </w:num>
  <w:num w:numId="24">
    <w:abstractNumId w:val="14"/>
  </w:num>
  <w:num w:numId="25">
    <w:abstractNumId w:val="23"/>
  </w:num>
  <w:num w:numId="26">
    <w:abstractNumId w:val="17"/>
  </w:num>
  <w:num w:numId="27">
    <w:abstractNumId w:val="16"/>
  </w:num>
  <w:num w:numId="28">
    <w:abstractNumId w:val="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39"/>
    <w:rsid w:val="0000013D"/>
    <w:rsid w:val="00001AB3"/>
    <w:rsid w:val="00001ECF"/>
    <w:rsid w:val="00003633"/>
    <w:rsid w:val="000039B7"/>
    <w:rsid w:val="00007210"/>
    <w:rsid w:val="000079D0"/>
    <w:rsid w:val="00010698"/>
    <w:rsid w:val="00013C18"/>
    <w:rsid w:val="000142E6"/>
    <w:rsid w:val="0001718B"/>
    <w:rsid w:val="0002043D"/>
    <w:rsid w:val="00020E02"/>
    <w:rsid w:val="000215CC"/>
    <w:rsid w:val="0002342B"/>
    <w:rsid w:val="000235F2"/>
    <w:rsid w:val="00026B38"/>
    <w:rsid w:val="00026D21"/>
    <w:rsid w:val="00027D92"/>
    <w:rsid w:val="00031574"/>
    <w:rsid w:val="00032913"/>
    <w:rsid w:val="00035354"/>
    <w:rsid w:val="00040E0A"/>
    <w:rsid w:val="00042338"/>
    <w:rsid w:val="000435AA"/>
    <w:rsid w:val="00044877"/>
    <w:rsid w:val="00047364"/>
    <w:rsid w:val="00047D53"/>
    <w:rsid w:val="00051A01"/>
    <w:rsid w:val="00052654"/>
    <w:rsid w:val="00053620"/>
    <w:rsid w:val="000549AE"/>
    <w:rsid w:val="00054CDF"/>
    <w:rsid w:val="0005658C"/>
    <w:rsid w:val="0005736C"/>
    <w:rsid w:val="0006132B"/>
    <w:rsid w:val="00061BFF"/>
    <w:rsid w:val="00062165"/>
    <w:rsid w:val="00062337"/>
    <w:rsid w:val="00062AC3"/>
    <w:rsid w:val="00063764"/>
    <w:rsid w:val="000650E2"/>
    <w:rsid w:val="00065458"/>
    <w:rsid w:val="00065A07"/>
    <w:rsid w:val="0007105F"/>
    <w:rsid w:val="0007177C"/>
    <w:rsid w:val="000733D6"/>
    <w:rsid w:val="0007487C"/>
    <w:rsid w:val="000751F5"/>
    <w:rsid w:val="000761E8"/>
    <w:rsid w:val="00076E30"/>
    <w:rsid w:val="00081B9F"/>
    <w:rsid w:val="0008397F"/>
    <w:rsid w:val="000858A9"/>
    <w:rsid w:val="00085B64"/>
    <w:rsid w:val="000865BC"/>
    <w:rsid w:val="00087B26"/>
    <w:rsid w:val="00095652"/>
    <w:rsid w:val="00095B9A"/>
    <w:rsid w:val="00096000"/>
    <w:rsid w:val="000961DA"/>
    <w:rsid w:val="00097A82"/>
    <w:rsid w:val="000A2E50"/>
    <w:rsid w:val="000A3996"/>
    <w:rsid w:val="000A3E14"/>
    <w:rsid w:val="000A441E"/>
    <w:rsid w:val="000A716C"/>
    <w:rsid w:val="000A7187"/>
    <w:rsid w:val="000A7E6D"/>
    <w:rsid w:val="000A7F4E"/>
    <w:rsid w:val="000B0624"/>
    <w:rsid w:val="000B4230"/>
    <w:rsid w:val="000C07F9"/>
    <w:rsid w:val="000C0E8A"/>
    <w:rsid w:val="000C104E"/>
    <w:rsid w:val="000C4152"/>
    <w:rsid w:val="000C4D22"/>
    <w:rsid w:val="000C7791"/>
    <w:rsid w:val="000D001D"/>
    <w:rsid w:val="000D0713"/>
    <w:rsid w:val="000D2508"/>
    <w:rsid w:val="000D3520"/>
    <w:rsid w:val="000D3CF1"/>
    <w:rsid w:val="000D3D67"/>
    <w:rsid w:val="000D56AA"/>
    <w:rsid w:val="000D6B22"/>
    <w:rsid w:val="000E0A41"/>
    <w:rsid w:val="000E1545"/>
    <w:rsid w:val="000E4926"/>
    <w:rsid w:val="000E4CA5"/>
    <w:rsid w:val="000E57FB"/>
    <w:rsid w:val="000E638B"/>
    <w:rsid w:val="000E6C5A"/>
    <w:rsid w:val="000F01C4"/>
    <w:rsid w:val="000F092F"/>
    <w:rsid w:val="000F1C39"/>
    <w:rsid w:val="000F4234"/>
    <w:rsid w:val="000F51E6"/>
    <w:rsid w:val="000F52CA"/>
    <w:rsid w:val="000F758B"/>
    <w:rsid w:val="00103556"/>
    <w:rsid w:val="001036E5"/>
    <w:rsid w:val="001044CC"/>
    <w:rsid w:val="00104785"/>
    <w:rsid w:val="00104AFF"/>
    <w:rsid w:val="00105B00"/>
    <w:rsid w:val="00106600"/>
    <w:rsid w:val="001148C9"/>
    <w:rsid w:val="00115101"/>
    <w:rsid w:val="001171F3"/>
    <w:rsid w:val="001173E0"/>
    <w:rsid w:val="001237BA"/>
    <w:rsid w:val="001246F0"/>
    <w:rsid w:val="00126422"/>
    <w:rsid w:val="00126CEB"/>
    <w:rsid w:val="00126D5D"/>
    <w:rsid w:val="00127906"/>
    <w:rsid w:val="00127A22"/>
    <w:rsid w:val="001336BD"/>
    <w:rsid w:val="00133727"/>
    <w:rsid w:val="00135026"/>
    <w:rsid w:val="001353B2"/>
    <w:rsid w:val="001362A3"/>
    <w:rsid w:val="001368B1"/>
    <w:rsid w:val="00136A52"/>
    <w:rsid w:val="001419B1"/>
    <w:rsid w:val="00142044"/>
    <w:rsid w:val="0014307B"/>
    <w:rsid w:val="00143C39"/>
    <w:rsid w:val="00145CA2"/>
    <w:rsid w:val="001469CE"/>
    <w:rsid w:val="00147C6A"/>
    <w:rsid w:val="00150672"/>
    <w:rsid w:val="00150D1D"/>
    <w:rsid w:val="00151057"/>
    <w:rsid w:val="001570A6"/>
    <w:rsid w:val="001601D0"/>
    <w:rsid w:val="001604B9"/>
    <w:rsid w:val="00162941"/>
    <w:rsid w:val="0016358A"/>
    <w:rsid w:val="00164F5B"/>
    <w:rsid w:val="00165D83"/>
    <w:rsid w:val="00166F8F"/>
    <w:rsid w:val="00167206"/>
    <w:rsid w:val="00170DF1"/>
    <w:rsid w:val="001713B2"/>
    <w:rsid w:val="00171776"/>
    <w:rsid w:val="00171DC4"/>
    <w:rsid w:val="001725B0"/>
    <w:rsid w:val="00172E78"/>
    <w:rsid w:val="001731F3"/>
    <w:rsid w:val="00174301"/>
    <w:rsid w:val="00177FE8"/>
    <w:rsid w:val="00182C02"/>
    <w:rsid w:val="00182C0B"/>
    <w:rsid w:val="00182FBD"/>
    <w:rsid w:val="0018309B"/>
    <w:rsid w:val="0018480C"/>
    <w:rsid w:val="0018701E"/>
    <w:rsid w:val="00187E06"/>
    <w:rsid w:val="001911FC"/>
    <w:rsid w:val="00191715"/>
    <w:rsid w:val="001929B1"/>
    <w:rsid w:val="00193AAB"/>
    <w:rsid w:val="00194389"/>
    <w:rsid w:val="001952EA"/>
    <w:rsid w:val="00196543"/>
    <w:rsid w:val="00197757"/>
    <w:rsid w:val="001A70F0"/>
    <w:rsid w:val="001A7D5F"/>
    <w:rsid w:val="001A7E6B"/>
    <w:rsid w:val="001B7D4A"/>
    <w:rsid w:val="001C25B8"/>
    <w:rsid w:val="001C386F"/>
    <w:rsid w:val="001D038F"/>
    <w:rsid w:val="001D12DE"/>
    <w:rsid w:val="001D251A"/>
    <w:rsid w:val="001D5B53"/>
    <w:rsid w:val="001D6249"/>
    <w:rsid w:val="001E02AD"/>
    <w:rsid w:val="001E076A"/>
    <w:rsid w:val="001E2366"/>
    <w:rsid w:val="001E4890"/>
    <w:rsid w:val="001E75CA"/>
    <w:rsid w:val="001F089C"/>
    <w:rsid w:val="001F0A71"/>
    <w:rsid w:val="001F21CB"/>
    <w:rsid w:val="001F4C8F"/>
    <w:rsid w:val="001F505D"/>
    <w:rsid w:val="001F57A4"/>
    <w:rsid w:val="001F6166"/>
    <w:rsid w:val="001F7156"/>
    <w:rsid w:val="001F722B"/>
    <w:rsid w:val="00203870"/>
    <w:rsid w:val="002067F2"/>
    <w:rsid w:val="00207B9B"/>
    <w:rsid w:val="00212CDB"/>
    <w:rsid w:val="002131F3"/>
    <w:rsid w:val="002144A3"/>
    <w:rsid w:val="002165F7"/>
    <w:rsid w:val="00217C3F"/>
    <w:rsid w:val="002229C2"/>
    <w:rsid w:val="002254C5"/>
    <w:rsid w:val="00225C6A"/>
    <w:rsid w:val="00227472"/>
    <w:rsid w:val="002319F9"/>
    <w:rsid w:val="00232290"/>
    <w:rsid w:val="00232FC7"/>
    <w:rsid w:val="002348C4"/>
    <w:rsid w:val="00236243"/>
    <w:rsid w:val="002372E5"/>
    <w:rsid w:val="002461F5"/>
    <w:rsid w:val="00246735"/>
    <w:rsid w:val="002476FE"/>
    <w:rsid w:val="0025017B"/>
    <w:rsid w:val="00251BD6"/>
    <w:rsid w:val="002551B8"/>
    <w:rsid w:val="00255A73"/>
    <w:rsid w:val="002560E4"/>
    <w:rsid w:val="0026006B"/>
    <w:rsid w:val="00262F54"/>
    <w:rsid w:val="0026359B"/>
    <w:rsid w:val="00264CAA"/>
    <w:rsid w:val="00270489"/>
    <w:rsid w:val="002712C0"/>
    <w:rsid w:val="00272B1A"/>
    <w:rsid w:val="00273B6E"/>
    <w:rsid w:val="00273FA2"/>
    <w:rsid w:val="00276BAC"/>
    <w:rsid w:val="0028218C"/>
    <w:rsid w:val="00285008"/>
    <w:rsid w:val="002855BC"/>
    <w:rsid w:val="00286504"/>
    <w:rsid w:val="00290393"/>
    <w:rsid w:val="00290DC4"/>
    <w:rsid w:val="00290EA6"/>
    <w:rsid w:val="00291420"/>
    <w:rsid w:val="0029515B"/>
    <w:rsid w:val="00295A81"/>
    <w:rsid w:val="00296E93"/>
    <w:rsid w:val="002A143A"/>
    <w:rsid w:val="002A1A91"/>
    <w:rsid w:val="002A2389"/>
    <w:rsid w:val="002A2F1F"/>
    <w:rsid w:val="002A3D53"/>
    <w:rsid w:val="002A41FE"/>
    <w:rsid w:val="002A4871"/>
    <w:rsid w:val="002A5373"/>
    <w:rsid w:val="002A6F46"/>
    <w:rsid w:val="002A7800"/>
    <w:rsid w:val="002A797A"/>
    <w:rsid w:val="002B1E4F"/>
    <w:rsid w:val="002B6D8B"/>
    <w:rsid w:val="002C04C1"/>
    <w:rsid w:val="002C2881"/>
    <w:rsid w:val="002C2F59"/>
    <w:rsid w:val="002C385D"/>
    <w:rsid w:val="002C5456"/>
    <w:rsid w:val="002C6539"/>
    <w:rsid w:val="002C66F4"/>
    <w:rsid w:val="002C72CC"/>
    <w:rsid w:val="002D083D"/>
    <w:rsid w:val="002D13AF"/>
    <w:rsid w:val="002D47FC"/>
    <w:rsid w:val="002D49DC"/>
    <w:rsid w:val="002D69F9"/>
    <w:rsid w:val="002D6DBF"/>
    <w:rsid w:val="002E23CC"/>
    <w:rsid w:val="002E3C62"/>
    <w:rsid w:val="002E41D7"/>
    <w:rsid w:val="002E6410"/>
    <w:rsid w:val="002E6F2E"/>
    <w:rsid w:val="002E79ED"/>
    <w:rsid w:val="002F0395"/>
    <w:rsid w:val="002F0740"/>
    <w:rsid w:val="002F081D"/>
    <w:rsid w:val="002F7AE9"/>
    <w:rsid w:val="00300AE0"/>
    <w:rsid w:val="00300DC9"/>
    <w:rsid w:val="003013B7"/>
    <w:rsid w:val="00301AAC"/>
    <w:rsid w:val="00301C17"/>
    <w:rsid w:val="003023A3"/>
    <w:rsid w:val="00303B38"/>
    <w:rsid w:val="00305B96"/>
    <w:rsid w:val="003104F0"/>
    <w:rsid w:val="00310FF2"/>
    <w:rsid w:val="00314E26"/>
    <w:rsid w:val="00314F97"/>
    <w:rsid w:val="00320B49"/>
    <w:rsid w:val="00322CBE"/>
    <w:rsid w:val="0032318D"/>
    <w:rsid w:val="0032418A"/>
    <w:rsid w:val="00324B52"/>
    <w:rsid w:val="00325421"/>
    <w:rsid w:val="003260FD"/>
    <w:rsid w:val="00327F83"/>
    <w:rsid w:val="00331977"/>
    <w:rsid w:val="00332137"/>
    <w:rsid w:val="00332D09"/>
    <w:rsid w:val="003424A8"/>
    <w:rsid w:val="003424AC"/>
    <w:rsid w:val="0034319F"/>
    <w:rsid w:val="00343316"/>
    <w:rsid w:val="003435BC"/>
    <w:rsid w:val="00343979"/>
    <w:rsid w:val="00343C43"/>
    <w:rsid w:val="003442F7"/>
    <w:rsid w:val="00344387"/>
    <w:rsid w:val="003451C7"/>
    <w:rsid w:val="003467E8"/>
    <w:rsid w:val="00346D36"/>
    <w:rsid w:val="003501DE"/>
    <w:rsid w:val="0035030C"/>
    <w:rsid w:val="0035132A"/>
    <w:rsid w:val="00351CC6"/>
    <w:rsid w:val="00355F6B"/>
    <w:rsid w:val="003615B9"/>
    <w:rsid w:val="003659F6"/>
    <w:rsid w:val="00371DA2"/>
    <w:rsid w:val="0037222B"/>
    <w:rsid w:val="00372B9B"/>
    <w:rsid w:val="0037347B"/>
    <w:rsid w:val="0037584D"/>
    <w:rsid w:val="00375EC0"/>
    <w:rsid w:val="00376F87"/>
    <w:rsid w:val="003821D5"/>
    <w:rsid w:val="00382C20"/>
    <w:rsid w:val="003834DD"/>
    <w:rsid w:val="003834F2"/>
    <w:rsid w:val="00384605"/>
    <w:rsid w:val="003908A9"/>
    <w:rsid w:val="00391231"/>
    <w:rsid w:val="00391BCF"/>
    <w:rsid w:val="00392F4F"/>
    <w:rsid w:val="0039325D"/>
    <w:rsid w:val="003938F1"/>
    <w:rsid w:val="00393ACC"/>
    <w:rsid w:val="00393D9C"/>
    <w:rsid w:val="003949F5"/>
    <w:rsid w:val="00395E7A"/>
    <w:rsid w:val="00397027"/>
    <w:rsid w:val="003A102E"/>
    <w:rsid w:val="003A3E26"/>
    <w:rsid w:val="003A4BE0"/>
    <w:rsid w:val="003A6DDE"/>
    <w:rsid w:val="003A7F83"/>
    <w:rsid w:val="003B4BEA"/>
    <w:rsid w:val="003B5F77"/>
    <w:rsid w:val="003B75BA"/>
    <w:rsid w:val="003C21AF"/>
    <w:rsid w:val="003C583E"/>
    <w:rsid w:val="003C62DB"/>
    <w:rsid w:val="003C720B"/>
    <w:rsid w:val="003C72C5"/>
    <w:rsid w:val="003C78E6"/>
    <w:rsid w:val="003D0E87"/>
    <w:rsid w:val="003D105B"/>
    <w:rsid w:val="003D170A"/>
    <w:rsid w:val="003D170F"/>
    <w:rsid w:val="003D5BCD"/>
    <w:rsid w:val="003E0D8D"/>
    <w:rsid w:val="003E129A"/>
    <w:rsid w:val="003E2622"/>
    <w:rsid w:val="003E30CC"/>
    <w:rsid w:val="003E558B"/>
    <w:rsid w:val="003E5C9F"/>
    <w:rsid w:val="003E7033"/>
    <w:rsid w:val="003E731F"/>
    <w:rsid w:val="003E74C1"/>
    <w:rsid w:val="003E7C26"/>
    <w:rsid w:val="003F0227"/>
    <w:rsid w:val="003F08FA"/>
    <w:rsid w:val="003F14B5"/>
    <w:rsid w:val="003F15C8"/>
    <w:rsid w:val="003F1647"/>
    <w:rsid w:val="003F18E0"/>
    <w:rsid w:val="003F37E8"/>
    <w:rsid w:val="003F48CE"/>
    <w:rsid w:val="003F796A"/>
    <w:rsid w:val="004011A4"/>
    <w:rsid w:val="00401CF6"/>
    <w:rsid w:val="0040277D"/>
    <w:rsid w:val="004035C4"/>
    <w:rsid w:val="0041108F"/>
    <w:rsid w:val="0041110C"/>
    <w:rsid w:val="00412F95"/>
    <w:rsid w:val="00416EA9"/>
    <w:rsid w:val="00420B60"/>
    <w:rsid w:val="004239FC"/>
    <w:rsid w:val="00425E94"/>
    <w:rsid w:val="0043042E"/>
    <w:rsid w:val="00432B8E"/>
    <w:rsid w:val="00432ECC"/>
    <w:rsid w:val="004331F8"/>
    <w:rsid w:val="0043362E"/>
    <w:rsid w:val="004419E1"/>
    <w:rsid w:val="00442A67"/>
    <w:rsid w:val="004442BD"/>
    <w:rsid w:val="00446175"/>
    <w:rsid w:val="004466F9"/>
    <w:rsid w:val="00447103"/>
    <w:rsid w:val="00450663"/>
    <w:rsid w:val="0045075A"/>
    <w:rsid w:val="004510E3"/>
    <w:rsid w:val="00452463"/>
    <w:rsid w:val="00453834"/>
    <w:rsid w:val="004556FA"/>
    <w:rsid w:val="004573AD"/>
    <w:rsid w:val="00461283"/>
    <w:rsid w:val="00464C01"/>
    <w:rsid w:val="00464DA6"/>
    <w:rsid w:val="00465C9F"/>
    <w:rsid w:val="0046641F"/>
    <w:rsid w:val="00472123"/>
    <w:rsid w:val="00472716"/>
    <w:rsid w:val="0047688F"/>
    <w:rsid w:val="0047780E"/>
    <w:rsid w:val="00480261"/>
    <w:rsid w:val="00481CEC"/>
    <w:rsid w:val="0048335E"/>
    <w:rsid w:val="00485687"/>
    <w:rsid w:val="004865E7"/>
    <w:rsid w:val="00487128"/>
    <w:rsid w:val="00487218"/>
    <w:rsid w:val="00490F10"/>
    <w:rsid w:val="004912EA"/>
    <w:rsid w:val="00493432"/>
    <w:rsid w:val="004953F4"/>
    <w:rsid w:val="00496F2A"/>
    <w:rsid w:val="00497062"/>
    <w:rsid w:val="0049796E"/>
    <w:rsid w:val="004A1218"/>
    <w:rsid w:val="004A16F4"/>
    <w:rsid w:val="004A333B"/>
    <w:rsid w:val="004A38DF"/>
    <w:rsid w:val="004A4428"/>
    <w:rsid w:val="004A52BE"/>
    <w:rsid w:val="004A5AAF"/>
    <w:rsid w:val="004A5E4A"/>
    <w:rsid w:val="004A6555"/>
    <w:rsid w:val="004A6DCA"/>
    <w:rsid w:val="004A7EF0"/>
    <w:rsid w:val="004B3EE7"/>
    <w:rsid w:val="004B6D0A"/>
    <w:rsid w:val="004C0D5F"/>
    <w:rsid w:val="004C35A2"/>
    <w:rsid w:val="004C619A"/>
    <w:rsid w:val="004C7556"/>
    <w:rsid w:val="004D0D34"/>
    <w:rsid w:val="004D2863"/>
    <w:rsid w:val="004D2C5F"/>
    <w:rsid w:val="004D2EFA"/>
    <w:rsid w:val="004D6DA1"/>
    <w:rsid w:val="004E03A9"/>
    <w:rsid w:val="004E0EB8"/>
    <w:rsid w:val="004E292B"/>
    <w:rsid w:val="004E2FFD"/>
    <w:rsid w:val="004E4520"/>
    <w:rsid w:val="004E46CB"/>
    <w:rsid w:val="004E48DC"/>
    <w:rsid w:val="004E4F4C"/>
    <w:rsid w:val="004E5E7C"/>
    <w:rsid w:val="004E6978"/>
    <w:rsid w:val="004F3408"/>
    <w:rsid w:val="004F359D"/>
    <w:rsid w:val="004F4114"/>
    <w:rsid w:val="004F4651"/>
    <w:rsid w:val="004F4A5C"/>
    <w:rsid w:val="004F6743"/>
    <w:rsid w:val="004F7101"/>
    <w:rsid w:val="005002B2"/>
    <w:rsid w:val="0050190F"/>
    <w:rsid w:val="00502677"/>
    <w:rsid w:val="00503B57"/>
    <w:rsid w:val="005061F2"/>
    <w:rsid w:val="005103B8"/>
    <w:rsid w:val="00511068"/>
    <w:rsid w:val="00511578"/>
    <w:rsid w:val="005116B0"/>
    <w:rsid w:val="00511EB4"/>
    <w:rsid w:val="005163C8"/>
    <w:rsid w:val="005167CC"/>
    <w:rsid w:val="00516F03"/>
    <w:rsid w:val="005212D3"/>
    <w:rsid w:val="00525572"/>
    <w:rsid w:val="005307FA"/>
    <w:rsid w:val="00531FC6"/>
    <w:rsid w:val="00532B88"/>
    <w:rsid w:val="00533466"/>
    <w:rsid w:val="0053506D"/>
    <w:rsid w:val="00535F50"/>
    <w:rsid w:val="00536224"/>
    <w:rsid w:val="005369C5"/>
    <w:rsid w:val="00536BCD"/>
    <w:rsid w:val="0053797C"/>
    <w:rsid w:val="005411D0"/>
    <w:rsid w:val="00542250"/>
    <w:rsid w:val="005460B5"/>
    <w:rsid w:val="00552D19"/>
    <w:rsid w:val="005554FB"/>
    <w:rsid w:val="00556A32"/>
    <w:rsid w:val="00556FF2"/>
    <w:rsid w:val="005577C0"/>
    <w:rsid w:val="00557B55"/>
    <w:rsid w:val="00560892"/>
    <w:rsid w:val="00560A28"/>
    <w:rsid w:val="00561863"/>
    <w:rsid w:val="0056484E"/>
    <w:rsid w:val="0056528F"/>
    <w:rsid w:val="00565AE2"/>
    <w:rsid w:val="00571C51"/>
    <w:rsid w:val="00572A89"/>
    <w:rsid w:val="005732DB"/>
    <w:rsid w:val="00573633"/>
    <w:rsid w:val="0057433C"/>
    <w:rsid w:val="00574A43"/>
    <w:rsid w:val="00574A86"/>
    <w:rsid w:val="0057600B"/>
    <w:rsid w:val="005764CD"/>
    <w:rsid w:val="0057687F"/>
    <w:rsid w:val="00580F14"/>
    <w:rsid w:val="00580F41"/>
    <w:rsid w:val="0058257C"/>
    <w:rsid w:val="00582DE9"/>
    <w:rsid w:val="00583485"/>
    <w:rsid w:val="005857FC"/>
    <w:rsid w:val="00585C9D"/>
    <w:rsid w:val="0058741B"/>
    <w:rsid w:val="00591DA1"/>
    <w:rsid w:val="00592270"/>
    <w:rsid w:val="00592648"/>
    <w:rsid w:val="0059425F"/>
    <w:rsid w:val="00594765"/>
    <w:rsid w:val="00595425"/>
    <w:rsid w:val="00595DB1"/>
    <w:rsid w:val="00596628"/>
    <w:rsid w:val="00597D3C"/>
    <w:rsid w:val="005A055C"/>
    <w:rsid w:val="005A342A"/>
    <w:rsid w:val="005A5033"/>
    <w:rsid w:val="005A73B3"/>
    <w:rsid w:val="005A7F8B"/>
    <w:rsid w:val="005B02EC"/>
    <w:rsid w:val="005B05E5"/>
    <w:rsid w:val="005B4BAB"/>
    <w:rsid w:val="005B7580"/>
    <w:rsid w:val="005C04D6"/>
    <w:rsid w:val="005C14B8"/>
    <w:rsid w:val="005C4125"/>
    <w:rsid w:val="005C560B"/>
    <w:rsid w:val="005C6264"/>
    <w:rsid w:val="005C708F"/>
    <w:rsid w:val="005C7CCD"/>
    <w:rsid w:val="005D19EE"/>
    <w:rsid w:val="005D340F"/>
    <w:rsid w:val="005D4043"/>
    <w:rsid w:val="005D4084"/>
    <w:rsid w:val="005D43EE"/>
    <w:rsid w:val="005D4C67"/>
    <w:rsid w:val="005D52F3"/>
    <w:rsid w:val="005D57D5"/>
    <w:rsid w:val="005D7AAD"/>
    <w:rsid w:val="005E3AE4"/>
    <w:rsid w:val="005E4627"/>
    <w:rsid w:val="005E6AC1"/>
    <w:rsid w:val="005E7852"/>
    <w:rsid w:val="005F0502"/>
    <w:rsid w:val="005F13AC"/>
    <w:rsid w:val="005F514E"/>
    <w:rsid w:val="005F51A5"/>
    <w:rsid w:val="005F5775"/>
    <w:rsid w:val="005F588E"/>
    <w:rsid w:val="005F6059"/>
    <w:rsid w:val="005F6BB0"/>
    <w:rsid w:val="005F78C5"/>
    <w:rsid w:val="005F7CD9"/>
    <w:rsid w:val="00605BB5"/>
    <w:rsid w:val="00605FC9"/>
    <w:rsid w:val="00606F67"/>
    <w:rsid w:val="00607145"/>
    <w:rsid w:val="00607300"/>
    <w:rsid w:val="0060745B"/>
    <w:rsid w:val="00607946"/>
    <w:rsid w:val="006100F7"/>
    <w:rsid w:val="0061480C"/>
    <w:rsid w:val="00616624"/>
    <w:rsid w:val="00622A1E"/>
    <w:rsid w:val="006241FB"/>
    <w:rsid w:val="00625FE7"/>
    <w:rsid w:val="00636BCC"/>
    <w:rsid w:val="00637414"/>
    <w:rsid w:val="00637A14"/>
    <w:rsid w:val="006400EC"/>
    <w:rsid w:val="00645D1D"/>
    <w:rsid w:val="00645F38"/>
    <w:rsid w:val="0064729F"/>
    <w:rsid w:val="00647507"/>
    <w:rsid w:val="006476B6"/>
    <w:rsid w:val="00650506"/>
    <w:rsid w:val="00650F9F"/>
    <w:rsid w:val="00651117"/>
    <w:rsid w:val="0065162C"/>
    <w:rsid w:val="00651670"/>
    <w:rsid w:val="00651EB6"/>
    <w:rsid w:val="00652ABF"/>
    <w:rsid w:val="00652CDA"/>
    <w:rsid w:val="0065356C"/>
    <w:rsid w:val="006542B2"/>
    <w:rsid w:val="00656ECE"/>
    <w:rsid w:val="00660AA4"/>
    <w:rsid w:val="00660FDC"/>
    <w:rsid w:val="00662231"/>
    <w:rsid w:val="006639A0"/>
    <w:rsid w:val="00665CA6"/>
    <w:rsid w:val="006671DA"/>
    <w:rsid w:val="00667C77"/>
    <w:rsid w:val="0067064A"/>
    <w:rsid w:val="0067172C"/>
    <w:rsid w:val="006732AB"/>
    <w:rsid w:val="006732C7"/>
    <w:rsid w:val="0067450E"/>
    <w:rsid w:val="00676761"/>
    <w:rsid w:val="00677B91"/>
    <w:rsid w:val="00685996"/>
    <w:rsid w:val="006878B5"/>
    <w:rsid w:val="00690124"/>
    <w:rsid w:val="00690C51"/>
    <w:rsid w:val="00693529"/>
    <w:rsid w:val="00695B1A"/>
    <w:rsid w:val="00696444"/>
    <w:rsid w:val="0069696B"/>
    <w:rsid w:val="00697CD8"/>
    <w:rsid w:val="006A13C2"/>
    <w:rsid w:val="006A3989"/>
    <w:rsid w:val="006A4065"/>
    <w:rsid w:val="006A4494"/>
    <w:rsid w:val="006A4E19"/>
    <w:rsid w:val="006A4F98"/>
    <w:rsid w:val="006A52E0"/>
    <w:rsid w:val="006A5EEA"/>
    <w:rsid w:val="006A62C1"/>
    <w:rsid w:val="006A7BCB"/>
    <w:rsid w:val="006B0681"/>
    <w:rsid w:val="006B3E7B"/>
    <w:rsid w:val="006B540B"/>
    <w:rsid w:val="006B5F06"/>
    <w:rsid w:val="006B621D"/>
    <w:rsid w:val="006B74BB"/>
    <w:rsid w:val="006B75C3"/>
    <w:rsid w:val="006B781E"/>
    <w:rsid w:val="006C014B"/>
    <w:rsid w:val="006C449F"/>
    <w:rsid w:val="006C58E4"/>
    <w:rsid w:val="006C603F"/>
    <w:rsid w:val="006C640F"/>
    <w:rsid w:val="006D1034"/>
    <w:rsid w:val="006D10B2"/>
    <w:rsid w:val="006D51CF"/>
    <w:rsid w:val="006D6199"/>
    <w:rsid w:val="006D666B"/>
    <w:rsid w:val="006D687E"/>
    <w:rsid w:val="006D68A6"/>
    <w:rsid w:val="006E3999"/>
    <w:rsid w:val="006E453C"/>
    <w:rsid w:val="006E7292"/>
    <w:rsid w:val="006F053E"/>
    <w:rsid w:val="006F0C07"/>
    <w:rsid w:val="006F1EAE"/>
    <w:rsid w:val="006F428C"/>
    <w:rsid w:val="006F4FCA"/>
    <w:rsid w:val="00701964"/>
    <w:rsid w:val="00702261"/>
    <w:rsid w:val="007023D0"/>
    <w:rsid w:val="007032E3"/>
    <w:rsid w:val="00704413"/>
    <w:rsid w:val="0070661F"/>
    <w:rsid w:val="00706C4E"/>
    <w:rsid w:val="00713029"/>
    <w:rsid w:val="00720469"/>
    <w:rsid w:val="00721BB1"/>
    <w:rsid w:val="007224C3"/>
    <w:rsid w:val="007246CA"/>
    <w:rsid w:val="00724701"/>
    <w:rsid w:val="007256A4"/>
    <w:rsid w:val="00725FEA"/>
    <w:rsid w:val="007263E4"/>
    <w:rsid w:val="00734143"/>
    <w:rsid w:val="00734209"/>
    <w:rsid w:val="0074034C"/>
    <w:rsid w:val="00740780"/>
    <w:rsid w:val="00742BEE"/>
    <w:rsid w:val="00743311"/>
    <w:rsid w:val="007442A7"/>
    <w:rsid w:val="00745587"/>
    <w:rsid w:val="0074633E"/>
    <w:rsid w:val="00746A22"/>
    <w:rsid w:val="00751CD3"/>
    <w:rsid w:val="007530AC"/>
    <w:rsid w:val="00755C2E"/>
    <w:rsid w:val="0075711A"/>
    <w:rsid w:val="007579C6"/>
    <w:rsid w:val="00760649"/>
    <w:rsid w:val="00761D65"/>
    <w:rsid w:val="007622D2"/>
    <w:rsid w:val="00763741"/>
    <w:rsid w:val="00765A04"/>
    <w:rsid w:val="00767BB2"/>
    <w:rsid w:val="00771F77"/>
    <w:rsid w:val="00772036"/>
    <w:rsid w:val="00772907"/>
    <w:rsid w:val="00774C1E"/>
    <w:rsid w:val="007750A6"/>
    <w:rsid w:val="00777848"/>
    <w:rsid w:val="00777B87"/>
    <w:rsid w:val="00780842"/>
    <w:rsid w:val="00780BC3"/>
    <w:rsid w:val="0078175B"/>
    <w:rsid w:val="00781FC8"/>
    <w:rsid w:val="00784EAF"/>
    <w:rsid w:val="007860A9"/>
    <w:rsid w:val="00786342"/>
    <w:rsid w:val="0079094C"/>
    <w:rsid w:val="007957F8"/>
    <w:rsid w:val="00796C48"/>
    <w:rsid w:val="007A0C1C"/>
    <w:rsid w:val="007A17D3"/>
    <w:rsid w:val="007A1852"/>
    <w:rsid w:val="007A3028"/>
    <w:rsid w:val="007A3A88"/>
    <w:rsid w:val="007A4D47"/>
    <w:rsid w:val="007A6633"/>
    <w:rsid w:val="007A726D"/>
    <w:rsid w:val="007B1958"/>
    <w:rsid w:val="007B458F"/>
    <w:rsid w:val="007B571B"/>
    <w:rsid w:val="007C0D5C"/>
    <w:rsid w:val="007C12BD"/>
    <w:rsid w:val="007C1E6D"/>
    <w:rsid w:val="007C454A"/>
    <w:rsid w:val="007C5128"/>
    <w:rsid w:val="007C5838"/>
    <w:rsid w:val="007C5AEB"/>
    <w:rsid w:val="007C5D29"/>
    <w:rsid w:val="007D0085"/>
    <w:rsid w:val="007D16F0"/>
    <w:rsid w:val="007D4A68"/>
    <w:rsid w:val="007D51C7"/>
    <w:rsid w:val="007D6145"/>
    <w:rsid w:val="007D61DC"/>
    <w:rsid w:val="007D6576"/>
    <w:rsid w:val="007D6E65"/>
    <w:rsid w:val="007E0492"/>
    <w:rsid w:val="007E20EF"/>
    <w:rsid w:val="007E2CE0"/>
    <w:rsid w:val="007E388E"/>
    <w:rsid w:val="007E43A2"/>
    <w:rsid w:val="007E5060"/>
    <w:rsid w:val="007E59FC"/>
    <w:rsid w:val="007E5E9C"/>
    <w:rsid w:val="007E6014"/>
    <w:rsid w:val="007F06F6"/>
    <w:rsid w:val="007F3BBD"/>
    <w:rsid w:val="007F40B6"/>
    <w:rsid w:val="007F40F0"/>
    <w:rsid w:val="007F5004"/>
    <w:rsid w:val="00802827"/>
    <w:rsid w:val="00802A1D"/>
    <w:rsid w:val="00805B7C"/>
    <w:rsid w:val="00805FCB"/>
    <w:rsid w:val="00810011"/>
    <w:rsid w:val="00812FCE"/>
    <w:rsid w:val="0082159A"/>
    <w:rsid w:val="0082309C"/>
    <w:rsid w:val="00823884"/>
    <w:rsid w:val="008268D8"/>
    <w:rsid w:val="00827386"/>
    <w:rsid w:val="00830225"/>
    <w:rsid w:val="00830B1F"/>
    <w:rsid w:val="008311D9"/>
    <w:rsid w:val="008312C4"/>
    <w:rsid w:val="0083152E"/>
    <w:rsid w:val="0083178B"/>
    <w:rsid w:val="00832B10"/>
    <w:rsid w:val="0083449E"/>
    <w:rsid w:val="00835038"/>
    <w:rsid w:val="00835A13"/>
    <w:rsid w:val="008374A6"/>
    <w:rsid w:val="00841273"/>
    <w:rsid w:val="008434E2"/>
    <w:rsid w:val="008447AD"/>
    <w:rsid w:val="008464C6"/>
    <w:rsid w:val="0084747F"/>
    <w:rsid w:val="00850D6E"/>
    <w:rsid w:val="00850DC2"/>
    <w:rsid w:val="00850E76"/>
    <w:rsid w:val="008515C5"/>
    <w:rsid w:val="00851C1F"/>
    <w:rsid w:val="00851CA9"/>
    <w:rsid w:val="008555AC"/>
    <w:rsid w:val="00855690"/>
    <w:rsid w:val="00857D7B"/>
    <w:rsid w:val="00860361"/>
    <w:rsid w:val="0086130A"/>
    <w:rsid w:val="00862207"/>
    <w:rsid w:val="00862479"/>
    <w:rsid w:val="008641F4"/>
    <w:rsid w:val="008660B3"/>
    <w:rsid w:val="00866955"/>
    <w:rsid w:val="00867428"/>
    <w:rsid w:val="00874E43"/>
    <w:rsid w:val="008770D9"/>
    <w:rsid w:val="00880A15"/>
    <w:rsid w:val="00883455"/>
    <w:rsid w:val="0088448D"/>
    <w:rsid w:val="00884537"/>
    <w:rsid w:val="00884E29"/>
    <w:rsid w:val="00891871"/>
    <w:rsid w:val="008923C6"/>
    <w:rsid w:val="00892E5D"/>
    <w:rsid w:val="00897E91"/>
    <w:rsid w:val="008A017A"/>
    <w:rsid w:val="008A2614"/>
    <w:rsid w:val="008A405A"/>
    <w:rsid w:val="008A40EB"/>
    <w:rsid w:val="008A4959"/>
    <w:rsid w:val="008A5F10"/>
    <w:rsid w:val="008A7887"/>
    <w:rsid w:val="008B18D8"/>
    <w:rsid w:val="008B2C58"/>
    <w:rsid w:val="008B6A0C"/>
    <w:rsid w:val="008B7699"/>
    <w:rsid w:val="008C30A6"/>
    <w:rsid w:val="008C4E30"/>
    <w:rsid w:val="008C5273"/>
    <w:rsid w:val="008C53D7"/>
    <w:rsid w:val="008C555E"/>
    <w:rsid w:val="008D0B9C"/>
    <w:rsid w:val="008D1902"/>
    <w:rsid w:val="008D2DFA"/>
    <w:rsid w:val="008D3694"/>
    <w:rsid w:val="008D440A"/>
    <w:rsid w:val="008D77FC"/>
    <w:rsid w:val="008E21D5"/>
    <w:rsid w:val="008E3E67"/>
    <w:rsid w:val="008E5018"/>
    <w:rsid w:val="008E7451"/>
    <w:rsid w:val="008E79E4"/>
    <w:rsid w:val="008F0C79"/>
    <w:rsid w:val="008F149E"/>
    <w:rsid w:val="008F1589"/>
    <w:rsid w:val="008F18CF"/>
    <w:rsid w:val="008F1FE1"/>
    <w:rsid w:val="008F4BDA"/>
    <w:rsid w:val="008F765C"/>
    <w:rsid w:val="00900C4E"/>
    <w:rsid w:val="00903AFC"/>
    <w:rsid w:val="009052B2"/>
    <w:rsid w:val="009055DD"/>
    <w:rsid w:val="00906008"/>
    <w:rsid w:val="0090777A"/>
    <w:rsid w:val="00907F2A"/>
    <w:rsid w:val="009123ED"/>
    <w:rsid w:val="00912CEA"/>
    <w:rsid w:val="009146B5"/>
    <w:rsid w:val="00923D3D"/>
    <w:rsid w:val="00925403"/>
    <w:rsid w:val="009259D3"/>
    <w:rsid w:val="009265AC"/>
    <w:rsid w:val="0092757F"/>
    <w:rsid w:val="00927998"/>
    <w:rsid w:val="00927FD1"/>
    <w:rsid w:val="00931543"/>
    <w:rsid w:val="00934FC2"/>
    <w:rsid w:val="009363D4"/>
    <w:rsid w:val="00936AFB"/>
    <w:rsid w:val="009372D9"/>
    <w:rsid w:val="009425E0"/>
    <w:rsid w:val="009426B9"/>
    <w:rsid w:val="00942E44"/>
    <w:rsid w:val="009431E6"/>
    <w:rsid w:val="009439B5"/>
    <w:rsid w:val="0094620A"/>
    <w:rsid w:val="009472E5"/>
    <w:rsid w:val="009474EF"/>
    <w:rsid w:val="00950420"/>
    <w:rsid w:val="00950D63"/>
    <w:rsid w:val="00951B93"/>
    <w:rsid w:val="00952CB4"/>
    <w:rsid w:val="00955273"/>
    <w:rsid w:val="00956992"/>
    <w:rsid w:val="00957AAA"/>
    <w:rsid w:val="00965691"/>
    <w:rsid w:val="009658EC"/>
    <w:rsid w:val="009663CA"/>
    <w:rsid w:val="00970558"/>
    <w:rsid w:val="009708F5"/>
    <w:rsid w:val="0097095D"/>
    <w:rsid w:val="00971E44"/>
    <w:rsid w:val="0097289B"/>
    <w:rsid w:val="00972A0B"/>
    <w:rsid w:val="00972F7E"/>
    <w:rsid w:val="009744B5"/>
    <w:rsid w:val="009744C6"/>
    <w:rsid w:val="00974C0A"/>
    <w:rsid w:val="009752F5"/>
    <w:rsid w:val="0097617D"/>
    <w:rsid w:val="0097623C"/>
    <w:rsid w:val="00981FF9"/>
    <w:rsid w:val="009825BB"/>
    <w:rsid w:val="00982F36"/>
    <w:rsid w:val="00984A47"/>
    <w:rsid w:val="00985148"/>
    <w:rsid w:val="00985A9F"/>
    <w:rsid w:val="00985B79"/>
    <w:rsid w:val="00990964"/>
    <w:rsid w:val="00992E1E"/>
    <w:rsid w:val="009946AD"/>
    <w:rsid w:val="00995105"/>
    <w:rsid w:val="0099539A"/>
    <w:rsid w:val="0099699E"/>
    <w:rsid w:val="009973CF"/>
    <w:rsid w:val="00997515"/>
    <w:rsid w:val="009A0C45"/>
    <w:rsid w:val="009A35BF"/>
    <w:rsid w:val="009A3FEE"/>
    <w:rsid w:val="009A7BEA"/>
    <w:rsid w:val="009B0C6C"/>
    <w:rsid w:val="009B0C74"/>
    <w:rsid w:val="009B3320"/>
    <w:rsid w:val="009C010D"/>
    <w:rsid w:val="009C0B38"/>
    <w:rsid w:val="009C247D"/>
    <w:rsid w:val="009C2717"/>
    <w:rsid w:val="009C4471"/>
    <w:rsid w:val="009C5A5A"/>
    <w:rsid w:val="009C7160"/>
    <w:rsid w:val="009D0E96"/>
    <w:rsid w:val="009D2A22"/>
    <w:rsid w:val="009D31DE"/>
    <w:rsid w:val="009D388A"/>
    <w:rsid w:val="009D3D21"/>
    <w:rsid w:val="009D6A6B"/>
    <w:rsid w:val="009E312E"/>
    <w:rsid w:val="009E3315"/>
    <w:rsid w:val="009E6295"/>
    <w:rsid w:val="009E6CA0"/>
    <w:rsid w:val="009E6DBE"/>
    <w:rsid w:val="009E794E"/>
    <w:rsid w:val="009F020E"/>
    <w:rsid w:val="009F22AB"/>
    <w:rsid w:val="009F23F9"/>
    <w:rsid w:val="009F3456"/>
    <w:rsid w:val="009F4B2E"/>
    <w:rsid w:val="009F5885"/>
    <w:rsid w:val="009F635B"/>
    <w:rsid w:val="009F7371"/>
    <w:rsid w:val="00A0109B"/>
    <w:rsid w:val="00A03F0A"/>
    <w:rsid w:val="00A03F5C"/>
    <w:rsid w:val="00A04250"/>
    <w:rsid w:val="00A04BD7"/>
    <w:rsid w:val="00A06CE0"/>
    <w:rsid w:val="00A1063A"/>
    <w:rsid w:val="00A12EC1"/>
    <w:rsid w:val="00A12F26"/>
    <w:rsid w:val="00A12F2D"/>
    <w:rsid w:val="00A13B95"/>
    <w:rsid w:val="00A14602"/>
    <w:rsid w:val="00A1538E"/>
    <w:rsid w:val="00A16A6C"/>
    <w:rsid w:val="00A20340"/>
    <w:rsid w:val="00A2130F"/>
    <w:rsid w:val="00A254AD"/>
    <w:rsid w:val="00A25963"/>
    <w:rsid w:val="00A264E8"/>
    <w:rsid w:val="00A33E08"/>
    <w:rsid w:val="00A34E50"/>
    <w:rsid w:val="00A34E6F"/>
    <w:rsid w:val="00A351FF"/>
    <w:rsid w:val="00A3643F"/>
    <w:rsid w:val="00A37093"/>
    <w:rsid w:val="00A410C7"/>
    <w:rsid w:val="00A436BC"/>
    <w:rsid w:val="00A436C5"/>
    <w:rsid w:val="00A4430F"/>
    <w:rsid w:val="00A4564E"/>
    <w:rsid w:val="00A46369"/>
    <w:rsid w:val="00A4641F"/>
    <w:rsid w:val="00A46B6B"/>
    <w:rsid w:val="00A47605"/>
    <w:rsid w:val="00A478C6"/>
    <w:rsid w:val="00A55CB6"/>
    <w:rsid w:val="00A569BE"/>
    <w:rsid w:val="00A6183D"/>
    <w:rsid w:val="00A61F1B"/>
    <w:rsid w:val="00A63C25"/>
    <w:rsid w:val="00A64AC7"/>
    <w:rsid w:val="00A6505C"/>
    <w:rsid w:val="00A65DDA"/>
    <w:rsid w:val="00A66167"/>
    <w:rsid w:val="00A6672B"/>
    <w:rsid w:val="00A67B1E"/>
    <w:rsid w:val="00A70F5A"/>
    <w:rsid w:val="00A721EA"/>
    <w:rsid w:val="00A72958"/>
    <w:rsid w:val="00A73C5A"/>
    <w:rsid w:val="00A74423"/>
    <w:rsid w:val="00A7447F"/>
    <w:rsid w:val="00A75DD4"/>
    <w:rsid w:val="00A80C31"/>
    <w:rsid w:val="00A80DC1"/>
    <w:rsid w:val="00A8136E"/>
    <w:rsid w:val="00A84595"/>
    <w:rsid w:val="00A84E82"/>
    <w:rsid w:val="00A8517D"/>
    <w:rsid w:val="00A913AD"/>
    <w:rsid w:val="00A91789"/>
    <w:rsid w:val="00A919F6"/>
    <w:rsid w:val="00A91B4A"/>
    <w:rsid w:val="00A95792"/>
    <w:rsid w:val="00AA4B94"/>
    <w:rsid w:val="00AB405C"/>
    <w:rsid w:val="00AB47CE"/>
    <w:rsid w:val="00AB575B"/>
    <w:rsid w:val="00AC1D29"/>
    <w:rsid w:val="00AC2DB9"/>
    <w:rsid w:val="00AC4F51"/>
    <w:rsid w:val="00AC53B0"/>
    <w:rsid w:val="00AC59BE"/>
    <w:rsid w:val="00AC7BC2"/>
    <w:rsid w:val="00AD5291"/>
    <w:rsid w:val="00AD54C5"/>
    <w:rsid w:val="00AD59C0"/>
    <w:rsid w:val="00AD5A97"/>
    <w:rsid w:val="00AD72B7"/>
    <w:rsid w:val="00AD7C5A"/>
    <w:rsid w:val="00AE0065"/>
    <w:rsid w:val="00AE31F2"/>
    <w:rsid w:val="00AE35A3"/>
    <w:rsid w:val="00AE36A8"/>
    <w:rsid w:val="00AE407F"/>
    <w:rsid w:val="00AE5023"/>
    <w:rsid w:val="00AE6312"/>
    <w:rsid w:val="00AE72F9"/>
    <w:rsid w:val="00AF1207"/>
    <w:rsid w:val="00AF140D"/>
    <w:rsid w:val="00AF211B"/>
    <w:rsid w:val="00AF4696"/>
    <w:rsid w:val="00AF6518"/>
    <w:rsid w:val="00B02B90"/>
    <w:rsid w:val="00B03809"/>
    <w:rsid w:val="00B074FA"/>
    <w:rsid w:val="00B07CB2"/>
    <w:rsid w:val="00B10408"/>
    <w:rsid w:val="00B1067D"/>
    <w:rsid w:val="00B1253D"/>
    <w:rsid w:val="00B14156"/>
    <w:rsid w:val="00B15C76"/>
    <w:rsid w:val="00B16C29"/>
    <w:rsid w:val="00B2169D"/>
    <w:rsid w:val="00B232C6"/>
    <w:rsid w:val="00B236CC"/>
    <w:rsid w:val="00B2559A"/>
    <w:rsid w:val="00B25B35"/>
    <w:rsid w:val="00B32570"/>
    <w:rsid w:val="00B32D1A"/>
    <w:rsid w:val="00B33DD7"/>
    <w:rsid w:val="00B372A8"/>
    <w:rsid w:val="00B375BE"/>
    <w:rsid w:val="00B40803"/>
    <w:rsid w:val="00B40919"/>
    <w:rsid w:val="00B40DC5"/>
    <w:rsid w:val="00B42104"/>
    <w:rsid w:val="00B43332"/>
    <w:rsid w:val="00B45CAC"/>
    <w:rsid w:val="00B46EE7"/>
    <w:rsid w:val="00B47133"/>
    <w:rsid w:val="00B51D85"/>
    <w:rsid w:val="00B52557"/>
    <w:rsid w:val="00B53FDE"/>
    <w:rsid w:val="00B5482C"/>
    <w:rsid w:val="00B54DED"/>
    <w:rsid w:val="00B559A4"/>
    <w:rsid w:val="00B56DDC"/>
    <w:rsid w:val="00B6057E"/>
    <w:rsid w:val="00B60D59"/>
    <w:rsid w:val="00B63281"/>
    <w:rsid w:val="00B64D33"/>
    <w:rsid w:val="00B674DB"/>
    <w:rsid w:val="00B70DD3"/>
    <w:rsid w:val="00B722B6"/>
    <w:rsid w:val="00B730ED"/>
    <w:rsid w:val="00B77431"/>
    <w:rsid w:val="00B77B96"/>
    <w:rsid w:val="00B8030D"/>
    <w:rsid w:val="00B81233"/>
    <w:rsid w:val="00B81EB4"/>
    <w:rsid w:val="00B8226C"/>
    <w:rsid w:val="00B83A0D"/>
    <w:rsid w:val="00B84083"/>
    <w:rsid w:val="00B84D0B"/>
    <w:rsid w:val="00B84EF5"/>
    <w:rsid w:val="00B86AE2"/>
    <w:rsid w:val="00B8739E"/>
    <w:rsid w:val="00B903B6"/>
    <w:rsid w:val="00B9058C"/>
    <w:rsid w:val="00B95CF5"/>
    <w:rsid w:val="00B97120"/>
    <w:rsid w:val="00B97FFC"/>
    <w:rsid w:val="00BA0702"/>
    <w:rsid w:val="00BA07B9"/>
    <w:rsid w:val="00BA2681"/>
    <w:rsid w:val="00BA2F3A"/>
    <w:rsid w:val="00BA3D78"/>
    <w:rsid w:val="00BA406A"/>
    <w:rsid w:val="00BA4567"/>
    <w:rsid w:val="00BA4C6D"/>
    <w:rsid w:val="00BA6533"/>
    <w:rsid w:val="00BA767C"/>
    <w:rsid w:val="00BB10B0"/>
    <w:rsid w:val="00BB1220"/>
    <w:rsid w:val="00BB2683"/>
    <w:rsid w:val="00BB374B"/>
    <w:rsid w:val="00BB4B43"/>
    <w:rsid w:val="00BC11F4"/>
    <w:rsid w:val="00BC21CD"/>
    <w:rsid w:val="00BC3593"/>
    <w:rsid w:val="00BC3F1F"/>
    <w:rsid w:val="00BC4272"/>
    <w:rsid w:val="00BC4812"/>
    <w:rsid w:val="00BC5026"/>
    <w:rsid w:val="00BC6D3B"/>
    <w:rsid w:val="00BD22A4"/>
    <w:rsid w:val="00BD24F5"/>
    <w:rsid w:val="00BD2CD0"/>
    <w:rsid w:val="00BD3559"/>
    <w:rsid w:val="00BD3F2E"/>
    <w:rsid w:val="00BD45F9"/>
    <w:rsid w:val="00BD4EE5"/>
    <w:rsid w:val="00BD56A7"/>
    <w:rsid w:val="00BD59CB"/>
    <w:rsid w:val="00BD631F"/>
    <w:rsid w:val="00BD77BE"/>
    <w:rsid w:val="00BE044B"/>
    <w:rsid w:val="00BE0593"/>
    <w:rsid w:val="00BE2F5A"/>
    <w:rsid w:val="00BE3A13"/>
    <w:rsid w:val="00BE4545"/>
    <w:rsid w:val="00BE4831"/>
    <w:rsid w:val="00BE495F"/>
    <w:rsid w:val="00BE629D"/>
    <w:rsid w:val="00BE6428"/>
    <w:rsid w:val="00BF17F3"/>
    <w:rsid w:val="00BF2B04"/>
    <w:rsid w:val="00BF323C"/>
    <w:rsid w:val="00BF6CE3"/>
    <w:rsid w:val="00BF7448"/>
    <w:rsid w:val="00BF7F74"/>
    <w:rsid w:val="00C0434E"/>
    <w:rsid w:val="00C048E4"/>
    <w:rsid w:val="00C057A9"/>
    <w:rsid w:val="00C073FC"/>
    <w:rsid w:val="00C117D6"/>
    <w:rsid w:val="00C12AF6"/>
    <w:rsid w:val="00C13854"/>
    <w:rsid w:val="00C14737"/>
    <w:rsid w:val="00C16258"/>
    <w:rsid w:val="00C16703"/>
    <w:rsid w:val="00C1735B"/>
    <w:rsid w:val="00C20745"/>
    <w:rsid w:val="00C20B3B"/>
    <w:rsid w:val="00C2166C"/>
    <w:rsid w:val="00C2331C"/>
    <w:rsid w:val="00C2518E"/>
    <w:rsid w:val="00C25FD9"/>
    <w:rsid w:val="00C268E7"/>
    <w:rsid w:val="00C26F6D"/>
    <w:rsid w:val="00C276D1"/>
    <w:rsid w:val="00C2799A"/>
    <w:rsid w:val="00C30712"/>
    <w:rsid w:val="00C30CE6"/>
    <w:rsid w:val="00C32C64"/>
    <w:rsid w:val="00C37385"/>
    <w:rsid w:val="00C375C9"/>
    <w:rsid w:val="00C37DD2"/>
    <w:rsid w:val="00C404BD"/>
    <w:rsid w:val="00C41A6F"/>
    <w:rsid w:val="00C41EE7"/>
    <w:rsid w:val="00C43F96"/>
    <w:rsid w:val="00C4409E"/>
    <w:rsid w:val="00C4515D"/>
    <w:rsid w:val="00C51C98"/>
    <w:rsid w:val="00C52AC7"/>
    <w:rsid w:val="00C53913"/>
    <w:rsid w:val="00C555CB"/>
    <w:rsid w:val="00C607D3"/>
    <w:rsid w:val="00C609C2"/>
    <w:rsid w:val="00C6235F"/>
    <w:rsid w:val="00C64553"/>
    <w:rsid w:val="00C654F9"/>
    <w:rsid w:val="00C65993"/>
    <w:rsid w:val="00C663CB"/>
    <w:rsid w:val="00C672C8"/>
    <w:rsid w:val="00C71638"/>
    <w:rsid w:val="00C71754"/>
    <w:rsid w:val="00C72F5F"/>
    <w:rsid w:val="00C746C0"/>
    <w:rsid w:val="00C75785"/>
    <w:rsid w:val="00C76935"/>
    <w:rsid w:val="00C76BA0"/>
    <w:rsid w:val="00C77EF1"/>
    <w:rsid w:val="00C81B84"/>
    <w:rsid w:val="00C82E6F"/>
    <w:rsid w:val="00C83997"/>
    <w:rsid w:val="00C87114"/>
    <w:rsid w:val="00C8744E"/>
    <w:rsid w:val="00C901F4"/>
    <w:rsid w:val="00C9240F"/>
    <w:rsid w:val="00C92BC5"/>
    <w:rsid w:val="00C93239"/>
    <w:rsid w:val="00C93518"/>
    <w:rsid w:val="00C94042"/>
    <w:rsid w:val="00C97315"/>
    <w:rsid w:val="00C976D0"/>
    <w:rsid w:val="00C97D1B"/>
    <w:rsid w:val="00CA1F58"/>
    <w:rsid w:val="00CA5C36"/>
    <w:rsid w:val="00CA6791"/>
    <w:rsid w:val="00CA71CF"/>
    <w:rsid w:val="00CB753F"/>
    <w:rsid w:val="00CC0B2B"/>
    <w:rsid w:val="00CC1CD0"/>
    <w:rsid w:val="00CC1D67"/>
    <w:rsid w:val="00CC23FF"/>
    <w:rsid w:val="00CC3192"/>
    <w:rsid w:val="00CC3EFB"/>
    <w:rsid w:val="00CC7359"/>
    <w:rsid w:val="00CD06B2"/>
    <w:rsid w:val="00CD091D"/>
    <w:rsid w:val="00CD179E"/>
    <w:rsid w:val="00CD299B"/>
    <w:rsid w:val="00CD38A5"/>
    <w:rsid w:val="00CD431A"/>
    <w:rsid w:val="00CD65AB"/>
    <w:rsid w:val="00CD7B92"/>
    <w:rsid w:val="00CE35E8"/>
    <w:rsid w:val="00CE3879"/>
    <w:rsid w:val="00CE4113"/>
    <w:rsid w:val="00CE4BCF"/>
    <w:rsid w:val="00CE543A"/>
    <w:rsid w:val="00CE5982"/>
    <w:rsid w:val="00CF42EA"/>
    <w:rsid w:val="00CF4E65"/>
    <w:rsid w:val="00CF5CD2"/>
    <w:rsid w:val="00CF6AC1"/>
    <w:rsid w:val="00CF7E80"/>
    <w:rsid w:val="00D003C4"/>
    <w:rsid w:val="00D0099C"/>
    <w:rsid w:val="00D0159F"/>
    <w:rsid w:val="00D02420"/>
    <w:rsid w:val="00D02D56"/>
    <w:rsid w:val="00D03B89"/>
    <w:rsid w:val="00D03DC8"/>
    <w:rsid w:val="00D051F3"/>
    <w:rsid w:val="00D10893"/>
    <w:rsid w:val="00D11A58"/>
    <w:rsid w:val="00D1349C"/>
    <w:rsid w:val="00D14017"/>
    <w:rsid w:val="00D20594"/>
    <w:rsid w:val="00D20744"/>
    <w:rsid w:val="00D22512"/>
    <w:rsid w:val="00D22914"/>
    <w:rsid w:val="00D24295"/>
    <w:rsid w:val="00D24CB1"/>
    <w:rsid w:val="00D26382"/>
    <w:rsid w:val="00D27948"/>
    <w:rsid w:val="00D31432"/>
    <w:rsid w:val="00D344F1"/>
    <w:rsid w:val="00D3708D"/>
    <w:rsid w:val="00D4113E"/>
    <w:rsid w:val="00D4186C"/>
    <w:rsid w:val="00D41FD8"/>
    <w:rsid w:val="00D42813"/>
    <w:rsid w:val="00D44628"/>
    <w:rsid w:val="00D44B3D"/>
    <w:rsid w:val="00D44DEA"/>
    <w:rsid w:val="00D451DA"/>
    <w:rsid w:val="00D45671"/>
    <w:rsid w:val="00D45AC4"/>
    <w:rsid w:val="00D460B6"/>
    <w:rsid w:val="00D46695"/>
    <w:rsid w:val="00D46E65"/>
    <w:rsid w:val="00D503DB"/>
    <w:rsid w:val="00D505D1"/>
    <w:rsid w:val="00D50CC9"/>
    <w:rsid w:val="00D51236"/>
    <w:rsid w:val="00D52335"/>
    <w:rsid w:val="00D53E7C"/>
    <w:rsid w:val="00D57035"/>
    <w:rsid w:val="00D57437"/>
    <w:rsid w:val="00D61963"/>
    <w:rsid w:val="00D62426"/>
    <w:rsid w:val="00D63F33"/>
    <w:rsid w:val="00D64C04"/>
    <w:rsid w:val="00D6575A"/>
    <w:rsid w:val="00D71033"/>
    <w:rsid w:val="00D71CA0"/>
    <w:rsid w:val="00D75DE4"/>
    <w:rsid w:val="00D77056"/>
    <w:rsid w:val="00D80FED"/>
    <w:rsid w:val="00D81D34"/>
    <w:rsid w:val="00D82CBE"/>
    <w:rsid w:val="00D85178"/>
    <w:rsid w:val="00D85317"/>
    <w:rsid w:val="00D85A1C"/>
    <w:rsid w:val="00D86C0A"/>
    <w:rsid w:val="00D87960"/>
    <w:rsid w:val="00D87ADD"/>
    <w:rsid w:val="00D87F25"/>
    <w:rsid w:val="00D90710"/>
    <w:rsid w:val="00D91695"/>
    <w:rsid w:val="00D916B3"/>
    <w:rsid w:val="00D9179A"/>
    <w:rsid w:val="00D95716"/>
    <w:rsid w:val="00D959F8"/>
    <w:rsid w:val="00D95E78"/>
    <w:rsid w:val="00D96372"/>
    <w:rsid w:val="00D966A1"/>
    <w:rsid w:val="00DA135B"/>
    <w:rsid w:val="00DA4697"/>
    <w:rsid w:val="00DA5AEE"/>
    <w:rsid w:val="00DA607C"/>
    <w:rsid w:val="00DA658D"/>
    <w:rsid w:val="00DA6E9E"/>
    <w:rsid w:val="00DB1227"/>
    <w:rsid w:val="00DB1C79"/>
    <w:rsid w:val="00DB25D7"/>
    <w:rsid w:val="00DB31F7"/>
    <w:rsid w:val="00DB5B6B"/>
    <w:rsid w:val="00DB6155"/>
    <w:rsid w:val="00DB7D61"/>
    <w:rsid w:val="00DB7E17"/>
    <w:rsid w:val="00DC0D60"/>
    <w:rsid w:val="00DC3E3B"/>
    <w:rsid w:val="00DC4815"/>
    <w:rsid w:val="00DC4E71"/>
    <w:rsid w:val="00DC51B2"/>
    <w:rsid w:val="00DD143E"/>
    <w:rsid w:val="00DD38E9"/>
    <w:rsid w:val="00DE2083"/>
    <w:rsid w:val="00DE5370"/>
    <w:rsid w:val="00DE714E"/>
    <w:rsid w:val="00DE721C"/>
    <w:rsid w:val="00DE75B4"/>
    <w:rsid w:val="00DF01D5"/>
    <w:rsid w:val="00DF1753"/>
    <w:rsid w:val="00DF2A86"/>
    <w:rsid w:val="00DF3604"/>
    <w:rsid w:val="00DF3AED"/>
    <w:rsid w:val="00DF413B"/>
    <w:rsid w:val="00DF43A2"/>
    <w:rsid w:val="00DF5A0F"/>
    <w:rsid w:val="00DF78F6"/>
    <w:rsid w:val="00DF7BAD"/>
    <w:rsid w:val="00E007F1"/>
    <w:rsid w:val="00E00CE5"/>
    <w:rsid w:val="00E03515"/>
    <w:rsid w:val="00E0413A"/>
    <w:rsid w:val="00E0679E"/>
    <w:rsid w:val="00E06B50"/>
    <w:rsid w:val="00E111A7"/>
    <w:rsid w:val="00E11B8A"/>
    <w:rsid w:val="00E12C27"/>
    <w:rsid w:val="00E140C0"/>
    <w:rsid w:val="00E15CDB"/>
    <w:rsid w:val="00E1608B"/>
    <w:rsid w:val="00E162E5"/>
    <w:rsid w:val="00E169F4"/>
    <w:rsid w:val="00E16B1E"/>
    <w:rsid w:val="00E17AD4"/>
    <w:rsid w:val="00E2127C"/>
    <w:rsid w:val="00E21306"/>
    <w:rsid w:val="00E24C33"/>
    <w:rsid w:val="00E2670C"/>
    <w:rsid w:val="00E26933"/>
    <w:rsid w:val="00E27853"/>
    <w:rsid w:val="00E367D4"/>
    <w:rsid w:val="00E459BB"/>
    <w:rsid w:val="00E4717A"/>
    <w:rsid w:val="00E47951"/>
    <w:rsid w:val="00E47F27"/>
    <w:rsid w:val="00E55B8E"/>
    <w:rsid w:val="00E564F4"/>
    <w:rsid w:val="00E56C89"/>
    <w:rsid w:val="00E60B01"/>
    <w:rsid w:val="00E60C1A"/>
    <w:rsid w:val="00E60D5C"/>
    <w:rsid w:val="00E62417"/>
    <w:rsid w:val="00E62E63"/>
    <w:rsid w:val="00E63CD5"/>
    <w:rsid w:val="00E656CC"/>
    <w:rsid w:val="00E65FA3"/>
    <w:rsid w:val="00E66253"/>
    <w:rsid w:val="00E672CF"/>
    <w:rsid w:val="00E72C14"/>
    <w:rsid w:val="00E7338C"/>
    <w:rsid w:val="00E7459F"/>
    <w:rsid w:val="00E75264"/>
    <w:rsid w:val="00E768AB"/>
    <w:rsid w:val="00E76D6F"/>
    <w:rsid w:val="00E77EAE"/>
    <w:rsid w:val="00E80771"/>
    <w:rsid w:val="00E81F84"/>
    <w:rsid w:val="00E835A5"/>
    <w:rsid w:val="00E84A9A"/>
    <w:rsid w:val="00E957D9"/>
    <w:rsid w:val="00E95D08"/>
    <w:rsid w:val="00E96511"/>
    <w:rsid w:val="00E96EA0"/>
    <w:rsid w:val="00E97A46"/>
    <w:rsid w:val="00EA3630"/>
    <w:rsid w:val="00EA3795"/>
    <w:rsid w:val="00EB0A38"/>
    <w:rsid w:val="00EB2567"/>
    <w:rsid w:val="00EB37ED"/>
    <w:rsid w:val="00EB6084"/>
    <w:rsid w:val="00EB7CD4"/>
    <w:rsid w:val="00EC0478"/>
    <w:rsid w:val="00EC238D"/>
    <w:rsid w:val="00EC53E7"/>
    <w:rsid w:val="00EC5904"/>
    <w:rsid w:val="00EC5E63"/>
    <w:rsid w:val="00EC789C"/>
    <w:rsid w:val="00ED135D"/>
    <w:rsid w:val="00ED2149"/>
    <w:rsid w:val="00ED24D4"/>
    <w:rsid w:val="00ED3510"/>
    <w:rsid w:val="00ED472B"/>
    <w:rsid w:val="00ED59E4"/>
    <w:rsid w:val="00ED641B"/>
    <w:rsid w:val="00EE4C8F"/>
    <w:rsid w:val="00EE59B8"/>
    <w:rsid w:val="00EE626F"/>
    <w:rsid w:val="00EE648E"/>
    <w:rsid w:val="00EE7466"/>
    <w:rsid w:val="00EE7C9C"/>
    <w:rsid w:val="00EF1EC2"/>
    <w:rsid w:val="00EF3070"/>
    <w:rsid w:val="00EF509F"/>
    <w:rsid w:val="00EF5EC2"/>
    <w:rsid w:val="00EF74EB"/>
    <w:rsid w:val="00F007F8"/>
    <w:rsid w:val="00F01CD3"/>
    <w:rsid w:val="00F03B8B"/>
    <w:rsid w:val="00F07361"/>
    <w:rsid w:val="00F10710"/>
    <w:rsid w:val="00F115DB"/>
    <w:rsid w:val="00F11D8F"/>
    <w:rsid w:val="00F13486"/>
    <w:rsid w:val="00F15107"/>
    <w:rsid w:val="00F16B72"/>
    <w:rsid w:val="00F21F2A"/>
    <w:rsid w:val="00F237D1"/>
    <w:rsid w:val="00F255D4"/>
    <w:rsid w:val="00F2718D"/>
    <w:rsid w:val="00F277F0"/>
    <w:rsid w:val="00F27955"/>
    <w:rsid w:val="00F30AEB"/>
    <w:rsid w:val="00F31D99"/>
    <w:rsid w:val="00F34F36"/>
    <w:rsid w:val="00F379B8"/>
    <w:rsid w:val="00F37B4F"/>
    <w:rsid w:val="00F44786"/>
    <w:rsid w:val="00F44BE8"/>
    <w:rsid w:val="00F454F7"/>
    <w:rsid w:val="00F45999"/>
    <w:rsid w:val="00F469AB"/>
    <w:rsid w:val="00F51484"/>
    <w:rsid w:val="00F53DA7"/>
    <w:rsid w:val="00F571B1"/>
    <w:rsid w:val="00F63A4A"/>
    <w:rsid w:val="00F63B93"/>
    <w:rsid w:val="00F65521"/>
    <w:rsid w:val="00F65634"/>
    <w:rsid w:val="00F65E3D"/>
    <w:rsid w:val="00F6647C"/>
    <w:rsid w:val="00F66885"/>
    <w:rsid w:val="00F66E3D"/>
    <w:rsid w:val="00F672B4"/>
    <w:rsid w:val="00F70B4F"/>
    <w:rsid w:val="00F7130E"/>
    <w:rsid w:val="00F71933"/>
    <w:rsid w:val="00F72DD0"/>
    <w:rsid w:val="00F7681C"/>
    <w:rsid w:val="00F8160A"/>
    <w:rsid w:val="00F83083"/>
    <w:rsid w:val="00F83FB8"/>
    <w:rsid w:val="00F86A44"/>
    <w:rsid w:val="00F86ECC"/>
    <w:rsid w:val="00F86F33"/>
    <w:rsid w:val="00F87A35"/>
    <w:rsid w:val="00F909F9"/>
    <w:rsid w:val="00F92A5D"/>
    <w:rsid w:val="00F92EFD"/>
    <w:rsid w:val="00F938F6"/>
    <w:rsid w:val="00F96DA5"/>
    <w:rsid w:val="00F97B4F"/>
    <w:rsid w:val="00FA29F2"/>
    <w:rsid w:val="00FA566F"/>
    <w:rsid w:val="00FA6931"/>
    <w:rsid w:val="00FA7B08"/>
    <w:rsid w:val="00FB0E5D"/>
    <w:rsid w:val="00FB3297"/>
    <w:rsid w:val="00FB369B"/>
    <w:rsid w:val="00FB4121"/>
    <w:rsid w:val="00FB48F1"/>
    <w:rsid w:val="00FB65A8"/>
    <w:rsid w:val="00FB67E7"/>
    <w:rsid w:val="00FC1F32"/>
    <w:rsid w:val="00FC5CD4"/>
    <w:rsid w:val="00FC75E9"/>
    <w:rsid w:val="00FD36B5"/>
    <w:rsid w:val="00FD3AED"/>
    <w:rsid w:val="00FD4EBB"/>
    <w:rsid w:val="00FD6D35"/>
    <w:rsid w:val="00FE014A"/>
    <w:rsid w:val="00FE0E4C"/>
    <w:rsid w:val="00FE16D4"/>
    <w:rsid w:val="00FE1C14"/>
    <w:rsid w:val="00FE3135"/>
    <w:rsid w:val="00FE42ED"/>
    <w:rsid w:val="00FE5F4B"/>
    <w:rsid w:val="00FE64BC"/>
    <w:rsid w:val="00FE67A7"/>
    <w:rsid w:val="00FE6FCC"/>
    <w:rsid w:val="00FE76D5"/>
    <w:rsid w:val="00FE7A14"/>
    <w:rsid w:val="00FF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BF7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55C2E"/>
    <w:pPr>
      <w:keepNext/>
      <w:ind w:firstLine="709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323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C93239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93239"/>
    <w:pPr>
      <w:spacing w:before="75" w:after="75"/>
      <w:jc w:val="right"/>
    </w:pPr>
  </w:style>
  <w:style w:type="paragraph" w:customStyle="1" w:styleId="naisc">
    <w:name w:val="naisc"/>
    <w:basedOn w:val="Normal"/>
    <w:uiPriority w:val="99"/>
    <w:rsid w:val="00C93239"/>
    <w:pPr>
      <w:spacing w:before="450" w:after="300"/>
      <w:jc w:val="center"/>
    </w:pPr>
    <w:rPr>
      <w:sz w:val="26"/>
      <w:szCs w:val="26"/>
    </w:rPr>
  </w:style>
  <w:style w:type="paragraph" w:styleId="FootnoteText">
    <w:name w:val="footnote text"/>
    <w:basedOn w:val="Normal"/>
    <w:semiHidden/>
    <w:rsid w:val="00C93239"/>
    <w:rPr>
      <w:sz w:val="20"/>
      <w:szCs w:val="20"/>
    </w:rPr>
  </w:style>
  <w:style w:type="character" w:styleId="FootnoteReference">
    <w:name w:val="footnote reference"/>
    <w:semiHidden/>
    <w:rsid w:val="00C93239"/>
    <w:rPr>
      <w:vertAlign w:val="superscript"/>
    </w:rPr>
  </w:style>
  <w:style w:type="paragraph" w:customStyle="1" w:styleId="Char">
    <w:name w:val="Char"/>
    <w:basedOn w:val="Normal"/>
    <w:rsid w:val="00C9323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B9058C"/>
    <w:rPr>
      <w:rFonts w:ascii="Tahoma" w:hAnsi="Tahoma" w:cs="Tahoma"/>
      <w:sz w:val="16"/>
      <w:szCs w:val="16"/>
    </w:rPr>
  </w:style>
  <w:style w:type="paragraph" w:customStyle="1" w:styleId="tabcentr">
    <w:name w:val="tab_centr"/>
    <w:basedOn w:val="Normal"/>
    <w:rsid w:val="005B05E5"/>
    <w:pPr>
      <w:jc w:val="center"/>
    </w:pPr>
    <w:rPr>
      <w:lang w:eastAsia="en-US"/>
    </w:rPr>
  </w:style>
  <w:style w:type="character" w:styleId="Hyperlink">
    <w:name w:val="Hyperlink"/>
    <w:rsid w:val="005B05E5"/>
    <w:rPr>
      <w:color w:val="0000FF"/>
      <w:u w:val="single"/>
    </w:rPr>
  </w:style>
  <w:style w:type="paragraph" w:customStyle="1" w:styleId="RakstzChar">
    <w:name w:val="Rakstz. Char"/>
    <w:basedOn w:val="Normal"/>
    <w:rsid w:val="005103B8"/>
    <w:rPr>
      <w:lang w:val="pl-PL" w:eastAsia="pl-PL"/>
    </w:rPr>
  </w:style>
  <w:style w:type="paragraph" w:customStyle="1" w:styleId="naisnod">
    <w:name w:val="naisnod"/>
    <w:basedOn w:val="Normal"/>
    <w:rsid w:val="00314F97"/>
    <w:pPr>
      <w:spacing w:before="150" w:after="150"/>
      <w:jc w:val="center"/>
    </w:pPr>
    <w:rPr>
      <w:b/>
      <w:bCs/>
      <w:lang w:val="en-GB" w:eastAsia="en-US"/>
    </w:rPr>
  </w:style>
  <w:style w:type="paragraph" w:styleId="Header">
    <w:name w:val="header"/>
    <w:basedOn w:val="Normal"/>
    <w:rsid w:val="002600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00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72CF"/>
  </w:style>
  <w:style w:type="paragraph" w:customStyle="1" w:styleId="CharCharCharRakstz">
    <w:name w:val="Char Char Char Rakstz."/>
    <w:basedOn w:val="Normal"/>
    <w:rsid w:val="00B16C29"/>
    <w:pPr>
      <w:spacing w:before="40"/>
    </w:pPr>
    <w:rPr>
      <w:lang w:val="pl-PL" w:eastAsia="pl-PL"/>
    </w:rPr>
  </w:style>
  <w:style w:type="paragraph" w:styleId="BodyText3">
    <w:name w:val="Body Text 3"/>
    <w:basedOn w:val="Normal"/>
    <w:link w:val="BodyText3Char"/>
    <w:rsid w:val="00164F5B"/>
    <w:rPr>
      <w:szCs w:val="20"/>
      <w:lang w:eastAsia="en-US"/>
    </w:rPr>
  </w:style>
  <w:style w:type="character" w:customStyle="1" w:styleId="BodyText3Char">
    <w:name w:val="Body Text 3 Char"/>
    <w:link w:val="BodyText3"/>
    <w:rsid w:val="00164F5B"/>
    <w:rPr>
      <w:sz w:val="24"/>
      <w:lang w:eastAsia="en-US"/>
    </w:rPr>
  </w:style>
  <w:style w:type="paragraph" w:styleId="BodyText2">
    <w:name w:val="Body Text 2"/>
    <w:basedOn w:val="Normal"/>
    <w:link w:val="BodyText2Char"/>
    <w:rsid w:val="00AE72F9"/>
    <w:pPr>
      <w:spacing w:after="120" w:line="480" w:lineRule="auto"/>
    </w:pPr>
  </w:style>
  <w:style w:type="character" w:customStyle="1" w:styleId="BodyText2Char">
    <w:name w:val="Body Text 2 Char"/>
    <w:link w:val="BodyText2"/>
    <w:rsid w:val="00AE72F9"/>
    <w:rPr>
      <w:sz w:val="24"/>
      <w:szCs w:val="24"/>
    </w:rPr>
  </w:style>
  <w:style w:type="paragraph" w:styleId="BodyText">
    <w:name w:val="Body Text"/>
    <w:basedOn w:val="Normal"/>
    <w:link w:val="BodyTextChar"/>
    <w:rsid w:val="00755C2E"/>
    <w:pPr>
      <w:spacing w:after="120"/>
    </w:pPr>
  </w:style>
  <w:style w:type="character" w:customStyle="1" w:styleId="BodyTextChar">
    <w:name w:val="Body Text Char"/>
    <w:link w:val="BodyText"/>
    <w:rsid w:val="00755C2E"/>
    <w:rPr>
      <w:sz w:val="24"/>
      <w:szCs w:val="24"/>
    </w:rPr>
  </w:style>
  <w:style w:type="character" w:customStyle="1" w:styleId="Heading3Char">
    <w:name w:val="Heading 3 Char"/>
    <w:link w:val="Heading3"/>
    <w:rsid w:val="00755C2E"/>
    <w:rPr>
      <w:sz w:val="28"/>
      <w:lang w:eastAsia="en-US"/>
    </w:rPr>
  </w:style>
  <w:style w:type="character" w:customStyle="1" w:styleId="Heading1Char">
    <w:name w:val="Heading 1 Char"/>
    <w:link w:val="Heading1"/>
    <w:rsid w:val="00C609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C83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9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9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3997"/>
    <w:rPr>
      <w:b/>
      <w:bCs/>
    </w:rPr>
  </w:style>
  <w:style w:type="paragraph" w:styleId="ListParagraph">
    <w:name w:val="List Paragraph"/>
    <w:basedOn w:val="Normal"/>
    <w:uiPriority w:val="34"/>
    <w:qFormat/>
    <w:rsid w:val="0053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kr">
    <w:name w:val="naiskr"/>
    <w:basedOn w:val="Normal"/>
    <w:rsid w:val="0041108F"/>
    <w:pPr>
      <w:spacing w:before="75" w:after="75"/>
    </w:pPr>
  </w:style>
  <w:style w:type="table" w:styleId="TableGrid">
    <w:name w:val="Table Grid"/>
    <w:basedOn w:val="TableNormal"/>
    <w:uiPriority w:val="39"/>
    <w:rsid w:val="00FE0E4C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72A89"/>
  </w:style>
  <w:style w:type="paragraph" w:styleId="Revision">
    <w:name w:val="Revision"/>
    <w:hidden/>
    <w:uiPriority w:val="99"/>
    <w:semiHidden/>
    <w:rsid w:val="00942E44"/>
    <w:rPr>
      <w:sz w:val="24"/>
      <w:szCs w:val="24"/>
    </w:rPr>
  </w:style>
  <w:style w:type="paragraph" w:customStyle="1" w:styleId="tvhtml">
    <w:name w:val="tv_html"/>
    <w:basedOn w:val="Normal"/>
    <w:rsid w:val="00E47F27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08397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09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755C2E"/>
    <w:pPr>
      <w:keepNext/>
      <w:ind w:firstLine="709"/>
      <w:outlineLvl w:val="2"/>
    </w:pPr>
    <w:rPr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93239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C93239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C93239"/>
    <w:pPr>
      <w:spacing w:before="75" w:after="75"/>
      <w:jc w:val="right"/>
    </w:pPr>
  </w:style>
  <w:style w:type="paragraph" w:customStyle="1" w:styleId="naisc">
    <w:name w:val="naisc"/>
    <w:basedOn w:val="Normal"/>
    <w:uiPriority w:val="99"/>
    <w:rsid w:val="00C93239"/>
    <w:pPr>
      <w:spacing w:before="450" w:after="300"/>
      <w:jc w:val="center"/>
    </w:pPr>
    <w:rPr>
      <w:sz w:val="26"/>
      <w:szCs w:val="26"/>
    </w:rPr>
  </w:style>
  <w:style w:type="paragraph" w:styleId="FootnoteText">
    <w:name w:val="footnote text"/>
    <w:basedOn w:val="Normal"/>
    <w:semiHidden/>
    <w:rsid w:val="00C93239"/>
    <w:rPr>
      <w:sz w:val="20"/>
      <w:szCs w:val="20"/>
    </w:rPr>
  </w:style>
  <w:style w:type="character" w:styleId="FootnoteReference">
    <w:name w:val="footnote reference"/>
    <w:semiHidden/>
    <w:rsid w:val="00C93239"/>
    <w:rPr>
      <w:vertAlign w:val="superscript"/>
    </w:rPr>
  </w:style>
  <w:style w:type="paragraph" w:customStyle="1" w:styleId="Char">
    <w:name w:val="Char"/>
    <w:basedOn w:val="Normal"/>
    <w:rsid w:val="00C9323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alloonText">
    <w:name w:val="Balloon Text"/>
    <w:basedOn w:val="Normal"/>
    <w:semiHidden/>
    <w:rsid w:val="00B9058C"/>
    <w:rPr>
      <w:rFonts w:ascii="Tahoma" w:hAnsi="Tahoma" w:cs="Tahoma"/>
      <w:sz w:val="16"/>
      <w:szCs w:val="16"/>
    </w:rPr>
  </w:style>
  <w:style w:type="paragraph" w:customStyle="1" w:styleId="tabcentr">
    <w:name w:val="tab_centr"/>
    <w:basedOn w:val="Normal"/>
    <w:rsid w:val="005B05E5"/>
    <w:pPr>
      <w:jc w:val="center"/>
    </w:pPr>
    <w:rPr>
      <w:lang w:eastAsia="en-US"/>
    </w:rPr>
  </w:style>
  <w:style w:type="character" w:styleId="Hyperlink">
    <w:name w:val="Hyperlink"/>
    <w:rsid w:val="005B05E5"/>
    <w:rPr>
      <w:color w:val="0000FF"/>
      <w:u w:val="single"/>
    </w:rPr>
  </w:style>
  <w:style w:type="paragraph" w:customStyle="1" w:styleId="RakstzChar">
    <w:name w:val="Rakstz. Char"/>
    <w:basedOn w:val="Normal"/>
    <w:rsid w:val="005103B8"/>
    <w:rPr>
      <w:lang w:val="pl-PL" w:eastAsia="pl-PL"/>
    </w:rPr>
  </w:style>
  <w:style w:type="paragraph" w:customStyle="1" w:styleId="naisnod">
    <w:name w:val="naisnod"/>
    <w:basedOn w:val="Normal"/>
    <w:rsid w:val="00314F97"/>
    <w:pPr>
      <w:spacing w:before="150" w:after="150"/>
      <w:jc w:val="center"/>
    </w:pPr>
    <w:rPr>
      <w:b/>
      <w:bCs/>
      <w:lang w:val="en-GB" w:eastAsia="en-US"/>
    </w:rPr>
  </w:style>
  <w:style w:type="paragraph" w:styleId="Header">
    <w:name w:val="header"/>
    <w:basedOn w:val="Normal"/>
    <w:rsid w:val="0026006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600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672CF"/>
  </w:style>
  <w:style w:type="paragraph" w:customStyle="1" w:styleId="CharCharCharRakstz">
    <w:name w:val="Char Char Char Rakstz."/>
    <w:basedOn w:val="Normal"/>
    <w:rsid w:val="00B16C29"/>
    <w:pPr>
      <w:spacing w:before="40"/>
    </w:pPr>
    <w:rPr>
      <w:lang w:val="pl-PL" w:eastAsia="pl-PL"/>
    </w:rPr>
  </w:style>
  <w:style w:type="paragraph" w:styleId="BodyText3">
    <w:name w:val="Body Text 3"/>
    <w:basedOn w:val="Normal"/>
    <w:link w:val="BodyText3Char"/>
    <w:rsid w:val="00164F5B"/>
    <w:rPr>
      <w:szCs w:val="20"/>
      <w:lang w:eastAsia="en-US"/>
    </w:rPr>
  </w:style>
  <w:style w:type="character" w:customStyle="1" w:styleId="BodyText3Char">
    <w:name w:val="Body Text 3 Char"/>
    <w:link w:val="BodyText3"/>
    <w:rsid w:val="00164F5B"/>
    <w:rPr>
      <w:sz w:val="24"/>
      <w:lang w:eastAsia="en-US"/>
    </w:rPr>
  </w:style>
  <w:style w:type="paragraph" w:styleId="BodyText2">
    <w:name w:val="Body Text 2"/>
    <w:basedOn w:val="Normal"/>
    <w:link w:val="BodyText2Char"/>
    <w:rsid w:val="00AE72F9"/>
    <w:pPr>
      <w:spacing w:after="120" w:line="480" w:lineRule="auto"/>
    </w:pPr>
  </w:style>
  <w:style w:type="character" w:customStyle="1" w:styleId="BodyText2Char">
    <w:name w:val="Body Text 2 Char"/>
    <w:link w:val="BodyText2"/>
    <w:rsid w:val="00AE72F9"/>
    <w:rPr>
      <w:sz w:val="24"/>
      <w:szCs w:val="24"/>
    </w:rPr>
  </w:style>
  <w:style w:type="paragraph" w:styleId="BodyText">
    <w:name w:val="Body Text"/>
    <w:basedOn w:val="Normal"/>
    <w:link w:val="BodyTextChar"/>
    <w:rsid w:val="00755C2E"/>
    <w:pPr>
      <w:spacing w:after="120"/>
    </w:pPr>
  </w:style>
  <w:style w:type="character" w:customStyle="1" w:styleId="BodyTextChar">
    <w:name w:val="Body Text Char"/>
    <w:link w:val="BodyText"/>
    <w:rsid w:val="00755C2E"/>
    <w:rPr>
      <w:sz w:val="24"/>
      <w:szCs w:val="24"/>
    </w:rPr>
  </w:style>
  <w:style w:type="character" w:customStyle="1" w:styleId="Heading3Char">
    <w:name w:val="Heading 3 Char"/>
    <w:link w:val="Heading3"/>
    <w:rsid w:val="00755C2E"/>
    <w:rPr>
      <w:sz w:val="28"/>
      <w:lang w:eastAsia="en-US"/>
    </w:rPr>
  </w:style>
  <w:style w:type="character" w:customStyle="1" w:styleId="Heading1Char">
    <w:name w:val="Heading 1 Char"/>
    <w:link w:val="Heading1"/>
    <w:rsid w:val="00C609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uiPriority w:val="99"/>
    <w:semiHidden/>
    <w:unhideWhenUsed/>
    <w:rsid w:val="00C839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3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399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399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3997"/>
    <w:rPr>
      <w:b/>
      <w:bCs/>
    </w:rPr>
  </w:style>
  <w:style w:type="paragraph" w:styleId="ListParagraph">
    <w:name w:val="List Paragraph"/>
    <w:basedOn w:val="Normal"/>
    <w:uiPriority w:val="34"/>
    <w:qFormat/>
    <w:rsid w:val="005350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kr">
    <w:name w:val="naiskr"/>
    <w:basedOn w:val="Normal"/>
    <w:rsid w:val="0041108F"/>
    <w:pPr>
      <w:spacing w:before="75" w:after="75"/>
    </w:pPr>
  </w:style>
  <w:style w:type="table" w:styleId="TableGrid">
    <w:name w:val="Table Grid"/>
    <w:basedOn w:val="TableNormal"/>
    <w:uiPriority w:val="39"/>
    <w:rsid w:val="00FE0E4C"/>
    <w:rPr>
      <w:rFonts w:eastAsiaTheme="minorHAnsi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72A89"/>
  </w:style>
  <w:style w:type="paragraph" w:styleId="Revision">
    <w:name w:val="Revision"/>
    <w:hidden/>
    <w:uiPriority w:val="99"/>
    <w:semiHidden/>
    <w:rsid w:val="00942E44"/>
    <w:rPr>
      <w:sz w:val="24"/>
      <w:szCs w:val="24"/>
    </w:rPr>
  </w:style>
  <w:style w:type="paragraph" w:customStyle="1" w:styleId="tvhtml">
    <w:name w:val="tv_html"/>
    <w:basedOn w:val="Normal"/>
    <w:rsid w:val="00E47F27"/>
    <w:pPr>
      <w:spacing w:before="100" w:beforeAutospacing="1" w:after="100" w:afterAutospacing="1"/>
    </w:pPr>
  </w:style>
  <w:style w:type="paragraph" w:customStyle="1" w:styleId="tv213">
    <w:name w:val="tv213"/>
    <w:basedOn w:val="Normal"/>
    <w:rsid w:val="000839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3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4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2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9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inga.avotina@fm.gov.lv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7C0365FDA3237408C10BF7E5E49454A" ma:contentTypeVersion="5" ma:contentTypeDescription="Izveidot jaunu dokumentu." ma:contentTypeScope="" ma:versionID="98740496d29cb6b21c0987a64f47c0cf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a7a4cd7a1a4e1337807e99d9572c92d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C21BC0C6-5826-4222-BA60-BC921D0FA295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A.Kaļāne</Vad_x012b_t_x0101_js>
    <Kategorija xmlns="2e5bb04e-596e-45bd-9003-43ca78b1ba16">Anotācija</Kategorija>
    <DKP xmlns="2e5bb04e-596e-45bd-9003-43ca78b1ba16">38</DKP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C8FF1-718A-4F11-A177-2ACFFFAFF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97A6F7A-C3E7-4A76-AEB2-F0EE47417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E0665-BD9C-43C8-9516-40CF25BAB0C3}">
  <ds:schemaRefs>
    <ds:schemaRef ds:uri="http://schemas.microsoft.com/office/2006/metadata/properties"/>
    <ds:schemaRef ds:uri="http://schemas.microsoft.com/office/infopath/2007/PartnerControls"/>
    <ds:schemaRef ds:uri="2e5bb04e-596e-45bd-9003-43ca78b1ba16"/>
  </ds:schemaRefs>
</ds:datastoreItem>
</file>

<file path=customXml/itemProps4.xml><?xml version="1.0" encoding="utf-8"?>
<ds:datastoreItem xmlns:ds="http://schemas.openxmlformats.org/officeDocument/2006/customXml" ds:itemID="{1D7DDAB8-6FB1-4F94-BFCD-E4CBDDB5E87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7378E9B-A14F-47DF-9A1F-6F2D383E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7501</Words>
  <Characters>4276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Likumprojekta "Grozījumi likumā "Par izložu un azartspēļu nodevu un nodokli"" sākotnējās ietekmes novērtējuma ziņojums (anotācija)</vt:lpstr>
    </vt:vector>
  </TitlesOfParts>
  <Company>FM</Company>
  <LinksUpToDate>false</LinksUpToDate>
  <CharactersWithSpaces>11754</CharactersWithSpaces>
  <SharedDoc>false</SharedDoc>
  <HLinks>
    <vt:vector size="6" baseType="variant">
      <vt:variant>
        <vt:i4>393259</vt:i4>
      </vt:variant>
      <vt:variant>
        <vt:i4>3</vt:i4>
      </vt:variant>
      <vt:variant>
        <vt:i4>0</vt:i4>
      </vt:variant>
      <vt:variant>
        <vt:i4>5</vt:i4>
      </vt:variant>
      <vt:variant>
        <vt:lpwstr>mailto:Liga.Leite@fm.gov.lv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Likumprojekta "Grozījumi likumā "Par izložu un azartspēļu nodevu un nodokli"" sākotnējās ietekmes novērtējuma ziņojums (anotācija)</dc:title>
  <dc:subject>Anotācija</dc:subject>
  <dc:creator>Inga Avotiņa</dc:creator>
  <dc:description>Inga.Avotina@fm.gov.lv,_x000d_
67095515</dc:description>
  <cp:lastModifiedBy>Laimdota Adlere</cp:lastModifiedBy>
  <cp:revision>4</cp:revision>
  <cp:lastPrinted>2017-09-20T10:04:00Z</cp:lastPrinted>
  <dcterms:created xsi:type="dcterms:W3CDTF">2017-09-26T12:20:00Z</dcterms:created>
  <dcterms:modified xsi:type="dcterms:W3CDTF">2017-09-26T12:20:00Z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ContentTypeId">
    <vt:lpwstr>0x01010017C0365FDA3237408C10BF7E5E49454A</vt:lpwstr>
  </property>
</Properties>
</file>