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86B9" w14:textId="056B9EEB" w:rsidR="003A7849" w:rsidRPr="003A7849" w:rsidRDefault="00965309" w:rsidP="00CE1B42">
      <w:pPr>
        <w:pStyle w:val="Kjene"/>
        <w:ind w:firstLine="0"/>
        <w:jc w:val="center"/>
        <w:rPr>
          <w:sz w:val="24"/>
          <w:szCs w:val="24"/>
        </w:rPr>
      </w:pPr>
      <w:r w:rsidRPr="00E5464F">
        <w:rPr>
          <w:b/>
          <w:sz w:val="24"/>
          <w:szCs w:val="24"/>
        </w:rPr>
        <w:t>Ministru kabineta noteikumu projekta</w:t>
      </w:r>
      <w:r w:rsidR="000C6111" w:rsidRPr="00E5464F">
        <w:rPr>
          <w:b/>
          <w:sz w:val="24"/>
          <w:szCs w:val="24"/>
        </w:rPr>
        <w:t xml:space="preserve"> </w:t>
      </w:r>
      <w:r w:rsidR="00337C40" w:rsidRPr="00E5464F">
        <w:rPr>
          <w:b/>
          <w:sz w:val="24"/>
          <w:szCs w:val="24"/>
        </w:rPr>
        <w:t>“</w:t>
      </w:r>
      <w:r w:rsidR="00C83AF6" w:rsidRPr="00E5464F">
        <w:rPr>
          <w:b/>
          <w:sz w:val="24"/>
          <w:szCs w:val="24"/>
        </w:rPr>
        <w:t>Noteikumi par paaugstinātas bīstamības objektu apzināšanas, noteikšanas, kā arī civilās aizsardzības un katastrofas pārvaldīšanas plānošanas un īstenošanas kārtība</w:t>
      </w:r>
      <w:r w:rsidR="00DF0D9F" w:rsidRPr="00E5464F">
        <w:rPr>
          <w:b/>
          <w:sz w:val="24"/>
          <w:szCs w:val="24"/>
        </w:rPr>
        <w:t>” sākotnējās ietekmes novērtējuma ziņojums (anotācija)</w:t>
      </w:r>
      <w:r w:rsidR="00DF0D9F" w:rsidRPr="00E5464F">
        <w:rPr>
          <w:b/>
          <w:bCs/>
          <w:sz w:val="24"/>
          <w:szCs w:val="24"/>
          <w:lang w:eastAsia="lv-LV"/>
        </w:rPr>
        <w:t xml:space="preserve"> </w:t>
      </w:r>
    </w:p>
    <w:p w14:paraId="545F18D2" w14:textId="584D24B1" w:rsidR="00D37D25" w:rsidRPr="003A7849" w:rsidRDefault="00D37D25" w:rsidP="003A7849">
      <w:pPr>
        <w:rPr>
          <w:sz w:val="24"/>
          <w:szCs w:val="24"/>
        </w:rPr>
      </w:pPr>
    </w:p>
    <w:tbl>
      <w:tblPr>
        <w:tblStyle w:val="Reatabula"/>
        <w:tblpPr w:leftFromText="180" w:rightFromText="180" w:vertAnchor="text" w:tblpXSpec="right" w:tblpY="1"/>
        <w:tblOverlap w:val="never"/>
        <w:tblW w:w="5164" w:type="pct"/>
        <w:tblLook w:val="00A0" w:firstRow="1" w:lastRow="0" w:firstColumn="1" w:lastColumn="0" w:noHBand="0" w:noVBand="0"/>
      </w:tblPr>
      <w:tblGrid>
        <w:gridCol w:w="703"/>
        <w:gridCol w:w="2978"/>
        <w:gridCol w:w="5677"/>
      </w:tblGrid>
      <w:tr w:rsidR="00965309" w:rsidRPr="00E5464F" w14:paraId="5C98C295" w14:textId="77777777" w:rsidTr="00217FB7">
        <w:trPr>
          <w:trHeight w:val="405"/>
        </w:trPr>
        <w:tc>
          <w:tcPr>
            <w:tcW w:w="5000" w:type="pct"/>
            <w:gridSpan w:val="3"/>
          </w:tcPr>
          <w:p w14:paraId="1AD0F020" w14:textId="77777777" w:rsidR="00965309" w:rsidRPr="00E5464F" w:rsidRDefault="00965309" w:rsidP="00217FB7">
            <w:pPr>
              <w:spacing w:before="100" w:beforeAutospacing="1" w:after="100" w:afterAutospacing="1"/>
              <w:ind w:firstLine="0"/>
              <w:jc w:val="center"/>
              <w:rPr>
                <w:b/>
                <w:bCs/>
                <w:sz w:val="24"/>
                <w:szCs w:val="24"/>
                <w:lang w:eastAsia="lv-LV"/>
              </w:rPr>
            </w:pPr>
            <w:r w:rsidRPr="00E5464F">
              <w:rPr>
                <w:b/>
                <w:bCs/>
                <w:sz w:val="24"/>
                <w:szCs w:val="24"/>
                <w:lang w:eastAsia="lv-LV"/>
              </w:rPr>
              <w:t>I. Tiesību akta projekta izstrādes nepieciešamība</w:t>
            </w:r>
          </w:p>
        </w:tc>
      </w:tr>
      <w:tr w:rsidR="00965309" w:rsidRPr="00E5464F" w14:paraId="430C54BC" w14:textId="77777777" w:rsidTr="00217FB7">
        <w:trPr>
          <w:trHeight w:val="405"/>
        </w:trPr>
        <w:tc>
          <w:tcPr>
            <w:tcW w:w="376" w:type="pct"/>
          </w:tcPr>
          <w:p w14:paraId="6B6DA87D" w14:textId="77777777" w:rsidR="00965309" w:rsidRPr="00E5464F" w:rsidRDefault="00965309" w:rsidP="00217FB7">
            <w:pPr>
              <w:spacing w:before="100" w:beforeAutospacing="1" w:after="100" w:afterAutospacing="1"/>
              <w:ind w:firstLine="0"/>
              <w:jc w:val="center"/>
              <w:rPr>
                <w:sz w:val="24"/>
                <w:szCs w:val="24"/>
                <w:lang w:eastAsia="lv-LV"/>
              </w:rPr>
            </w:pPr>
            <w:r w:rsidRPr="00E5464F">
              <w:rPr>
                <w:sz w:val="24"/>
                <w:szCs w:val="24"/>
                <w:lang w:eastAsia="lv-LV"/>
              </w:rPr>
              <w:t>1.</w:t>
            </w:r>
          </w:p>
        </w:tc>
        <w:tc>
          <w:tcPr>
            <w:tcW w:w="1591" w:type="pct"/>
          </w:tcPr>
          <w:p w14:paraId="68E5C5DC" w14:textId="77777777" w:rsidR="00965309" w:rsidRPr="00E5464F" w:rsidRDefault="00965309" w:rsidP="00217FB7">
            <w:pPr>
              <w:ind w:firstLine="0"/>
              <w:jc w:val="left"/>
              <w:rPr>
                <w:sz w:val="24"/>
                <w:szCs w:val="24"/>
                <w:lang w:eastAsia="lv-LV"/>
              </w:rPr>
            </w:pPr>
            <w:r w:rsidRPr="00E5464F">
              <w:rPr>
                <w:sz w:val="24"/>
                <w:szCs w:val="24"/>
                <w:lang w:eastAsia="lv-LV"/>
              </w:rPr>
              <w:t>Pamatojums</w:t>
            </w:r>
          </w:p>
        </w:tc>
        <w:tc>
          <w:tcPr>
            <w:tcW w:w="3033" w:type="pct"/>
          </w:tcPr>
          <w:p w14:paraId="3618B1B6" w14:textId="77777777" w:rsidR="00965309" w:rsidRDefault="00CD6044" w:rsidP="009E3502">
            <w:pPr>
              <w:pStyle w:val="Virsraksts5"/>
              <w:ind w:firstLine="513"/>
              <w:jc w:val="both"/>
              <w:rPr>
                <w:b w:val="0"/>
                <w:sz w:val="24"/>
                <w:szCs w:val="24"/>
              </w:rPr>
            </w:pPr>
            <w:r w:rsidRPr="00E5464F">
              <w:rPr>
                <w:b w:val="0"/>
                <w:sz w:val="24"/>
                <w:szCs w:val="24"/>
              </w:rPr>
              <w:t>Civilās aizsardzības un katastrofas pārvaldīšanas likum</w:t>
            </w:r>
            <w:r w:rsidR="003C3021" w:rsidRPr="00E5464F">
              <w:rPr>
                <w:b w:val="0"/>
                <w:sz w:val="24"/>
                <w:szCs w:val="24"/>
              </w:rPr>
              <w:t>a</w:t>
            </w:r>
            <w:r w:rsidR="00635085" w:rsidRPr="00E5464F">
              <w:rPr>
                <w:b w:val="0"/>
                <w:sz w:val="24"/>
                <w:szCs w:val="24"/>
              </w:rPr>
              <w:t xml:space="preserve"> </w:t>
            </w:r>
            <w:r w:rsidR="00F31B3E" w:rsidRPr="00E5464F">
              <w:rPr>
                <w:b w:val="0"/>
                <w:sz w:val="24"/>
                <w:szCs w:val="24"/>
              </w:rPr>
              <w:t xml:space="preserve">8.pants otrās daļas </w:t>
            </w:r>
            <w:r w:rsidR="009E3502" w:rsidRPr="00E5464F">
              <w:rPr>
                <w:b w:val="0"/>
                <w:sz w:val="24"/>
                <w:szCs w:val="24"/>
              </w:rPr>
              <w:t>3.</w:t>
            </w:r>
            <w:r w:rsidR="00F31B3E" w:rsidRPr="00E5464F">
              <w:rPr>
                <w:b w:val="0"/>
                <w:sz w:val="24"/>
                <w:szCs w:val="24"/>
              </w:rPr>
              <w:t>punkts.</w:t>
            </w:r>
          </w:p>
          <w:p w14:paraId="51E46BE7" w14:textId="77777777" w:rsidR="005A0975" w:rsidRPr="005A0975" w:rsidRDefault="005A0975" w:rsidP="005A0975"/>
        </w:tc>
      </w:tr>
      <w:tr w:rsidR="00965309" w:rsidRPr="00E5464F" w14:paraId="53E01926" w14:textId="77777777" w:rsidTr="00217FB7">
        <w:trPr>
          <w:trHeight w:val="465"/>
        </w:trPr>
        <w:tc>
          <w:tcPr>
            <w:tcW w:w="376" w:type="pct"/>
          </w:tcPr>
          <w:p w14:paraId="4B1B85A4" w14:textId="77777777" w:rsidR="00965309" w:rsidRPr="00E5464F" w:rsidRDefault="00965309" w:rsidP="00217FB7">
            <w:pPr>
              <w:spacing w:before="100" w:beforeAutospacing="1" w:after="100" w:afterAutospacing="1"/>
              <w:ind w:firstLine="0"/>
              <w:jc w:val="center"/>
              <w:rPr>
                <w:sz w:val="24"/>
                <w:szCs w:val="24"/>
                <w:lang w:eastAsia="lv-LV"/>
              </w:rPr>
            </w:pPr>
            <w:r w:rsidRPr="00E5464F">
              <w:rPr>
                <w:sz w:val="24"/>
                <w:szCs w:val="24"/>
                <w:lang w:eastAsia="lv-LV"/>
              </w:rPr>
              <w:t>2.</w:t>
            </w:r>
          </w:p>
        </w:tc>
        <w:tc>
          <w:tcPr>
            <w:tcW w:w="1591" w:type="pct"/>
          </w:tcPr>
          <w:p w14:paraId="79E2BA25" w14:textId="423279B7" w:rsidR="007547C4" w:rsidRDefault="00965309" w:rsidP="00217FB7">
            <w:pPr>
              <w:ind w:firstLine="0"/>
              <w:jc w:val="left"/>
              <w:rPr>
                <w:sz w:val="24"/>
                <w:szCs w:val="24"/>
                <w:lang w:eastAsia="lv-LV"/>
              </w:rPr>
            </w:pPr>
            <w:r w:rsidRPr="00E5464F">
              <w:rPr>
                <w:sz w:val="24"/>
                <w:szCs w:val="24"/>
                <w:lang w:eastAsia="lv-LV"/>
              </w:rPr>
              <w:t>Pašreizējā situācija un problēmas, kuru risināšanai tiesību akta projekts izstrādāts, tiesiskā regulējuma mērķis un būtība</w:t>
            </w:r>
          </w:p>
          <w:p w14:paraId="04207F44" w14:textId="77777777" w:rsidR="007547C4" w:rsidRPr="007547C4" w:rsidRDefault="007547C4" w:rsidP="007547C4">
            <w:pPr>
              <w:rPr>
                <w:sz w:val="24"/>
                <w:szCs w:val="24"/>
                <w:lang w:eastAsia="lv-LV"/>
              </w:rPr>
            </w:pPr>
          </w:p>
          <w:p w14:paraId="562CAE3E" w14:textId="77777777" w:rsidR="007547C4" w:rsidRPr="007547C4" w:rsidRDefault="007547C4" w:rsidP="007547C4">
            <w:pPr>
              <w:rPr>
                <w:sz w:val="24"/>
                <w:szCs w:val="24"/>
                <w:lang w:eastAsia="lv-LV"/>
              </w:rPr>
            </w:pPr>
          </w:p>
          <w:p w14:paraId="33926D40" w14:textId="77777777" w:rsidR="007547C4" w:rsidRPr="007547C4" w:rsidRDefault="007547C4" w:rsidP="007547C4">
            <w:pPr>
              <w:rPr>
                <w:sz w:val="24"/>
                <w:szCs w:val="24"/>
                <w:lang w:eastAsia="lv-LV"/>
              </w:rPr>
            </w:pPr>
          </w:p>
          <w:p w14:paraId="3176B127" w14:textId="77777777" w:rsidR="007547C4" w:rsidRPr="007547C4" w:rsidRDefault="007547C4" w:rsidP="007547C4">
            <w:pPr>
              <w:rPr>
                <w:sz w:val="24"/>
                <w:szCs w:val="24"/>
                <w:lang w:eastAsia="lv-LV"/>
              </w:rPr>
            </w:pPr>
          </w:p>
          <w:p w14:paraId="38AF749D" w14:textId="77777777" w:rsidR="007547C4" w:rsidRPr="007547C4" w:rsidRDefault="007547C4" w:rsidP="007547C4">
            <w:pPr>
              <w:rPr>
                <w:sz w:val="24"/>
                <w:szCs w:val="24"/>
                <w:lang w:eastAsia="lv-LV"/>
              </w:rPr>
            </w:pPr>
          </w:p>
          <w:p w14:paraId="7153B657" w14:textId="77777777" w:rsidR="007547C4" w:rsidRPr="007547C4" w:rsidRDefault="007547C4" w:rsidP="007547C4">
            <w:pPr>
              <w:rPr>
                <w:sz w:val="24"/>
                <w:szCs w:val="24"/>
                <w:lang w:eastAsia="lv-LV"/>
              </w:rPr>
            </w:pPr>
          </w:p>
          <w:p w14:paraId="62F802FB" w14:textId="77777777" w:rsidR="007547C4" w:rsidRPr="007547C4" w:rsidRDefault="007547C4" w:rsidP="007547C4">
            <w:pPr>
              <w:rPr>
                <w:sz w:val="24"/>
                <w:szCs w:val="24"/>
                <w:lang w:eastAsia="lv-LV"/>
              </w:rPr>
            </w:pPr>
          </w:p>
          <w:p w14:paraId="466BA2E9" w14:textId="77777777" w:rsidR="007547C4" w:rsidRPr="007547C4" w:rsidRDefault="007547C4" w:rsidP="007547C4">
            <w:pPr>
              <w:rPr>
                <w:sz w:val="24"/>
                <w:szCs w:val="24"/>
                <w:lang w:eastAsia="lv-LV"/>
              </w:rPr>
            </w:pPr>
          </w:p>
          <w:p w14:paraId="33D893C3" w14:textId="77777777" w:rsidR="007547C4" w:rsidRPr="007547C4" w:rsidRDefault="007547C4" w:rsidP="007547C4">
            <w:pPr>
              <w:rPr>
                <w:sz w:val="24"/>
                <w:szCs w:val="24"/>
                <w:lang w:eastAsia="lv-LV"/>
              </w:rPr>
            </w:pPr>
          </w:p>
          <w:p w14:paraId="7A66AB27" w14:textId="77777777" w:rsidR="007547C4" w:rsidRPr="007547C4" w:rsidRDefault="007547C4" w:rsidP="007547C4">
            <w:pPr>
              <w:rPr>
                <w:sz w:val="24"/>
                <w:szCs w:val="24"/>
                <w:lang w:eastAsia="lv-LV"/>
              </w:rPr>
            </w:pPr>
          </w:p>
          <w:p w14:paraId="38632EBF" w14:textId="77777777" w:rsidR="007547C4" w:rsidRPr="007547C4" w:rsidRDefault="007547C4" w:rsidP="007547C4">
            <w:pPr>
              <w:rPr>
                <w:sz w:val="24"/>
                <w:szCs w:val="24"/>
                <w:lang w:eastAsia="lv-LV"/>
              </w:rPr>
            </w:pPr>
          </w:p>
          <w:p w14:paraId="6FAFCFBC" w14:textId="77777777" w:rsidR="007547C4" w:rsidRPr="007547C4" w:rsidRDefault="007547C4" w:rsidP="007547C4">
            <w:pPr>
              <w:rPr>
                <w:sz w:val="24"/>
                <w:szCs w:val="24"/>
                <w:lang w:eastAsia="lv-LV"/>
              </w:rPr>
            </w:pPr>
          </w:p>
          <w:p w14:paraId="010F7EFB" w14:textId="77777777" w:rsidR="007547C4" w:rsidRPr="007547C4" w:rsidRDefault="007547C4" w:rsidP="007547C4">
            <w:pPr>
              <w:rPr>
                <w:sz w:val="24"/>
                <w:szCs w:val="24"/>
                <w:lang w:eastAsia="lv-LV"/>
              </w:rPr>
            </w:pPr>
          </w:p>
          <w:p w14:paraId="3BF8BD82" w14:textId="77777777" w:rsidR="007547C4" w:rsidRPr="007547C4" w:rsidRDefault="007547C4" w:rsidP="007547C4">
            <w:pPr>
              <w:rPr>
                <w:sz w:val="24"/>
                <w:szCs w:val="24"/>
                <w:lang w:eastAsia="lv-LV"/>
              </w:rPr>
            </w:pPr>
          </w:p>
          <w:p w14:paraId="7D58F9D4" w14:textId="77777777" w:rsidR="007547C4" w:rsidRPr="007547C4" w:rsidRDefault="007547C4" w:rsidP="007547C4">
            <w:pPr>
              <w:rPr>
                <w:sz w:val="24"/>
                <w:szCs w:val="24"/>
                <w:lang w:eastAsia="lv-LV"/>
              </w:rPr>
            </w:pPr>
          </w:p>
          <w:p w14:paraId="02B7378A" w14:textId="77777777" w:rsidR="007547C4" w:rsidRPr="007547C4" w:rsidRDefault="007547C4" w:rsidP="007547C4">
            <w:pPr>
              <w:rPr>
                <w:sz w:val="24"/>
                <w:szCs w:val="24"/>
                <w:lang w:eastAsia="lv-LV"/>
              </w:rPr>
            </w:pPr>
          </w:p>
          <w:p w14:paraId="5B89A28A" w14:textId="77777777" w:rsidR="007547C4" w:rsidRPr="007547C4" w:rsidRDefault="007547C4" w:rsidP="007547C4">
            <w:pPr>
              <w:rPr>
                <w:sz w:val="24"/>
                <w:szCs w:val="24"/>
                <w:lang w:eastAsia="lv-LV"/>
              </w:rPr>
            </w:pPr>
          </w:p>
          <w:p w14:paraId="257428D0" w14:textId="4A2D74DA" w:rsidR="007547C4" w:rsidRDefault="007547C4" w:rsidP="007547C4">
            <w:pPr>
              <w:rPr>
                <w:sz w:val="24"/>
                <w:szCs w:val="24"/>
                <w:lang w:eastAsia="lv-LV"/>
              </w:rPr>
            </w:pPr>
          </w:p>
          <w:p w14:paraId="4CE8BE8A" w14:textId="17E28AD4" w:rsidR="007547C4" w:rsidRDefault="007547C4" w:rsidP="007547C4">
            <w:pPr>
              <w:rPr>
                <w:sz w:val="24"/>
                <w:szCs w:val="24"/>
                <w:lang w:eastAsia="lv-LV"/>
              </w:rPr>
            </w:pPr>
          </w:p>
          <w:p w14:paraId="68F4A08F" w14:textId="77777777" w:rsidR="00965309" w:rsidRPr="007547C4" w:rsidRDefault="00965309" w:rsidP="007547C4">
            <w:pPr>
              <w:rPr>
                <w:sz w:val="24"/>
                <w:szCs w:val="24"/>
                <w:lang w:eastAsia="lv-LV"/>
              </w:rPr>
            </w:pPr>
          </w:p>
        </w:tc>
        <w:tc>
          <w:tcPr>
            <w:tcW w:w="3033" w:type="pct"/>
          </w:tcPr>
          <w:p w14:paraId="0A987A32" w14:textId="18FA5A94" w:rsidR="00AC62DD" w:rsidRPr="00E5464F" w:rsidRDefault="003D4B72" w:rsidP="002C7103">
            <w:pPr>
              <w:ind w:firstLine="374"/>
              <w:rPr>
                <w:bCs/>
                <w:iCs/>
                <w:sz w:val="24"/>
                <w:szCs w:val="24"/>
              </w:rPr>
            </w:pPr>
            <w:r w:rsidRPr="00E5464F">
              <w:rPr>
                <w:iCs/>
                <w:sz w:val="24"/>
                <w:szCs w:val="24"/>
              </w:rPr>
              <w:t>Civilās aizsardzības un katastrofas pārvaldīšanas likuma, kas  stājās spēkā</w:t>
            </w:r>
            <w:r w:rsidR="00E01D54" w:rsidRPr="00E5464F">
              <w:rPr>
                <w:iCs/>
                <w:sz w:val="24"/>
                <w:szCs w:val="24"/>
              </w:rPr>
              <w:t xml:space="preserve"> </w:t>
            </w:r>
            <w:r w:rsidRPr="00E5464F">
              <w:rPr>
                <w:iCs/>
                <w:sz w:val="24"/>
                <w:szCs w:val="24"/>
              </w:rPr>
              <w:t xml:space="preserve">2016.gada 1.oktobrī,  </w:t>
            </w:r>
            <w:r w:rsidRPr="00E5464F">
              <w:rPr>
                <w:sz w:val="24"/>
                <w:szCs w:val="24"/>
              </w:rPr>
              <w:t xml:space="preserve">8.pants otrās daļas 3.punkts noteic, ka Ministru kabinets reglamentē paaugstinātas bīstamības objektu apzināšanas, noteikšanas, civilās aizsardzības un katastrofas pārvaldīšanas plānošanas un īstenošanas kārtību. </w:t>
            </w:r>
            <w:r w:rsidR="002C7103" w:rsidRPr="00E5464F">
              <w:rPr>
                <w:sz w:val="24"/>
                <w:szCs w:val="24"/>
              </w:rPr>
              <w:t>Lai izpildīt</w:t>
            </w:r>
            <w:r w:rsidR="00563301" w:rsidRPr="00E5464F">
              <w:rPr>
                <w:sz w:val="24"/>
                <w:szCs w:val="24"/>
              </w:rPr>
              <w:t>u</w:t>
            </w:r>
            <w:r w:rsidR="002C7103" w:rsidRPr="00E5464F">
              <w:rPr>
                <w:sz w:val="24"/>
                <w:szCs w:val="24"/>
              </w:rPr>
              <w:t xml:space="preserve"> doto pilnvarojumu Ministru kabinetam</w:t>
            </w:r>
            <w:r w:rsidR="00AC62DD" w:rsidRPr="00E5464F">
              <w:rPr>
                <w:iCs/>
                <w:sz w:val="24"/>
                <w:szCs w:val="24"/>
              </w:rPr>
              <w:t xml:space="preserve">, ir sagatavots Ministru kabineta noteikumu projekts </w:t>
            </w:r>
            <w:r w:rsidR="00EF0B57" w:rsidRPr="00E5464F">
              <w:t>“</w:t>
            </w:r>
            <w:r w:rsidR="006A7CF8" w:rsidRPr="00E5464F">
              <w:rPr>
                <w:sz w:val="24"/>
                <w:szCs w:val="24"/>
              </w:rPr>
              <w:t>Paaugstinātas bīstamības objektu apzināšanas, noteikšanas, kā arī civilās aizsardzības un katastrofas pārvaldīšanas plānošanas un īstenošanas kārtība</w:t>
            </w:r>
            <w:r w:rsidR="00EF0B57" w:rsidRPr="00E5464F">
              <w:t>”</w:t>
            </w:r>
            <w:r w:rsidR="00EF0B57" w:rsidRPr="00E5464F">
              <w:rPr>
                <w:iCs/>
                <w:sz w:val="24"/>
                <w:szCs w:val="24"/>
              </w:rPr>
              <w:t xml:space="preserve"> </w:t>
            </w:r>
            <w:r w:rsidR="00AC62DD" w:rsidRPr="00E5464F">
              <w:rPr>
                <w:iCs/>
                <w:sz w:val="24"/>
                <w:szCs w:val="24"/>
              </w:rPr>
              <w:t>(turpmāk – Noteikumu projekts).</w:t>
            </w:r>
          </w:p>
          <w:p w14:paraId="10A639AB" w14:textId="6DCD96FD" w:rsidR="004D0214" w:rsidRDefault="007100C6" w:rsidP="00563301">
            <w:pPr>
              <w:autoSpaceDE w:val="0"/>
              <w:autoSpaceDN w:val="0"/>
              <w:adjustRightInd w:val="0"/>
              <w:ind w:firstLine="374"/>
              <w:rPr>
                <w:sz w:val="24"/>
                <w:szCs w:val="24"/>
              </w:rPr>
            </w:pPr>
            <w:r w:rsidRPr="00E5464F">
              <w:rPr>
                <w:iCs/>
                <w:sz w:val="24"/>
                <w:szCs w:val="24"/>
              </w:rPr>
              <w:t>Noteikumu projekts</w:t>
            </w:r>
            <w:r>
              <w:rPr>
                <w:iCs/>
                <w:sz w:val="24"/>
                <w:szCs w:val="24"/>
              </w:rPr>
              <w:t xml:space="preserve"> nosaka kārtību, kāda tiek apzin</w:t>
            </w:r>
            <w:r w:rsidR="00152BCF">
              <w:rPr>
                <w:iCs/>
                <w:sz w:val="24"/>
                <w:szCs w:val="24"/>
              </w:rPr>
              <w:t>āti un noteikti</w:t>
            </w:r>
            <w:r w:rsidRPr="00E5464F">
              <w:rPr>
                <w:sz w:val="24"/>
                <w:szCs w:val="24"/>
              </w:rPr>
              <w:t xml:space="preserve"> pa</w:t>
            </w:r>
            <w:r>
              <w:rPr>
                <w:sz w:val="24"/>
                <w:szCs w:val="24"/>
              </w:rPr>
              <w:t>augstinātas bīstamības objekti</w:t>
            </w:r>
            <w:r w:rsidRPr="00E5464F">
              <w:rPr>
                <w:sz w:val="24"/>
                <w:szCs w:val="24"/>
              </w:rPr>
              <w:t xml:space="preserve"> (turpmāk – PBO)</w:t>
            </w:r>
            <w:r w:rsidR="00152BCF">
              <w:rPr>
                <w:sz w:val="24"/>
                <w:szCs w:val="24"/>
              </w:rPr>
              <w:t>, proti,</w:t>
            </w:r>
            <w:r w:rsidR="00334E5E">
              <w:rPr>
                <w:sz w:val="24"/>
                <w:szCs w:val="24"/>
              </w:rPr>
              <w:t xml:space="preserve"> Noteikumu projektā tiek noteiktas institūcijas, kas</w:t>
            </w:r>
            <w:r w:rsidR="0035735A">
              <w:rPr>
                <w:sz w:val="24"/>
                <w:szCs w:val="24"/>
              </w:rPr>
              <w:t>,</w:t>
            </w:r>
            <w:r w:rsidR="00334E5E">
              <w:rPr>
                <w:sz w:val="24"/>
                <w:szCs w:val="24"/>
              </w:rPr>
              <w:t xml:space="preserve"> ņemot vēr</w:t>
            </w:r>
            <w:r w:rsidR="009910A2">
              <w:rPr>
                <w:sz w:val="24"/>
                <w:szCs w:val="24"/>
              </w:rPr>
              <w:t>ā tā</w:t>
            </w:r>
            <w:r w:rsidR="00334E5E">
              <w:rPr>
                <w:sz w:val="24"/>
                <w:szCs w:val="24"/>
              </w:rPr>
              <w:t xml:space="preserve">m noteikto kompetenci, </w:t>
            </w:r>
            <w:r w:rsidR="00152BCF">
              <w:rPr>
                <w:sz w:val="24"/>
                <w:szCs w:val="24"/>
              </w:rPr>
              <w:t>apzina</w:t>
            </w:r>
            <w:r w:rsidR="0035735A">
              <w:rPr>
                <w:sz w:val="24"/>
                <w:szCs w:val="24"/>
              </w:rPr>
              <w:t xml:space="preserve"> attiecīgos</w:t>
            </w:r>
            <w:r w:rsidR="00152BCF">
              <w:rPr>
                <w:sz w:val="24"/>
                <w:szCs w:val="24"/>
              </w:rPr>
              <w:t xml:space="preserve"> PBO un iesniedz</w:t>
            </w:r>
            <w:r w:rsidR="0035735A">
              <w:rPr>
                <w:sz w:val="24"/>
                <w:szCs w:val="24"/>
              </w:rPr>
              <w:t xml:space="preserve"> iegūto</w:t>
            </w:r>
            <w:r w:rsidR="00152BCF">
              <w:rPr>
                <w:sz w:val="24"/>
                <w:szCs w:val="24"/>
              </w:rPr>
              <w:t xml:space="preserve"> informāciju </w:t>
            </w:r>
            <w:r w:rsidR="00152BCF" w:rsidRPr="00E5464F">
              <w:rPr>
                <w:sz w:val="24"/>
                <w:szCs w:val="24"/>
              </w:rPr>
              <w:t>Valsts ugu</w:t>
            </w:r>
            <w:r w:rsidR="00152BCF">
              <w:rPr>
                <w:sz w:val="24"/>
                <w:szCs w:val="24"/>
              </w:rPr>
              <w:t>ns</w:t>
            </w:r>
            <w:r w:rsidR="0035735A">
              <w:rPr>
                <w:sz w:val="24"/>
                <w:szCs w:val="24"/>
              </w:rPr>
              <w:t>dzēsības un glābšanas dienestam</w:t>
            </w:r>
            <w:r w:rsidR="00152BCF" w:rsidRPr="00E5464F">
              <w:rPr>
                <w:sz w:val="24"/>
                <w:szCs w:val="24"/>
              </w:rPr>
              <w:t xml:space="preserve"> (turpmāk – VUGD</w:t>
            </w:r>
            <w:r w:rsidR="0035735A">
              <w:rPr>
                <w:sz w:val="24"/>
                <w:szCs w:val="24"/>
              </w:rPr>
              <w:t>).</w:t>
            </w:r>
            <w:r w:rsidR="004D0214">
              <w:rPr>
                <w:sz w:val="24"/>
                <w:szCs w:val="24"/>
              </w:rPr>
              <w:t xml:space="preserve"> Noteikumu projektā ietvertā kārtība paredz, ka</w:t>
            </w:r>
            <w:r w:rsidR="00D03E13">
              <w:rPr>
                <w:sz w:val="24"/>
                <w:szCs w:val="24"/>
              </w:rPr>
              <w:t xml:space="preserve"> </w:t>
            </w:r>
            <w:r w:rsidR="00D03E13" w:rsidRPr="003A7849">
              <w:rPr>
                <w:sz w:val="24"/>
                <w:szCs w:val="24"/>
              </w:rPr>
              <w:t>i</w:t>
            </w:r>
            <w:r w:rsidR="0035735A" w:rsidRPr="003A7849">
              <w:rPr>
                <w:sz w:val="24"/>
                <w:szCs w:val="24"/>
              </w:rPr>
              <w:t>n</w:t>
            </w:r>
            <w:r w:rsidR="0035735A">
              <w:rPr>
                <w:sz w:val="24"/>
                <w:szCs w:val="24"/>
              </w:rPr>
              <w:t>stitūcijas, apzinot PBO, norāda ar</w:t>
            </w:r>
            <w:r w:rsidR="004D0214">
              <w:rPr>
                <w:sz w:val="24"/>
                <w:szCs w:val="24"/>
              </w:rPr>
              <w:t>ī</w:t>
            </w:r>
            <w:r w:rsidR="0035735A">
              <w:rPr>
                <w:sz w:val="24"/>
                <w:szCs w:val="24"/>
              </w:rPr>
              <w:t xml:space="preserve"> </w:t>
            </w:r>
            <w:r w:rsidR="006D4B8A">
              <w:rPr>
                <w:sz w:val="24"/>
                <w:szCs w:val="24"/>
              </w:rPr>
              <w:t>PBO</w:t>
            </w:r>
            <w:r w:rsidR="004D0214">
              <w:rPr>
                <w:sz w:val="24"/>
                <w:szCs w:val="24"/>
              </w:rPr>
              <w:t xml:space="preserve"> iespējamo kategoriju</w:t>
            </w:r>
            <w:r w:rsidR="00220DF5">
              <w:rPr>
                <w:sz w:val="24"/>
                <w:szCs w:val="24"/>
              </w:rPr>
              <w:t xml:space="preserve">, kas </w:t>
            </w:r>
            <w:r w:rsidR="007B6FFF">
              <w:rPr>
                <w:sz w:val="24"/>
                <w:szCs w:val="24"/>
              </w:rPr>
              <w:t xml:space="preserve">Noteikumu projektā </w:t>
            </w:r>
            <w:r w:rsidR="00220DF5">
              <w:rPr>
                <w:sz w:val="24"/>
                <w:szCs w:val="24"/>
              </w:rPr>
              <w:t>tiek paredzēta</w:t>
            </w:r>
            <w:r w:rsidR="004D0214">
              <w:rPr>
                <w:sz w:val="24"/>
                <w:szCs w:val="24"/>
              </w:rPr>
              <w:t xml:space="preserve">, ņemot vērā </w:t>
            </w:r>
            <w:r w:rsidR="004D0214" w:rsidRPr="00E5464F">
              <w:rPr>
                <w:sz w:val="24"/>
                <w:szCs w:val="24"/>
              </w:rPr>
              <w:t xml:space="preserve"> </w:t>
            </w:r>
            <w:r w:rsidR="004D0214">
              <w:rPr>
                <w:sz w:val="24"/>
                <w:szCs w:val="24"/>
              </w:rPr>
              <w:t xml:space="preserve">iespējamā kaitējuma ietekmi </w:t>
            </w:r>
            <w:r w:rsidR="004D0214" w:rsidRPr="00E5464F">
              <w:rPr>
                <w:sz w:val="24"/>
                <w:szCs w:val="24"/>
              </w:rPr>
              <w:t>un objekta saimnieciskās darbības rakstu</w:t>
            </w:r>
            <w:r w:rsidR="004D0214">
              <w:rPr>
                <w:sz w:val="24"/>
                <w:szCs w:val="24"/>
              </w:rPr>
              <w:t>ru.</w:t>
            </w:r>
          </w:p>
          <w:p w14:paraId="104046A9" w14:textId="2B7E5F5F" w:rsidR="00562563" w:rsidRDefault="00562563" w:rsidP="00562563">
            <w:pPr>
              <w:autoSpaceDE w:val="0"/>
              <w:autoSpaceDN w:val="0"/>
              <w:adjustRightInd w:val="0"/>
              <w:ind w:firstLine="374"/>
              <w:rPr>
                <w:sz w:val="24"/>
                <w:szCs w:val="24"/>
              </w:rPr>
            </w:pPr>
            <w:r>
              <w:rPr>
                <w:sz w:val="24"/>
                <w:szCs w:val="24"/>
              </w:rPr>
              <w:t xml:space="preserve">Ņemot vērā to, ka C kategorijas PBO veic </w:t>
            </w:r>
            <w:r w:rsidRPr="00E5464F">
              <w:rPr>
                <w:iCs/>
                <w:sz w:val="24"/>
                <w:szCs w:val="24"/>
              </w:rPr>
              <w:t xml:space="preserve"> darbības ar ķīmiskām vielām nelielos daudzumos</w:t>
            </w:r>
            <w:r>
              <w:rPr>
                <w:iCs/>
                <w:sz w:val="24"/>
                <w:szCs w:val="24"/>
              </w:rPr>
              <w:t>, bet</w:t>
            </w:r>
            <w:r w:rsidRPr="00E5464F">
              <w:rPr>
                <w:iCs/>
                <w:sz w:val="24"/>
                <w:szCs w:val="24"/>
              </w:rPr>
              <w:t xml:space="preserve"> ir uzskatāms par </w:t>
            </w:r>
            <w:r>
              <w:rPr>
                <w:iCs/>
                <w:sz w:val="24"/>
                <w:szCs w:val="24"/>
              </w:rPr>
              <w:t>PBO</w:t>
            </w:r>
            <w:r>
              <w:rPr>
                <w:sz w:val="24"/>
                <w:szCs w:val="24"/>
              </w:rPr>
              <w:t xml:space="preserve">, </w:t>
            </w:r>
            <w:r w:rsidRPr="00E5464F">
              <w:rPr>
                <w:sz w:val="24"/>
                <w:szCs w:val="24"/>
              </w:rPr>
              <w:t>Noteikumu projekta 1.pielikums</w:t>
            </w:r>
            <w:r>
              <w:rPr>
                <w:sz w:val="24"/>
                <w:szCs w:val="24"/>
              </w:rPr>
              <w:t xml:space="preserve"> nosaka šo objektu </w:t>
            </w:r>
            <w:r w:rsidRPr="00E5464F">
              <w:rPr>
                <w:sz w:val="24"/>
                <w:szCs w:val="24"/>
              </w:rPr>
              <w:t>b</w:t>
            </w:r>
            <w:r w:rsidRPr="00E5464F">
              <w:rPr>
                <w:iCs/>
                <w:sz w:val="24"/>
                <w:szCs w:val="24"/>
              </w:rPr>
              <w:t>īstamo vielu un to kvalificējoš</w:t>
            </w:r>
            <w:r>
              <w:rPr>
                <w:iCs/>
                <w:sz w:val="24"/>
                <w:szCs w:val="24"/>
              </w:rPr>
              <w:t>os</w:t>
            </w:r>
            <w:r w:rsidRPr="00E5464F">
              <w:rPr>
                <w:iCs/>
                <w:sz w:val="24"/>
                <w:szCs w:val="24"/>
              </w:rPr>
              <w:t xml:space="preserve"> daudzum</w:t>
            </w:r>
            <w:r>
              <w:rPr>
                <w:iCs/>
                <w:sz w:val="24"/>
                <w:szCs w:val="24"/>
              </w:rPr>
              <w:t xml:space="preserve">us. Ar Noteikumu projekta piedāvātā </w:t>
            </w:r>
            <w:r w:rsidRPr="00E5464F">
              <w:rPr>
                <w:iCs/>
                <w:sz w:val="24"/>
                <w:szCs w:val="24"/>
              </w:rPr>
              <w:t>formul</w:t>
            </w:r>
            <w:r>
              <w:rPr>
                <w:iCs/>
                <w:sz w:val="24"/>
                <w:szCs w:val="24"/>
              </w:rPr>
              <w:t>a</w:t>
            </w:r>
            <w:r w:rsidRPr="00E5464F">
              <w:rPr>
                <w:iCs/>
                <w:sz w:val="24"/>
                <w:szCs w:val="24"/>
              </w:rPr>
              <w:t xml:space="preserve"> un </w:t>
            </w:r>
            <w:r>
              <w:rPr>
                <w:iCs/>
                <w:sz w:val="24"/>
                <w:szCs w:val="24"/>
              </w:rPr>
              <w:t>1.</w:t>
            </w:r>
            <w:r w:rsidRPr="00E5464F">
              <w:rPr>
                <w:iCs/>
                <w:sz w:val="24"/>
                <w:szCs w:val="24"/>
              </w:rPr>
              <w:t>pielikuma</w:t>
            </w:r>
            <w:r>
              <w:rPr>
                <w:iCs/>
                <w:sz w:val="24"/>
                <w:szCs w:val="24"/>
              </w:rPr>
              <w:t xml:space="preserve"> tabulas ļauj noteikt, vai objekts ir pieskaitāms pie </w:t>
            </w:r>
            <w:r>
              <w:rPr>
                <w:sz w:val="24"/>
                <w:szCs w:val="24"/>
              </w:rPr>
              <w:t>C kategorijas PBO.</w:t>
            </w:r>
          </w:p>
          <w:p w14:paraId="76C68339" w14:textId="77777777" w:rsidR="0081790C" w:rsidRPr="008A1407" w:rsidRDefault="0081790C" w:rsidP="0081790C">
            <w:pPr>
              <w:autoSpaceDE w:val="0"/>
              <w:autoSpaceDN w:val="0"/>
              <w:adjustRightInd w:val="0"/>
              <w:ind w:firstLine="374"/>
              <w:rPr>
                <w:sz w:val="24"/>
                <w:szCs w:val="24"/>
              </w:rPr>
            </w:pPr>
            <w:r w:rsidRPr="008A1407">
              <w:rPr>
                <w:sz w:val="24"/>
                <w:szCs w:val="24"/>
              </w:rPr>
              <w:t>Elektromagnētisko starojumu objektus var iedalīt divas grupas: jonizējošie un nejonizējošie. Pie  nejonizējošām attiecas elektromagnētisko lauku izstarojošas iekārtas, kura ir dažāda veida raidošās stacijas, ko izmanto radiosakariem, skaņas vai televīzijas apraidei, radiolokācijai vai citiem mērķiem. Šādas stacijas sastāv no raidošās iekārtas ar noteiktu jaudu un uz radiotorņa vai masta uzstādītas antenas, kura ir tiešais nejonizējoša elektromagnētiskā lauka izstarotājs vidē.</w:t>
            </w:r>
          </w:p>
          <w:p w14:paraId="2A1D7ED4" w14:textId="11F7B32F" w:rsidR="0081790C" w:rsidRDefault="0081790C" w:rsidP="0081790C">
            <w:pPr>
              <w:autoSpaceDE w:val="0"/>
              <w:autoSpaceDN w:val="0"/>
              <w:adjustRightInd w:val="0"/>
              <w:ind w:firstLine="374"/>
              <w:rPr>
                <w:sz w:val="24"/>
                <w:szCs w:val="24"/>
              </w:rPr>
            </w:pPr>
            <w:r w:rsidRPr="008A1407">
              <w:rPr>
                <w:sz w:val="24"/>
                <w:szCs w:val="24"/>
              </w:rPr>
              <w:t>Ņemot vērā, ka nejonizējošais starojums nespēj jonizēt mūsu organisma šūnas. Tāpēc</w:t>
            </w:r>
            <w:r>
              <w:rPr>
                <w:sz w:val="24"/>
                <w:szCs w:val="24"/>
              </w:rPr>
              <w:t xml:space="preserve"> </w:t>
            </w:r>
            <w:r w:rsidRPr="008A1407">
              <w:rPr>
                <w:sz w:val="24"/>
                <w:szCs w:val="24"/>
              </w:rPr>
              <w:t>tas ir mazāk bīstams par jonizējošo starojumu</w:t>
            </w:r>
            <w:r>
              <w:rPr>
                <w:sz w:val="24"/>
                <w:szCs w:val="24"/>
              </w:rPr>
              <w:t xml:space="preserve"> </w:t>
            </w:r>
            <w:r w:rsidRPr="008A1407">
              <w:rPr>
                <w:sz w:val="24"/>
                <w:szCs w:val="24"/>
              </w:rPr>
              <w:t xml:space="preserve">(radiāciju). Tāpēc </w:t>
            </w:r>
            <w:r w:rsidRPr="008A1407">
              <w:rPr>
                <w:sz w:val="24"/>
                <w:szCs w:val="24"/>
              </w:rPr>
              <w:lastRenderedPageBreak/>
              <w:t>nejonizējošas elektromagnētisko lauku izstarojošas iekārtas tiek pieņemt lēmums svītrot no paaugstinātas bīstamības sarakstiem.</w:t>
            </w:r>
          </w:p>
          <w:p w14:paraId="787B5873" w14:textId="6E135320" w:rsidR="004D0214" w:rsidRDefault="00137896" w:rsidP="00563301">
            <w:pPr>
              <w:autoSpaceDE w:val="0"/>
              <w:autoSpaceDN w:val="0"/>
              <w:adjustRightInd w:val="0"/>
              <w:ind w:firstLine="374"/>
              <w:rPr>
                <w:sz w:val="24"/>
                <w:szCs w:val="24"/>
              </w:rPr>
            </w:pPr>
            <w:r w:rsidRPr="00137896">
              <w:rPr>
                <w:sz w:val="24"/>
                <w:szCs w:val="24"/>
              </w:rPr>
              <w:t>Atbilstoši MK noteikumu 3.3.1.apakšpunktā noteiktajam Valsts vides dienests (turpmāk –</w:t>
            </w:r>
            <w:r>
              <w:rPr>
                <w:sz w:val="24"/>
                <w:szCs w:val="24"/>
              </w:rPr>
              <w:t xml:space="preserve"> </w:t>
            </w:r>
            <w:r w:rsidRPr="00137896">
              <w:rPr>
                <w:sz w:val="24"/>
                <w:szCs w:val="24"/>
              </w:rPr>
              <w:t>VVD) apzina, aktualizē un iesniedz Valsts ugunsdzēsības un glābšanas dienestam informāciju par operatoriem, kuri veic A, B vai C kategorijas piesārņojošu darbību, kas ir noteikta likuma “Par piesārņojumu” 1.pielikumā vai Ministru kabineta 2010.gada 30.novembra noteikumu Nr.1082 “Kārtība, kādā piesakāmas A, B un C kategorijas piesārņojošas darbības un izsniedzamas atļaujas A un B kategorijas piesārņojošo darbību veikšanai” 1.</w:t>
            </w:r>
            <w:r>
              <w:rPr>
                <w:sz w:val="24"/>
                <w:szCs w:val="24"/>
              </w:rPr>
              <w:t xml:space="preserve"> </w:t>
            </w:r>
            <w:r w:rsidRPr="00137896">
              <w:rPr>
                <w:sz w:val="24"/>
                <w:szCs w:val="24"/>
              </w:rPr>
              <w:t>un</w:t>
            </w:r>
            <w:r>
              <w:rPr>
                <w:sz w:val="24"/>
                <w:szCs w:val="24"/>
              </w:rPr>
              <w:t xml:space="preserve"> </w:t>
            </w:r>
            <w:r w:rsidRPr="00137896">
              <w:rPr>
                <w:sz w:val="24"/>
                <w:szCs w:val="24"/>
              </w:rPr>
              <w:t>2.pielikumā. Ņemot vērā, ka VVD līdz šim nav bijusi C kategorijas paaugstinātas bīstamības objektu uzskaites kompetence šo noteikumu izpratnē (izņemot tos gadījumus, ko nosaka SEVESO direktīva, radiācijas drošības jomas normatīvie akti), VVD šādu informāciju varēs sniegt tikai par jaunajiem piesārņojošās darbības veicējiem, kad tiks iesniegts iesniegums atļaujas saņemšanai pēc šo noteikumu spēkā stāšanās</w:t>
            </w:r>
            <w:r>
              <w:rPr>
                <w:sz w:val="24"/>
                <w:szCs w:val="24"/>
              </w:rPr>
              <w:t xml:space="preserve">. </w:t>
            </w:r>
            <w:r w:rsidR="00437A21">
              <w:rPr>
                <w:sz w:val="24"/>
                <w:szCs w:val="24"/>
              </w:rPr>
              <w:t xml:space="preserve">Savukārt </w:t>
            </w:r>
            <w:r w:rsidR="00220DF5">
              <w:rPr>
                <w:sz w:val="24"/>
                <w:szCs w:val="24"/>
              </w:rPr>
              <w:t xml:space="preserve">VUGD izvērtē </w:t>
            </w:r>
            <w:r w:rsidR="00437A21">
              <w:rPr>
                <w:sz w:val="24"/>
                <w:szCs w:val="24"/>
              </w:rPr>
              <w:t xml:space="preserve">un aktualizē </w:t>
            </w:r>
            <w:r w:rsidR="00220DF5">
              <w:rPr>
                <w:sz w:val="24"/>
                <w:szCs w:val="24"/>
              </w:rPr>
              <w:t xml:space="preserve">no institūcijām saņemto informāciju un sagatavo PBO sarakstu, kuru normatīvajos aktos noteiktajā kārtībā iesniedz apstiprināšanai Ministru kabinetā. </w:t>
            </w:r>
            <w:r w:rsidR="00437A21">
              <w:t xml:space="preserve"> </w:t>
            </w:r>
          </w:p>
          <w:p w14:paraId="543C9510" w14:textId="1669A344" w:rsidR="004E23F5" w:rsidRPr="00E5464F" w:rsidRDefault="00364F99" w:rsidP="00E92C4E">
            <w:pPr>
              <w:autoSpaceDE w:val="0"/>
              <w:autoSpaceDN w:val="0"/>
              <w:adjustRightInd w:val="0"/>
              <w:ind w:firstLine="374"/>
              <w:rPr>
                <w:sz w:val="24"/>
                <w:szCs w:val="24"/>
              </w:rPr>
            </w:pPr>
            <w:r w:rsidRPr="00E5464F">
              <w:rPr>
                <w:sz w:val="24"/>
                <w:szCs w:val="24"/>
              </w:rPr>
              <w:t xml:space="preserve">Attiecībā uz </w:t>
            </w:r>
            <w:r w:rsidRPr="00E5464F">
              <w:rPr>
                <w:iCs/>
                <w:sz w:val="24"/>
                <w:szCs w:val="24"/>
              </w:rPr>
              <w:t>civilās aizsardzības un katastrofas pārvaldīšanas plānošanas un īstenošanas prasībām</w:t>
            </w:r>
            <w:r w:rsidR="00E92C4E" w:rsidRPr="00E5464F">
              <w:rPr>
                <w:sz w:val="24"/>
                <w:szCs w:val="24"/>
              </w:rPr>
              <w:t xml:space="preserve"> Noteikumu projekts </w:t>
            </w:r>
            <w:r w:rsidR="00E92C4E" w:rsidRPr="00E5464F">
              <w:rPr>
                <w:iCs/>
                <w:sz w:val="24"/>
                <w:szCs w:val="24"/>
              </w:rPr>
              <w:t>nosaka</w:t>
            </w:r>
            <w:r w:rsidR="00E5464F" w:rsidRPr="00E5464F">
              <w:rPr>
                <w:sz w:val="24"/>
                <w:szCs w:val="24"/>
              </w:rPr>
              <w:t xml:space="preserve"> PBO</w:t>
            </w:r>
            <w:r w:rsidR="00E5464F" w:rsidRPr="00E5464F">
              <w:rPr>
                <w:iCs/>
                <w:sz w:val="24"/>
                <w:szCs w:val="24"/>
              </w:rPr>
              <w:t xml:space="preserve"> </w:t>
            </w:r>
            <w:r w:rsidR="00E92C4E" w:rsidRPr="00E5464F">
              <w:rPr>
                <w:iCs/>
                <w:sz w:val="24"/>
                <w:szCs w:val="24"/>
              </w:rPr>
              <w:t xml:space="preserve">nepieciešamos katastrofas pārvaldīšanas plānošanas pasākumus, kas ietver </w:t>
            </w:r>
            <w:r w:rsidR="00E92C4E" w:rsidRPr="00E5464F">
              <w:rPr>
                <w:sz w:val="24"/>
                <w:szCs w:val="24"/>
              </w:rPr>
              <w:t>risku novērtēšanu</w:t>
            </w:r>
            <w:r w:rsidR="00E5464F">
              <w:rPr>
                <w:sz w:val="24"/>
                <w:szCs w:val="24"/>
              </w:rPr>
              <w:t>;</w:t>
            </w:r>
            <w:r w:rsidR="00E92C4E" w:rsidRPr="00E5464F">
              <w:rPr>
                <w:sz w:val="24"/>
                <w:szCs w:val="24"/>
              </w:rPr>
              <w:t xml:space="preserve"> preventīvo, gatavības, reaģēšanas un seku likvidēšanas pasākumu </w:t>
            </w:r>
            <w:r w:rsidR="00E5464F">
              <w:rPr>
                <w:sz w:val="24"/>
                <w:szCs w:val="24"/>
              </w:rPr>
              <w:t>identificēšanu;</w:t>
            </w:r>
            <w:r w:rsidR="00E92C4E" w:rsidRPr="00E5464F">
              <w:rPr>
                <w:sz w:val="24"/>
                <w:szCs w:val="24"/>
              </w:rPr>
              <w:t xml:space="preserve"> kā arī resursu apzināšanu un plānošanu, lai nodrošinātu negadījumu vai avāriju pasākumu īstenošanu. Šo pasākumu īstenošana nepieciešama, lai apzinātu PBO iekšējos un ārējos apdraudējumus, ka arī ļautu savlaicīgi un plānoti apzināt savas spējas un resursus negadījuma vai avārijas mazināšanai. </w:t>
            </w:r>
          </w:p>
          <w:p w14:paraId="092EC269" w14:textId="73A69484" w:rsidR="002F5D48" w:rsidRDefault="009702F3" w:rsidP="00530976">
            <w:pPr>
              <w:autoSpaceDE w:val="0"/>
              <w:autoSpaceDN w:val="0"/>
              <w:adjustRightInd w:val="0"/>
              <w:ind w:firstLine="374"/>
              <w:rPr>
                <w:iCs/>
                <w:sz w:val="24"/>
                <w:szCs w:val="24"/>
              </w:rPr>
            </w:pPr>
            <w:r w:rsidRPr="003A7849">
              <w:rPr>
                <w:sz w:val="24"/>
                <w:szCs w:val="24"/>
              </w:rPr>
              <w:t>Notei</w:t>
            </w:r>
            <w:r w:rsidR="00DE7DCC" w:rsidRPr="003A7849">
              <w:rPr>
                <w:sz w:val="24"/>
                <w:szCs w:val="24"/>
              </w:rPr>
              <w:t>kumu projekts paredz, ka</w:t>
            </w:r>
            <w:r w:rsidR="00892208" w:rsidRPr="003A7849">
              <w:rPr>
                <w:sz w:val="24"/>
                <w:szCs w:val="24"/>
              </w:rPr>
              <w:t xml:space="preserve"> </w:t>
            </w:r>
            <w:r w:rsidR="00C23423" w:rsidRPr="003A7849">
              <w:rPr>
                <w:sz w:val="24"/>
                <w:szCs w:val="24"/>
              </w:rPr>
              <w:t xml:space="preserve">katastrofas, avārijas, negadījuma vai to draudu gadījumā </w:t>
            </w:r>
            <w:r w:rsidR="00895C31" w:rsidRPr="003A7849">
              <w:rPr>
                <w:sz w:val="24"/>
                <w:szCs w:val="24"/>
              </w:rPr>
              <w:t>tiek nodrošināta</w:t>
            </w:r>
            <w:r w:rsidR="00C23423" w:rsidRPr="003A7849">
              <w:rPr>
                <w:sz w:val="24"/>
                <w:szCs w:val="24"/>
              </w:rPr>
              <w:t xml:space="preserve"> personu, kas atrodas paau</w:t>
            </w:r>
            <w:r w:rsidR="00895C31" w:rsidRPr="003A7849">
              <w:rPr>
                <w:sz w:val="24"/>
                <w:szCs w:val="24"/>
              </w:rPr>
              <w:t>gstinātas bīstamības objektā, kā</w:t>
            </w:r>
            <w:r w:rsidR="00C23423" w:rsidRPr="003A7849">
              <w:rPr>
                <w:sz w:val="24"/>
                <w:szCs w:val="24"/>
              </w:rPr>
              <w:t xml:space="preserve"> arī apdraudējuma iedarbības zonā ārpus paaugstināta</w:t>
            </w:r>
            <w:r w:rsidR="00895C31" w:rsidRPr="003A7849">
              <w:rPr>
                <w:sz w:val="24"/>
                <w:szCs w:val="24"/>
              </w:rPr>
              <w:t>s bīstamības objekta, savlaicīga agrīnā brīdināšana</w:t>
            </w:r>
            <w:r w:rsidR="00C23423" w:rsidRPr="003A7849">
              <w:rPr>
                <w:sz w:val="24"/>
                <w:szCs w:val="24"/>
              </w:rPr>
              <w:t xml:space="preserve"> un </w:t>
            </w:r>
            <w:r w:rsidR="00895C31" w:rsidRPr="003A7849">
              <w:rPr>
                <w:sz w:val="24"/>
                <w:szCs w:val="24"/>
              </w:rPr>
              <w:t>informēšana</w:t>
            </w:r>
            <w:r w:rsidR="00C23423" w:rsidRPr="003A7849">
              <w:rPr>
                <w:sz w:val="24"/>
                <w:szCs w:val="24"/>
              </w:rPr>
              <w:t xml:space="preserve">, ko </w:t>
            </w:r>
            <w:r w:rsidR="00530976" w:rsidRPr="003A7849">
              <w:rPr>
                <w:sz w:val="24"/>
                <w:szCs w:val="24"/>
              </w:rPr>
              <w:t>iespējams</w:t>
            </w:r>
            <w:r w:rsidR="00C23423" w:rsidRPr="003A7849">
              <w:rPr>
                <w:sz w:val="24"/>
                <w:szCs w:val="24"/>
              </w:rPr>
              <w:t xml:space="preserve"> īstenot izmantojot attiecīgas ierīces</w:t>
            </w:r>
            <w:r w:rsidR="00530976" w:rsidRPr="003A7849">
              <w:rPr>
                <w:sz w:val="24"/>
                <w:szCs w:val="24"/>
              </w:rPr>
              <w:t xml:space="preserve"> </w:t>
            </w:r>
            <w:r w:rsidR="00C23423" w:rsidRPr="003A7849">
              <w:rPr>
                <w:sz w:val="24"/>
                <w:szCs w:val="24"/>
              </w:rPr>
              <w:t xml:space="preserve">– piemēram, </w:t>
            </w:r>
            <w:r w:rsidR="00D26C58" w:rsidRPr="003A7849">
              <w:rPr>
                <w:sz w:val="24"/>
                <w:szCs w:val="24"/>
              </w:rPr>
              <w:t xml:space="preserve">var izmantot </w:t>
            </w:r>
            <w:r w:rsidR="00D26C58" w:rsidRPr="00E5464F">
              <w:rPr>
                <w:sz w:val="24"/>
                <w:szCs w:val="24"/>
              </w:rPr>
              <w:t xml:space="preserve">objektos ierīkotu automātiskās ugunsgrēka atklāšanas un trauksmes signalizāciju, balss izziņošanas sistēmu. </w:t>
            </w:r>
            <w:r w:rsidR="004E01CB">
              <w:rPr>
                <w:sz w:val="24"/>
                <w:szCs w:val="24"/>
              </w:rPr>
              <w:t xml:space="preserve"> Spēkā esošajos normatīvajos aktos ir noteikts, ka </w:t>
            </w:r>
            <w:r w:rsidR="004E01CB" w:rsidRPr="00E5464F">
              <w:rPr>
                <w:sz w:val="24"/>
                <w:szCs w:val="24"/>
              </w:rPr>
              <w:t>būvēs jāierīko automātisk</w:t>
            </w:r>
            <w:r w:rsidR="004E01CB">
              <w:rPr>
                <w:sz w:val="24"/>
                <w:szCs w:val="24"/>
              </w:rPr>
              <w:t>ā</w:t>
            </w:r>
            <w:r w:rsidR="004E01CB" w:rsidRPr="00E5464F">
              <w:rPr>
                <w:sz w:val="24"/>
                <w:szCs w:val="24"/>
              </w:rPr>
              <w:t xml:space="preserve">s ugunsgrēka atklāšanas un trauksmes signalizācijas sistēma, ja </w:t>
            </w:r>
            <w:proofErr w:type="spellStart"/>
            <w:r w:rsidR="004E01CB" w:rsidRPr="00E5464F">
              <w:rPr>
                <w:sz w:val="24"/>
                <w:szCs w:val="24"/>
              </w:rPr>
              <w:t>ugun</w:t>
            </w:r>
            <w:r w:rsidR="004E01CB">
              <w:rPr>
                <w:sz w:val="24"/>
                <w:szCs w:val="24"/>
              </w:rPr>
              <w:t>s</w:t>
            </w:r>
            <w:r w:rsidR="004E01CB" w:rsidRPr="00E5464F">
              <w:rPr>
                <w:sz w:val="24"/>
                <w:szCs w:val="24"/>
              </w:rPr>
              <w:t>slodze</w:t>
            </w:r>
            <w:proofErr w:type="spellEnd"/>
            <w:r w:rsidR="004E01CB" w:rsidRPr="00E5464F">
              <w:rPr>
                <w:sz w:val="24"/>
                <w:szCs w:val="24"/>
              </w:rPr>
              <w:t xml:space="preserve"> pārsniedz 1200 MJ/m2. Automātisk</w:t>
            </w:r>
            <w:r w:rsidR="004E01CB">
              <w:rPr>
                <w:sz w:val="24"/>
                <w:szCs w:val="24"/>
              </w:rPr>
              <w:t>ā</w:t>
            </w:r>
            <w:r w:rsidR="004E01CB" w:rsidRPr="00E5464F">
              <w:rPr>
                <w:sz w:val="24"/>
                <w:szCs w:val="24"/>
              </w:rPr>
              <w:t xml:space="preserve">s ugunsgrēka atklāšanas un </w:t>
            </w:r>
            <w:r w:rsidR="004E01CB" w:rsidRPr="00E5464F">
              <w:rPr>
                <w:sz w:val="24"/>
                <w:szCs w:val="24"/>
              </w:rPr>
              <w:lastRenderedPageBreak/>
              <w:t>trauksmes signalizācijas sistēmas neierīko inženierkomunikācij</w:t>
            </w:r>
            <w:r w:rsidR="004E01CB">
              <w:rPr>
                <w:sz w:val="24"/>
                <w:szCs w:val="24"/>
              </w:rPr>
              <w:t>ā</w:t>
            </w:r>
            <w:r w:rsidR="004E01CB" w:rsidRPr="00E5464F">
              <w:rPr>
                <w:sz w:val="24"/>
                <w:szCs w:val="24"/>
              </w:rPr>
              <w:t>s, kas neatrodas būvēs</w:t>
            </w:r>
            <w:r w:rsidR="004E01CB" w:rsidRPr="003A7849">
              <w:rPr>
                <w:sz w:val="24"/>
                <w:szCs w:val="24"/>
              </w:rPr>
              <w:t xml:space="preserve">. </w:t>
            </w:r>
            <w:r w:rsidR="00530976" w:rsidRPr="003A7849">
              <w:rPr>
                <w:sz w:val="24"/>
                <w:szCs w:val="24"/>
              </w:rPr>
              <w:t xml:space="preserve"> </w:t>
            </w:r>
            <w:r w:rsidR="004E01CB" w:rsidRPr="003A7849">
              <w:rPr>
                <w:sz w:val="24"/>
                <w:szCs w:val="24"/>
              </w:rPr>
              <w:t>S</w:t>
            </w:r>
            <w:r w:rsidR="00D26C58" w:rsidRPr="003A7849">
              <w:rPr>
                <w:sz w:val="24"/>
                <w:szCs w:val="24"/>
              </w:rPr>
              <w:t xml:space="preserve">avukārt, lai brīdinātu sabiedrību, kas atrodas apdraudētajā zonā, </w:t>
            </w:r>
            <w:r w:rsidR="00C23423" w:rsidRPr="003A7849">
              <w:rPr>
                <w:sz w:val="24"/>
                <w:szCs w:val="24"/>
              </w:rPr>
              <w:t>var</w:t>
            </w:r>
            <w:r w:rsidR="00D26C58" w:rsidRPr="003A7849">
              <w:rPr>
                <w:sz w:val="24"/>
                <w:szCs w:val="24"/>
              </w:rPr>
              <w:t xml:space="preserve"> </w:t>
            </w:r>
            <w:r w:rsidR="00C23423" w:rsidRPr="003A7849">
              <w:rPr>
                <w:sz w:val="24"/>
                <w:szCs w:val="24"/>
              </w:rPr>
              <w:t>pielietot sirēnas,</w:t>
            </w:r>
            <w:r w:rsidR="00B271A1" w:rsidRPr="003A7849">
              <w:rPr>
                <w:sz w:val="24"/>
                <w:szCs w:val="24"/>
              </w:rPr>
              <w:t xml:space="preserve"> </w:t>
            </w:r>
            <w:r w:rsidR="00530976" w:rsidRPr="003A7849">
              <w:rPr>
                <w:sz w:val="24"/>
                <w:szCs w:val="24"/>
              </w:rPr>
              <w:t xml:space="preserve"> cilvēku </w:t>
            </w:r>
            <w:r w:rsidR="00C23423" w:rsidRPr="003A7849">
              <w:rPr>
                <w:sz w:val="24"/>
                <w:szCs w:val="24"/>
              </w:rPr>
              <w:t>informēšanu, apmeklējot</w:t>
            </w:r>
            <w:r w:rsidR="00530976" w:rsidRPr="003A7849">
              <w:rPr>
                <w:sz w:val="24"/>
                <w:szCs w:val="24"/>
              </w:rPr>
              <w:t xml:space="preserve"> to</w:t>
            </w:r>
            <w:r w:rsidR="00C23423" w:rsidRPr="003A7849">
              <w:rPr>
                <w:sz w:val="24"/>
                <w:szCs w:val="24"/>
              </w:rPr>
              <w:t xml:space="preserve"> uzturēšanās vietas</w:t>
            </w:r>
            <w:r w:rsidR="00B271A1" w:rsidRPr="003A7849">
              <w:rPr>
                <w:sz w:val="24"/>
                <w:szCs w:val="24"/>
              </w:rPr>
              <w:t>, kā arī</w:t>
            </w:r>
            <w:r w:rsidR="00C23423" w:rsidRPr="003A7849">
              <w:rPr>
                <w:sz w:val="24"/>
                <w:szCs w:val="24"/>
              </w:rPr>
              <w:t xml:space="preserve"> citus attiecīgajai situācijai atbilstošus risinājumus</w:t>
            </w:r>
            <w:r w:rsidR="00E227D1">
              <w:rPr>
                <w:sz w:val="24"/>
                <w:szCs w:val="24"/>
              </w:rPr>
              <w:t xml:space="preserve">, </w:t>
            </w:r>
            <w:r w:rsidR="0089613C">
              <w:rPr>
                <w:sz w:val="24"/>
                <w:szCs w:val="24"/>
              </w:rPr>
              <w:t xml:space="preserve">vai īsteno citos normatīvajos aktos noteiktās prasības. </w:t>
            </w:r>
            <w:r w:rsidR="004E01CB" w:rsidRPr="003A7849">
              <w:rPr>
                <w:sz w:val="24"/>
                <w:szCs w:val="24"/>
              </w:rPr>
              <w:t xml:space="preserve">Tādēļ </w:t>
            </w:r>
            <w:r w:rsidR="00530976" w:rsidRPr="003A7849">
              <w:rPr>
                <w:sz w:val="24"/>
                <w:szCs w:val="24"/>
              </w:rPr>
              <w:t>agrīnā</w:t>
            </w:r>
            <w:r w:rsidR="004E01CB" w:rsidRPr="003A7849">
              <w:rPr>
                <w:sz w:val="24"/>
                <w:szCs w:val="24"/>
              </w:rPr>
              <w:t xml:space="preserve">s brīdināšanas </w:t>
            </w:r>
            <w:r w:rsidR="00B271A1" w:rsidRPr="003A7849">
              <w:rPr>
                <w:sz w:val="24"/>
                <w:szCs w:val="24"/>
              </w:rPr>
              <w:t xml:space="preserve">un </w:t>
            </w:r>
            <w:r w:rsidR="00743314" w:rsidRPr="003A7849">
              <w:rPr>
                <w:sz w:val="24"/>
                <w:szCs w:val="24"/>
              </w:rPr>
              <w:t xml:space="preserve">informēšanas </w:t>
            </w:r>
            <w:r w:rsidR="004E01CB" w:rsidRPr="003A7849">
              <w:rPr>
                <w:sz w:val="24"/>
                <w:szCs w:val="24"/>
              </w:rPr>
              <w:t xml:space="preserve">veidu (tehniskos risinājumus) </w:t>
            </w:r>
            <w:r w:rsidR="004E01CB" w:rsidRPr="003A7849">
              <w:rPr>
                <w:iCs/>
                <w:sz w:val="24"/>
                <w:szCs w:val="24"/>
              </w:rPr>
              <w:t>izvēlas un ievieš PBO</w:t>
            </w:r>
            <w:r w:rsidR="00562563" w:rsidRPr="003A7849">
              <w:rPr>
                <w:iCs/>
                <w:sz w:val="24"/>
                <w:szCs w:val="24"/>
              </w:rPr>
              <w:t xml:space="preserve"> īpašnieks</w:t>
            </w:r>
            <w:r w:rsidR="00B271A1" w:rsidRPr="003A7849">
              <w:rPr>
                <w:iCs/>
                <w:sz w:val="24"/>
                <w:szCs w:val="24"/>
              </w:rPr>
              <w:t xml:space="preserve"> vai tiesiskais valdītājs</w:t>
            </w:r>
            <w:r w:rsidR="004E01CB" w:rsidRPr="003A7849">
              <w:rPr>
                <w:iCs/>
                <w:sz w:val="24"/>
                <w:szCs w:val="24"/>
              </w:rPr>
              <w:t>, ņe</w:t>
            </w:r>
            <w:r w:rsidR="004E01CB">
              <w:rPr>
                <w:iCs/>
                <w:sz w:val="24"/>
                <w:szCs w:val="24"/>
              </w:rPr>
              <w:t>mot vērā saimnieciskās darbības raksturu, apdraudējuma bīstamo zonu u.c. raksturlielumus</w:t>
            </w:r>
            <w:r w:rsidR="00E227D1">
              <w:rPr>
                <w:iCs/>
                <w:sz w:val="24"/>
                <w:szCs w:val="24"/>
              </w:rPr>
              <w:t>.</w:t>
            </w:r>
          </w:p>
          <w:p w14:paraId="2315D505" w14:textId="66B3E4EA" w:rsidR="00CF173F" w:rsidRPr="00CF173F" w:rsidRDefault="00CF173F" w:rsidP="00CF173F">
            <w:pPr>
              <w:autoSpaceDE w:val="0"/>
              <w:autoSpaceDN w:val="0"/>
              <w:adjustRightInd w:val="0"/>
              <w:ind w:firstLine="374"/>
              <w:rPr>
                <w:iCs/>
                <w:sz w:val="24"/>
                <w:szCs w:val="24"/>
              </w:rPr>
            </w:pPr>
            <w:r w:rsidRPr="00437A21">
              <w:rPr>
                <w:sz w:val="24"/>
                <w:szCs w:val="24"/>
              </w:rPr>
              <w:t>Skaņas spiediena līmeni parasti mēra decibelos (</w:t>
            </w:r>
            <w:proofErr w:type="spellStart"/>
            <w:r w:rsidRPr="00437A21">
              <w:rPr>
                <w:sz w:val="24"/>
                <w:szCs w:val="24"/>
              </w:rPr>
              <w:t>dB</w:t>
            </w:r>
            <w:proofErr w:type="spellEnd"/>
            <w:r w:rsidRPr="00437A21">
              <w:rPr>
                <w:sz w:val="24"/>
                <w:szCs w:val="24"/>
              </w:rPr>
              <w:t>).Īpaši zemas un augstas skaņas cilvēka auss uztver mazāk skaļi, tāpēc skaņas spiediena līmeņus parasti mēra kā A-izsvērtos decibelus (</w:t>
            </w:r>
            <w:proofErr w:type="spellStart"/>
            <w:r w:rsidRPr="00437A21">
              <w:rPr>
                <w:sz w:val="24"/>
                <w:szCs w:val="24"/>
              </w:rPr>
              <w:t>dB</w:t>
            </w:r>
            <w:proofErr w:type="spellEnd"/>
            <w:r w:rsidRPr="00437A21">
              <w:rPr>
                <w:sz w:val="24"/>
                <w:szCs w:val="24"/>
              </w:rPr>
              <w:t>(A)).</w:t>
            </w:r>
          </w:p>
          <w:p w14:paraId="42B80430" w14:textId="77777777" w:rsidR="0081790C" w:rsidRDefault="0081790C" w:rsidP="0081790C">
            <w:pPr>
              <w:autoSpaceDE w:val="0"/>
              <w:autoSpaceDN w:val="0"/>
              <w:adjustRightInd w:val="0"/>
              <w:ind w:firstLine="374"/>
              <w:rPr>
                <w:sz w:val="24"/>
                <w:szCs w:val="24"/>
              </w:rPr>
            </w:pPr>
            <w:r w:rsidRPr="003A7849">
              <w:rPr>
                <w:iCs/>
                <w:sz w:val="24"/>
                <w:szCs w:val="24"/>
              </w:rPr>
              <w:t xml:space="preserve">Noteikumu projektā tiek paredzēts pārejas periods </w:t>
            </w:r>
            <w:r>
              <w:rPr>
                <w:sz w:val="24"/>
                <w:szCs w:val="24"/>
              </w:rPr>
              <w:t>Noteikumu projekta  7</w:t>
            </w:r>
            <w:r w:rsidRPr="008A1407">
              <w:rPr>
                <w:sz w:val="24"/>
                <w:szCs w:val="24"/>
              </w:rPr>
              <w:t xml:space="preserve">.5, </w:t>
            </w:r>
            <w:r>
              <w:rPr>
                <w:sz w:val="24"/>
                <w:szCs w:val="24"/>
              </w:rPr>
              <w:t>8</w:t>
            </w:r>
            <w:r w:rsidRPr="008A1407">
              <w:rPr>
                <w:sz w:val="24"/>
                <w:szCs w:val="24"/>
              </w:rPr>
              <w:t xml:space="preserve">., </w:t>
            </w:r>
            <w:r>
              <w:rPr>
                <w:sz w:val="24"/>
                <w:szCs w:val="24"/>
              </w:rPr>
              <w:t>10.6. un 10</w:t>
            </w:r>
            <w:r w:rsidRPr="003A7849">
              <w:rPr>
                <w:sz w:val="24"/>
                <w:szCs w:val="24"/>
              </w:rPr>
              <w:t>.8.</w:t>
            </w:r>
            <w:r>
              <w:rPr>
                <w:sz w:val="24"/>
                <w:szCs w:val="24"/>
              </w:rPr>
              <w:t xml:space="preserve"> punktā un </w:t>
            </w:r>
            <w:r w:rsidRPr="003A7849">
              <w:rPr>
                <w:sz w:val="24"/>
                <w:szCs w:val="24"/>
              </w:rPr>
              <w:t>apakšpunktā  noteikto prasību ieviešanai.   Tās nodrošinās PBO īpašniekam savlaicīgi plānot un ieviest noteiktās prasības, neradot tūlītēju finanšu ietekmi.</w:t>
            </w:r>
          </w:p>
          <w:p w14:paraId="52F0B2AC" w14:textId="65BA2C81" w:rsidR="0081790C" w:rsidRDefault="0081790C" w:rsidP="0081790C">
            <w:pPr>
              <w:autoSpaceDE w:val="0"/>
              <w:autoSpaceDN w:val="0"/>
              <w:adjustRightInd w:val="0"/>
              <w:ind w:firstLine="374"/>
              <w:rPr>
                <w:iCs/>
                <w:sz w:val="24"/>
                <w:szCs w:val="24"/>
              </w:rPr>
            </w:pPr>
            <w:r w:rsidRPr="00A07136">
              <w:rPr>
                <w:iCs/>
                <w:sz w:val="24"/>
                <w:szCs w:val="24"/>
              </w:rPr>
              <w:t xml:space="preserve">Skaidri nosaka  kritērijus civilās aizsardzības plāna izstrādāšanai Civilās aizsardzības un katastrofas pārvaldīšanas likums, tie ir </w:t>
            </w:r>
            <w:r>
              <w:rPr>
                <w:iCs/>
                <w:sz w:val="24"/>
                <w:szCs w:val="24"/>
              </w:rPr>
              <w:t>PBO</w:t>
            </w:r>
            <w:r w:rsidRPr="00A07136">
              <w:rPr>
                <w:iCs/>
                <w:sz w:val="24"/>
                <w:szCs w:val="24"/>
              </w:rPr>
              <w:t xml:space="preserve"> un kritiskās infrastruktūras objekti, ja tajās var atrasties vairāk par 100 cilvēkiem. Vienlaikus ministrija vai pašvaldība tās padotībā esošai institūcijai var uzdot izstrādāt civilās aizsardzības plānu.</w:t>
            </w:r>
          </w:p>
          <w:p w14:paraId="6C03546F" w14:textId="77777777" w:rsidR="0081790C" w:rsidRPr="008A1407" w:rsidRDefault="0081790C" w:rsidP="0081790C">
            <w:pPr>
              <w:autoSpaceDE w:val="0"/>
              <w:autoSpaceDN w:val="0"/>
              <w:adjustRightInd w:val="0"/>
              <w:ind w:firstLine="374"/>
              <w:rPr>
                <w:iCs/>
                <w:sz w:val="24"/>
                <w:szCs w:val="24"/>
              </w:rPr>
            </w:pPr>
            <w:r w:rsidRPr="008A1407">
              <w:rPr>
                <w:iCs/>
                <w:sz w:val="24"/>
                <w:szCs w:val="24"/>
              </w:rPr>
              <w:t>Civilās aizsardzības plāna precizēšana pārejas periods tiks atrunāts jaunajos Ministru kabineta noteikumos par civilās aizsardzības plāniem.</w:t>
            </w:r>
          </w:p>
          <w:p w14:paraId="67B8D067" w14:textId="77777777" w:rsidR="003948B1" w:rsidRDefault="0081790C" w:rsidP="0081790C">
            <w:pPr>
              <w:autoSpaceDE w:val="0"/>
              <w:autoSpaceDN w:val="0"/>
              <w:adjustRightInd w:val="0"/>
              <w:ind w:firstLine="374"/>
              <w:rPr>
                <w:iCs/>
                <w:sz w:val="24"/>
                <w:szCs w:val="24"/>
              </w:rPr>
            </w:pPr>
            <w:r>
              <w:rPr>
                <w:iCs/>
                <w:sz w:val="24"/>
                <w:szCs w:val="24"/>
              </w:rPr>
              <w:t>PBO</w:t>
            </w:r>
            <w:r w:rsidRPr="008A1407">
              <w:rPr>
                <w:iCs/>
                <w:sz w:val="24"/>
                <w:szCs w:val="24"/>
              </w:rPr>
              <w:t xml:space="preserve"> civilās aizsardzības un katastrofu pārvaldīšanas mācības noformēšanas kārtībai, nav nepieciešams parejas periods, jo civilās aizsardzības un katastrofu pārvaldīšanas mācību organizēšanas laikā tiks noformēti visi nepieciešamie dokumenti.</w:t>
            </w:r>
          </w:p>
          <w:p w14:paraId="75C64F60" w14:textId="5AB91DD0" w:rsidR="005A0975" w:rsidRPr="003A7849" w:rsidRDefault="005A0975" w:rsidP="0081790C">
            <w:pPr>
              <w:autoSpaceDE w:val="0"/>
              <w:autoSpaceDN w:val="0"/>
              <w:adjustRightInd w:val="0"/>
              <w:ind w:firstLine="374"/>
              <w:rPr>
                <w:iCs/>
                <w:color w:val="FF0000"/>
                <w:sz w:val="24"/>
                <w:szCs w:val="24"/>
              </w:rPr>
            </w:pPr>
          </w:p>
        </w:tc>
      </w:tr>
      <w:tr w:rsidR="00965309" w:rsidRPr="00E5464F" w14:paraId="7F6ADF27" w14:textId="77777777" w:rsidTr="00217FB7">
        <w:trPr>
          <w:trHeight w:val="465"/>
        </w:trPr>
        <w:tc>
          <w:tcPr>
            <w:tcW w:w="376" w:type="pct"/>
          </w:tcPr>
          <w:p w14:paraId="5731A9A2" w14:textId="77777777" w:rsidR="00965309" w:rsidRPr="00E5464F" w:rsidRDefault="00965309" w:rsidP="00217FB7">
            <w:pPr>
              <w:spacing w:before="100" w:beforeAutospacing="1" w:after="100" w:afterAutospacing="1"/>
              <w:ind w:firstLine="0"/>
              <w:jc w:val="center"/>
              <w:rPr>
                <w:sz w:val="24"/>
                <w:szCs w:val="24"/>
                <w:lang w:eastAsia="lv-LV"/>
              </w:rPr>
            </w:pPr>
            <w:r w:rsidRPr="00E5464F">
              <w:rPr>
                <w:sz w:val="24"/>
                <w:szCs w:val="24"/>
                <w:lang w:eastAsia="lv-LV"/>
              </w:rPr>
              <w:lastRenderedPageBreak/>
              <w:t>3.</w:t>
            </w:r>
          </w:p>
        </w:tc>
        <w:tc>
          <w:tcPr>
            <w:tcW w:w="1591" w:type="pct"/>
          </w:tcPr>
          <w:p w14:paraId="27459C19" w14:textId="77777777" w:rsidR="00965309" w:rsidRPr="00E5464F" w:rsidRDefault="00965309" w:rsidP="00217FB7">
            <w:pPr>
              <w:ind w:firstLine="0"/>
              <w:jc w:val="left"/>
              <w:rPr>
                <w:sz w:val="24"/>
                <w:szCs w:val="24"/>
                <w:lang w:eastAsia="lv-LV"/>
              </w:rPr>
            </w:pPr>
            <w:r w:rsidRPr="00E5464F">
              <w:rPr>
                <w:sz w:val="24"/>
                <w:szCs w:val="24"/>
                <w:lang w:eastAsia="lv-LV"/>
              </w:rPr>
              <w:t>Projekta izstrādē iesaistītās institūcijas</w:t>
            </w:r>
          </w:p>
        </w:tc>
        <w:tc>
          <w:tcPr>
            <w:tcW w:w="3033" w:type="pct"/>
          </w:tcPr>
          <w:p w14:paraId="381FF608" w14:textId="77777777" w:rsidR="00965309" w:rsidRDefault="00965309" w:rsidP="00217FB7">
            <w:pPr>
              <w:ind w:firstLine="0"/>
              <w:jc w:val="left"/>
              <w:rPr>
                <w:sz w:val="24"/>
                <w:szCs w:val="24"/>
                <w:lang w:eastAsia="lv-LV"/>
              </w:rPr>
            </w:pPr>
            <w:r w:rsidRPr="00E5464F">
              <w:rPr>
                <w:sz w:val="24"/>
                <w:szCs w:val="24"/>
                <w:lang w:eastAsia="lv-LV"/>
              </w:rPr>
              <w:t>Iekšlietu ministrija</w:t>
            </w:r>
            <w:r w:rsidR="00390C55" w:rsidRPr="00E5464F">
              <w:rPr>
                <w:sz w:val="24"/>
                <w:szCs w:val="24"/>
                <w:lang w:eastAsia="lv-LV"/>
              </w:rPr>
              <w:t>, Valsts ugunsdzēsības un glābšanas dienests</w:t>
            </w:r>
            <w:r w:rsidRPr="00E5464F">
              <w:rPr>
                <w:sz w:val="24"/>
                <w:szCs w:val="24"/>
                <w:lang w:eastAsia="lv-LV"/>
              </w:rPr>
              <w:t>.</w:t>
            </w:r>
          </w:p>
          <w:p w14:paraId="3482224E" w14:textId="77777777" w:rsidR="005A0975" w:rsidRPr="00E5464F" w:rsidRDefault="005A0975" w:rsidP="00217FB7">
            <w:pPr>
              <w:ind w:firstLine="0"/>
              <w:jc w:val="left"/>
              <w:rPr>
                <w:sz w:val="24"/>
                <w:szCs w:val="24"/>
                <w:lang w:eastAsia="lv-LV"/>
              </w:rPr>
            </w:pPr>
          </w:p>
        </w:tc>
      </w:tr>
      <w:tr w:rsidR="00965309" w:rsidRPr="00E5464F" w14:paraId="2EB4BE9B" w14:textId="77777777" w:rsidTr="00217FB7">
        <w:tc>
          <w:tcPr>
            <w:tcW w:w="376" w:type="pct"/>
          </w:tcPr>
          <w:p w14:paraId="41FFCCAF" w14:textId="77777777" w:rsidR="00965309" w:rsidRPr="00E5464F" w:rsidRDefault="00965309" w:rsidP="00217FB7">
            <w:pPr>
              <w:spacing w:before="100" w:beforeAutospacing="1" w:after="100" w:afterAutospacing="1"/>
              <w:ind w:firstLine="0"/>
              <w:jc w:val="center"/>
              <w:rPr>
                <w:sz w:val="24"/>
                <w:szCs w:val="24"/>
                <w:lang w:eastAsia="lv-LV"/>
              </w:rPr>
            </w:pPr>
            <w:r w:rsidRPr="00E5464F">
              <w:rPr>
                <w:sz w:val="24"/>
                <w:szCs w:val="24"/>
                <w:lang w:eastAsia="lv-LV"/>
              </w:rPr>
              <w:t>4.</w:t>
            </w:r>
          </w:p>
        </w:tc>
        <w:tc>
          <w:tcPr>
            <w:tcW w:w="1591" w:type="pct"/>
          </w:tcPr>
          <w:p w14:paraId="0D5C369C" w14:textId="77777777" w:rsidR="00965309" w:rsidRPr="00E5464F" w:rsidRDefault="00965309" w:rsidP="00217FB7">
            <w:pPr>
              <w:ind w:firstLine="0"/>
              <w:jc w:val="left"/>
              <w:rPr>
                <w:sz w:val="24"/>
                <w:szCs w:val="24"/>
                <w:lang w:eastAsia="lv-LV"/>
              </w:rPr>
            </w:pPr>
            <w:r w:rsidRPr="00E5464F">
              <w:rPr>
                <w:sz w:val="24"/>
                <w:szCs w:val="24"/>
                <w:lang w:eastAsia="lv-LV"/>
              </w:rPr>
              <w:t>Cita informācija</w:t>
            </w:r>
          </w:p>
        </w:tc>
        <w:tc>
          <w:tcPr>
            <w:tcW w:w="3033" w:type="pct"/>
          </w:tcPr>
          <w:p w14:paraId="25A7BAC4" w14:textId="77777777" w:rsidR="00965309" w:rsidRPr="00E5464F" w:rsidRDefault="00965309" w:rsidP="00217FB7">
            <w:pPr>
              <w:tabs>
                <w:tab w:val="center" w:pos="3516"/>
              </w:tabs>
              <w:spacing w:before="100" w:beforeAutospacing="1" w:after="100" w:afterAutospacing="1"/>
              <w:ind w:firstLine="0"/>
              <w:jc w:val="left"/>
              <w:rPr>
                <w:sz w:val="24"/>
                <w:szCs w:val="24"/>
                <w:lang w:eastAsia="lv-LV"/>
              </w:rPr>
            </w:pPr>
            <w:r w:rsidRPr="00E5464F">
              <w:rPr>
                <w:sz w:val="24"/>
                <w:szCs w:val="24"/>
                <w:lang w:eastAsia="lv-LV"/>
              </w:rPr>
              <w:t>Nav.</w:t>
            </w:r>
            <w:r w:rsidR="00D52F89" w:rsidRPr="00E5464F">
              <w:rPr>
                <w:sz w:val="24"/>
                <w:szCs w:val="24"/>
                <w:lang w:eastAsia="lv-LV"/>
              </w:rPr>
              <w:tab/>
            </w:r>
          </w:p>
        </w:tc>
      </w:tr>
    </w:tbl>
    <w:p w14:paraId="67010C22" w14:textId="77777777" w:rsidR="00945CCB" w:rsidRPr="00E5464F" w:rsidRDefault="00945CCB" w:rsidP="00F50C84">
      <w:pPr>
        <w:ind w:firstLine="0"/>
        <w:jc w:val="left"/>
        <w:rPr>
          <w:sz w:val="24"/>
          <w:szCs w:val="24"/>
          <w:lang w:eastAsia="lv-LV"/>
        </w:rPr>
      </w:pPr>
    </w:p>
    <w:p w14:paraId="2E3B6DA9" w14:textId="77777777" w:rsidR="00945CCB" w:rsidRPr="00E5464F" w:rsidRDefault="00945CCB" w:rsidP="00F50C84">
      <w:pPr>
        <w:ind w:firstLine="0"/>
        <w:jc w:val="left"/>
        <w:rPr>
          <w:sz w:val="24"/>
          <w:szCs w:val="24"/>
          <w:lang w:eastAsia="lv-LV"/>
        </w:rPr>
      </w:pPr>
    </w:p>
    <w:p w14:paraId="38EAC928" w14:textId="77777777" w:rsidR="00945CCB" w:rsidRPr="00E5464F" w:rsidRDefault="00945CCB" w:rsidP="00F50C84">
      <w:pPr>
        <w:ind w:firstLine="0"/>
        <w:jc w:val="left"/>
        <w:rPr>
          <w:sz w:val="24"/>
          <w:szCs w:val="24"/>
          <w:lang w:eastAsia="lv-LV"/>
        </w:rPr>
      </w:pPr>
    </w:p>
    <w:tbl>
      <w:tblPr>
        <w:tblStyle w:val="Reatabula"/>
        <w:tblW w:w="9355" w:type="dxa"/>
        <w:tblInd w:w="-289" w:type="dxa"/>
        <w:tblLook w:val="04A0" w:firstRow="1" w:lastRow="0" w:firstColumn="1" w:lastColumn="0" w:noHBand="0" w:noVBand="1"/>
      </w:tblPr>
      <w:tblGrid>
        <w:gridCol w:w="710"/>
        <w:gridCol w:w="2976"/>
        <w:gridCol w:w="5669"/>
      </w:tblGrid>
      <w:tr w:rsidR="00D1691E" w:rsidRPr="00E5464F" w14:paraId="3A029FB8" w14:textId="77777777" w:rsidTr="00945CCB">
        <w:tc>
          <w:tcPr>
            <w:tcW w:w="9355" w:type="dxa"/>
            <w:gridSpan w:val="3"/>
          </w:tcPr>
          <w:p w14:paraId="2233D86D" w14:textId="77777777" w:rsidR="00D1691E" w:rsidRPr="00E5464F" w:rsidRDefault="00D1691E" w:rsidP="00485A47">
            <w:pPr>
              <w:pStyle w:val="Paraststmeklis"/>
              <w:tabs>
                <w:tab w:val="left" w:pos="552"/>
              </w:tabs>
              <w:spacing w:before="0" w:beforeAutospacing="0" w:after="0" w:afterAutospacing="0"/>
              <w:ind w:firstLine="525"/>
              <w:jc w:val="center"/>
              <w:rPr>
                <w:bCs/>
              </w:rPr>
            </w:pPr>
            <w:r w:rsidRPr="00E5464F">
              <w:rPr>
                <w:b/>
                <w:bCs/>
              </w:rPr>
              <w:t>II. Tiesību akta projekta ietekme uz sabiedrību, tautsaimniecības attīstību un administratīvo slogu</w:t>
            </w:r>
          </w:p>
        </w:tc>
      </w:tr>
      <w:tr w:rsidR="00D1691E" w:rsidRPr="00E5464F" w14:paraId="09266A22" w14:textId="77777777" w:rsidTr="00945CCB">
        <w:tc>
          <w:tcPr>
            <w:tcW w:w="710" w:type="dxa"/>
          </w:tcPr>
          <w:p w14:paraId="11B632AF" w14:textId="77777777" w:rsidR="00D1691E" w:rsidRPr="00E5464F" w:rsidRDefault="00D1691E" w:rsidP="007A7ADE">
            <w:pPr>
              <w:spacing w:before="100" w:beforeAutospacing="1" w:after="100" w:afterAutospacing="1"/>
              <w:ind w:firstLine="0"/>
              <w:jc w:val="center"/>
              <w:rPr>
                <w:sz w:val="24"/>
                <w:szCs w:val="24"/>
              </w:rPr>
            </w:pPr>
            <w:r w:rsidRPr="00E5464F">
              <w:rPr>
                <w:sz w:val="24"/>
                <w:szCs w:val="24"/>
              </w:rPr>
              <w:t>1.</w:t>
            </w:r>
          </w:p>
        </w:tc>
        <w:tc>
          <w:tcPr>
            <w:tcW w:w="2976" w:type="dxa"/>
          </w:tcPr>
          <w:p w14:paraId="15C31913" w14:textId="77777777" w:rsidR="00D1691E" w:rsidRPr="00E5464F" w:rsidRDefault="00D1691E" w:rsidP="007A7ADE">
            <w:pPr>
              <w:spacing w:before="100" w:beforeAutospacing="1" w:after="100" w:afterAutospacing="1"/>
              <w:ind w:firstLine="136"/>
              <w:rPr>
                <w:sz w:val="24"/>
                <w:szCs w:val="24"/>
              </w:rPr>
            </w:pPr>
            <w:r w:rsidRPr="00E5464F">
              <w:rPr>
                <w:sz w:val="24"/>
                <w:szCs w:val="24"/>
              </w:rPr>
              <w:t xml:space="preserve">Sabiedrības </w:t>
            </w:r>
            <w:proofErr w:type="spellStart"/>
            <w:r w:rsidRPr="00E5464F">
              <w:rPr>
                <w:sz w:val="24"/>
                <w:szCs w:val="24"/>
              </w:rPr>
              <w:t>mērķgrupas</w:t>
            </w:r>
            <w:proofErr w:type="spellEnd"/>
            <w:r w:rsidRPr="00E5464F">
              <w:rPr>
                <w:sz w:val="24"/>
                <w:szCs w:val="24"/>
              </w:rPr>
              <w:t>, kuras tiesiskais regulējums ietekmē vai varētu ietekmēt</w:t>
            </w:r>
          </w:p>
        </w:tc>
        <w:tc>
          <w:tcPr>
            <w:tcW w:w="5669" w:type="dxa"/>
          </w:tcPr>
          <w:p w14:paraId="3D2E58FD" w14:textId="77777777" w:rsidR="00D1691E" w:rsidRDefault="00D1691E" w:rsidP="0002648E">
            <w:pPr>
              <w:ind w:left="57" w:firstLine="284"/>
              <w:rPr>
                <w:rFonts w:eastAsia="Times New Roman"/>
                <w:sz w:val="24"/>
                <w:szCs w:val="24"/>
                <w:lang w:eastAsia="lv-LV"/>
              </w:rPr>
            </w:pPr>
            <w:r w:rsidRPr="00E5464F">
              <w:rPr>
                <w:sz w:val="24"/>
                <w:szCs w:val="24"/>
              </w:rPr>
              <w:t>Noteikumu projekts</w:t>
            </w:r>
            <w:r w:rsidR="00736392" w:rsidRPr="00E5464F">
              <w:rPr>
                <w:sz w:val="24"/>
                <w:szCs w:val="24"/>
              </w:rPr>
              <w:t xml:space="preserve"> </w:t>
            </w:r>
            <w:r w:rsidR="005A7A0E" w:rsidRPr="00E5464F">
              <w:rPr>
                <w:sz w:val="24"/>
                <w:szCs w:val="24"/>
              </w:rPr>
              <w:t>ietekmē</w:t>
            </w:r>
            <w:r w:rsidR="00AC15C1" w:rsidRPr="00E5464F">
              <w:rPr>
                <w:sz w:val="24"/>
                <w:szCs w:val="24"/>
              </w:rPr>
              <w:t>s</w:t>
            </w:r>
            <w:r w:rsidRPr="00E5464F">
              <w:rPr>
                <w:sz w:val="24"/>
                <w:szCs w:val="24"/>
              </w:rPr>
              <w:t xml:space="preserve"> </w:t>
            </w:r>
            <w:r w:rsidR="00736392" w:rsidRPr="00E5464F">
              <w:rPr>
                <w:rFonts w:eastAsia="Times New Roman"/>
                <w:sz w:val="24"/>
                <w:szCs w:val="24"/>
                <w:lang w:eastAsia="lv-LV"/>
              </w:rPr>
              <w:t xml:space="preserve">komersantus, </w:t>
            </w:r>
            <w:r w:rsidR="005438BC">
              <w:rPr>
                <w:rFonts w:eastAsia="Times New Roman"/>
                <w:sz w:val="24"/>
                <w:szCs w:val="24"/>
                <w:lang w:eastAsia="lv-LV"/>
              </w:rPr>
              <w:t>kas ir paaugstinātas bīstamības objektu īpašnieki vai tiesiskie valdītāji</w:t>
            </w:r>
            <w:r w:rsidR="008F41B5">
              <w:rPr>
                <w:rFonts w:eastAsia="Times New Roman"/>
                <w:sz w:val="24"/>
                <w:szCs w:val="24"/>
                <w:lang w:eastAsia="lv-LV"/>
              </w:rPr>
              <w:t xml:space="preserve"> (turpmāk - īpašnieks).</w:t>
            </w:r>
          </w:p>
          <w:p w14:paraId="78A5BBE6" w14:textId="3ACBA773" w:rsidR="005A0975" w:rsidRPr="00E5464F" w:rsidRDefault="005A0975" w:rsidP="0002648E">
            <w:pPr>
              <w:ind w:left="57" w:firstLine="284"/>
              <w:rPr>
                <w:color w:val="0070C0"/>
                <w:sz w:val="24"/>
                <w:szCs w:val="24"/>
              </w:rPr>
            </w:pPr>
          </w:p>
        </w:tc>
      </w:tr>
      <w:tr w:rsidR="00D1691E" w:rsidRPr="00E5464F" w14:paraId="5D355165" w14:textId="77777777" w:rsidTr="00945CCB">
        <w:trPr>
          <w:trHeight w:val="284"/>
        </w:trPr>
        <w:tc>
          <w:tcPr>
            <w:tcW w:w="710" w:type="dxa"/>
          </w:tcPr>
          <w:p w14:paraId="21C24C55" w14:textId="77777777" w:rsidR="00D1691E" w:rsidRPr="00E5464F" w:rsidRDefault="00D1691E" w:rsidP="007A7ADE">
            <w:pPr>
              <w:spacing w:before="100" w:beforeAutospacing="1" w:after="100" w:afterAutospacing="1"/>
              <w:ind w:firstLine="0"/>
              <w:jc w:val="center"/>
              <w:rPr>
                <w:sz w:val="24"/>
                <w:szCs w:val="24"/>
              </w:rPr>
            </w:pPr>
            <w:r w:rsidRPr="00E5464F">
              <w:rPr>
                <w:sz w:val="24"/>
                <w:szCs w:val="24"/>
              </w:rPr>
              <w:lastRenderedPageBreak/>
              <w:t>2.</w:t>
            </w:r>
          </w:p>
        </w:tc>
        <w:tc>
          <w:tcPr>
            <w:tcW w:w="2976" w:type="dxa"/>
          </w:tcPr>
          <w:p w14:paraId="35F71246" w14:textId="77777777" w:rsidR="00D1691E" w:rsidRPr="00E5464F" w:rsidRDefault="00D1691E" w:rsidP="0016265E">
            <w:pPr>
              <w:spacing w:before="100" w:beforeAutospacing="1" w:after="100" w:afterAutospacing="1"/>
              <w:ind w:firstLine="0"/>
              <w:rPr>
                <w:sz w:val="24"/>
                <w:szCs w:val="24"/>
              </w:rPr>
            </w:pPr>
            <w:r w:rsidRPr="00E5464F">
              <w:rPr>
                <w:sz w:val="24"/>
                <w:szCs w:val="24"/>
              </w:rPr>
              <w:t>Tiesiskā regulējuma ietekme uz tautsaimniecību un administratīvo slogu</w:t>
            </w:r>
          </w:p>
        </w:tc>
        <w:tc>
          <w:tcPr>
            <w:tcW w:w="5669" w:type="dxa"/>
          </w:tcPr>
          <w:p w14:paraId="52CCBD02" w14:textId="71C8357E" w:rsidR="003440E3" w:rsidRPr="00E5464F" w:rsidRDefault="003440E3" w:rsidP="004878BD">
            <w:pPr>
              <w:ind w:firstLine="340"/>
              <w:rPr>
                <w:iCs/>
                <w:sz w:val="24"/>
                <w:szCs w:val="24"/>
              </w:rPr>
            </w:pPr>
            <w:r w:rsidRPr="00E5464F">
              <w:rPr>
                <w:iCs/>
                <w:sz w:val="24"/>
                <w:szCs w:val="24"/>
              </w:rPr>
              <w:t xml:space="preserve">Ņemot vērā projektā noteikto regulējumu, paredzams, ka samazināsies </w:t>
            </w:r>
            <w:r w:rsidR="00D37D25">
              <w:rPr>
                <w:iCs/>
                <w:sz w:val="24"/>
                <w:szCs w:val="24"/>
              </w:rPr>
              <w:t>PBO</w:t>
            </w:r>
            <w:r w:rsidRPr="00E5464F">
              <w:rPr>
                <w:iCs/>
                <w:sz w:val="24"/>
                <w:szCs w:val="24"/>
              </w:rPr>
              <w:t xml:space="preserve"> skaits</w:t>
            </w:r>
            <w:r w:rsidR="00A84DBC">
              <w:t xml:space="preserve"> </w:t>
            </w:r>
            <w:r w:rsidR="00A84DBC" w:rsidRPr="00A84DBC">
              <w:rPr>
                <w:iCs/>
                <w:sz w:val="24"/>
                <w:szCs w:val="24"/>
              </w:rPr>
              <w:t>salīdzinājumā ar PBO skaitu, kas izriet no M</w:t>
            </w:r>
            <w:r w:rsidR="00A84DBC">
              <w:rPr>
                <w:iCs/>
                <w:sz w:val="24"/>
                <w:szCs w:val="24"/>
              </w:rPr>
              <w:t>inistru kabineta 2006.gada 18.septembra noteikumu Nr.</w:t>
            </w:r>
            <w:r w:rsidR="0081790C">
              <w:rPr>
                <w:iCs/>
                <w:sz w:val="24"/>
                <w:szCs w:val="24"/>
              </w:rPr>
              <w:t>626</w:t>
            </w:r>
            <w:r w:rsidR="00A84DBC">
              <w:t xml:space="preserve"> </w:t>
            </w:r>
            <w:r w:rsidR="0081790C" w:rsidRPr="0081790C">
              <w:rPr>
                <w:sz w:val="24"/>
                <w:szCs w:val="24"/>
              </w:rPr>
              <w:t>“</w:t>
            </w:r>
            <w:r w:rsidR="00A84DBC" w:rsidRPr="00A84DBC">
              <w:rPr>
                <w:iCs/>
                <w:sz w:val="24"/>
                <w:szCs w:val="24"/>
              </w:rPr>
              <w:t>Noteikumi par paaugstinātas bīstamības objektu noteikšanas kritērijiem un šo objektu īpašnieku (valdītāju, apsaimniekotāju) pienākumiem riska samazināšanas pasākumu nodrošināšanai</w:t>
            </w:r>
            <w:r w:rsidR="00A84DBC">
              <w:rPr>
                <w:iCs/>
                <w:sz w:val="24"/>
                <w:szCs w:val="24"/>
              </w:rPr>
              <w:t>”</w:t>
            </w:r>
            <w:r w:rsidR="00A84DBC" w:rsidRPr="00A84DBC">
              <w:rPr>
                <w:iCs/>
                <w:sz w:val="24"/>
                <w:szCs w:val="24"/>
              </w:rPr>
              <w:t xml:space="preserve"> noteiktā regulējuma</w:t>
            </w:r>
            <w:r w:rsidRPr="00E5464F">
              <w:rPr>
                <w:iCs/>
                <w:sz w:val="24"/>
                <w:szCs w:val="24"/>
              </w:rPr>
              <w:t>.</w:t>
            </w:r>
          </w:p>
          <w:p w14:paraId="7032F48D" w14:textId="77777777" w:rsidR="0002648E" w:rsidRDefault="0002648E" w:rsidP="004878BD">
            <w:pPr>
              <w:ind w:firstLine="340"/>
              <w:rPr>
                <w:iCs/>
                <w:sz w:val="24"/>
                <w:szCs w:val="24"/>
              </w:rPr>
            </w:pPr>
            <w:r w:rsidRPr="0002648E">
              <w:rPr>
                <w:iCs/>
                <w:sz w:val="24"/>
                <w:szCs w:val="24"/>
              </w:rPr>
              <w:t xml:space="preserve">Komersantiem samazināsies administratīvais slogs, jo par PBO vairs netiks atzīti </w:t>
            </w:r>
            <w:r>
              <w:rPr>
                <w:iCs/>
                <w:sz w:val="24"/>
                <w:szCs w:val="24"/>
              </w:rPr>
              <w:t>:</w:t>
            </w:r>
          </w:p>
          <w:p w14:paraId="612B854F" w14:textId="48E1D1C9" w:rsidR="003440E3" w:rsidRPr="00E5464F" w:rsidRDefault="000E108D" w:rsidP="000E108D">
            <w:pPr>
              <w:pStyle w:val="Sarakstarindkopa"/>
              <w:numPr>
                <w:ilvl w:val="0"/>
                <w:numId w:val="17"/>
              </w:numPr>
              <w:ind w:left="602" w:hanging="283"/>
              <w:rPr>
                <w:iCs/>
                <w:sz w:val="24"/>
                <w:szCs w:val="24"/>
              </w:rPr>
            </w:pPr>
            <w:r w:rsidRPr="00E5464F">
              <w:rPr>
                <w:iCs/>
                <w:sz w:val="24"/>
                <w:szCs w:val="24"/>
              </w:rPr>
              <w:t>B un C drošuma klases hidroelektrostaciju hidrotehniskās būves;</w:t>
            </w:r>
          </w:p>
          <w:p w14:paraId="1A39F107" w14:textId="2487AF31" w:rsidR="000E108D" w:rsidRPr="00E5464F" w:rsidRDefault="000E108D" w:rsidP="000E108D">
            <w:pPr>
              <w:pStyle w:val="Sarakstarindkopa"/>
              <w:numPr>
                <w:ilvl w:val="0"/>
                <w:numId w:val="17"/>
              </w:numPr>
              <w:ind w:left="602" w:hanging="283"/>
              <w:rPr>
                <w:iCs/>
                <w:sz w:val="24"/>
                <w:szCs w:val="24"/>
              </w:rPr>
            </w:pPr>
            <w:r w:rsidRPr="00E5464F">
              <w:rPr>
                <w:iCs/>
                <w:sz w:val="24"/>
                <w:szCs w:val="24"/>
              </w:rPr>
              <w:t>objekti ar lieljaudas vaļējiem</w:t>
            </w:r>
            <w:r w:rsidR="00C5513E">
              <w:rPr>
                <w:iCs/>
                <w:sz w:val="24"/>
                <w:szCs w:val="24"/>
              </w:rPr>
              <w:t xml:space="preserve"> vai slēgtajiem</w:t>
            </w:r>
            <w:r w:rsidRPr="00E5464F">
              <w:rPr>
                <w:iCs/>
                <w:sz w:val="24"/>
                <w:szCs w:val="24"/>
              </w:rPr>
              <w:t xml:space="preserve"> starojuma avotiem, kuru kopējā radioaktivitāte 10</w:t>
            </w:r>
            <w:r w:rsidRPr="00F11716">
              <w:rPr>
                <w:iCs/>
                <w:sz w:val="24"/>
                <w:szCs w:val="24"/>
                <w:vertAlign w:val="superscript"/>
              </w:rPr>
              <w:t>6</w:t>
            </w:r>
            <w:r w:rsidRPr="00E5464F">
              <w:rPr>
                <w:iCs/>
                <w:sz w:val="24"/>
                <w:szCs w:val="24"/>
              </w:rPr>
              <w:t>-10</w:t>
            </w:r>
            <w:r w:rsidRPr="00F11716">
              <w:rPr>
                <w:iCs/>
                <w:sz w:val="24"/>
                <w:szCs w:val="24"/>
                <w:vertAlign w:val="superscript"/>
              </w:rPr>
              <w:t>9</w:t>
            </w:r>
            <w:r w:rsidRPr="00E5464F">
              <w:rPr>
                <w:iCs/>
                <w:sz w:val="24"/>
                <w:szCs w:val="24"/>
              </w:rPr>
              <w:t xml:space="preserve"> reizes pārsniedz normatīvajo</w:t>
            </w:r>
            <w:r w:rsidR="00F11716">
              <w:rPr>
                <w:iCs/>
                <w:sz w:val="24"/>
                <w:szCs w:val="24"/>
              </w:rPr>
              <w:t>s aktos par aizsardzību pret jo</w:t>
            </w:r>
            <w:r w:rsidRPr="00E5464F">
              <w:rPr>
                <w:iCs/>
                <w:sz w:val="24"/>
                <w:szCs w:val="24"/>
              </w:rPr>
              <w:t>nizējošo starojumu noteiktos radioaktivitātes limitus un kuriem nepieciešama speciālā atļauja (licence) vai atļauja;</w:t>
            </w:r>
          </w:p>
          <w:p w14:paraId="58339DC6" w14:textId="496B2EC4" w:rsidR="000E108D" w:rsidRPr="00E5464F" w:rsidRDefault="000E108D" w:rsidP="000E108D">
            <w:pPr>
              <w:pStyle w:val="Sarakstarindkopa"/>
              <w:numPr>
                <w:ilvl w:val="0"/>
                <w:numId w:val="17"/>
              </w:numPr>
              <w:ind w:left="602" w:hanging="283"/>
              <w:rPr>
                <w:iCs/>
                <w:sz w:val="24"/>
                <w:szCs w:val="24"/>
              </w:rPr>
            </w:pPr>
            <w:r w:rsidRPr="00E5464F">
              <w:rPr>
                <w:iCs/>
                <w:sz w:val="24"/>
                <w:szCs w:val="24"/>
              </w:rPr>
              <w:t>objekti ar vidēj</w:t>
            </w:r>
            <w:r w:rsidR="00F11716">
              <w:rPr>
                <w:iCs/>
                <w:sz w:val="24"/>
                <w:szCs w:val="24"/>
              </w:rPr>
              <w:t>as jaudas vaļējiem sta</w:t>
            </w:r>
            <w:r w:rsidRPr="00E5464F">
              <w:rPr>
                <w:iCs/>
                <w:sz w:val="24"/>
                <w:szCs w:val="24"/>
              </w:rPr>
              <w:t>rojuma avotiem, kuru kopējā radioaktivitāte 10</w:t>
            </w:r>
            <w:r w:rsidRPr="00F11716">
              <w:rPr>
                <w:iCs/>
                <w:sz w:val="24"/>
                <w:szCs w:val="24"/>
                <w:vertAlign w:val="superscript"/>
              </w:rPr>
              <w:t>3</w:t>
            </w:r>
            <w:r w:rsidR="00F11716">
              <w:rPr>
                <w:iCs/>
                <w:sz w:val="24"/>
                <w:szCs w:val="24"/>
              </w:rPr>
              <w:t>-10</w:t>
            </w:r>
            <w:r w:rsidR="00F11716" w:rsidRPr="00F11716">
              <w:rPr>
                <w:iCs/>
                <w:sz w:val="24"/>
                <w:szCs w:val="24"/>
                <w:vertAlign w:val="superscript"/>
              </w:rPr>
              <w:t>6</w:t>
            </w:r>
            <w:r w:rsidR="00F11716">
              <w:rPr>
                <w:iCs/>
                <w:sz w:val="24"/>
                <w:szCs w:val="24"/>
              </w:rPr>
              <w:t xml:space="preserve"> reizes pārsniedz nor</w:t>
            </w:r>
            <w:r w:rsidRPr="00E5464F">
              <w:rPr>
                <w:iCs/>
                <w:sz w:val="24"/>
                <w:szCs w:val="24"/>
              </w:rPr>
              <w:t>matīvajos aktos par aizsardzību pret joniz</w:t>
            </w:r>
            <w:r w:rsidR="00315C4B">
              <w:rPr>
                <w:iCs/>
                <w:sz w:val="24"/>
                <w:szCs w:val="24"/>
              </w:rPr>
              <w:t>ējošo starojumu noteiktos radio</w:t>
            </w:r>
            <w:r w:rsidRPr="00E5464F">
              <w:rPr>
                <w:iCs/>
                <w:sz w:val="24"/>
                <w:szCs w:val="24"/>
              </w:rPr>
              <w:t>aktivitātes limitus un kuriem nepieciešama speciālā atļauja (licence) vai atļauja;</w:t>
            </w:r>
          </w:p>
          <w:p w14:paraId="3E84F8C0" w14:textId="21804BCD" w:rsidR="007D23A9" w:rsidRPr="00E5464F" w:rsidRDefault="007D23A9" w:rsidP="000E108D">
            <w:pPr>
              <w:pStyle w:val="Sarakstarindkopa"/>
              <w:numPr>
                <w:ilvl w:val="0"/>
                <w:numId w:val="17"/>
              </w:numPr>
              <w:ind w:left="602" w:hanging="283"/>
              <w:rPr>
                <w:iCs/>
                <w:sz w:val="24"/>
                <w:szCs w:val="24"/>
              </w:rPr>
            </w:pPr>
            <w:r w:rsidRPr="00E5464F">
              <w:rPr>
                <w:iCs/>
                <w:sz w:val="24"/>
                <w:szCs w:val="24"/>
              </w:rPr>
              <w:t xml:space="preserve">degvielas </w:t>
            </w:r>
            <w:proofErr w:type="spellStart"/>
            <w:r w:rsidRPr="00E5464F">
              <w:rPr>
                <w:iCs/>
                <w:sz w:val="24"/>
                <w:szCs w:val="24"/>
              </w:rPr>
              <w:t>uzpildes</w:t>
            </w:r>
            <w:proofErr w:type="spellEnd"/>
            <w:r w:rsidRPr="00E5464F">
              <w:rPr>
                <w:iCs/>
                <w:sz w:val="24"/>
                <w:szCs w:val="24"/>
              </w:rPr>
              <w:t xml:space="preserve"> stacijas ar naftas produktu</w:t>
            </w:r>
            <w:r w:rsidR="00315C4B">
              <w:rPr>
                <w:iCs/>
                <w:sz w:val="24"/>
                <w:szCs w:val="24"/>
              </w:rPr>
              <w:t xml:space="preserve"> uzglabāšanas apjomu</w:t>
            </w:r>
            <w:r w:rsidRPr="00E5464F">
              <w:rPr>
                <w:iCs/>
                <w:sz w:val="24"/>
                <w:szCs w:val="24"/>
              </w:rPr>
              <w:t xml:space="preserve"> mazāk</w:t>
            </w:r>
            <w:r w:rsidR="00315C4B">
              <w:rPr>
                <w:iCs/>
                <w:sz w:val="24"/>
                <w:szCs w:val="24"/>
              </w:rPr>
              <w:t>u</w:t>
            </w:r>
            <w:r w:rsidRPr="00E5464F">
              <w:rPr>
                <w:iCs/>
                <w:sz w:val="24"/>
                <w:szCs w:val="24"/>
              </w:rPr>
              <w:t xml:space="preserve"> par 70 tonnām;</w:t>
            </w:r>
          </w:p>
          <w:p w14:paraId="358352AA" w14:textId="441215BC" w:rsidR="000E108D" w:rsidRPr="00E5464F" w:rsidRDefault="000E108D" w:rsidP="000E108D">
            <w:pPr>
              <w:pStyle w:val="Sarakstarindkopa"/>
              <w:numPr>
                <w:ilvl w:val="0"/>
                <w:numId w:val="17"/>
              </w:numPr>
              <w:ind w:left="602" w:hanging="283"/>
              <w:rPr>
                <w:iCs/>
                <w:sz w:val="24"/>
                <w:szCs w:val="24"/>
              </w:rPr>
            </w:pPr>
            <w:r w:rsidRPr="00E5464F">
              <w:rPr>
                <w:iCs/>
                <w:sz w:val="24"/>
                <w:szCs w:val="24"/>
              </w:rPr>
              <w:t>elektromagnētisko lauku izstarojošas lieljaudas iekārtas ar jaudu no 10 KW līdz 1 MW;</w:t>
            </w:r>
          </w:p>
          <w:p w14:paraId="04D894B5" w14:textId="209C042D" w:rsidR="000E108D" w:rsidRDefault="000E108D" w:rsidP="000E108D">
            <w:pPr>
              <w:pStyle w:val="Sarakstarindkopa"/>
              <w:numPr>
                <w:ilvl w:val="0"/>
                <w:numId w:val="17"/>
              </w:numPr>
              <w:ind w:left="602" w:hanging="283"/>
              <w:rPr>
                <w:iCs/>
                <w:sz w:val="24"/>
                <w:szCs w:val="24"/>
              </w:rPr>
            </w:pPr>
            <w:r w:rsidRPr="00E5464F">
              <w:rPr>
                <w:iCs/>
                <w:sz w:val="24"/>
                <w:szCs w:val="24"/>
              </w:rPr>
              <w:t>elektromagnētisko lauku izstarojošas vidējas jaudas iekārtas ar jaudu no 100 W līdz 10 KW.</w:t>
            </w:r>
          </w:p>
          <w:p w14:paraId="0A00AC93" w14:textId="07F5E37E" w:rsidR="0081790C" w:rsidRPr="00A07136" w:rsidRDefault="0081790C" w:rsidP="0081790C">
            <w:pPr>
              <w:ind w:firstLine="460"/>
              <w:rPr>
                <w:sz w:val="24"/>
                <w:szCs w:val="24"/>
              </w:rPr>
            </w:pPr>
            <w:r>
              <w:rPr>
                <w:sz w:val="24"/>
                <w:szCs w:val="24"/>
              </w:rPr>
              <w:t xml:space="preserve">Ņemot vērā spēka esošo likumdošanu un prasības, kurus jāpilda </w:t>
            </w:r>
            <w:r w:rsidRPr="00405442">
              <w:rPr>
                <w:sz w:val="24"/>
                <w:szCs w:val="24"/>
              </w:rPr>
              <w:t>objektiem</w:t>
            </w:r>
            <w:r>
              <w:rPr>
                <w:sz w:val="24"/>
                <w:szCs w:val="24"/>
              </w:rPr>
              <w:t xml:space="preserve"> </w:t>
            </w:r>
            <w:r w:rsidRPr="00A07136">
              <w:rPr>
                <w:sz w:val="24"/>
                <w:szCs w:val="24"/>
              </w:rPr>
              <w:t>ir pilnīgi pietiekoši.</w:t>
            </w:r>
          </w:p>
          <w:p w14:paraId="1C58EE11" w14:textId="33C1A260" w:rsidR="0081790C" w:rsidRPr="0081790C" w:rsidRDefault="0081790C" w:rsidP="0081790C">
            <w:pPr>
              <w:ind w:firstLine="460"/>
              <w:rPr>
                <w:iCs/>
                <w:sz w:val="24"/>
                <w:szCs w:val="24"/>
              </w:rPr>
            </w:pPr>
            <w:r w:rsidRPr="00A07136">
              <w:rPr>
                <w:sz w:val="24"/>
                <w:szCs w:val="24"/>
              </w:rPr>
              <w:t>Izvērtējot šo objektu iespējamo kaitējuma apjomu, ka arī rīcības spējas un iespējas tika nolemts šo objektus izslēgt no paaugstinātas bīstamības saraksta.</w:t>
            </w:r>
          </w:p>
          <w:p w14:paraId="15E379BA" w14:textId="77777777" w:rsidR="000E108D" w:rsidRPr="00E5464F" w:rsidRDefault="000E108D" w:rsidP="000E108D">
            <w:pPr>
              <w:ind w:left="602" w:hanging="283"/>
              <w:rPr>
                <w:iCs/>
                <w:sz w:val="24"/>
                <w:szCs w:val="24"/>
              </w:rPr>
            </w:pPr>
          </w:p>
          <w:p w14:paraId="48CE2FA6" w14:textId="711003BA" w:rsidR="00867BA6" w:rsidRDefault="003440E3" w:rsidP="000E108D">
            <w:pPr>
              <w:ind w:firstLine="340"/>
              <w:rPr>
                <w:iCs/>
                <w:sz w:val="24"/>
                <w:szCs w:val="24"/>
              </w:rPr>
            </w:pPr>
            <w:r w:rsidRPr="00E5464F">
              <w:rPr>
                <w:iCs/>
                <w:sz w:val="24"/>
                <w:szCs w:val="24"/>
              </w:rPr>
              <w:t>P</w:t>
            </w:r>
            <w:r w:rsidR="00867BA6">
              <w:rPr>
                <w:iCs/>
                <w:sz w:val="24"/>
                <w:szCs w:val="24"/>
              </w:rPr>
              <w:t xml:space="preserve">BO </w:t>
            </w:r>
            <w:r w:rsidRPr="00E5464F">
              <w:rPr>
                <w:iCs/>
                <w:sz w:val="24"/>
                <w:szCs w:val="24"/>
              </w:rPr>
              <w:t>īpašniekam palieli</w:t>
            </w:r>
            <w:r w:rsidR="00867BA6">
              <w:rPr>
                <w:iCs/>
                <w:sz w:val="24"/>
                <w:szCs w:val="24"/>
              </w:rPr>
              <w:t>nāsies administratīvais slogs šādos gadījumos:</w:t>
            </w:r>
          </w:p>
          <w:p w14:paraId="51CB2A1E" w14:textId="77777777" w:rsidR="00867BA6" w:rsidRDefault="00867BA6" w:rsidP="00315C4B">
            <w:pPr>
              <w:ind w:firstLine="340"/>
              <w:rPr>
                <w:iCs/>
                <w:sz w:val="24"/>
                <w:szCs w:val="24"/>
              </w:rPr>
            </w:pPr>
            <w:r>
              <w:rPr>
                <w:iCs/>
                <w:sz w:val="24"/>
                <w:szCs w:val="24"/>
              </w:rPr>
              <w:t xml:space="preserve">- </w:t>
            </w:r>
            <w:r w:rsidR="006371BA" w:rsidRPr="00E5464F">
              <w:rPr>
                <w:iCs/>
                <w:sz w:val="24"/>
                <w:szCs w:val="24"/>
              </w:rPr>
              <w:t xml:space="preserve">būs jāizstrādā </w:t>
            </w:r>
            <w:r w:rsidR="00315C4B" w:rsidRPr="00E5464F">
              <w:rPr>
                <w:iCs/>
                <w:sz w:val="24"/>
                <w:szCs w:val="24"/>
              </w:rPr>
              <w:t xml:space="preserve">bīstamo </w:t>
            </w:r>
            <w:r w:rsidR="00315C4B">
              <w:rPr>
                <w:iCs/>
                <w:sz w:val="24"/>
                <w:szCs w:val="24"/>
              </w:rPr>
              <w:t xml:space="preserve">ķīmisko vielu atrašanās vietu </w:t>
            </w:r>
            <w:r w:rsidR="006371BA" w:rsidRPr="00E5464F">
              <w:rPr>
                <w:iCs/>
                <w:sz w:val="24"/>
                <w:szCs w:val="24"/>
              </w:rPr>
              <w:t>shematisk</w:t>
            </w:r>
            <w:r w:rsidR="00315C4B">
              <w:rPr>
                <w:iCs/>
                <w:sz w:val="24"/>
                <w:szCs w:val="24"/>
              </w:rPr>
              <w:t>ais</w:t>
            </w:r>
            <w:r w:rsidR="006371BA" w:rsidRPr="00E5464F">
              <w:rPr>
                <w:iCs/>
                <w:sz w:val="24"/>
                <w:szCs w:val="24"/>
              </w:rPr>
              <w:t xml:space="preserve"> </w:t>
            </w:r>
            <w:r>
              <w:rPr>
                <w:iCs/>
                <w:sz w:val="24"/>
                <w:szCs w:val="24"/>
              </w:rPr>
              <w:t>attēlojums (</w:t>
            </w:r>
            <w:r w:rsidR="006371BA" w:rsidRPr="00E5464F">
              <w:rPr>
                <w:iCs/>
                <w:sz w:val="24"/>
                <w:szCs w:val="24"/>
              </w:rPr>
              <w:t>plān</w:t>
            </w:r>
            <w:r w:rsidR="00315C4B">
              <w:rPr>
                <w:iCs/>
                <w:sz w:val="24"/>
                <w:szCs w:val="24"/>
              </w:rPr>
              <w:t>s</w:t>
            </w:r>
            <w:r>
              <w:rPr>
                <w:iCs/>
                <w:sz w:val="24"/>
                <w:szCs w:val="24"/>
              </w:rPr>
              <w:t>)</w:t>
            </w:r>
            <w:r w:rsidR="006371BA" w:rsidRPr="00E5464F">
              <w:rPr>
                <w:iCs/>
                <w:sz w:val="24"/>
                <w:szCs w:val="24"/>
              </w:rPr>
              <w:t xml:space="preserve">, ka arī </w:t>
            </w:r>
            <w:r w:rsidR="00315C4B">
              <w:rPr>
                <w:iCs/>
                <w:sz w:val="24"/>
                <w:szCs w:val="24"/>
              </w:rPr>
              <w:t xml:space="preserve">būs nepieciešamība </w:t>
            </w:r>
            <w:r w:rsidR="006371BA" w:rsidRPr="00E5464F">
              <w:rPr>
                <w:iCs/>
                <w:sz w:val="24"/>
                <w:szCs w:val="24"/>
              </w:rPr>
              <w:t>apzīmē</w:t>
            </w:r>
            <w:r w:rsidR="00315C4B">
              <w:rPr>
                <w:iCs/>
                <w:sz w:val="24"/>
                <w:szCs w:val="24"/>
              </w:rPr>
              <w:t>t bīstamo vielu atrašanas vietas</w:t>
            </w:r>
            <w:r w:rsidR="006371BA" w:rsidRPr="00E5464F">
              <w:rPr>
                <w:iCs/>
                <w:sz w:val="24"/>
                <w:szCs w:val="24"/>
              </w:rPr>
              <w:t xml:space="preserve"> atbilstoši normatīviem aktiem par darba aizsardzības pr</w:t>
            </w:r>
            <w:r>
              <w:rPr>
                <w:iCs/>
                <w:sz w:val="24"/>
                <w:szCs w:val="24"/>
              </w:rPr>
              <w:t>asībām drošības zīmju lietošanā;</w:t>
            </w:r>
          </w:p>
          <w:p w14:paraId="7263A2FD" w14:textId="20824672" w:rsidR="0061190C" w:rsidRDefault="00867BA6" w:rsidP="00315C4B">
            <w:pPr>
              <w:ind w:firstLine="340"/>
              <w:rPr>
                <w:iCs/>
                <w:sz w:val="24"/>
                <w:szCs w:val="24"/>
              </w:rPr>
            </w:pPr>
            <w:r>
              <w:rPr>
                <w:iCs/>
                <w:sz w:val="24"/>
                <w:szCs w:val="24"/>
              </w:rPr>
              <w:t xml:space="preserve">- </w:t>
            </w:r>
            <w:r w:rsidRPr="00E5464F">
              <w:rPr>
                <w:iCs/>
                <w:sz w:val="24"/>
                <w:szCs w:val="24"/>
              </w:rPr>
              <w:t>būs</w:t>
            </w:r>
            <w:r>
              <w:rPr>
                <w:iCs/>
                <w:sz w:val="24"/>
                <w:szCs w:val="24"/>
              </w:rPr>
              <w:t xml:space="preserve"> jāizstrādā </w:t>
            </w:r>
            <w:r w:rsidR="00977CFF">
              <w:rPr>
                <w:iCs/>
                <w:sz w:val="24"/>
                <w:szCs w:val="24"/>
              </w:rPr>
              <w:t xml:space="preserve">un jāprecizē </w:t>
            </w:r>
            <w:r>
              <w:rPr>
                <w:iCs/>
                <w:sz w:val="24"/>
                <w:szCs w:val="24"/>
              </w:rPr>
              <w:t>civilās aizsardzības v</w:t>
            </w:r>
            <w:r w:rsidR="0061190C">
              <w:rPr>
                <w:iCs/>
                <w:sz w:val="24"/>
                <w:szCs w:val="24"/>
              </w:rPr>
              <w:t>ienības dokumentācija</w:t>
            </w:r>
            <w:r w:rsidR="0002648E">
              <w:rPr>
                <w:iCs/>
                <w:sz w:val="24"/>
                <w:szCs w:val="24"/>
              </w:rPr>
              <w:t xml:space="preserve"> </w:t>
            </w:r>
            <w:r w:rsidR="0002648E" w:rsidRPr="0002648E">
              <w:rPr>
                <w:iCs/>
                <w:sz w:val="24"/>
                <w:szCs w:val="24"/>
              </w:rPr>
              <w:t>objektos, kuros ir vai tiks izveidotas minētās vienības</w:t>
            </w:r>
            <w:r>
              <w:rPr>
                <w:iCs/>
                <w:sz w:val="24"/>
                <w:szCs w:val="24"/>
              </w:rPr>
              <w:t>;</w:t>
            </w:r>
          </w:p>
          <w:p w14:paraId="1C8E3157" w14:textId="0674B48D" w:rsidR="0061190C" w:rsidRDefault="00867BA6" w:rsidP="00315C4B">
            <w:pPr>
              <w:ind w:firstLine="340"/>
              <w:rPr>
                <w:iCs/>
                <w:sz w:val="24"/>
                <w:szCs w:val="24"/>
              </w:rPr>
            </w:pPr>
            <w:r>
              <w:rPr>
                <w:iCs/>
                <w:sz w:val="24"/>
                <w:szCs w:val="24"/>
              </w:rPr>
              <w:t xml:space="preserve">-  </w:t>
            </w:r>
            <w:r w:rsidRPr="00E5464F">
              <w:rPr>
                <w:iCs/>
                <w:sz w:val="24"/>
                <w:szCs w:val="24"/>
              </w:rPr>
              <w:t>būs</w:t>
            </w:r>
            <w:r>
              <w:rPr>
                <w:iCs/>
                <w:sz w:val="24"/>
                <w:szCs w:val="24"/>
              </w:rPr>
              <w:t xml:space="preserve"> nepieciešams pārskatīt un precizēt PBO civilās aizsardzības </w:t>
            </w:r>
            <w:r w:rsidR="0061190C">
              <w:rPr>
                <w:iCs/>
                <w:sz w:val="24"/>
                <w:szCs w:val="24"/>
              </w:rPr>
              <w:t xml:space="preserve"> plān</w:t>
            </w:r>
            <w:r>
              <w:rPr>
                <w:iCs/>
                <w:sz w:val="24"/>
                <w:szCs w:val="24"/>
              </w:rPr>
              <w:t>u</w:t>
            </w:r>
            <w:r w:rsidR="0002648E">
              <w:rPr>
                <w:iCs/>
                <w:sz w:val="24"/>
                <w:szCs w:val="24"/>
              </w:rPr>
              <w:t xml:space="preserve">  </w:t>
            </w:r>
            <w:r w:rsidR="0002648E" w:rsidRPr="0002648E">
              <w:rPr>
                <w:iCs/>
                <w:sz w:val="24"/>
                <w:szCs w:val="24"/>
              </w:rPr>
              <w:t>atbilstoši jaunajiem MK noteikumiem par CA plāniem</w:t>
            </w:r>
            <w:r>
              <w:rPr>
                <w:iCs/>
                <w:sz w:val="24"/>
                <w:szCs w:val="24"/>
              </w:rPr>
              <w:t>;</w:t>
            </w:r>
          </w:p>
          <w:p w14:paraId="6C6657C0" w14:textId="77777777" w:rsidR="003440E3" w:rsidRDefault="00867BA6" w:rsidP="003A7849">
            <w:pPr>
              <w:ind w:firstLine="340"/>
              <w:rPr>
                <w:iCs/>
                <w:sz w:val="24"/>
                <w:szCs w:val="24"/>
              </w:rPr>
            </w:pPr>
            <w:r>
              <w:rPr>
                <w:iCs/>
                <w:sz w:val="24"/>
                <w:szCs w:val="24"/>
              </w:rPr>
              <w:lastRenderedPageBreak/>
              <w:t xml:space="preserve">- organizējot PBO civilās aizsardzības un katastrofu pārvaldīšanas mācības, </w:t>
            </w:r>
            <w:r w:rsidRPr="00E5464F">
              <w:rPr>
                <w:iCs/>
                <w:sz w:val="24"/>
                <w:szCs w:val="24"/>
              </w:rPr>
              <w:t>būs</w:t>
            </w:r>
            <w:r>
              <w:rPr>
                <w:iCs/>
                <w:sz w:val="24"/>
                <w:szCs w:val="24"/>
              </w:rPr>
              <w:t xml:space="preserve"> jāizstrādā m</w:t>
            </w:r>
            <w:r w:rsidR="0061190C">
              <w:rPr>
                <w:iCs/>
                <w:sz w:val="24"/>
                <w:szCs w:val="24"/>
              </w:rPr>
              <w:t>ācību dokumentācija</w:t>
            </w:r>
            <w:r w:rsidR="0002648E">
              <w:rPr>
                <w:iCs/>
                <w:sz w:val="24"/>
                <w:szCs w:val="24"/>
              </w:rPr>
              <w:t>.</w:t>
            </w:r>
          </w:p>
          <w:p w14:paraId="1F8C1CB0" w14:textId="75CCF5B2" w:rsidR="005A0975" w:rsidRPr="00E5464F" w:rsidRDefault="005A0975" w:rsidP="003A7849">
            <w:pPr>
              <w:ind w:firstLine="340"/>
              <w:rPr>
                <w:iCs/>
                <w:sz w:val="24"/>
                <w:szCs w:val="24"/>
              </w:rPr>
            </w:pPr>
          </w:p>
        </w:tc>
      </w:tr>
      <w:tr w:rsidR="00D1691E" w:rsidRPr="00E5464F" w14:paraId="2642624D" w14:textId="77777777" w:rsidTr="00945CCB">
        <w:trPr>
          <w:trHeight w:val="284"/>
        </w:trPr>
        <w:tc>
          <w:tcPr>
            <w:tcW w:w="710" w:type="dxa"/>
          </w:tcPr>
          <w:p w14:paraId="61807824" w14:textId="2C6640DB" w:rsidR="00D1691E" w:rsidRPr="00E5464F" w:rsidRDefault="00D1691E" w:rsidP="007A7ADE">
            <w:pPr>
              <w:spacing w:before="100" w:beforeAutospacing="1" w:after="100" w:afterAutospacing="1"/>
              <w:ind w:firstLine="0"/>
              <w:jc w:val="center"/>
              <w:rPr>
                <w:sz w:val="24"/>
                <w:szCs w:val="24"/>
              </w:rPr>
            </w:pPr>
            <w:r w:rsidRPr="00E5464F">
              <w:rPr>
                <w:sz w:val="24"/>
                <w:szCs w:val="24"/>
              </w:rPr>
              <w:lastRenderedPageBreak/>
              <w:t>3.</w:t>
            </w:r>
          </w:p>
        </w:tc>
        <w:tc>
          <w:tcPr>
            <w:tcW w:w="2976" w:type="dxa"/>
          </w:tcPr>
          <w:p w14:paraId="188DDEDD" w14:textId="77777777" w:rsidR="00D1691E" w:rsidRPr="00E5464F" w:rsidRDefault="00D1691E" w:rsidP="007A7ADE">
            <w:pPr>
              <w:spacing w:before="100" w:beforeAutospacing="1" w:after="100" w:afterAutospacing="1"/>
              <w:ind w:firstLine="136"/>
              <w:rPr>
                <w:sz w:val="24"/>
                <w:szCs w:val="24"/>
              </w:rPr>
            </w:pPr>
            <w:r w:rsidRPr="00E5464F">
              <w:rPr>
                <w:sz w:val="24"/>
                <w:szCs w:val="24"/>
              </w:rPr>
              <w:t>Administratīvo izmaksu monetārs novērtējums</w:t>
            </w:r>
          </w:p>
        </w:tc>
        <w:tc>
          <w:tcPr>
            <w:tcW w:w="5669" w:type="dxa"/>
          </w:tcPr>
          <w:p w14:paraId="4997524F" w14:textId="2A3E867D" w:rsidR="002A4CE0" w:rsidRDefault="002A4CE0" w:rsidP="004D251F">
            <w:pPr>
              <w:tabs>
                <w:tab w:val="left" w:pos="360"/>
              </w:tabs>
              <w:ind w:firstLine="360"/>
              <w:rPr>
                <w:rFonts w:eastAsia="Times New Roman"/>
                <w:sz w:val="24"/>
                <w:szCs w:val="24"/>
                <w:lang w:eastAsia="lv-LV"/>
              </w:rPr>
            </w:pPr>
            <w:r>
              <w:rPr>
                <w:rFonts w:eastAsia="Times New Roman"/>
                <w:sz w:val="24"/>
                <w:szCs w:val="24"/>
                <w:lang w:eastAsia="lv-LV"/>
              </w:rPr>
              <w:t>Izmaksas tiek aprēķinātas vienam PBO</w:t>
            </w:r>
            <w:r w:rsidR="007A4584">
              <w:rPr>
                <w:rFonts w:eastAsia="Times New Roman"/>
                <w:sz w:val="24"/>
                <w:szCs w:val="24"/>
                <w:lang w:eastAsia="lv-LV"/>
              </w:rPr>
              <w:t>.</w:t>
            </w:r>
          </w:p>
          <w:p w14:paraId="1EAD5960" w14:textId="7010A503" w:rsidR="002A4CE0" w:rsidRDefault="002A4CE0" w:rsidP="004D251F">
            <w:pPr>
              <w:tabs>
                <w:tab w:val="left" w:pos="360"/>
              </w:tabs>
              <w:ind w:firstLine="360"/>
              <w:rPr>
                <w:rFonts w:eastAsia="Times New Roman"/>
                <w:sz w:val="24"/>
                <w:szCs w:val="24"/>
                <w:lang w:eastAsia="lv-LV"/>
              </w:rPr>
            </w:pPr>
            <w:r>
              <w:rPr>
                <w:rFonts w:eastAsia="Times New Roman"/>
                <w:sz w:val="24"/>
                <w:szCs w:val="24"/>
                <w:lang w:eastAsia="lv-LV"/>
              </w:rPr>
              <w:t xml:space="preserve"> </w:t>
            </w:r>
          </w:p>
          <w:p w14:paraId="15AB7956" w14:textId="094B0938" w:rsidR="004D251F" w:rsidRPr="00E5464F" w:rsidRDefault="004D251F" w:rsidP="004D251F">
            <w:pPr>
              <w:tabs>
                <w:tab w:val="left" w:pos="360"/>
              </w:tabs>
              <w:ind w:firstLine="360"/>
              <w:rPr>
                <w:sz w:val="24"/>
                <w:szCs w:val="24"/>
              </w:rPr>
            </w:pPr>
            <w:r w:rsidRPr="00E5464F">
              <w:rPr>
                <w:rFonts w:eastAsia="Times New Roman"/>
                <w:sz w:val="24"/>
                <w:szCs w:val="24"/>
                <w:lang w:eastAsia="lv-LV"/>
              </w:rPr>
              <w:t xml:space="preserve">1. </w:t>
            </w:r>
            <w:r w:rsidRPr="00E5464F">
              <w:rPr>
                <w:sz w:val="24"/>
                <w:szCs w:val="24"/>
                <w:shd w:val="clear" w:color="auto" w:fill="FFFFFF"/>
              </w:rPr>
              <w:t>Objektā esošo bīstamo vielu shematiskā attēlojuma (plāna) izstrāde</w:t>
            </w:r>
            <w:r w:rsidRPr="00E5464F">
              <w:rPr>
                <w:rFonts w:eastAsia="Times New Roman"/>
                <w:sz w:val="24"/>
                <w:szCs w:val="24"/>
                <w:lang w:eastAsia="lv-LV"/>
              </w:rPr>
              <w:t>:</w:t>
            </w:r>
          </w:p>
          <w:p w14:paraId="6E5AA2CB" w14:textId="1E8EDE5C" w:rsidR="004D251F" w:rsidRPr="00E5464F" w:rsidRDefault="004D251F" w:rsidP="004D251F">
            <w:pPr>
              <w:tabs>
                <w:tab w:val="left" w:pos="360"/>
              </w:tabs>
              <w:rPr>
                <w:sz w:val="24"/>
                <w:szCs w:val="24"/>
              </w:rPr>
            </w:pPr>
            <w:r w:rsidRPr="00E5464F">
              <w:rPr>
                <w:sz w:val="24"/>
                <w:szCs w:val="24"/>
              </w:rPr>
              <w:t xml:space="preserve">Minēto plānu izstrādā </w:t>
            </w:r>
            <w:r w:rsidR="00FB7DFE">
              <w:rPr>
                <w:sz w:val="24"/>
                <w:szCs w:val="24"/>
              </w:rPr>
              <w:t xml:space="preserve">vienu </w:t>
            </w:r>
            <w:r w:rsidRPr="00E5464F">
              <w:rPr>
                <w:sz w:val="24"/>
                <w:szCs w:val="24"/>
              </w:rPr>
              <w:t xml:space="preserve">reizi  </w:t>
            </w:r>
            <w:r w:rsidR="00FB7DFE">
              <w:rPr>
                <w:sz w:val="24"/>
                <w:szCs w:val="24"/>
              </w:rPr>
              <w:t>pēc tam precizē atbilstoši situācijai</w:t>
            </w:r>
            <w:r w:rsidRPr="00E5464F">
              <w:rPr>
                <w:sz w:val="24"/>
                <w:szCs w:val="24"/>
              </w:rPr>
              <w:t xml:space="preserve">. </w:t>
            </w:r>
          </w:p>
          <w:p w14:paraId="26243BAF" w14:textId="77777777" w:rsidR="004D251F" w:rsidRPr="00E5464F" w:rsidRDefault="004D251F" w:rsidP="004D251F">
            <w:pPr>
              <w:tabs>
                <w:tab w:val="left" w:pos="360"/>
              </w:tabs>
              <w:rPr>
                <w:sz w:val="24"/>
                <w:szCs w:val="24"/>
              </w:rPr>
            </w:pPr>
            <w:r w:rsidRPr="00E5464F">
              <w:rPr>
                <w:sz w:val="24"/>
                <w:szCs w:val="24"/>
              </w:rPr>
              <w:t>VUGD pieņēmumi:</w:t>
            </w:r>
          </w:p>
          <w:p w14:paraId="7B97F462" w14:textId="002576BE" w:rsidR="004D251F" w:rsidRPr="00E5464F" w:rsidRDefault="004D251F" w:rsidP="004D251F">
            <w:pPr>
              <w:numPr>
                <w:ilvl w:val="0"/>
                <w:numId w:val="15"/>
              </w:numPr>
              <w:tabs>
                <w:tab w:val="left" w:pos="360"/>
              </w:tabs>
              <w:rPr>
                <w:sz w:val="24"/>
                <w:szCs w:val="24"/>
              </w:rPr>
            </w:pPr>
            <w:r w:rsidRPr="00E5464F">
              <w:rPr>
                <w:sz w:val="24"/>
                <w:szCs w:val="24"/>
              </w:rPr>
              <w:t>katra objekta  īpašnieka</w:t>
            </w:r>
            <w:r w:rsidR="00053B99" w:rsidRPr="00E5464F">
              <w:rPr>
                <w:sz w:val="24"/>
                <w:szCs w:val="24"/>
              </w:rPr>
              <w:t xml:space="preserve"> vai nozīmētas personas par civilo aizsardzību</w:t>
            </w:r>
            <w:r w:rsidRPr="00E5464F">
              <w:rPr>
                <w:sz w:val="24"/>
                <w:szCs w:val="24"/>
              </w:rPr>
              <w:t xml:space="preserve"> patērētais laiks minētā darba izpildē </w:t>
            </w:r>
            <w:r w:rsidR="002A4CE0">
              <w:rPr>
                <w:sz w:val="24"/>
                <w:szCs w:val="24"/>
              </w:rPr>
              <w:t>20</w:t>
            </w:r>
            <w:r w:rsidR="002A4CE0" w:rsidRPr="00E5464F">
              <w:rPr>
                <w:sz w:val="24"/>
                <w:szCs w:val="24"/>
              </w:rPr>
              <w:t xml:space="preserve"> </w:t>
            </w:r>
            <w:r w:rsidRPr="00E5464F">
              <w:rPr>
                <w:sz w:val="24"/>
                <w:szCs w:val="24"/>
              </w:rPr>
              <w:t>stundas;</w:t>
            </w:r>
          </w:p>
          <w:p w14:paraId="0F87595A" w14:textId="77777777" w:rsidR="004D251F" w:rsidRPr="00E5464F" w:rsidRDefault="004D251F" w:rsidP="004D251F">
            <w:pPr>
              <w:numPr>
                <w:ilvl w:val="0"/>
                <w:numId w:val="15"/>
              </w:numPr>
              <w:tabs>
                <w:tab w:val="left" w:pos="360"/>
              </w:tabs>
              <w:rPr>
                <w:sz w:val="24"/>
                <w:szCs w:val="24"/>
              </w:rPr>
            </w:pPr>
            <w:r w:rsidRPr="00E5464F">
              <w:rPr>
                <w:sz w:val="24"/>
                <w:szCs w:val="24"/>
              </w:rPr>
              <w:t xml:space="preserve">aprēķinos izmantota vidējā  atlīdzība: </w:t>
            </w:r>
            <w:r w:rsidRPr="00E5464F">
              <w:rPr>
                <w:b/>
                <w:sz w:val="24"/>
                <w:szCs w:val="24"/>
              </w:rPr>
              <w:t xml:space="preserve">6.31 </w:t>
            </w:r>
            <w:proofErr w:type="spellStart"/>
            <w:r w:rsidRPr="00E5464F">
              <w:rPr>
                <w:b/>
                <w:i/>
                <w:sz w:val="24"/>
                <w:szCs w:val="24"/>
              </w:rPr>
              <w:t>euro</w:t>
            </w:r>
            <w:proofErr w:type="spellEnd"/>
            <w:r w:rsidRPr="00E5464F">
              <w:rPr>
                <w:i/>
                <w:sz w:val="24"/>
                <w:szCs w:val="24"/>
              </w:rPr>
              <w:t xml:space="preserve"> </w:t>
            </w:r>
            <w:r w:rsidRPr="00E5464F">
              <w:rPr>
                <w:sz w:val="24"/>
                <w:szCs w:val="24"/>
              </w:rPr>
              <w:t xml:space="preserve">stundā (Centrālās statistikas pārvaldes dati: 2016.gada vidējā darba samaksa (ar darba devēja VSAOI): 1061.64 </w:t>
            </w:r>
            <w:proofErr w:type="spellStart"/>
            <w:r w:rsidRPr="00E5464F">
              <w:rPr>
                <w:sz w:val="24"/>
                <w:szCs w:val="24"/>
              </w:rPr>
              <w:t>euro</w:t>
            </w:r>
            <w:proofErr w:type="spellEnd"/>
            <w:r w:rsidRPr="00E5464F">
              <w:rPr>
                <w:sz w:val="24"/>
                <w:szCs w:val="24"/>
              </w:rPr>
              <w:t xml:space="preserve">,  2016.gadā: 168.17 stundas/mēnesī). </w:t>
            </w:r>
          </w:p>
          <w:p w14:paraId="567B8E03" w14:textId="77777777" w:rsidR="004D251F" w:rsidRPr="00E5464F" w:rsidRDefault="004D251F" w:rsidP="004D251F">
            <w:pPr>
              <w:numPr>
                <w:ilvl w:val="0"/>
                <w:numId w:val="15"/>
              </w:numPr>
              <w:tabs>
                <w:tab w:val="left" w:pos="360"/>
              </w:tabs>
              <w:rPr>
                <w:sz w:val="24"/>
                <w:szCs w:val="24"/>
              </w:rPr>
            </w:pPr>
            <w:r w:rsidRPr="00E5464F">
              <w:rPr>
                <w:sz w:val="24"/>
                <w:szCs w:val="24"/>
              </w:rPr>
              <w:t>izmantota 1 papīra lapa;</w:t>
            </w:r>
          </w:p>
          <w:p w14:paraId="5D03EB65" w14:textId="77777777" w:rsidR="004D251F" w:rsidRPr="00E5464F" w:rsidRDefault="004D251F" w:rsidP="004D251F">
            <w:pPr>
              <w:pStyle w:val="Sarakstarindkopa"/>
              <w:numPr>
                <w:ilvl w:val="0"/>
                <w:numId w:val="15"/>
              </w:numPr>
              <w:rPr>
                <w:sz w:val="24"/>
                <w:szCs w:val="24"/>
              </w:rPr>
            </w:pPr>
            <w:r w:rsidRPr="00E5464F">
              <w:rPr>
                <w:sz w:val="24"/>
                <w:szCs w:val="24"/>
              </w:rPr>
              <w:t xml:space="preserve">vienas papīra lapas izmaksas </w:t>
            </w:r>
            <w:r w:rsidRPr="00E5464F">
              <w:rPr>
                <w:sz w:val="24"/>
                <w:szCs w:val="24"/>
              </w:rPr>
              <w:sym w:font="Symbol" w:char="F02D"/>
            </w:r>
            <w:r w:rsidRPr="00E5464F">
              <w:rPr>
                <w:sz w:val="24"/>
                <w:szCs w:val="24"/>
              </w:rPr>
              <w:t xml:space="preserve"> 0,05 </w:t>
            </w:r>
            <w:proofErr w:type="spellStart"/>
            <w:r w:rsidRPr="00E5464F">
              <w:rPr>
                <w:i/>
                <w:sz w:val="24"/>
                <w:szCs w:val="24"/>
              </w:rPr>
              <w:t>euro</w:t>
            </w:r>
            <w:proofErr w:type="spellEnd"/>
            <w:r w:rsidRPr="00E5464F">
              <w:rPr>
                <w:sz w:val="24"/>
                <w:szCs w:val="24"/>
              </w:rPr>
              <w:t>.</w:t>
            </w:r>
          </w:p>
          <w:p w14:paraId="7A6A6784" w14:textId="64D3FAEB" w:rsidR="004D251F" w:rsidRPr="00E5464F" w:rsidRDefault="004D251F" w:rsidP="004D251F">
            <w:pPr>
              <w:tabs>
                <w:tab w:val="left" w:pos="360"/>
              </w:tabs>
              <w:rPr>
                <w:b/>
                <w:i/>
                <w:szCs w:val="28"/>
              </w:rPr>
            </w:pPr>
            <w:r w:rsidRPr="00E5464F">
              <w:rPr>
                <w:b/>
                <w:szCs w:val="28"/>
              </w:rPr>
              <w:t>C</w:t>
            </w:r>
            <w:r w:rsidRPr="00E5464F">
              <w:rPr>
                <w:b/>
                <w:szCs w:val="28"/>
                <w:vertAlign w:val="subscript"/>
              </w:rPr>
              <w:t>2</w:t>
            </w:r>
            <w:r w:rsidRPr="00E5464F">
              <w:rPr>
                <w:b/>
                <w:szCs w:val="28"/>
              </w:rPr>
              <w:t xml:space="preserve"> = (6.31 x </w:t>
            </w:r>
            <w:r w:rsidR="002A4CE0">
              <w:rPr>
                <w:b/>
                <w:szCs w:val="28"/>
              </w:rPr>
              <w:t>2</w:t>
            </w:r>
            <w:r w:rsidRPr="00E5464F">
              <w:rPr>
                <w:b/>
                <w:szCs w:val="28"/>
              </w:rPr>
              <w:t>0) x (</w:t>
            </w:r>
            <w:r w:rsidR="002A4CE0">
              <w:rPr>
                <w:b/>
                <w:szCs w:val="28"/>
              </w:rPr>
              <w:t>1</w:t>
            </w:r>
            <w:r w:rsidR="002A4CE0" w:rsidRPr="00E5464F">
              <w:rPr>
                <w:b/>
                <w:szCs w:val="28"/>
              </w:rPr>
              <w:t xml:space="preserve"> </w:t>
            </w:r>
            <w:r w:rsidRPr="00E5464F">
              <w:rPr>
                <w:b/>
                <w:szCs w:val="28"/>
              </w:rPr>
              <w:t xml:space="preserve">x 1) + (1 x 0.05 x </w:t>
            </w:r>
            <w:r w:rsidR="002A4CE0">
              <w:rPr>
                <w:b/>
                <w:szCs w:val="28"/>
              </w:rPr>
              <w:t>1</w:t>
            </w:r>
            <w:r w:rsidRPr="00E5464F">
              <w:rPr>
                <w:b/>
                <w:szCs w:val="28"/>
              </w:rPr>
              <w:t>)*</w:t>
            </w:r>
            <w:r w:rsidRPr="00E5464F">
              <w:rPr>
                <w:b/>
                <w:color w:val="0000FF"/>
                <w:szCs w:val="28"/>
              </w:rPr>
              <w:t xml:space="preserve"> </w:t>
            </w:r>
            <w:r w:rsidRPr="00E5464F">
              <w:rPr>
                <w:b/>
                <w:szCs w:val="28"/>
              </w:rPr>
              <w:t xml:space="preserve">= </w:t>
            </w:r>
            <w:r w:rsidR="002A4CE0">
              <w:rPr>
                <w:b/>
                <w:szCs w:val="28"/>
              </w:rPr>
              <w:t>126,25</w:t>
            </w:r>
            <w:r w:rsidRPr="00E5464F">
              <w:rPr>
                <w:b/>
                <w:szCs w:val="28"/>
              </w:rPr>
              <w:t xml:space="preserve"> </w:t>
            </w:r>
            <w:proofErr w:type="spellStart"/>
            <w:r w:rsidRPr="00E5464F">
              <w:rPr>
                <w:b/>
                <w:i/>
                <w:szCs w:val="28"/>
              </w:rPr>
              <w:t>euro</w:t>
            </w:r>
            <w:proofErr w:type="spellEnd"/>
          </w:p>
          <w:p w14:paraId="5F122D62" w14:textId="77777777" w:rsidR="004D251F" w:rsidRPr="00E5464F" w:rsidRDefault="004D251F" w:rsidP="004D251F">
            <w:pPr>
              <w:tabs>
                <w:tab w:val="left" w:pos="360"/>
              </w:tabs>
              <w:rPr>
                <w:i/>
                <w:sz w:val="24"/>
                <w:szCs w:val="24"/>
              </w:rPr>
            </w:pPr>
            <w:r w:rsidRPr="00E5464F">
              <w:rPr>
                <w:i/>
                <w:sz w:val="24"/>
                <w:szCs w:val="24"/>
              </w:rPr>
              <w:t>* papīra izmaksas</w:t>
            </w:r>
          </w:p>
          <w:p w14:paraId="5764014F" w14:textId="77777777" w:rsidR="004D251F" w:rsidRPr="00E5464F" w:rsidRDefault="004D251F" w:rsidP="004D251F">
            <w:pPr>
              <w:rPr>
                <w:b/>
                <w:sz w:val="24"/>
                <w:szCs w:val="24"/>
              </w:rPr>
            </w:pPr>
          </w:p>
          <w:p w14:paraId="32932571" w14:textId="77777777" w:rsidR="004D251F" w:rsidRPr="00E5464F" w:rsidRDefault="004D251F" w:rsidP="004D251F">
            <w:pPr>
              <w:tabs>
                <w:tab w:val="left" w:pos="360"/>
              </w:tabs>
              <w:ind w:firstLine="360"/>
              <w:rPr>
                <w:sz w:val="24"/>
                <w:szCs w:val="24"/>
              </w:rPr>
            </w:pPr>
            <w:r w:rsidRPr="00E5464F">
              <w:rPr>
                <w:rFonts w:eastAsia="Times New Roman"/>
                <w:sz w:val="24"/>
                <w:szCs w:val="24"/>
                <w:lang w:eastAsia="lv-LV"/>
              </w:rPr>
              <w:br w:type="page"/>
              <w:t xml:space="preserve">2. </w:t>
            </w:r>
            <w:r w:rsidR="00C25FD5" w:rsidRPr="00E5464F">
              <w:rPr>
                <w:rFonts w:eastAsia="Times New Roman"/>
                <w:sz w:val="24"/>
                <w:szCs w:val="24"/>
                <w:lang w:eastAsia="lv-LV"/>
              </w:rPr>
              <w:t>Civilās aizsardzības v</w:t>
            </w:r>
            <w:r w:rsidRPr="00E5464F">
              <w:rPr>
                <w:rFonts w:eastAsia="Times New Roman"/>
                <w:sz w:val="24"/>
                <w:szCs w:val="24"/>
                <w:lang w:eastAsia="lv-LV"/>
              </w:rPr>
              <w:t>i</w:t>
            </w:r>
            <w:r w:rsidR="006C651B" w:rsidRPr="00E5464F">
              <w:rPr>
                <w:rFonts w:eastAsia="Times New Roman"/>
                <w:sz w:val="24"/>
                <w:szCs w:val="24"/>
                <w:lang w:eastAsia="lv-LV"/>
              </w:rPr>
              <w:t xml:space="preserve">enības reglamentējošo dokumentu </w:t>
            </w:r>
            <w:r w:rsidRPr="00E5464F">
              <w:rPr>
                <w:sz w:val="24"/>
                <w:szCs w:val="24"/>
                <w:shd w:val="clear" w:color="auto" w:fill="FFFFFF"/>
              </w:rPr>
              <w:t>izstrāde</w:t>
            </w:r>
            <w:r w:rsidRPr="00E5464F">
              <w:rPr>
                <w:rFonts w:eastAsia="Times New Roman"/>
                <w:sz w:val="24"/>
                <w:szCs w:val="24"/>
                <w:lang w:eastAsia="lv-LV"/>
              </w:rPr>
              <w:t>:</w:t>
            </w:r>
          </w:p>
          <w:p w14:paraId="52102F8D" w14:textId="334DF0D9" w:rsidR="004D251F" w:rsidRPr="00E5464F" w:rsidRDefault="004D251F" w:rsidP="004D251F">
            <w:pPr>
              <w:tabs>
                <w:tab w:val="left" w:pos="360"/>
              </w:tabs>
              <w:rPr>
                <w:sz w:val="24"/>
                <w:szCs w:val="24"/>
              </w:rPr>
            </w:pPr>
            <w:r w:rsidRPr="00E5464F">
              <w:rPr>
                <w:sz w:val="24"/>
                <w:szCs w:val="24"/>
              </w:rPr>
              <w:t xml:space="preserve">Minētos dokumentus izstrādā </w:t>
            </w:r>
            <w:r w:rsidR="00D55B64">
              <w:rPr>
                <w:sz w:val="24"/>
                <w:szCs w:val="24"/>
              </w:rPr>
              <w:t xml:space="preserve">vienu </w:t>
            </w:r>
            <w:r w:rsidRPr="00E5464F">
              <w:rPr>
                <w:sz w:val="24"/>
                <w:szCs w:val="24"/>
              </w:rPr>
              <w:t xml:space="preserve">reizi </w:t>
            </w:r>
            <w:r w:rsidR="00D55B64">
              <w:rPr>
                <w:sz w:val="24"/>
                <w:szCs w:val="24"/>
              </w:rPr>
              <w:t>un pēc tam precizē atbilstoši situācijai</w:t>
            </w:r>
            <w:r w:rsidRPr="00E5464F">
              <w:rPr>
                <w:sz w:val="24"/>
                <w:szCs w:val="24"/>
              </w:rPr>
              <w:t xml:space="preserve">. </w:t>
            </w:r>
          </w:p>
          <w:p w14:paraId="51FD0359" w14:textId="77777777" w:rsidR="004D251F" w:rsidRPr="00E5464F" w:rsidRDefault="004D251F" w:rsidP="004D251F">
            <w:pPr>
              <w:tabs>
                <w:tab w:val="left" w:pos="360"/>
              </w:tabs>
              <w:rPr>
                <w:sz w:val="24"/>
                <w:szCs w:val="24"/>
              </w:rPr>
            </w:pPr>
            <w:r w:rsidRPr="00E5464F">
              <w:rPr>
                <w:sz w:val="24"/>
                <w:szCs w:val="24"/>
              </w:rPr>
              <w:t>VUGD pieņēmumi:</w:t>
            </w:r>
          </w:p>
          <w:p w14:paraId="3D814112" w14:textId="2CBA86F8" w:rsidR="004D251F" w:rsidRPr="00E5464F" w:rsidRDefault="004D251F" w:rsidP="004D251F">
            <w:pPr>
              <w:numPr>
                <w:ilvl w:val="0"/>
                <w:numId w:val="15"/>
              </w:numPr>
              <w:tabs>
                <w:tab w:val="left" w:pos="360"/>
              </w:tabs>
              <w:rPr>
                <w:sz w:val="24"/>
                <w:szCs w:val="24"/>
              </w:rPr>
            </w:pPr>
            <w:r w:rsidRPr="00E5464F">
              <w:rPr>
                <w:sz w:val="24"/>
                <w:szCs w:val="24"/>
              </w:rPr>
              <w:t xml:space="preserve">katra objekta  īpašnieka </w:t>
            </w:r>
            <w:r w:rsidR="00587FB5" w:rsidRPr="00E5464F">
              <w:rPr>
                <w:sz w:val="24"/>
                <w:szCs w:val="24"/>
              </w:rPr>
              <w:t xml:space="preserve">vai nozīmētas personas par civilo aizsardzību </w:t>
            </w:r>
            <w:r w:rsidRPr="00E5464F">
              <w:rPr>
                <w:sz w:val="24"/>
                <w:szCs w:val="24"/>
              </w:rPr>
              <w:t xml:space="preserve">patērētais laiks minētā darba izpildē </w:t>
            </w:r>
            <w:r w:rsidR="002A4CE0">
              <w:rPr>
                <w:sz w:val="24"/>
                <w:szCs w:val="24"/>
              </w:rPr>
              <w:t>168</w:t>
            </w:r>
            <w:r w:rsidR="002A4CE0" w:rsidRPr="00E5464F">
              <w:rPr>
                <w:sz w:val="24"/>
                <w:szCs w:val="24"/>
              </w:rPr>
              <w:t xml:space="preserve"> </w:t>
            </w:r>
            <w:r w:rsidRPr="00E5464F">
              <w:rPr>
                <w:sz w:val="24"/>
                <w:szCs w:val="24"/>
              </w:rPr>
              <w:t>stundas;</w:t>
            </w:r>
          </w:p>
          <w:p w14:paraId="22AA3512" w14:textId="77777777" w:rsidR="004D251F" w:rsidRPr="00E5464F" w:rsidRDefault="004D251F" w:rsidP="004D251F">
            <w:pPr>
              <w:numPr>
                <w:ilvl w:val="0"/>
                <w:numId w:val="15"/>
              </w:numPr>
              <w:tabs>
                <w:tab w:val="left" w:pos="360"/>
              </w:tabs>
              <w:rPr>
                <w:sz w:val="24"/>
                <w:szCs w:val="24"/>
              </w:rPr>
            </w:pPr>
            <w:r w:rsidRPr="00E5464F">
              <w:rPr>
                <w:sz w:val="24"/>
                <w:szCs w:val="24"/>
              </w:rPr>
              <w:t xml:space="preserve">aprēķinos izmantota vidējā  atlīdzība: </w:t>
            </w:r>
            <w:r w:rsidRPr="00E5464F">
              <w:rPr>
                <w:b/>
                <w:sz w:val="24"/>
                <w:szCs w:val="24"/>
              </w:rPr>
              <w:t xml:space="preserve">6.31 </w:t>
            </w:r>
            <w:proofErr w:type="spellStart"/>
            <w:r w:rsidRPr="00E5464F">
              <w:rPr>
                <w:b/>
                <w:i/>
                <w:sz w:val="24"/>
                <w:szCs w:val="24"/>
              </w:rPr>
              <w:t>euro</w:t>
            </w:r>
            <w:proofErr w:type="spellEnd"/>
            <w:r w:rsidRPr="00E5464F">
              <w:rPr>
                <w:i/>
                <w:sz w:val="24"/>
                <w:szCs w:val="24"/>
              </w:rPr>
              <w:t xml:space="preserve"> </w:t>
            </w:r>
            <w:r w:rsidRPr="00E5464F">
              <w:rPr>
                <w:sz w:val="24"/>
                <w:szCs w:val="24"/>
              </w:rPr>
              <w:t xml:space="preserve">stundā (Centrālās statistikas pārvaldes dati: 2016.gada vidējā darba samaksa (ar darba devēja VSAOI): 1061.64 </w:t>
            </w:r>
            <w:proofErr w:type="spellStart"/>
            <w:r w:rsidRPr="00E5464F">
              <w:rPr>
                <w:sz w:val="24"/>
                <w:szCs w:val="24"/>
              </w:rPr>
              <w:t>euro</w:t>
            </w:r>
            <w:proofErr w:type="spellEnd"/>
            <w:r w:rsidRPr="00E5464F">
              <w:rPr>
                <w:sz w:val="24"/>
                <w:szCs w:val="24"/>
              </w:rPr>
              <w:t>,  2016.gadā: 168.17 stundas/mēnesī);</w:t>
            </w:r>
          </w:p>
          <w:p w14:paraId="76C2ABBB" w14:textId="77777777" w:rsidR="004D251F" w:rsidRPr="00E5464F" w:rsidRDefault="004D251F" w:rsidP="004D251F">
            <w:pPr>
              <w:numPr>
                <w:ilvl w:val="0"/>
                <w:numId w:val="15"/>
              </w:numPr>
              <w:tabs>
                <w:tab w:val="left" w:pos="360"/>
              </w:tabs>
              <w:rPr>
                <w:sz w:val="24"/>
                <w:szCs w:val="24"/>
              </w:rPr>
            </w:pPr>
            <w:r w:rsidRPr="00E5464F">
              <w:rPr>
                <w:sz w:val="24"/>
                <w:szCs w:val="24"/>
              </w:rPr>
              <w:t>izmantotas 25 papīra lapas;</w:t>
            </w:r>
          </w:p>
          <w:p w14:paraId="25432DFB" w14:textId="77777777" w:rsidR="004D251F" w:rsidRPr="00E5464F" w:rsidRDefault="004D251F" w:rsidP="004D251F">
            <w:pPr>
              <w:pStyle w:val="Sarakstarindkopa"/>
              <w:numPr>
                <w:ilvl w:val="0"/>
                <w:numId w:val="15"/>
              </w:numPr>
              <w:rPr>
                <w:sz w:val="24"/>
                <w:szCs w:val="24"/>
              </w:rPr>
            </w:pPr>
            <w:r w:rsidRPr="00E5464F">
              <w:rPr>
                <w:sz w:val="24"/>
                <w:szCs w:val="24"/>
              </w:rPr>
              <w:t xml:space="preserve">vienas papīra lapas izmaksas </w:t>
            </w:r>
            <w:r w:rsidRPr="00E5464F">
              <w:rPr>
                <w:sz w:val="24"/>
                <w:szCs w:val="24"/>
              </w:rPr>
              <w:sym w:font="Symbol" w:char="F02D"/>
            </w:r>
            <w:r w:rsidRPr="00E5464F">
              <w:rPr>
                <w:sz w:val="24"/>
                <w:szCs w:val="24"/>
              </w:rPr>
              <w:t xml:space="preserve"> 0,05 </w:t>
            </w:r>
            <w:proofErr w:type="spellStart"/>
            <w:r w:rsidRPr="00E5464F">
              <w:rPr>
                <w:i/>
                <w:sz w:val="24"/>
                <w:szCs w:val="24"/>
              </w:rPr>
              <w:t>euro</w:t>
            </w:r>
            <w:proofErr w:type="spellEnd"/>
            <w:r w:rsidRPr="00E5464F">
              <w:rPr>
                <w:sz w:val="24"/>
                <w:szCs w:val="24"/>
              </w:rPr>
              <w:t>.</w:t>
            </w:r>
          </w:p>
          <w:p w14:paraId="1D47B234" w14:textId="36D3051B" w:rsidR="004D251F" w:rsidRPr="00E5464F" w:rsidRDefault="004D251F" w:rsidP="004D251F">
            <w:pPr>
              <w:tabs>
                <w:tab w:val="left" w:pos="360"/>
              </w:tabs>
              <w:rPr>
                <w:b/>
                <w:i/>
                <w:szCs w:val="28"/>
              </w:rPr>
            </w:pPr>
            <w:r w:rsidRPr="00E5464F">
              <w:rPr>
                <w:b/>
                <w:szCs w:val="28"/>
              </w:rPr>
              <w:t>C</w:t>
            </w:r>
            <w:r w:rsidRPr="00E5464F">
              <w:rPr>
                <w:b/>
                <w:szCs w:val="28"/>
                <w:vertAlign w:val="subscript"/>
              </w:rPr>
              <w:t>3</w:t>
            </w:r>
            <w:r w:rsidRPr="00E5464F">
              <w:rPr>
                <w:b/>
                <w:szCs w:val="28"/>
              </w:rPr>
              <w:t xml:space="preserve"> = (6.31 x </w:t>
            </w:r>
            <w:r w:rsidR="002A4CE0">
              <w:rPr>
                <w:b/>
                <w:szCs w:val="28"/>
              </w:rPr>
              <w:t>168</w:t>
            </w:r>
            <w:r w:rsidRPr="00E5464F">
              <w:rPr>
                <w:b/>
                <w:szCs w:val="28"/>
              </w:rPr>
              <w:t>) x (</w:t>
            </w:r>
            <w:r w:rsidR="002A4CE0">
              <w:rPr>
                <w:b/>
                <w:szCs w:val="28"/>
              </w:rPr>
              <w:t>1</w:t>
            </w:r>
            <w:r w:rsidR="002A4CE0" w:rsidRPr="00E5464F">
              <w:rPr>
                <w:b/>
                <w:szCs w:val="28"/>
              </w:rPr>
              <w:t xml:space="preserve"> </w:t>
            </w:r>
            <w:r w:rsidRPr="00E5464F">
              <w:rPr>
                <w:b/>
                <w:szCs w:val="28"/>
              </w:rPr>
              <w:t xml:space="preserve">x 1) + (25 x 0.05 x </w:t>
            </w:r>
            <w:r w:rsidR="002A4CE0">
              <w:rPr>
                <w:b/>
                <w:szCs w:val="28"/>
              </w:rPr>
              <w:t>1</w:t>
            </w:r>
            <w:r w:rsidRPr="00E5464F">
              <w:rPr>
                <w:b/>
                <w:szCs w:val="28"/>
              </w:rPr>
              <w:t>)*</w:t>
            </w:r>
            <w:r w:rsidRPr="00E5464F">
              <w:rPr>
                <w:b/>
                <w:color w:val="0000FF"/>
                <w:szCs w:val="28"/>
              </w:rPr>
              <w:t xml:space="preserve"> </w:t>
            </w:r>
            <w:r w:rsidRPr="00E5464F">
              <w:rPr>
                <w:b/>
                <w:szCs w:val="28"/>
              </w:rPr>
              <w:t xml:space="preserve">= </w:t>
            </w:r>
            <w:r w:rsidR="002A4CE0">
              <w:rPr>
                <w:b/>
                <w:szCs w:val="28"/>
              </w:rPr>
              <w:t>1061,33</w:t>
            </w:r>
            <w:r w:rsidRPr="00E5464F">
              <w:rPr>
                <w:b/>
                <w:szCs w:val="28"/>
              </w:rPr>
              <w:t xml:space="preserve"> </w:t>
            </w:r>
            <w:proofErr w:type="spellStart"/>
            <w:r w:rsidRPr="00E5464F">
              <w:rPr>
                <w:b/>
                <w:i/>
                <w:szCs w:val="28"/>
              </w:rPr>
              <w:t>euro</w:t>
            </w:r>
            <w:proofErr w:type="spellEnd"/>
          </w:p>
          <w:p w14:paraId="38CCAF1A" w14:textId="70C24408" w:rsidR="004D251F" w:rsidRPr="00E5464F" w:rsidRDefault="004D251F" w:rsidP="005A0975">
            <w:pPr>
              <w:tabs>
                <w:tab w:val="left" w:pos="360"/>
              </w:tabs>
              <w:rPr>
                <w:b/>
                <w:sz w:val="24"/>
                <w:szCs w:val="24"/>
              </w:rPr>
            </w:pPr>
            <w:r w:rsidRPr="00E5464F">
              <w:rPr>
                <w:i/>
                <w:sz w:val="24"/>
                <w:szCs w:val="24"/>
              </w:rPr>
              <w:t>* papīra izmaksas</w:t>
            </w:r>
          </w:p>
          <w:p w14:paraId="0D999C30" w14:textId="77777777" w:rsidR="004D251F" w:rsidRPr="00E5464F" w:rsidRDefault="004D251F" w:rsidP="004D251F">
            <w:pPr>
              <w:tabs>
                <w:tab w:val="left" w:pos="360"/>
              </w:tabs>
              <w:rPr>
                <w:i/>
                <w:sz w:val="24"/>
                <w:szCs w:val="24"/>
              </w:rPr>
            </w:pPr>
          </w:p>
          <w:p w14:paraId="59098320" w14:textId="1011B659" w:rsidR="004D251F" w:rsidRPr="00E5464F" w:rsidRDefault="002A4CE0" w:rsidP="004D251F">
            <w:pPr>
              <w:tabs>
                <w:tab w:val="left" w:pos="360"/>
              </w:tabs>
              <w:ind w:firstLine="360"/>
              <w:rPr>
                <w:sz w:val="24"/>
                <w:szCs w:val="24"/>
              </w:rPr>
            </w:pPr>
            <w:r>
              <w:rPr>
                <w:rFonts w:eastAsia="Times New Roman"/>
                <w:sz w:val="24"/>
                <w:szCs w:val="24"/>
                <w:lang w:eastAsia="lv-LV"/>
              </w:rPr>
              <w:t>3</w:t>
            </w:r>
            <w:r w:rsidR="004D251F" w:rsidRPr="00E5464F">
              <w:rPr>
                <w:rFonts w:eastAsia="Times New Roman"/>
                <w:sz w:val="24"/>
                <w:szCs w:val="24"/>
                <w:lang w:eastAsia="lv-LV"/>
              </w:rPr>
              <w:t>. Civilās aizsardzības un katastrofas pārvaldīšanas mācību dokumentācijas izstrāde:</w:t>
            </w:r>
          </w:p>
          <w:p w14:paraId="5CF84A79" w14:textId="77777777" w:rsidR="004D251F" w:rsidRPr="00E5464F" w:rsidRDefault="004D251F" w:rsidP="004D251F">
            <w:pPr>
              <w:tabs>
                <w:tab w:val="left" w:pos="360"/>
              </w:tabs>
              <w:rPr>
                <w:sz w:val="24"/>
                <w:szCs w:val="24"/>
              </w:rPr>
            </w:pPr>
            <w:r w:rsidRPr="00E5464F">
              <w:rPr>
                <w:sz w:val="24"/>
                <w:szCs w:val="24"/>
              </w:rPr>
              <w:t xml:space="preserve">Minētos dokumentu izstrādā reizi trijos gados. </w:t>
            </w:r>
          </w:p>
          <w:p w14:paraId="3C4DFAB8" w14:textId="77777777" w:rsidR="004D251F" w:rsidRPr="00E5464F" w:rsidRDefault="004D251F" w:rsidP="004D251F">
            <w:pPr>
              <w:tabs>
                <w:tab w:val="left" w:pos="360"/>
              </w:tabs>
              <w:rPr>
                <w:sz w:val="24"/>
                <w:szCs w:val="24"/>
              </w:rPr>
            </w:pPr>
            <w:r w:rsidRPr="00E5464F">
              <w:rPr>
                <w:sz w:val="24"/>
                <w:szCs w:val="24"/>
              </w:rPr>
              <w:t>VUGD pieņēmumi:</w:t>
            </w:r>
          </w:p>
          <w:p w14:paraId="6916F7D7" w14:textId="0B4BFAB4" w:rsidR="004D251F" w:rsidRPr="00E5464F" w:rsidRDefault="004D251F" w:rsidP="004D251F">
            <w:pPr>
              <w:numPr>
                <w:ilvl w:val="0"/>
                <w:numId w:val="15"/>
              </w:numPr>
              <w:tabs>
                <w:tab w:val="left" w:pos="360"/>
              </w:tabs>
              <w:rPr>
                <w:sz w:val="24"/>
                <w:szCs w:val="24"/>
              </w:rPr>
            </w:pPr>
            <w:r w:rsidRPr="00E5464F">
              <w:rPr>
                <w:sz w:val="24"/>
                <w:szCs w:val="24"/>
              </w:rPr>
              <w:lastRenderedPageBreak/>
              <w:t>katra objekta  īpašnieka</w:t>
            </w:r>
            <w:r w:rsidR="00B175AA" w:rsidRPr="00E5464F">
              <w:rPr>
                <w:sz w:val="24"/>
                <w:szCs w:val="24"/>
              </w:rPr>
              <w:t xml:space="preserve"> vai nozīmētas personas par civilo aizsardzību</w:t>
            </w:r>
            <w:r w:rsidRPr="00E5464F">
              <w:rPr>
                <w:sz w:val="24"/>
                <w:szCs w:val="24"/>
              </w:rPr>
              <w:t xml:space="preserve"> patērētais laiks minētā darba izpildē </w:t>
            </w:r>
            <w:r w:rsidR="002A4CE0">
              <w:rPr>
                <w:sz w:val="24"/>
                <w:szCs w:val="24"/>
              </w:rPr>
              <w:t>168</w:t>
            </w:r>
            <w:r w:rsidRPr="00E5464F">
              <w:rPr>
                <w:sz w:val="24"/>
                <w:szCs w:val="24"/>
              </w:rPr>
              <w:t>stundas;</w:t>
            </w:r>
          </w:p>
          <w:p w14:paraId="312EDEDB" w14:textId="77777777" w:rsidR="004D251F" w:rsidRPr="00E5464F" w:rsidRDefault="004D251F" w:rsidP="004D251F">
            <w:pPr>
              <w:numPr>
                <w:ilvl w:val="0"/>
                <w:numId w:val="15"/>
              </w:numPr>
              <w:tabs>
                <w:tab w:val="left" w:pos="360"/>
              </w:tabs>
              <w:rPr>
                <w:sz w:val="24"/>
                <w:szCs w:val="24"/>
              </w:rPr>
            </w:pPr>
            <w:r w:rsidRPr="00E5464F">
              <w:rPr>
                <w:sz w:val="24"/>
                <w:szCs w:val="24"/>
              </w:rPr>
              <w:t xml:space="preserve">aprēķinos izmantota vidējā  atlīdzība: </w:t>
            </w:r>
            <w:r w:rsidRPr="00E5464F">
              <w:rPr>
                <w:b/>
                <w:sz w:val="24"/>
                <w:szCs w:val="24"/>
              </w:rPr>
              <w:t xml:space="preserve">6.31 </w:t>
            </w:r>
            <w:proofErr w:type="spellStart"/>
            <w:r w:rsidRPr="00E5464F">
              <w:rPr>
                <w:b/>
                <w:i/>
                <w:sz w:val="24"/>
                <w:szCs w:val="24"/>
              </w:rPr>
              <w:t>euro</w:t>
            </w:r>
            <w:proofErr w:type="spellEnd"/>
            <w:r w:rsidRPr="00E5464F">
              <w:rPr>
                <w:i/>
                <w:sz w:val="24"/>
                <w:szCs w:val="24"/>
              </w:rPr>
              <w:t xml:space="preserve"> </w:t>
            </w:r>
            <w:r w:rsidRPr="00E5464F">
              <w:rPr>
                <w:sz w:val="24"/>
                <w:szCs w:val="24"/>
              </w:rPr>
              <w:t xml:space="preserve">stundā (Centrālās statistikas pārvaldes dati: 2016.gada vidējā darba samaksa (ar darba devēja VSAOI): 1061.64 </w:t>
            </w:r>
            <w:proofErr w:type="spellStart"/>
            <w:r w:rsidRPr="00E5464F">
              <w:rPr>
                <w:sz w:val="24"/>
                <w:szCs w:val="24"/>
              </w:rPr>
              <w:t>euro</w:t>
            </w:r>
            <w:proofErr w:type="spellEnd"/>
            <w:r w:rsidRPr="00E5464F">
              <w:rPr>
                <w:sz w:val="24"/>
                <w:szCs w:val="24"/>
              </w:rPr>
              <w:t xml:space="preserve">,  2016.gadā: 168.17 stundas/mēnesī); </w:t>
            </w:r>
          </w:p>
          <w:p w14:paraId="6E2832AD" w14:textId="77777777" w:rsidR="004D251F" w:rsidRPr="00E5464F" w:rsidRDefault="004D251F" w:rsidP="004D251F">
            <w:pPr>
              <w:numPr>
                <w:ilvl w:val="0"/>
                <w:numId w:val="15"/>
              </w:numPr>
              <w:tabs>
                <w:tab w:val="left" w:pos="360"/>
              </w:tabs>
              <w:rPr>
                <w:sz w:val="24"/>
                <w:szCs w:val="24"/>
              </w:rPr>
            </w:pPr>
            <w:r w:rsidRPr="00E5464F">
              <w:rPr>
                <w:sz w:val="24"/>
                <w:szCs w:val="24"/>
              </w:rPr>
              <w:t>izmantotas 15 papīra lapas;</w:t>
            </w:r>
          </w:p>
          <w:p w14:paraId="172CFCC1" w14:textId="77777777" w:rsidR="004D251F" w:rsidRPr="00E5464F" w:rsidRDefault="004D251F" w:rsidP="004D251F">
            <w:pPr>
              <w:pStyle w:val="Sarakstarindkopa"/>
              <w:numPr>
                <w:ilvl w:val="0"/>
                <w:numId w:val="15"/>
              </w:numPr>
              <w:rPr>
                <w:sz w:val="24"/>
                <w:szCs w:val="24"/>
              </w:rPr>
            </w:pPr>
            <w:r w:rsidRPr="00E5464F">
              <w:rPr>
                <w:sz w:val="24"/>
                <w:szCs w:val="24"/>
              </w:rPr>
              <w:t xml:space="preserve">vienas papīra lapas izmaksas </w:t>
            </w:r>
            <w:r w:rsidRPr="00E5464F">
              <w:rPr>
                <w:sz w:val="24"/>
                <w:szCs w:val="24"/>
              </w:rPr>
              <w:sym w:font="Symbol" w:char="F02D"/>
            </w:r>
            <w:r w:rsidRPr="00E5464F">
              <w:rPr>
                <w:sz w:val="24"/>
                <w:szCs w:val="24"/>
              </w:rPr>
              <w:t xml:space="preserve"> 0,05 </w:t>
            </w:r>
            <w:proofErr w:type="spellStart"/>
            <w:r w:rsidRPr="00E5464F">
              <w:rPr>
                <w:i/>
                <w:sz w:val="24"/>
                <w:szCs w:val="24"/>
              </w:rPr>
              <w:t>euro</w:t>
            </w:r>
            <w:proofErr w:type="spellEnd"/>
            <w:r w:rsidRPr="00E5464F">
              <w:rPr>
                <w:sz w:val="24"/>
                <w:szCs w:val="24"/>
              </w:rPr>
              <w:t>.</w:t>
            </w:r>
          </w:p>
          <w:p w14:paraId="33E92CCA" w14:textId="2F000B10" w:rsidR="004D251F" w:rsidRPr="00E5464F" w:rsidRDefault="004D251F" w:rsidP="004D251F">
            <w:pPr>
              <w:tabs>
                <w:tab w:val="left" w:pos="360"/>
              </w:tabs>
              <w:rPr>
                <w:b/>
                <w:i/>
                <w:szCs w:val="28"/>
              </w:rPr>
            </w:pPr>
            <w:r w:rsidRPr="00E5464F">
              <w:rPr>
                <w:b/>
                <w:szCs w:val="28"/>
              </w:rPr>
              <w:t>C</w:t>
            </w:r>
            <w:r w:rsidRPr="00E5464F">
              <w:rPr>
                <w:b/>
                <w:szCs w:val="28"/>
                <w:vertAlign w:val="subscript"/>
              </w:rPr>
              <w:t>5</w:t>
            </w:r>
            <w:r w:rsidRPr="00E5464F">
              <w:rPr>
                <w:b/>
                <w:szCs w:val="28"/>
              </w:rPr>
              <w:t xml:space="preserve"> = (6.31 x </w:t>
            </w:r>
            <w:r w:rsidR="002A4CE0">
              <w:rPr>
                <w:b/>
                <w:szCs w:val="28"/>
              </w:rPr>
              <w:t>168</w:t>
            </w:r>
            <w:r w:rsidRPr="00E5464F">
              <w:rPr>
                <w:b/>
                <w:szCs w:val="28"/>
              </w:rPr>
              <w:t xml:space="preserve"> x (</w:t>
            </w:r>
            <w:r w:rsidR="002A4CE0">
              <w:rPr>
                <w:b/>
                <w:szCs w:val="28"/>
              </w:rPr>
              <w:t>1</w:t>
            </w:r>
            <w:r w:rsidR="002A4CE0" w:rsidRPr="00E5464F">
              <w:rPr>
                <w:b/>
                <w:szCs w:val="28"/>
              </w:rPr>
              <w:t xml:space="preserve"> </w:t>
            </w:r>
            <w:r w:rsidRPr="00E5464F">
              <w:rPr>
                <w:b/>
                <w:szCs w:val="28"/>
              </w:rPr>
              <w:t xml:space="preserve">x 1) + (15 x 0.05 x </w:t>
            </w:r>
            <w:r w:rsidR="002A4CE0">
              <w:rPr>
                <w:b/>
                <w:szCs w:val="28"/>
              </w:rPr>
              <w:t>1</w:t>
            </w:r>
            <w:r w:rsidRPr="00E5464F">
              <w:rPr>
                <w:b/>
                <w:szCs w:val="28"/>
              </w:rPr>
              <w:t>)*</w:t>
            </w:r>
            <w:r w:rsidRPr="00E5464F">
              <w:rPr>
                <w:b/>
                <w:color w:val="0000FF"/>
                <w:szCs w:val="28"/>
              </w:rPr>
              <w:t xml:space="preserve"> </w:t>
            </w:r>
            <w:r w:rsidRPr="00E5464F">
              <w:rPr>
                <w:b/>
                <w:szCs w:val="28"/>
              </w:rPr>
              <w:t xml:space="preserve">= </w:t>
            </w:r>
            <w:r w:rsidR="002C109D">
              <w:rPr>
                <w:b/>
                <w:szCs w:val="28"/>
              </w:rPr>
              <w:t>1060,83</w:t>
            </w:r>
            <w:r w:rsidRPr="00E5464F">
              <w:rPr>
                <w:b/>
                <w:szCs w:val="28"/>
              </w:rPr>
              <w:t xml:space="preserve"> </w:t>
            </w:r>
            <w:proofErr w:type="spellStart"/>
            <w:r w:rsidRPr="00E5464F">
              <w:rPr>
                <w:b/>
                <w:i/>
                <w:szCs w:val="28"/>
              </w:rPr>
              <w:t>euro</w:t>
            </w:r>
            <w:proofErr w:type="spellEnd"/>
          </w:p>
          <w:p w14:paraId="13680F76" w14:textId="77777777" w:rsidR="004D251F" w:rsidRPr="00E5464F" w:rsidRDefault="004D251F" w:rsidP="004D251F">
            <w:pPr>
              <w:tabs>
                <w:tab w:val="left" w:pos="360"/>
              </w:tabs>
              <w:rPr>
                <w:i/>
                <w:sz w:val="24"/>
                <w:szCs w:val="24"/>
              </w:rPr>
            </w:pPr>
            <w:r w:rsidRPr="00E5464F">
              <w:rPr>
                <w:i/>
                <w:sz w:val="24"/>
                <w:szCs w:val="24"/>
              </w:rPr>
              <w:t>* papīra izmaksas</w:t>
            </w:r>
          </w:p>
          <w:p w14:paraId="1A25DFB0" w14:textId="77777777" w:rsidR="004D251F" w:rsidRPr="00E5464F" w:rsidRDefault="004D251F" w:rsidP="004D251F">
            <w:pPr>
              <w:rPr>
                <w:b/>
                <w:sz w:val="24"/>
                <w:szCs w:val="24"/>
              </w:rPr>
            </w:pPr>
          </w:p>
          <w:p w14:paraId="3A0310CB" w14:textId="77777777" w:rsidR="004D251F" w:rsidRPr="00E5464F" w:rsidRDefault="004D251F" w:rsidP="004D251F">
            <w:pPr>
              <w:rPr>
                <w:b/>
                <w:sz w:val="24"/>
                <w:szCs w:val="24"/>
              </w:rPr>
            </w:pPr>
            <w:r w:rsidRPr="00E5464F">
              <w:rPr>
                <w:b/>
                <w:sz w:val="24"/>
                <w:szCs w:val="24"/>
              </w:rPr>
              <w:t xml:space="preserve">Administratīvās izmaksas PAVISAM: </w:t>
            </w:r>
          </w:p>
          <w:p w14:paraId="2D414947" w14:textId="77777777" w:rsidR="00D1691E" w:rsidRDefault="004D251F" w:rsidP="002C109D">
            <w:pPr>
              <w:tabs>
                <w:tab w:val="left" w:pos="360"/>
              </w:tabs>
              <w:rPr>
                <w:b/>
                <w:i/>
                <w:szCs w:val="28"/>
              </w:rPr>
            </w:pPr>
            <w:r w:rsidRPr="00E5464F">
              <w:rPr>
                <w:b/>
                <w:szCs w:val="28"/>
              </w:rPr>
              <w:t>C</w:t>
            </w:r>
            <w:r w:rsidRPr="00E5464F">
              <w:rPr>
                <w:b/>
                <w:color w:val="0000FF"/>
                <w:szCs w:val="28"/>
              </w:rPr>
              <w:t xml:space="preserve"> </w:t>
            </w:r>
            <w:r w:rsidRPr="00E5464F">
              <w:rPr>
                <w:b/>
                <w:szCs w:val="28"/>
              </w:rPr>
              <w:t>= C</w:t>
            </w:r>
            <w:r w:rsidRPr="00E5464F">
              <w:rPr>
                <w:b/>
                <w:szCs w:val="28"/>
                <w:vertAlign w:val="subscript"/>
              </w:rPr>
              <w:t>1</w:t>
            </w:r>
            <w:r w:rsidRPr="00E5464F">
              <w:rPr>
                <w:b/>
                <w:szCs w:val="28"/>
              </w:rPr>
              <w:t>+ C</w:t>
            </w:r>
            <w:r w:rsidRPr="00E5464F">
              <w:rPr>
                <w:b/>
                <w:szCs w:val="28"/>
                <w:vertAlign w:val="subscript"/>
              </w:rPr>
              <w:t>2</w:t>
            </w:r>
            <w:r w:rsidRPr="00E5464F">
              <w:rPr>
                <w:b/>
                <w:szCs w:val="28"/>
              </w:rPr>
              <w:t xml:space="preserve"> + C</w:t>
            </w:r>
            <w:r w:rsidRPr="00E5464F">
              <w:rPr>
                <w:b/>
                <w:szCs w:val="28"/>
                <w:vertAlign w:val="subscript"/>
              </w:rPr>
              <w:t>3</w:t>
            </w:r>
            <w:r w:rsidRPr="00E5464F">
              <w:rPr>
                <w:b/>
                <w:szCs w:val="28"/>
              </w:rPr>
              <w:t xml:space="preserve"> = </w:t>
            </w:r>
            <w:r w:rsidR="002C109D">
              <w:rPr>
                <w:b/>
                <w:szCs w:val="28"/>
              </w:rPr>
              <w:t>126,25</w:t>
            </w:r>
            <w:r w:rsidRPr="00E5464F">
              <w:rPr>
                <w:b/>
                <w:szCs w:val="28"/>
              </w:rPr>
              <w:t xml:space="preserve"> + </w:t>
            </w:r>
            <w:r w:rsidR="002C109D">
              <w:rPr>
                <w:b/>
                <w:szCs w:val="28"/>
              </w:rPr>
              <w:t>1061,33</w:t>
            </w:r>
            <w:r w:rsidRPr="00E5464F">
              <w:rPr>
                <w:b/>
                <w:szCs w:val="28"/>
              </w:rPr>
              <w:t xml:space="preserve"> + </w:t>
            </w:r>
            <w:r w:rsidR="002C109D">
              <w:rPr>
                <w:b/>
                <w:szCs w:val="28"/>
              </w:rPr>
              <w:t>1060,83</w:t>
            </w:r>
            <w:r w:rsidRPr="00E5464F">
              <w:rPr>
                <w:b/>
                <w:szCs w:val="28"/>
              </w:rPr>
              <w:t xml:space="preserve"> = </w:t>
            </w:r>
            <w:r w:rsidR="002C109D">
              <w:rPr>
                <w:b/>
                <w:szCs w:val="28"/>
              </w:rPr>
              <w:t>2248,41</w:t>
            </w:r>
            <w:r w:rsidRPr="00E5464F">
              <w:rPr>
                <w:b/>
                <w:szCs w:val="28"/>
              </w:rPr>
              <w:t xml:space="preserve"> </w:t>
            </w:r>
            <w:proofErr w:type="spellStart"/>
            <w:r w:rsidRPr="00E5464F">
              <w:rPr>
                <w:b/>
                <w:i/>
                <w:szCs w:val="28"/>
              </w:rPr>
              <w:t>euro</w:t>
            </w:r>
            <w:proofErr w:type="spellEnd"/>
          </w:p>
          <w:p w14:paraId="22A81BE2" w14:textId="471CF553" w:rsidR="005A0975" w:rsidRPr="00E5464F" w:rsidRDefault="005A0975" w:rsidP="002C109D">
            <w:pPr>
              <w:tabs>
                <w:tab w:val="left" w:pos="360"/>
              </w:tabs>
              <w:rPr>
                <w:b/>
                <w:color w:val="0000FF"/>
                <w:szCs w:val="28"/>
              </w:rPr>
            </w:pPr>
          </w:p>
        </w:tc>
      </w:tr>
      <w:tr w:rsidR="00D1691E" w:rsidRPr="00E5464F" w14:paraId="66540D03" w14:textId="77777777" w:rsidTr="00945CCB">
        <w:trPr>
          <w:trHeight w:val="284"/>
        </w:trPr>
        <w:tc>
          <w:tcPr>
            <w:tcW w:w="710" w:type="dxa"/>
          </w:tcPr>
          <w:p w14:paraId="5BC1FC76" w14:textId="77777777" w:rsidR="00D1691E" w:rsidRPr="00E5464F" w:rsidRDefault="00D1691E" w:rsidP="007A7ADE">
            <w:pPr>
              <w:spacing w:before="100" w:beforeAutospacing="1" w:after="100" w:afterAutospacing="1"/>
              <w:ind w:firstLine="0"/>
              <w:jc w:val="center"/>
              <w:rPr>
                <w:sz w:val="24"/>
                <w:szCs w:val="24"/>
              </w:rPr>
            </w:pPr>
            <w:r w:rsidRPr="00E5464F">
              <w:rPr>
                <w:sz w:val="24"/>
                <w:szCs w:val="24"/>
              </w:rPr>
              <w:lastRenderedPageBreak/>
              <w:t>4.</w:t>
            </w:r>
          </w:p>
        </w:tc>
        <w:tc>
          <w:tcPr>
            <w:tcW w:w="2976" w:type="dxa"/>
          </w:tcPr>
          <w:p w14:paraId="3BFF2890" w14:textId="77777777" w:rsidR="00D1691E" w:rsidRPr="00E5464F" w:rsidRDefault="00D1691E" w:rsidP="001F5735">
            <w:pPr>
              <w:spacing w:before="100" w:beforeAutospacing="1" w:after="100" w:afterAutospacing="1"/>
              <w:ind w:firstLine="131"/>
              <w:rPr>
                <w:sz w:val="24"/>
                <w:szCs w:val="24"/>
              </w:rPr>
            </w:pPr>
            <w:r w:rsidRPr="00E5464F">
              <w:rPr>
                <w:sz w:val="24"/>
                <w:szCs w:val="24"/>
              </w:rPr>
              <w:t>Cita informācija</w:t>
            </w:r>
          </w:p>
        </w:tc>
        <w:tc>
          <w:tcPr>
            <w:tcW w:w="5669" w:type="dxa"/>
          </w:tcPr>
          <w:p w14:paraId="46C3F328" w14:textId="77777777" w:rsidR="00D1691E" w:rsidRPr="00E5464F" w:rsidRDefault="00D1691E" w:rsidP="007A7ADE">
            <w:pPr>
              <w:spacing w:before="100" w:beforeAutospacing="1" w:after="100" w:afterAutospacing="1"/>
              <w:ind w:firstLine="340"/>
              <w:rPr>
                <w:sz w:val="24"/>
                <w:szCs w:val="24"/>
              </w:rPr>
            </w:pPr>
            <w:r w:rsidRPr="00E5464F">
              <w:rPr>
                <w:sz w:val="24"/>
                <w:szCs w:val="24"/>
              </w:rPr>
              <w:t>Nav.</w:t>
            </w:r>
          </w:p>
        </w:tc>
      </w:tr>
    </w:tbl>
    <w:p w14:paraId="418410DE" w14:textId="77777777" w:rsidR="00BF33FF" w:rsidRPr="00E5464F" w:rsidRDefault="00BF33FF" w:rsidP="00F50C84">
      <w:pPr>
        <w:ind w:firstLine="0"/>
        <w:jc w:val="left"/>
        <w:rPr>
          <w:sz w:val="24"/>
          <w:szCs w:val="24"/>
          <w:lang w:eastAsia="lv-LV"/>
        </w:rPr>
      </w:pPr>
    </w:p>
    <w:tbl>
      <w:tblPr>
        <w:tblStyle w:val="Reatabula"/>
        <w:tblW w:w="9351" w:type="dxa"/>
        <w:tblInd w:w="-285" w:type="dxa"/>
        <w:tblLook w:val="04A0" w:firstRow="1" w:lastRow="0" w:firstColumn="1" w:lastColumn="0" w:noHBand="0" w:noVBand="1"/>
      </w:tblPr>
      <w:tblGrid>
        <w:gridCol w:w="728"/>
        <w:gridCol w:w="2954"/>
        <w:gridCol w:w="5669"/>
      </w:tblGrid>
      <w:tr w:rsidR="00394F72" w:rsidRPr="00E5464F" w14:paraId="35984EC7" w14:textId="77777777" w:rsidTr="00945CCB">
        <w:tc>
          <w:tcPr>
            <w:tcW w:w="9351" w:type="dxa"/>
            <w:gridSpan w:val="3"/>
          </w:tcPr>
          <w:p w14:paraId="0287FA41" w14:textId="77777777" w:rsidR="00394F72" w:rsidRPr="00E5464F"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E5464F">
              <w:rPr>
                <w:b/>
                <w:bCs/>
              </w:rPr>
              <w:t>VI. Sabiedrības līdzdalība un komunikācijas aktivitātes</w:t>
            </w:r>
          </w:p>
        </w:tc>
      </w:tr>
      <w:tr w:rsidR="00394F72" w:rsidRPr="00E5464F" w14:paraId="03758F7A" w14:textId="77777777" w:rsidTr="00945CCB">
        <w:tc>
          <w:tcPr>
            <w:tcW w:w="728" w:type="dxa"/>
          </w:tcPr>
          <w:p w14:paraId="2F1306DB" w14:textId="77777777" w:rsidR="00394F72" w:rsidRPr="00E5464F" w:rsidRDefault="00394F72" w:rsidP="00592E2E">
            <w:pPr>
              <w:spacing w:before="100" w:beforeAutospacing="1" w:after="100" w:afterAutospacing="1"/>
              <w:ind w:firstLine="29"/>
              <w:rPr>
                <w:sz w:val="24"/>
                <w:szCs w:val="24"/>
              </w:rPr>
            </w:pPr>
            <w:r w:rsidRPr="00E5464F">
              <w:rPr>
                <w:sz w:val="24"/>
                <w:szCs w:val="24"/>
              </w:rPr>
              <w:t>1.</w:t>
            </w:r>
          </w:p>
        </w:tc>
        <w:tc>
          <w:tcPr>
            <w:tcW w:w="2954" w:type="dxa"/>
          </w:tcPr>
          <w:p w14:paraId="07FAD2E2" w14:textId="77777777" w:rsidR="00394F72" w:rsidRPr="00E5464F" w:rsidRDefault="00394F72" w:rsidP="00592E2E">
            <w:pPr>
              <w:spacing w:before="100" w:beforeAutospacing="1" w:after="100" w:afterAutospacing="1"/>
              <w:ind w:left="-86" w:firstLine="284"/>
              <w:rPr>
                <w:sz w:val="24"/>
                <w:szCs w:val="24"/>
              </w:rPr>
            </w:pPr>
            <w:r w:rsidRPr="00E5464F">
              <w:rPr>
                <w:sz w:val="24"/>
                <w:szCs w:val="24"/>
                <w:shd w:val="clear" w:color="auto" w:fill="FFFFFF"/>
              </w:rPr>
              <w:t>Plānotās sabiedrības līdzdalības un komunikācijas aktivitātes saistībā ar projektu</w:t>
            </w:r>
          </w:p>
        </w:tc>
        <w:tc>
          <w:tcPr>
            <w:tcW w:w="5669" w:type="dxa"/>
          </w:tcPr>
          <w:p w14:paraId="485427D4" w14:textId="77777777" w:rsidR="00394F72" w:rsidRDefault="00787F59" w:rsidP="004878BD">
            <w:pPr>
              <w:ind w:left="57" w:firstLine="346"/>
              <w:rPr>
                <w:sz w:val="24"/>
                <w:szCs w:val="24"/>
              </w:rPr>
            </w:pPr>
            <w:r w:rsidRPr="00E5464F">
              <w:rPr>
                <w:sz w:val="24"/>
                <w:szCs w:val="24"/>
              </w:rPr>
              <w:t>Sabiedrības līdzdalība tik</w:t>
            </w:r>
            <w:r w:rsidR="004878BD" w:rsidRPr="00E5464F">
              <w:rPr>
                <w:sz w:val="24"/>
                <w:szCs w:val="24"/>
              </w:rPr>
              <w:t>s</w:t>
            </w:r>
            <w:r w:rsidRPr="00E5464F">
              <w:rPr>
                <w:sz w:val="24"/>
                <w:szCs w:val="24"/>
              </w:rPr>
              <w:t xml:space="preserve"> nodrošināta saskaņā ar Ministru kabineta 2009.gada 25.augusta noteikumiem Nr.970 “Sabiedrības līdzdalības kārtība attīstības plānošanas procesā”, sagatavojot un publicējot paziņojumu par līdzdalības procesu. </w:t>
            </w:r>
            <w:r w:rsidR="00592E2E" w:rsidRPr="00E5464F">
              <w:rPr>
                <w:sz w:val="24"/>
                <w:szCs w:val="24"/>
              </w:rPr>
              <w:t xml:space="preserve">Projekts </w:t>
            </w:r>
            <w:r w:rsidR="004878BD" w:rsidRPr="00E5464F">
              <w:rPr>
                <w:sz w:val="24"/>
                <w:szCs w:val="24"/>
              </w:rPr>
              <w:t>tiks</w:t>
            </w:r>
            <w:r w:rsidR="00592E2E" w:rsidRPr="00E5464F">
              <w:rPr>
                <w:sz w:val="24"/>
                <w:szCs w:val="24"/>
              </w:rPr>
              <w:t xml:space="preserve"> publicēts Iekšlietu ministrijas tīmekļa vietnē sadaļā „Sabiedrības līdzdalība”.</w:t>
            </w:r>
          </w:p>
          <w:p w14:paraId="3C78DAFA" w14:textId="77777777" w:rsidR="005A0975" w:rsidRPr="00E5464F" w:rsidRDefault="005A0975" w:rsidP="004878BD">
            <w:pPr>
              <w:ind w:left="57" w:firstLine="346"/>
              <w:rPr>
                <w:sz w:val="24"/>
                <w:szCs w:val="24"/>
              </w:rPr>
            </w:pPr>
          </w:p>
        </w:tc>
      </w:tr>
      <w:tr w:rsidR="00394F72" w:rsidRPr="00E5464F" w14:paraId="29E5D5C5" w14:textId="77777777" w:rsidTr="00945CCB">
        <w:trPr>
          <w:trHeight w:val="284"/>
        </w:trPr>
        <w:tc>
          <w:tcPr>
            <w:tcW w:w="728" w:type="dxa"/>
          </w:tcPr>
          <w:p w14:paraId="500DE8F3" w14:textId="77777777" w:rsidR="00394F72" w:rsidRPr="00E5464F" w:rsidRDefault="00394F72" w:rsidP="00592E2E">
            <w:pPr>
              <w:spacing w:before="100" w:beforeAutospacing="1" w:after="100" w:afterAutospacing="1"/>
              <w:ind w:firstLine="29"/>
              <w:rPr>
                <w:sz w:val="24"/>
                <w:szCs w:val="24"/>
              </w:rPr>
            </w:pPr>
            <w:r w:rsidRPr="00E5464F">
              <w:rPr>
                <w:sz w:val="24"/>
                <w:szCs w:val="24"/>
              </w:rPr>
              <w:t>2.</w:t>
            </w:r>
          </w:p>
        </w:tc>
        <w:tc>
          <w:tcPr>
            <w:tcW w:w="2954" w:type="dxa"/>
          </w:tcPr>
          <w:p w14:paraId="40AEA3DE" w14:textId="77777777" w:rsidR="00394F72" w:rsidRPr="00E5464F" w:rsidRDefault="00394F72" w:rsidP="00592E2E">
            <w:pPr>
              <w:spacing w:before="100" w:beforeAutospacing="1" w:after="100" w:afterAutospacing="1"/>
              <w:ind w:left="-86" w:firstLine="284"/>
              <w:rPr>
                <w:sz w:val="24"/>
                <w:szCs w:val="24"/>
              </w:rPr>
            </w:pPr>
            <w:r w:rsidRPr="00E5464F">
              <w:rPr>
                <w:sz w:val="24"/>
                <w:szCs w:val="24"/>
                <w:shd w:val="clear" w:color="auto" w:fill="FFFFFF"/>
              </w:rPr>
              <w:t>Sabiedrības līdzdalība projekta izstrādē</w:t>
            </w:r>
          </w:p>
        </w:tc>
        <w:tc>
          <w:tcPr>
            <w:tcW w:w="5669" w:type="dxa"/>
          </w:tcPr>
          <w:p w14:paraId="5F88DDAC" w14:textId="77777777" w:rsidR="005A0975" w:rsidRDefault="00787F59" w:rsidP="004878BD">
            <w:pPr>
              <w:ind w:left="57" w:firstLine="284"/>
              <w:rPr>
                <w:rFonts w:eastAsia="Times New Roman"/>
                <w:sz w:val="24"/>
                <w:szCs w:val="24"/>
                <w:lang w:eastAsia="lv-LV"/>
              </w:rPr>
            </w:pPr>
            <w:r w:rsidRPr="00E5464F">
              <w:rPr>
                <w:rFonts w:eastAsia="Times New Roman"/>
                <w:sz w:val="24"/>
                <w:szCs w:val="24"/>
                <w:lang w:eastAsia="lv-LV"/>
              </w:rPr>
              <w:t xml:space="preserve">Projekts un tā sākotnējās ietekmes novērtējuma ziņojums (anotācija) </w:t>
            </w:r>
            <w:r w:rsidR="005146EF" w:rsidRPr="00E5464F">
              <w:rPr>
                <w:rFonts w:eastAsia="Times New Roman"/>
                <w:sz w:val="24"/>
                <w:szCs w:val="24"/>
                <w:lang w:eastAsia="lv-LV"/>
              </w:rPr>
              <w:t xml:space="preserve">tiks </w:t>
            </w:r>
            <w:r w:rsidRPr="00E5464F">
              <w:rPr>
                <w:rFonts w:eastAsia="Times New Roman"/>
                <w:sz w:val="24"/>
                <w:szCs w:val="24"/>
                <w:lang w:eastAsia="lv-LV"/>
              </w:rPr>
              <w:t>ievietots Iek</w:t>
            </w:r>
            <w:r w:rsidR="004878BD" w:rsidRPr="00E5464F">
              <w:rPr>
                <w:rFonts w:eastAsia="Times New Roman"/>
                <w:sz w:val="24"/>
                <w:szCs w:val="24"/>
                <w:lang w:eastAsia="lv-LV"/>
              </w:rPr>
              <w:t xml:space="preserve">šlietu ministrijas tīmekļvietnē, </w:t>
            </w:r>
            <w:r w:rsidRPr="00E5464F">
              <w:rPr>
                <w:rFonts w:eastAsia="Times New Roman"/>
                <w:sz w:val="24"/>
                <w:szCs w:val="24"/>
                <w:lang w:eastAsia="lv-LV"/>
              </w:rPr>
              <w:t>sadaļā “Sabiedrības līdzdalība”, aicinot sabiedrību rakstveidā izteikt savu viedokli par projektu.</w:t>
            </w:r>
          </w:p>
          <w:p w14:paraId="06D16394" w14:textId="20ACF5FD" w:rsidR="00394F72" w:rsidRPr="00E5464F" w:rsidRDefault="00787F59" w:rsidP="004878BD">
            <w:pPr>
              <w:ind w:left="57" w:firstLine="284"/>
              <w:rPr>
                <w:sz w:val="24"/>
                <w:szCs w:val="24"/>
              </w:rPr>
            </w:pPr>
            <w:r w:rsidRPr="00E5464F">
              <w:rPr>
                <w:rFonts w:eastAsia="Times New Roman"/>
                <w:sz w:val="24"/>
                <w:szCs w:val="24"/>
                <w:lang w:eastAsia="lv-LV"/>
              </w:rPr>
              <w:t xml:space="preserve"> </w:t>
            </w:r>
          </w:p>
        </w:tc>
      </w:tr>
      <w:tr w:rsidR="00394F72" w:rsidRPr="00E5464F" w14:paraId="6AFF0823" w14:textId="77777777" w:rsidTr="00945CCB">
        <w:trPr>
          <w:trHeight w:val="284"/>
        </w:trPr>
        <w:tc>
          <w:tcPr>
            <w:tcW w:w="728" w:type="dxa"/>
          </w:tcPr>
          <w:p w14:paraId="7146B876" w14:textId="77777777" w:rsidR="00394F72" w:rsidRPr="00E5464F" w:rsidRDefault="00394F72" w:rsidP="00592E2E">
            <w:pPr>
              <w:spacing w:before="100" w:beforeAutospacing="1" w:after="100" w:afterAutospacing="1"/>
              <w:ind w:firstLine="29"/>
              <w:rPr>
                <w:sz w:val="24"/>
                <w:szCs w:val="24"/>
              </w:rPr>
            </w:pPr>
            <w:r w:rsidRPr="00E5464F">
              <w:rPr>
                <w:sz w:val="24"/>
                <w:szCs w:val="24"/>
              </w:rPr>
              <w:t>3.</w:t>
            </w:r>
          </w:p>
        </w:tc>
        <w:tc>
          <w:tcPr>
            <w:tcW w:w="2954" w:type="dxa"/>
          </w:tcPr>
          <w:p w14:paraId="411F7529" w14:textId="77777777" w:rsidR="00394F72" w:rsidRPr="00E5464F" w:rsidRDefault="00394F72" w:rsidP="00592E2E">
            <w:pPr>
              <w:spacing w:before="100" w:beforeAutospacing="1" w:after="100" w:afterAutospacing="1"/>
              <w:ind w:left="-86" w:firstLine="284"/>
              <w:rPr>
                <w:sz w:val="24"/>
                <w:szCs w:val="24"/>
              </w:rPr>
            </w:pPr>
            <w:r w:rsidRPr="00E5464F">
              <w:rPr>
                <w:sz w:val="24"/>
                <w:szCs w:val="24"/>
                <w:shd w:val="clear" w:color="auto" w:fill="FFFFFF"/>
              </w:rPr>
              <w:t>Sabiedrības līdzdalības rezultāti</w:t>
            </w:r>
          </w:p>
        </w:tc>
        <w:tc>
          <w:tcPr>
            <w:tcW w:w="5669" w:type="dxa"/>
          </w:tcPr>
          <w:p w14:paraId="6EDE8E1E" w14:textId="534DC42B" w:rsidR="00394F72" w:rsidRPr="00E5464F" w:rsidRDefault="00A038E4" w:rsidP="00275A8E">
            <w:pPr>
              <w:ind w:firstLine="0"/>
              <w:rPr>
                <w:sz w:val="24"/>
                <w:szCs w:val="24"/>
              </w:rPr>
            </w:pPr>
            <w:r w:rsidRPr="00E5464F">
              <w:rPr>
                <w:sz w:val="24"/>
                <w:szCs w:val="24"/>
                <w:lang w:eastAsia="lv-LV"/>
              </w:rPr>
              <w:t>Iebildumi un priekšlikumi netika saņemti.</w:t>
            </w:r>
          </w:p>
        </w:tc>
      </w:tr>
      <w:tr w:rsidR="00394F72" w:rsidRPr="00E5464F" w14:paraId="367F7E63" w14:textId="77777777" w:rsidTr="00945CCB">
        <w:trPr>
          <w:trHeight w:val="284"/>
        </w:trPr>
        <w:tc>
          <w:tcPr>
            <w:tcW w:w="728" w:type="dxa"/>
          </w:tcPr>
          <w:p w14:paraId="54E80EA4" w14:textId="77777777" w:rsidR="00394F72" w:rsidRPr="00E5464F" w:rsidRDefault="00394F72" w:rsidP="00592E2E">
            <w:pPr>
              <w:spacing w:before="100" w:beforeAutospacing="1" w:after="100" w:afterAutospacing="1"/>
              <w:ind w:firstLine="29"/>
              <w:rPr>
                <w:sz w:val="24"/>
                <w:szCs w:val="24"/>
              </w:rPr>
            </w:pPr>
            <w:r w:rsidRPr="00E5464F">
              <w:rPr>
                <w:sz w:val="24"/>
                <w:szCs w:val="24"/>
              </w:rPr>
              <w:t>4.</w:t>
            </w:r>
          </w:p>
        </w:tc>
        <w:tc>
          <w:tcPr>
            <w:tcW w:w="2954" w:type="dxa"/>
          </w:tcPr>
          <w:p w14:paraId="65868104" w14:textId="77777777" w:rsidR="00394F72" w:rsidRPr="00E5464F" w:rsidRDefault="00394F72" w:rsidP="00592E2E">
            <w:pPr>
              <w:spacing w:before="100" w:beforeAutospacing="1" w:after="100" w:afterAutospacing="1"/>
              <w:ind w:left="-86" w:firstLine="284"/>
              <w:rPr>
                <w:sz w:val="24"/>
                <w:szCs w:val="24"/>
              </w:rPr>
            </w:pPr>
            <w:r w:rsidRPr="00E5464F">
              <w:rPr>
                <w:sz w:val="24"/>
                <w:szCs w:val="24"/>
                <w:shd w:val="clear" w:color="auto" w:fill="FFFFFF"/>
              </w:rPr>
              <w:t>Cita informācija</w:t>
            </w:r>
          </w:p>
        </w:tc>
        <w:tc>
          <w:tcPr>
            <w:tcW w:w="5669" w:type="dxa"/>
          </w:tcPr>
          <w:p w14:paraId="741075AE" w14:textId="77777777" w:rsidR="00394F72" w:rsidRPr="00E5464F" w:rsidRDefault="00394F72" w:rsidP="00485A47">
            <w:pPr>
              <w:spacing w:before="100" w:beforeAutospacing="1" w:after="100" w:afterAutospacing="1"/>
              <w:ind w:firstLine="345"/>
              <w:rPr>
                <w:sz w:val="24"/>
                <w:szCs w:val="24"/>
              </w:rPr>
            </w:pPr>
            <w:r w:rsidRPr="00E5464F">
              <w:rPr>
                <w:sz w:val="24"/>
                <w:szCs w:val="24"/>
              </w:rPr>
              <w:t>Nav.</w:t>
            </w:r>
          </w:p>
        </w:tc>
      </w:tr>
    </w:tbl>
    <w:p w14:paraId="54205E47" w14:textId="77777777" w:rsidR="00945CCB" w:rsidRPr="00E5464F" w:rsidRDefault="00945CCB" w:rsidP="00F50C84">
      <w:pPr>
        <w:ind w:firstLine="0"/>
        <w:jc w:val="left"/>
        <w:rPr>
          <w:sz w:val="24"/>
          <w:szCs w:val="24"/>
          <w:lang w:eastAsia="lv-LV"/>
        </w:rPr>
      </w:pPr>
    </w:p>
    <w:tbl>
      <w:tblPr>
        <w:tblStyle w:val="Reatabula"/>
        <w:tblW w:w="5160" w:type="pct"/>
        <w:tblInd w:w="-285" w:type="dxa"/>
        <w:tblLook w:val="00A0" w:firstRow="1" w:lastRow="0" w:firstColumn="1" w:lastColumn="0" w:noHBand="0" w:noVBand="0"/>
      </w:tblPr>
      <w:tblGrid>
        <w:gridCol w:w="740"/>
        <w:gridCol w:w="2942"/>
        <w:gridCol w:w="5669"/>
      </w:tblGrid>
      <w:tr w:rsidR="00965309" w:rsidRPr="00E5464F" w14:paraId="029E3FF4" w14:textId="77777777" w:rsidTr="00945CCB">
        <w:trPr>
          <w:trHeight w:val="375"/>
        </w:trPr>
        <w:tc>
          <w:tcPr>
            <w:tcW w:w="5000" w:type="pct"/>
            <w:gridSpan w:val="3"/>
          </w:tcPr>
          <w:p w14:paraId="78CD9A1D" w14:textId="77777777" w:rsidR="00965309" w:rsidRPr="00E5464F" w:rsidRDefault="00510DE8" w:rsidP="00862D0F">
            <w:pPr>
              <w:spacing w:before="100" w:beforeAutospacing="1" w:after="100" w:afterAutospacing="1"/>
              <w:ind w:firstLine="0"/>
              <w:jc w:val="center"/>
              <w:rPr>
                <w:b/>
                <w:bCs/>
                <w:sz w:val="24"/>
                <w:szCs w:val="24"/>
                <w:lang w:eastAsia="lv-LV"/>
              </w:rPr>
            </w:pPr>
            <w:r w:rsidRPr="00E5464F">
              <w:rPr>
                <w:b/>
                <w:bCs/>
                <w:sz w:val="24"/>
                <w:szCs w:val="24"/>
                <w:lang w:eastAsia="lv-LV"/>
              </w:rPr>
              <w:t>VII</w:t>
            </w:r>
            <w:r w:rsidR="00965309" w:rsidRPr="00E5464F">
              <w:rPr>
                <w:b/>
                <w:bCs/>
                <w:sz w:val="24"/>
                <w:szCs w:val="24"/>
                <w:lang w:eastAsia="lv-LV"/>
              </w:rPr>
              <w:t>. Tiesību akta projekta izpildes nodrošināšana un tās ietekme uz institūcijām</w:t>
            </w:r>
          </w:p>
        </w:tc>
      </w:tr>
      <w:tr w:rsidR="00965309" w:rsidRPr="00E5464F" w14:paraId="2E06A564" w14:textId="77777777" w:rsidTr="00945CCB">
        <w:trPr>
          <w:trHeight w:val="420"/>
        </w:trPr>
        <w:tc>
          <w:tcPr>
            <w:tcW w:w="396" w:type="pct"/>
          </w:tcPr>
          <w:p w14:paraId="0C081909" w14:textId="77777777" w:rsidR="00965309" w:rsidRPr="00E5464F" w:rsidRDefault="00965309" w:rsidP="00862D0F">
            <w:pPr>
              <w:ind w:firstLine="0"/>
              <w:jc w:val="left"/>
              <w:rPr>
                <w:sz w:val="24"/>
                <w:szCs w:val="24"/>
                <w:lang w:eastAsia="lv-LV"/>
              </w:rPr>
            </w:pPr>
            <w:r w:rsidRPr="00E5464F">
              <w:rPr>
                <w:sz w:val="24"/>
                <w:szCs w:val="24"/>
                <w:lang w:eastAsia="lv-LV"/>
              </w:rPr>
              <w:t>1.</w:t>
            </w:r>
          </w:p>
        </w:tc>
        <w:tc>
          <w:tcPr>
            <w:tcW w:w="1573" w:type="pct"/>
          </w:tcPr>
          <w:p w14:paraId="2DB513E3" w14:textId="77777777" w:rsidR="00965309" w:rsidRPr="00E5464F" w:rsidRDefault="00965309" w:rsidP="00862D0F">
            <w:pPr>
              <w:ind w:firstLine="0"/>
              <w:jc w:val="left"/>
              <w:rPr>
                <w:sz w:val="24"/>
                <w:szCs w:val="24"/>
                <w:lang w:eastAsia="lv-LV"/>
              </w:rPr>
            </w:pPr>
            <w:r w:rsidRPr="00E5464F">
              <w:rPr>
                <w:sz w:val="24"/>
                <w:szCs w:val="24"/>
                <w:lang w:eastAsia="lv-LV"/>
              </w:rPr>
              <w:t>Projekta izpildē iesaistītās institūcijas</w:t>
            </w:r>
          </w:p>
        </w:tc>
        <w:tc>
          <w:tcPr>
            <w:tcW w:w="3031" w:type="pct"/>
          </w:tcPr>
          <w:p w14:paraId="1905AA5F" w14:textId="6E43285B" w:rsidR="00E93EEC" w:rsidRPr="003A7849" w:rsidRDefault="00E93EEC" w:rsidP="00FA05C6">
            <w:pPr>
              <w:ind w:firstLine="318"/>
              <w:rPr>
                <w:sz w:val="24"/>
                <w:szCs w:val="24"/>
                <w:lang w:eastAsia="lv-LV"/>
              </w:rPr>
            </w:pPr>
            <w:r w:rsidRPr="003A7849">
              <w:rPr>
                <w:sz w:val="24"/>
                <w:szCs w:val="24"/>
                <w:lang w:eastAsia="lv-LV"/>
              </w:rPr>
              <w:t>Projekta izpild</w:t>
            </w:r>
            <w:r w:rsidR="000C338A" w:rsidRPr="003A7849">
              <w:rPr>
                <w:sz w:val="24"/>
                <w:szCs w:val="24"/>
                <w:lang w:eastAsia="lv-LV"/>
              </w:rPr>
              <w:t>ē tiks</w:t>
            </w:r>
            <w:r w:rsidRPr="003A7849">
              <w:rPr>
                <w:sz w:val="24"/>
                <w:szCs w:val="24"/>
                <w:lang w:eastAsia="lv-LV"/>
              </w:rPr>
              <w:t xml:space="preserve"> iesaistītas šādas institūcijas:</w:t>
            </w:r>
          </w:p>
          <w:p w14:paraId="49073DC9" w14:textId="77777777" w:rsidR="002C109D" w:rsidRPr="003A7849" w:rsidRDefault="002C109D" w:rsidP="00A84DBC">
            <w:pPr>
              <w:pStyle w:val="Sarakstarindkopa"/>
              <w:numPr>
                <w:ilvl w:val="0"/>
                <w:numId w:val="18"/>
              </w:numPr>
              <w:rPr>
                <w:sz w:val="24"/>
                <w:szCs w:val="24"/>
                <w:lang w:eastAsia="lv-LV"/>
              </w:rPr>
            </w:pPr>
            <w:r w:rsidRPr="003A7849">
              <w:rPr>
                <w:sz w:val="24"/>
                <w:szCs w:val="24"/>
                <w:lang w:eastAsia="lv-LV"/>
              </w:rPr>
              <w:t>Valsts SIA ”Latvijas Vides, ģeoloģijas un meteoroloģijas centrs”;</w:t>
            </w:r>
          </w:p>
          <w:p w14:paraId="28308BEA" w14:textId="04CB7E30" w:rsidR="002C109D" w:rsidRPr="003A7849" w:rsidRDefault="002C109D" w:rsidP="00A84DBC">
            <w:pPr>
              <w:pStyle w:val="Sarakstarindkopa"/>
              <w:numPr>
                <w:ilvl w:val="0"/>
                <w:numId w:val="18"/>
              </w:numPr>
              <w:rPr>
                <w:sz w:val="24"/>
                <w:szCs w:val="24"/>
                <w:lang w:eastAsia="lv-LV"/>
              </w:rPr>
            </w:pPr>
            <w:r w:rsidRPr="003A7849">
              <w:rPr>
                <w:sz w:val="24"/>
                <w:szCs w:val="24"/>
                <w:lang w:eastAsia="lv-LV"/>
              </w:rPr>
              <w:t>Latvijas Nacionālais akreditācijas birojs;</w:t>
            </w:r>
          </w:p>
          <w:p w14:paraId="0DB49E07" w14:textId="209953C3" w:rsidR="00A84DBC" w:rsidRPr="003A7849" w:rsidRDefault="00A84DBC" w:rsidP="00A84DBC">
            <w:pPr>
              <w:pStyle w:val="Sarakstarindkopa"/>
              <w:numPr>
                <w:ilvl w:val="0"/>
                <w:numId w:val="18"/>
              </w:numPr>
              <w:rPr>
                <w:sz w:val="24"/>
                <w:szCs w:val="24"/>
                <w:lang w:eastAsia="lv-LV"/>
              </w:rPr>
            </w:pPr>
            <w:r w:rsidRPr="003A7849">
              <w:rPr>
                <w:sz w:val="24"/>
                <w:szCs w:val="24"/>
                <w:lang w:eastAsia="lv-LV"/>
              </w:rPr>
              <w:t>Valsts vides dienests</w:t>
            </w:r>
            <w:r w:rsidR="00511C41" w:rsidRPr="003A7849">
              <w:rPr>
                <w:sz w:val="24"/>
                <w:szCs w:val="24"/>
                <w:lang w:eastAsia="lv-LV"/>
              </w:rPr>
              <w:t>;</w:t>
            </w:r>
          </w:p>
          <w:p w14:paraId="29E0C188" w14:textId="77777777" w:rsidR="002C109D" w:rsidRPr="003A7849" w:rsidRDefault="002C109D" w:rsidP="00A84DBC">
            <w:pPr>
              <w:pStyle w:val="Sarakstarindkopa"/>
              <w:numPr>
                <w:ilvl w:val="0"/>
                <w:numId w:val="18"/>
              </w:numPr>
              <w:rPr>
                <w:sz w:val="24"/>
                <w:szCs w:val="24"/>
                <w:lang w:eastAsia="lv-LV"/>
              </w:rPr>
            </w:pPr>
            <w:r w:rsidRPr="003A7849">
              <w:rPr>
                <w:sz w:val="24"/>
                <w:szCs w:val="24"/>
                <w:lang w:eastAsia="lv-LV"/>
              </w:rPr>
              <w:t>Valsts dzelzceļa administrācija;</w:t>
            </w:r>
          </w:p>
          <w:p w14:paraId="33E1E924" w14:textId="77777777" w:rsidR="002C109D" w:rsidRPr="003A7849" w:rsidRDefault="002C109D" w:rsidP="00A84DBC">
            <w:pPr>
              <w:pStyle w:val="Sarakstarindkopa"/>
              <w:numPr>
                <w:ilvl w:val="0"/>
                <w:numId w:val="18"/>
              </w:numPr>
              <w:rPr>
                <w:sz w:val="24"/>
                <w:szCs w:val="24"/>
                <w:lang w:eastAsia="lv-LV"/>
              </w:rPr>
            </w:pPr>
            <w:r w:rsidRPr="003A7849">
              <w:rPr>
                <w:sz w:val="24"/>
                <w:szCs w:val="24"/>
                <w:lang w:eastAsia="lv-LV"/>
              </w:rPr>
              <w:t>VAS ”Elektroniskie sakari”;</w:t>
            </w:r>
          </w:p>
          <w:p w14:paraId="40D9E4ED" w14:textId="77777777" w:rsidR="002C109D" w:rsidRPr="003A7849" w:rsidRDefault="002C109D" w:rsidP="00A84DBC">
            <w:pPr>
              <w:pStyle w:val="Sarakstarindkopa"/>
              <w:numPr>
                <w:ilvl w:val="0"/>
                <w:numId w:val="18"/>
              </w:numPr>
              <w:rPr>
                <w:sz w:val="24"/>
                <w:szCs w:val="24"/>
                <w:lang w:eastAsia="lv-LV"/>
              </w:rPr>
            </w:pPr>
            <w:r w:rsidRPr="003A7849">
              <w:rPr>
                <w:sz w:val="24"/>
                <w:szCs w:val="24"/>
                <w:lang w:eastAsia="lv-LV"/>
              </w:rPr>
              <w:t>Sabiedrisko p</w:t>
            </w:r>
            <w:r w:rsidR="00E93EEC" w:rsidRPr="003A7849">
              <w:rPr>
                <w:sz w:val="24"/>
                <w:szCs w:val="24"/>
                <w:lang w:eastAsia="lv-LV"/>
              </w:rPr>
              <w:t>akalpojumu regulēšanas komisija;</w:t>
            </w:r>
          </w:p>
          <w:p w14:paraId="16C8BCFB" w14:textId="60A33B59" w:rsidR="00E93EEC" w:rsidRPr="003A7849" w:rsidRDefault="00E93EEC" w:rsidP="00A84DBC">
            <w:pPr>
              <w:pStyle w:val="Sarakstarindkopa"/>
              <w:numPr>
                <w:ilvl w:val="0"/>
                <w:numId w:val="18"/>
              </w:numPr>
              <w:rPr>
                <w:sz w:val="24"/>
                <w:szCs w:val="24"/>
                <w:lang w:eastAsia="lv-LV"/>
              </w:rPr>
            </w:pPr>
            <w:r w:rsidRPr="003A7849">
              <w:rPr>
                <w:sz w:val="24"/>
                <w:szCs w:val="24"/>
                <w:lang w:eastAsia="lv-LV"/>
              </w:rPr>
              <w:t>Valsts ugunsdzēsības un glābšanas dienests.</w:t>
            </w:r>
          </w:p>
        </w:tc>
      </w:tr>
      <w:tr w:rsidR="00965309" w:rsidRPr="00E5464F" w14:paraId="2292C63A" w14:textId="77777777" w:rsidTr="00945CCB">
        <w:trPr>
          <w:trHeight w:val="450"/>
        </w:trPr>
        <w:tc>
          <w:tcPr>
            <w:tcW w:w="396" w:type="pct"/>
          </w:tcPr>
          <w:p w14:paraId="5003B200" w14:textId="02302F05" w:rsidR="00965309" w:rsidRPr="00E5464F" w:rsidRDefault="00965309" w:rsidP="00862D0F">
            <w:pPr>
              <w:ind w:firstLine="0"/>
              <w:jc w:val="left"/>
              <w:rPr>
                <w:sz w:val="24"/>
                <w:szCs w:val="24"/>
                <w:lang w:eastAsia="lv-LV"/>
              </w:rPr>
            </w:pPr>
            <w:r w:rsidRPr="00E5464F">
              <w:rPr>
                <w:sz w:val="24"/>
                <w:szCs w:val="24"/>
                <w:lang w:eastAsia="lv-LV"/>
              </w:rPr>
              <w:lastRenderedPageBreak/>
              <w:t>2.</w:t>
            </w:r>
          </w:p>
        </w:tc>
        <w:tc>
          <w:tcPr>
            <w:tcW w:w="1573" w:type="pct"/>
          </w:tcPr>
          <w:p w14:paraId="38D082D4" w14:textId="77777777" w:rsidR="00965309" w:rsidRPr="00E5464F" w:rsidRDefault="00965309" w:rsidP="00FF7CC5">
            <w:pPr>
              <w:ind w:firstLine="0"/>
              <w:rPr>
                <w:sz w:val="24"/>
                <w:szCs w:val="24"/>
                <w:lang w:eastAsia="lv-LV"/>
              </w:rPr>
            </w:pPr>
            <w:r w:rsidRPr="00E5464F">
              <w:rPr>
                <w:sz w:val="24"/>
                <w:szCs w:val="24"/>
                <w:lang w:eastAsia="lv-LV"/>
              </w:rPr>
              <w:t>Projekta izpildes ietekme uz pārvaldes funkcijām un institucionālo struktūru.</w:t>
            </w:r>
            <w:r w:rsidR="00FF7CC5" w:rsidRPr="00E5464F">
              <w:rPr>
                <w:sz w:val="24"/>
                <w:szCs w:val="24"/>
                <w:lang w:eastAsia="lv-LV"/>
              </w:rPr>
              <w:t xml:space="preserve"> </w:t>
            </w:r>
            <w:r w:rsidRPr="00E5464F">
              <w:rPr>
                <w:sz w:val="24"/>
                <w:szCs w:val="24"/>
                <w:lang w:eastAsia="lv-LV"/>
              </w:rPr>
              <w:t>Jaunu institūciju izveide, esošu institūciju likvidācija vai reorganizācija, to ietekme uz institūcijas cilvēkresursiem.</w:t>
            </w:r>
          </w:p>
        </w:tc>
        <w:tc>
          <w:tcPr>
            <w:tcW w:w="3031" w:type="pct"/>
          </w:tcPr>
          <w:p w14:paraId="3237D27D" w14:textId="6C099334" w:rsidR="00965309" w:rsidRPr="00E5464F" w:rsidRDefault="00390C55" w:rsidP="00A84DBC">
            <w:pPr>
              <w:ind w:left="98" w:right="140" w:firstLine="220"/>
              <w:rPr>
                <w:rFonts w:eastAsia="Times New Roman"/>
                <w:bCs/>
                <w:sz w:val="24"/>
                <w:szCs w:val="24"/>
                <w:lang w:eastAsia="lv-LV"/>
              </w:rPr>
            </w:pPr>
            <w:r w:rsidRPr="00E5464F">
              <w:rPr>
                <w:rFonts w:eastAsia="Times New Roman"/>
                <w:bCs/>
                <w:sz w:val="24"/>
                <w:szCs w:val="24"/>
                <w:lang w:eastAsia="lv-LV"/>
              </w:rPr>
              <w:t xml:space="preserve"> Instit</w:t>
            </w:r>
            <w:r w:rsidR="0071489B" w:rsidRPr="00E5464F">
              <w:rPr>
                <w:rFonts w:eastAsia="Times New Roman"/>
                <w:bCs/>
                <w:sz w:val="24"/>
                <w:szCs w:val="24"/>
                <w:lang w:eastAsia="lv-LV"/>
              </w:rPr>
              <w:t>ūcijai pieejamos cilvēkresursus</w:t>
            </w:r>
            <w:r w:rsidR="00BF33FF" w:rsidRPr="00E5464F">
              <w:rPr>
                <w:rFonts w:eastAsia="Times New Roman"/>
                <w:bCs/>
                <w:sz w:val="24"/>
                <w:szCs w:val="24"/>
                <w:lang w:eastAsia="lv-LV"/>
              </w:rPr>
              <w:t xml:space="preserve"> </w:t>
            </w:r>
            <w:r w:rsidRPr="00E5464F">
              <w:rPr>
                <w:rFonts w:eastAsia="Times New Roman"/>
                <w:bCs/>
                <w:sz w:val="24"/>
                <w:szCs w:val="24"/>
                <w:lang w:eastAsia="lv-LV"/>
              </w:rPr>
              <w:t>neietekmē.</w:t>
            </w:r>
            <w:r w:rsidR="004878BD" w:rsidRPr="00E5464F">
              <w:rPr>
                <w:rFonts w:eastAsia="Times New Roman"/>
                <w:bCs/>
                <w:sz w:val="24"/>
                <w:szCs w:val="24"/>
                <w:lang w:eastAsia="lv-LV"/>
              </w:rPr>
              <w:t xml:space="preserve"> </w:t>
            </w:r>
            <w:r w:rsidRPr="00E5464F">
              <w:rPr>
                <w:rFonts w:eastAsia="Times New Roman"/>
                <w:bCs/>
                <w:sz w:val="24"/>
                <w:szCs w:val="24"/>
                <w:lang w:eastAsia="lv-LV"/>
              </w:rPr>
              <w:t xml:space="preserve">Jaunas institūcijas netiks veidotas. </w:t>
            </w:r>
            <w:r w:rsidRPr="00E5464F">
              <w:rPr>
                <w:sz w:val="24"/>
                <w:szCs w:val="24"/>
              </w:rPr>
              <w:t>Esošo institūciju likvidācija vai reorganizācija nav plānota.</w:t>
            </w:r>
          </w:p>
        </w:tc>
      </w:tr>
      <w:tr w:rsidR="00965309" w:rsidRPr="00E5464F" w14:paraId="54393493" w14:textId="77777777" w:rsidTr="00945CCB">
        <w:trPr>
          <w:trHeight w:val="390"/>
        </w:trPr>
        <w:tc>
          <w:tcPr>
            <w:tcW w:w="396" w:type="pct"/>
          </w:tcPr>
          <w:p w14:paraId="73CB571D" w14:textId="77777777" w:rsidR="00965309" w:rsidRPr="00E5464F" w:rsidRDefault="00965309" w:rsidP="00862D0F">
            <w:pPr>
              <w:ind w:firstLine="0"/>
              <w:jc w:val="left"/>
              <w:rPr>
                <w:sz w:val="24"/>
                <w:szCs w:val="24"/>
                <w:lang w:eastAsia="lv-LV"/>
              </w:rPr>
            </w:pPr>
            <w:r w:rsidRPr="00E5464F">
              <w:rPr>
                <w:sz w:val="24"/>
                <w:szCs w:val="24"/>
                <w:lang w:eastAsia="lv-LV"/>
              </w:rPr>
              <w:t>3.</w:t>
            </w:r>
          </w:p>
        </w:tc>
        <w:tc>
          <w:tcPr>
            <w:tcW w:w="1573" w:type="pct"/>
          </w:tcPr>
          <w:p w14:paraId="5AD9EEA4" w14:textId="77777777" w:rsidR="00965309" w:rsidRPr="00E5464F" w:rsidRDefault="00965309" w:rsidP="00862D0F">
            <w:pPr>
              <w:ind w:firstLine="0"/>
              <w:jc w:val="left"/>
              <w:rPr>
                <w:sz w:val="24"/>
                <w:szCs w:val="24"/>
                <w:lang w:eastAsia="lv-LV"/>
              </w:rPr>
            </w:pPr>
            <w:r w:rsidRPr="00E5464F">
              <w:rPr>
                <w:sz w:val="24"/>
                <w:szCs w:val="24"/>
                <w:lang w:eastAsia="lv-LV"/>
              </w:rPr>
              <w:t>Cita informācija</w:t>
            </w:r>
          </w:p>
        </w:tc>
        <w:tc>
          <w:tcPr>
            <w:tcW w:w="3031" w:type="pct"/>
          </w:tcPr>
          <w:p w14:paraId="75A4F433" w14:textId="77777777" w:rsidR="00965309" w:rsidRPr="00E5464F" w:rsidRDefault="00965309" w:rsidP="00862D0F">
            <w:pPr>
              <w:spacing w:before="100" w:beforeAutospacing="1" w:after="100" w:afterAutospacing="1"/>
              <w:ind w:firstLine="0"/>
              <w:jc w:val="left"/>
              <w:rPr>
                <w:sz w:val="24"/>
                <w:szCs w:val="24"/>
                <w:lang w:eastAsia="lv-LV"/>
              </w:rPr>
            </w:pPr>
            <w:r w:rsidRPr="00E5464F">
              <w:rPr>
                <w:sz w:val="24"/>
                <w:szCs w:val="24"/>
                <w:lang w:eastAsia="lv-LV"/>
              </w:rPr>
              <w:t>Nav.</w:t>
            </w:r>
          </w:p>
        </w:tc>
      </w:tr>
    </w:tbl>
    <w:p w14:paraId="31A2C28C" w14:textId="77777777" w:rsidR="00965309" w:rsidRPr="00E5464F" w:rsidRDefault="00965309" w:rsidP="00226A78">
      <w:pPr>
        <w:ind w:firstLine="0"/>
        <w:rPr>
          <w:sz w:val="24"/>
          <w:szCs w:val="24"/>
        </w:rPr>
      </w:pPr>
    </w:p>
    <w:p w14:paraId="4C0E31DA" w14:textId="77777777" w:rsidR="00965309" w:rsidRPr="00E5464F" w:rsidRDefault="00965309" w:rsidP="00226A78">
      <w:pPr>
        <w:ind w:firstLine="0"/>
        <w:rPr>
          <w:sz w:val="24"/>
          <w:szCs w:val="24"/>
        </w:rPr>
      </w:pPr>
      <w:r w:rsidRPr="00E5464F">
        <w:rPr>
          <w:sz w:val="24"/>
          <w:szCs w:val="24"/>
        </w:rPr>
        <w:t>Anotācijas III, IV</w:t>
      </w:r>
      <w:r w:rsidR="000D79E6" w:rsidRPr="00E5464F">
        <w:rPr>
          <w:sz w:val="24"/>
          <w:szCs w:val="24"/>
        </w:rPr>
        <w:t xml:space="preserve"> un</w:t>
      </w:r>
      <w:r w:rsidRPr="00E5464F">
        <w:rPr>
          <w:sz w:val="24"/>
          <w:szCs w:val="24"/>
        </w:rPr>
        <w:t xml:space="preserve"> V </w:t>
      </w:r>
      <w:r w:rsidR="000D79E6" w:rsidRPr="00E5464F">
        <w:rPr>
          <w:sz w:val="24"/>
          <w:szCs w:val="24"/>
        </w:rPr>
        <w:t xml:space="preserve"> sadaļa </w:t>
      </w:r>
      <w:r w:rsidRPr="00E5464F">
        <w:rPr>
          <w:sz w:val="24"/>
          <w:szCs w:val="24"/>
        </w:rPr>
        <w:t>– projekts šīs jomas neskar.</w:t>
      </w:r>
    </w:p>
    <w:p w14:paraId="579B4C7D" w14:textId="77777777" w:rsidR="00965309" w:rsidRPr="00E5464F" w:rsidRDefault="00965309" w:rsidP="00226A78">
      <w:pPr>
        <w:ind w:firstLine="0"/>
        <w:rPr>
          <w:sz w:val="24"/>
          <w:szCs w:val="24"/>
        </w:rPr>
      </w:pPr>
    </w:p>
    <w:p w14:paraId="7BD23E82" w14:textId="77777777" w:rsidR="00945CCB" w:rsidRPr="00E5464F" w:rsidRDefault="00945CCB" w:rsidP="00226A78">
      <w:pPr>
        <w:tabs>
          <w:tab w:val="right" w:pos="9071"/>
        </w:tabs>
        <w:ind w:firstLine="0"/>
        <w:rPr>
          <w:szCs w:val="28"/>
        </w:rPr>
      </w:pPr>
    </w:p>
    <w:p w14:paraId="4BB4FF08" w14:textId="77777777" w:rsidR="00965309" w:rsidRPr="00126C18" w:rsidRDefault="00965309" w:rsidP="00226A78">
      <w:pPr>
        <w:tabs>
          <w:tab w:val="right" w:pos="9071"/>
        </w:tabs>
        <w:ind w:firstLine="0"/>
        <w:rPr>
          <w:sz w:val="24"/>
          <w:szCs w:val="24"/>
        </w:rPr>
      </w:pPr>
      <w:r w:rsidRPr="00126C18">
        <w:rPr>
          <w:sz w:val="24"/>
          <w:szCs w:val="24"/>
        </w:rPr>
        <w:t>Iekšlietu ministrs</w:t>
      </w:r>
      <w:r w:rsidRPr="00126C18">
        <w:rPr>
          <w:sz w:val="24"/>
          <w:szCs w:val="24"/>
        </w:rPr>
        <w:tab/>
      </w:r>
      <w:proofErr w:type="spellStart"/>
      <w:r w:rsidRPr="00126C18">
        <w:rPr>
          <w:sz w:val="24"/>
          <w:szCs w:val="24"/>
        </w:rPr>
        <w:t>R.Kozlovskis</w:t>
      </w:r>
      <w:proofErr w:type="spellEnd"/>
    </w:p>
    <w:p w14:paraId="79A8AED8" w14:textId="77777777" w:rsidR="00945CCB" w:rsidRPr="00126C18" w:rsidRDefault="00945CCB" w:rsidP="00226A78">
      <w:pPr>
        <w:tabs>
          <w:tab w:val="right" w:pos="9071"/>
        </w:tabs>
        <w:ind w:firstLine="0"/>
        <w:rPr>
          <w:sz w:val="24"/>
          <w:szCs w:val="24"/>
        </w:rPr>
      </w:pPr>
    </w:p>
    <w:p w14:paraId="5748859C" w14:textId="77777777" w:rsidR="00945CCB" w:rsidRPr="00126C18" w:rsidRDefault="00945CCB" w:rsidP="00226A78">
      <w:pPr>
        <w:tabs>
          <w:tab w:val="right" w:pos="9071"/>
        </w:tabs>
        <w:ind w:firstLine="0"/>
        <w:rPr>
          <w:sz w:val="24"/>
          <w:szCs w:val="24"/>
        </w:rPr>
      </w:pPr>
    </w:p>
    <w:p w14:paraId="2B9F0E86" w14:textId="77777777" w:rsidR="005A0975" w:rsidRDefault="005A0975" w:rsidP="00226A78">
      <w:pPr>
        <w:tabs>
          <w:tab w:val="right" w:pos="9071"/>
        </w:tabs>
        <w:ind w:firstLine="0"/>
        <w:rPr>
          <w:sz w:val="24"/>
          <w:szCs w:val="24"/>
        </w:rPr>
      </w:pPr>
      <w:r w:rsidRPr="00126C18">
        <w:rPr>
          <w:sz w:val="24"/>
          <w:szCs w:val="24"/>
        </w:rPr>
        <w:t xml:space="preserve">Iekšlietu ministrijas </w:t>
      </w:r>
      <w:r>
        <w:rPr>
          <w:sz w:val="24"/>
          <w:szCs w:val="24"/>
        </w:rPr>
        <w:t>v</w:t>
      </w:r>
      <w:r w:rsidRPr="005A0975">
        <w:rPr>
          <w:sz w:val="24"/>
          <w:szCs w:val="24"/>
        </w:rPr>
        <w:t>alsts sekretāra</w:t>
      </w:r>
    </w:p>
    <w:p w14:paraId="6A1D7A1A" w14:textId="4DAA6B27" w:rsidR="005A0975" w:rsidRDefault="005A0975" w:rsidP="00226A78">
      <w:pPr>
        <w:tabs>
          <w:tab w:val="right" w:pos="9071"/>
        </w:tabs>
        <w:ind w:firstLine="0"/>
        <w:rPr>
          <w:sz w:val="24"/>
          <w:szCs w:val="24"/>
        </w:rPr>
      </w:pPr>
      <w:r>
        <w:rPr>
          <w:sz w:val="24"/>
          <w:szCs w:val="24"/>
        </w:rPr>
        <w:t>p</w:t>
      </w:r>
      <w:r w:rsidRPr="005A0975">
        <w:rPr>
          <w:sz w:val="24"/>
          <w:szCs w:val="24"/>
        </w:rPr>
        <w:t>ienākumu</w:t>
      </w:r>
      <w:r>
        <w:rPr>
          <w:sz w:val="24"/>
          <w:szCs w:val="24"/>
        </w:rPr>
        <w:t xml:space="preserve"> </w:t>
      </w:r>
      <w:r w:rsidRPr="005A0975">
        <w:rPr>
          <w:sz w:val="24"/>
          <w:szCs w:val="24"/>
        </w:rPr>
        <w:t xml:space="preserve">izpildītājs </w:t>
      </w:r>
      <w:r w:rsidRPr="005A0975">
        <w:rPr>
          <w:sz w:val="24"/>
          <w:szCs w:val="24"/>
        </w:rPr>
        <w:tab/>
        <w:t>Dimitrijs Trofimovs</w:t>
      </w:r>
    </w:p>
    <w:p w14:paraId="06600421" w14:textId="50C2CF0A" w:rsidR="000117B2" w:rsidRPr="00126C18" w:rsidRDefault="000117B2" w:rsidP="00140597">
      <w:pPr>
        <w:ind w:firstLine="0"/>
        <w:rPr>
          <w:sz w:val="24"/>
          <w:szCs w:val="24"/>
        </w:rPr>
      </w:pPr>
    </w:p>
    <w:p w14:paraId="5C8D929D" w14:textId="63950B18" w:rsidR="00A84DBC" w:rsidRDefault="00A84DBC" w:rsidP="00140597">
      <w:pPr>
        <w:ind w:firstLine="0"/>
        <w:rPr>
          <w:sz w:val="20"/>
          <w:szCs w:val="20"/>
        </w:rPr>
      </w:pPr>
    </w:p>
    <w:p w14:paraId="2665B0F8" w14:textId="77777777" w:rsidR="005A0975" w:rsidRDefault="005A0975" w:rsidP="00140597">
      <w:pPr>
        <w:ind w:firstLine="0"/>
        <w:rPr>
          <w:sz w:val="20"/>
          <w:szCs w:val="20"/>
        </w:rPr>
      </w:pPr>
    </w:p>
    <w:p w14:paraId="2642ED91" w14:textId="77777777" w:rsidR="005A0975" w:rsidRDefault="005A0975" w:rsidP="00140597">
      <w:pPr>
        <w:ind w:firstLine="0"/>
        <w:rPr>
          <w:sz w:val="20"/>
          <w:szCs w:val="20"/>
        </w:rPr>
      </w:pPr>
    </w:p>
    <w:p w14:paraId="70A0947C" w14:textId="77777777" w:rsidR="005A0975" w:rsidRDefault="005A0975" w:rsidP="00140597">
      <w:pPr>
        <w:ind w:firstLine="0"/>
        <w:rPr>
          <w:sz w:val="20"/>
          <w:szCs w:val="20"/>
        </w:rPr>
      </w:pPr>
    </w:p>
    <w:p w14:paraId="5B6D5DD2" w14:textId="77777777" w:rsidR="005A0975" w:rsidRDefault="005A0975" w:rsidP="00140597">
      <w:pPr>
        <w:ind w:firstLine="0"/>
        <w:rPr>
          <w:sz w:val="20"/>
          <w:szCs w:val="20"/>
        </w:rPr>
      </w:pPr>
    </w:p>
    <w:p w14:paraId="0DB51609" w14:textId="77777777" w:rsidR="005A0975" w:rsidRDefault="005A0975" w:rsidP="00140597">
      <w:pPr>
        <w:ind w:firstLine="0"/>
        <w:rPr>
          <w:sz w:val="20"/>
          <w:szCs w:val="20"/>
        </w:rPr>
      </w:pPr>
    </w:p>
    <w:p w14:paraId="771B1B74" w14:textId="77777777" w:rsidR="005A0975" w:rsidRDefault="005A0975" w:rsidP="00140597">
      <w:pPr>
        <w:ind w:firstLine="0"/>
        <w:rPr>
          <w:sz w:val="20"/>
          <w:szCs w:val="20"/>
        </w:rPr>
      </w:pPr>
    </w:p>
    <w:p w14:paraId="65F91638" w14:textId="77777777" w:rsidR="005A0975" w:rsidRDefault="005A0975" w:rsidP="00140597">
      <w:pPr>
        <w:ind w:firstLine="0"/>
        <w:rPr>
          <w:sz w:val="20"/>
          <w:szCs w:val="20"/>
        </w:rPr>
      </w:pPr>
    </w:p>
    <w:p w14:paraId="1FD63D89" w14:textId="77777777" w:rsidR="005A0975" w:rsidRDefault="005A0975" w:rsidP="00140597">
      <w:pPr>
        <w:ind w:firstLine="0"/>
        <w:rPr>
          <w:sz w:val="20"/>
          <w:szCs w:val="20"/>
        </w:rPr>
      </w:pPr>
    </w:p>
    <w:p w14:paraId="7903666A" w14:textId="77777777" w:rsidR="005A0975" w:rsidRDefault="005A0975" w:rsidP="00140597">
      <w:pPr>
        <w:ind w:firstLine="0"/>
        <w:rPr>
          <w:sz w:val="20"/>
          <w:szCs w:val="20"/>
        </w:rPr>
      </w:pPr>
    </w:p>
    <w:p w14:paraId="127CF2D0" w14:textId="77777777" w:rsidR="005A0975" w:rsidRDefault="005A0975" w:rsidP="00140597">
      <w:pPr>
        <w:ind w:firstLine="0"/>
        <w:rPr>
          <w:sz w:val="20"/>
          <w:szCs w:val="20"/>
        </w:rPr>
      </w:pPr>
    </w:p>
    <w:p w14:paraId="5E7BC43E" w14:textId="77777777" w:rsidR="005A0975" w:rsidRDefault="005A0975" w:rsidP="00140597">
      <w:pPr>
        <w:ind w:firstLine="0"/>
        <w:rPr>
          <w:sz w:val="20"/>
          <w:szCs w:val="20"/>
        </w:rPr>
      </w:pPr>
    </w:p>
    <w:p w14:paraId="4D245E95" w14:textId="77777777" w:rsidR="005A0975" w:rsidRDefault="005A0975" w:rsidP="00140597">
      <w:pPr>
        <w:ind w:firstLine="0"/>
        <w:rPr>
          <w:sz w:val="20"/>
          <w:szCs w:val="20"/>
        </w:rPr>
      </w:pPr>
    </w:p>
    <w:p w14:paraId="074D4EBA" w14:textId="77777777" w:rsidR="005A0975" w:rsidRDefault="005A0975" w:rsidP="00140597">
      <w:pPr>
        <w:ind w:firstLine="0"/>
        <w:rPr>
          <w:sz w:val="20"/>
          <w:szCs w:val="20"/>
        </w:rPr>
      </w:pPr>
    </w:p>
    <w:p w14:paraId="3BD1EBD2" w14:textId="77777777" w:rsidR="005A0975" w:rsidRDefault="005A0975" w:rsidP="00140597">
      <w:pPr>
        <w:ind w:firstLine="0"/>
        <w:rPr>
          <w:sz w:val="20"/>
          <w:szCs w:val="20"/>
        </w:rPr>
      </w:pPr>
    </w:p>
    <w:p w14:paraId="7F509E3E" w14:textId="77777777" w:rsidR="005A0975" w:rsidRDefault="005A0975" w:rsidP="00140597">
      <w:pPr>
        <w:ind w:firstLine="0"/>
        <w:rPr>
          <w:sz w:val="20"/>
          <w:szCs w:val="20"/>
        </w:rPr>
      </w:pPr>
    </w:p>
    <w:p w14:paraId="52D3B140" w14:textId="77777777" w:rsidR="005A0975" w:rsidRDefault="005A0975" w:rsidP="00140597">
      <w:pPr>
        <w:ind w:firstLine="0"/>
        <w:rPr>
          <w:sz w:val="20"/>
          <w:szCs w:val="20"/>
        </w:rPr>
      </w:pPr>
    </w:p>
    <w:p w14:paraId="1E43C07D" w14:textId="77777777" w:rsidR="005A0975" w:rsidRDefault="005A0975" w:rsidP="00140597">
      <w:pPr>
        <w:ind w:firstLine="0"/>
        <w:rPr>
          <w:sz w:val="20"/>
          <w:szCs w:val="20"/>
        </w:rPr>
      </w:pPr>
    </w:p>
    <w:p w14:paraId="283C45E4" w14:textId="77777777" w:rsidR="005A0975" w:rsidRDefault="005A0975" w:rsidP="00140597">
      <w:pPr>
        <w:ind w:firstLine="0"/>
        <w:rPr>
          <w:sz w:val="20"/>
          <w:szCs w:val="20"/>
        </w:rPr>
      </w:pPr>
    </w:p>
    <w:p w14:paraId="2B52046F" w14:textId="77777777" w:rsidR="005A0975" w:rsidRDefault="005A0975" w:rsidP="00140597">
      <w:pPr>
        <w:ind w:firstLine="0"/>
        <w:rPr>
          <w:sz w:val="20"/>
          <w:szCs w:val="20"/>
        </w:rPr>
      </w:pPr>
    </w:p>
    <w:p w14:paraId="0480F08B" w14:textId="77777777" w:rsidR="005A0975" w:rsidRDefault="005A0975" w:rsidP="00140597">
      <w:pPr>
        <w:ind w:firstLine="0"/>
        <w:rPr>
          <w:sz w:val="20"/>
          <w:szCs w:val="20"/>
        </w:rPr>
      </w:pPr>
    </w:p>
    <w:p w14:paraId="6198AC48" w14:textId="77777777" w:rsidR="005A0975" w:rsidRDefault="005A0975" w:rsidP="00140597">
      <w:pPr>
        <w:ind w:firstLine="0"/>
        <w:rPr>
          <w:sz w:val="20"/>
          <w:szCs w:val="20"/>
        </w:rPr>
      </w:pPr>
    </w:p>
    <w:p w14:paraId="3916314E" w14:textId="77777777" w:rsidR="005A0975" w:rsidRDefault="005A0975" w:rsidP="00140597">
      <w:pPr>
        <w:ind w:firstLine="0"/>
        <w:rPr>
          <w:sz w:val="20"/>
          <w:szCs w:val="20"/>
        </w:rPr>
      </w:pPr>
    </w:p>
    <w:p w14:paraId="236E4D70" w14:textId="77777777" w:rsidR="005A0975" w:rsidRDefault="005A0975" w:rsidP="00140597">
      <w:pPr>
        <w:ind w:firstLine="0"/>
        <w:rPr>
          <w:sz w:val="20"/>
          <w:szCs w:val="20"/>
        </w:rPr>
      </w:pPr>
    </w:p>
    <w:p w14:paraId="599D7BD5" w14:textId="77777777" w:rsidR="005A0975" w:rsidRDefault="005A0975" w:rsidP="00140597">
      <w:pPr>
        <w:ind w:firstLine="0"/>
        <w:rPr>
          <w:sz w:val="20"/>
          <w:szCs w:val="20"/>
        </w:rPr>
      </w:pPr>
    </w:p>
    <w:p w14:paraId="09A4726C" w14:textId="77777777" w:rsidR="005A0975" w:rsidRDefault="005A0975" w:rsidP="00140597">
      <w:pPr>
        <w:ind w:firstLine="0"/>
        <w:rPr>
          <w:sz w:val="20"/>
          <w:szCs w:val="20"/>
        </w:rPr>
      </w:pPr>
    </w:p>
    <w:p w14:paraId="04C65D20" w14:textId="77777777" w:rsidR="005A0975" w:rsidRDefault="005A0975" w:rsidP="00140597">
      <w:pPr>
        <w:ind w:firstLine="0"/>
        <w:rPr>
          <w:sz w:val="20"/>
          <w:szCs w:val="20"/>
        </w:rPr>
      </w:pPr>
    </w:p>
    <w:p w14:paraId="48EF3777" w14:textId="77777777" w:rsidR="005A0975" w:rsidRDefault="005A0975" w:rsidP="00140597">
      <w:pPr>
        <w:ind w:firstLine="0"/>
        <w:rPr>
          <w:sz w:val="20"/>
          <w:szCs w:val="20"/>
        </w:rPr>
      </w:pPr>
    </w:p>
    <w:p w14:paraId="1C2FBBD4" w14:textId="77777777" w:rsidR="005A0975" w:rsidRDefault="005A0975" w:rsidP="00140597">
      <w:pPr>
        <w:ind w:firstLine="0"/>
        <w:rPr>
          <w:sz w:val="20"/>
          <w:szCs w:val="20"/>
        </w:rPr>
      </w:pPr>
    </w:p>
    <w:p w14:paraId="6E45878F" w14:textId="77777777" w:rsidR="005A0975" w:rsidRDefault="005A0975" w:rsidP="00140597">
      <w:pPr>
        <w:ind w:firstLine="0"/>
        <w:rPr>
          <w:sz w:val="20"/>
          <w:szCs w:val="20"/>
        </w:rPr>
      </w:pPr>
    </w:p>
    <w:p w14:paraId="7C6E6717" w14:textId="77777777" w:rsidR="005A0975" w:rsidRDefault="005A0975" w:rsidP="00140597">
      <w:pPr>
        <w:ind w:firstLine="0"/>
        <w:rPr>
          <w:sz w:val="20"/>
          <w:szCs w:val="20"/>
        </w:rPr>
      </w:pPr>
    </w:p>
    <w:p w14:paraId="137A0D03" w14:textId="77777777" w:rsidR="002A5A1F" w:rsidRPr="00E5464F" w:rsidRDefault="002A5A1F" w:rsidP="00140597">
      <w:pPr>
        <w:ind w:firstLine="0"/>
        <w:rPr>
          <w:sz w:val="20"/>
          <w:szCs w:val="20"/>
        </w:rPr>
      </w:pPr>
    </w:p>
    <w:p w14:paraId="4C51F2BF" w14:textId="77777777" w:rsidR="00390C55" w:rsidRDefault="00945CCB" w:rsidP="00390C55">
      <w:pPr>
        <w:ind w:firstLine="0"/>
        <w:jc w:val="left"/>
        <w:rPr>
          <w:rFonts w:eastAsia="Times New Roman"/>
          <w:sz w:val="20"/>
          <w:szCs w:val="20"/>
          <w:lang w:eastAsia="lv-LV"/>
        </w:rPr>
      </w:pPr>
      <w:r w:rsidRPr="00E5464F">
        <w:rPr>
          <w:sz w:val="20"/>
          <w:szCs w:val="20"/>
        </w:rPr>
        <w:t>Petuhova</w:t>
      </w:r>
      <w:r w:rsidR="00390C55" w:rsidRPr="00E5464F">
        <w:rPr>
          <w:sz w:val="20"/>
          <w:szCs w:val="20"/>
        </w:rPr>
        <w:t xml:space="preserve">, </w:t>
      </w:r>
      <w:r w:rsidR="00390C55" w:rsidRPr="00E5464F">
        <w:rPr>
          <w:rFonts w:eastAsia="Times New Roman"/>
          <w:sz w:val="20"/>
          <w:szCs w:val="20"/>
          <w:lang w:eastAsia="lv-LV"/>
        </w:rPr>
        <w:t>670758</w:t>
      </w:r>
      <w:r w:rsidRPr="00E5464F">
        <w:rPr>
          <w:rFonts w:eastAsia="Times New Roman"/>
          <w:sz w:val="20"/>
          <w:szCs w:val="20"/>
          <w:lang w:eastAsia="lv-LV"/>
        </w:rPr>
        <w:t>77</w:t>
      </w:r>
      <w:r w:rsidR="00390C55" w:rsidRPr="00E5464F">
        <w:rPr>
          <w:rFonts w:eastAsia="Times New Roman"/>
          <w:sz w:val="20"/>
          <w:szCs w:val="20"/>
          <w:lang w:eastAsia="lv-LV"/>
        </w:rPr>
        <w:t xml:space="preserve"> </w:t>
      </w:r>
    </w:p>
    <w:p w14:paraId="7EDA6E3D" w14:textId="625DCEDF" w:rsidR="00965309" w:rsidRPr="00E5464F" w:rsidRDefault="00F80D26" w:rsidP="003A7849">
      <w:pPr>
        <w:ind w:firstLine="0"/>
        <w:jc w:val="left"/>
        <w:rPr>
          <w:sz w:val="20"/>
          <w:szCs w:val="20"/>
        </w:rPr>
      </w:pPr>
      <w:r w:rsidRPr="003A7849">
        <w:rPr>
          <w:rFonts w:eastAsia="Times New Roman"/>
          <w:sz w:val="20"/>
          <w:szCs w:val="20"/>
          <w:lang w:eastAsia="lv-LV"/>
        </w:rPr>
        <w:t>jevgenija.petuhova@vugd.gov.lv</w:t>
      </w:r>
      <w:bookmarkStart w:id="0" w:name="_GoBack"/>
      <w:bookmarkEnd w:id="0"/>
    </w:p>
    <w:sectPr w:rsidR="00965309" w:rsidRPr="00E5464F" w:rsidSect="00E86A6C">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9743" w14:textId="77777777" w:rsidR="007E7A70" w:rsidRDefault="007E7A70" w:rsidP="00F3628F">
      <w:r>
        <w:separator/>
      </w:r>
    </w:p>
  </w:endnote>
  <w:endnote w:type="continuationSeparator" w:id="0">
    <w:p w14:paraId="54AAB1B2" w14:textId="77777777" w:rsidR="007E7A70" w:rsidRDefault="007E7A70"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BF6E" w14:textId="77777777" w:rsidR="00FF7CC5" w:rsidRPr="00E86A6C" w:rsidRDefault="00ED4313" w:rsidP="00FF7CC5">
    <w:pPr>
      <w:pStyle w:val="Kjene"/>
      <w:ind w:firstLine="0"/>
      <w:rPr>
        <w:sz w:val="20"/>
        <w:szCs w:val="20"/>
      </w:rPr>
    </w:pPr>
    <w:r>
      <w:rPr>
        <w:sz w:val="20"/>
        <w:szCs w:val="20"/>
      </w:rPr>
      <w:t xml:space="preserve"> </w:t>
    </w:r>
  </w:p>
  <w:p w14:paraId="6C11DBDD" w14:textId="3F5E7E94" w:rsidR="005146EF" w:rsidRPr="00E86A6C" w:rsidRDefault="005146EF" w:rsidP="005146EF">
    <w:pPr>
      <w:pStyle w:val="Kjene"/>
      <w:ind w:firstLine="0"/>
      <w:rPr>
        <w:sz w:val="20"/>
        <w:szCs w:val="20"/>
      </w:rPr>
    </w:pPr>
    <w:r w:rsidRPr="00E86A6C">
      <w:rPr>
        <w:sz w:val="20"/>
        <w:szCs w:val="20"/>
      </w:rPr>
      <w:t>I</w:t>
    </w:r>
    <w:r>
      <w:rPr>
        <w:sz w:val="20"/>
        <w:szCs w:val="20"/>
      </w:rPr>
      <w:t>E</w:t>
    </w:r>
    <w:r w:rsidRPr="00E86A6C">
      <w:rPr>
        <w:sz w:val="20"/>
        <w:szCs w:val="20"/>
      </w:rPr>
      <w:t>M</w:t>
    </w:r>
    <w:r>
      <w:rPr>
        <w:sz w:val="20"/>
        <w:szCs w:val="20"/>
      </w:rPr>
      <w:t>a</w:t>
    </w:r>
    <w:r w:rsidRPr="00E86A6C">
      <w:rPr>
        <w:sz w:val="20"/>
        <w:szCs w:val="20"/>
      </w:rPr>
      <w:t>not_</w:t>
    </w:r>
    <w:r w:rsidR="007547C4">
      <w:rPr>
        <w:sz w:val="20"/>
        <w:szCs w:val="20"/>
      </w:rPr>
      <w:t>0708</w:t>
    </w:r>
    <w:r w:rsidRPr="00E86A6C">
      <w:rPr>
        <w:sz w:val="20"/>
        <w:szCs w:val="20"/>
      </w:rPr>
      <w:t>1</w:t>
    </w:r>
    <w:r>
      <w:rPr>
        <w:sz w:val="20"/>
        <w:szCs w:val="20"/>
      </w:rPr>
      <w:t>7</w:t>
    </w:r>
    <w:r w:rsidR="003827BB">
      <w:rPr>
        <w:sz w:val="20"/>
        <w:szCs w:val="20"/>
      </w:rPr>
      <w:t>_PBO</w:t>
    </w:r>
  </w:p>
  <w:p w14:paraId="042CA5B3" w14:textId="77777777"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E843" w14:textId="11BEDCDC" w:rsidR="00337C40" w:rsidRPr="00E86A6C" w:rsidRDefault="00337C40" w:rsidP="00337C40">
    <w:pPr>
      <w:pStyle w:val="Kjene"/>
      <w:ind w:firstLine="0"/>
      <w:rPr>
        <w:sz w:val="20"/>
        <w:szCs w:val="20"/>
      </w:rPr>
    </w:pPr>
    <w:r w:rsidRPr="00E86A6C">
      <w:rPr>
        <w:sz w:val="20"/>
        <w:szCs w:val="20"/>
      </w:rPr>
      <w:t>I</w:t>
    </w:r>
    <w:r>
      <w:rPr>
        <w:sz w:val="20"/>
        <w:szCs w:val="20"/>
      </w:rPr>
      <w:t>E</w:t>
    </w:r>
    <w:r w:rsidRPr="00E86A6C">
      <w:rPr>
        <w:sz w:val="20"/>
        <w:szCs w:val="20"/>
      </w:rPr>
      <w:t>M</w:t>
    </w:r>
    <w:r>
      <w:rPr>
        <w:sz w:val="20"/>
        <w:szCs w:val="20"/>
      </w:rPr>
      <w:t>a</w:t>
    </w:r>
    <w:r w:rsidRPr="00E86A6C">
      <w:rPr>
        <w:sz w:val="20"/>
        <w:szCs w:val="20"/>
      </w:rPr>
      <w:t>not_</w:t>
    </w:r>
    <w:r w:rsidR="007547C4">
      <w:rPr>
        <w:sz w:val="20"/>
        <w:szCs w:val="20"/>
      </w:rPr>
      <w:t>0708</w:t>
    </w:r>
    <w:r w:rsidRPr="00E86A6C">
      <w:rPr>
        <w:sz w:val="20"/>
        <w:szCs w:val="20"/>
      </w:rPr>
      <w:t>1</w:t>
    </w:r>
    <w:r>
      <w:rPr>
        <w:sz w:val="20"/>
        <w:szCs w:val="20"/>
      </w:rPr>
      <w:t>7</w:t>
    </w:r>
    <w:r w:rsidR="003827BB">
      <w:rPr>
        <w:sz w:val="20"/>
        <w:szCs w:val="20"/>
      </w:rPr>
      <w:t>_PBO</w:t>
    </w:r>
  </w:p>
  <w:p w14:paraId="43E31BD8" w14:textId="77777777" w:rsidR="00965309" w:rsidRPr="000D79E6" w:rsidRDefault="00965309" w:rsidP="000D79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EE95" w14:textId="77777777" w:rsidR="007E7A70" w:rsidRDefault="007E7A70" w:rsidP="00F3628F">
      <w:r>
        <w:separator/>
      </w:r>
    </w:p>
  </w:footnote>
  <w:footnote w:type="continuationSeparator" w:id="0">
    <w:p w14:paraId="41E5F08D" w14:textId="77777777" w:rsidR="007E7A70" w:rsidRDefault="007E7A70"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0147" w14:textId="5E4D9DFA"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3827BB">
      <w:rPr>
        <w:noProof/>
        <w:sz w:val="24"/>
        <w:szCs w:val="24"/>
      </w:rPr>
      <w:t>6</w:t>
    </w:r>
    <w:r w:rsidRPr="00F50C84">
      <w:rPr>
        <w:sz w:val="24"/>
        <w:szCs w:val="24"/>
      </w:rPr>
      <w:fldChar w:fldCharType="end"/>
    </w:r>
  </w:p>
  <w:p w14:paraId="5779F4EE" w14:textId="77777777"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201E47DD"/>
    <w:multiLevelType w:val="hybridMultilevel"/>
    <w:tmpl w:val="6F20AAD8"/>
    <w:lvl w:ilvl="0" w:tplc="458806FA">
      <w:start w:val="2014"/>
      <w:numFmt w:val="bullet"/>
      <w:lvlText w:val="-"/>
      <w:lvlJc w:val="left"/>
      <w:pPr>
        <w:ind w:left="643" w:hanging="360"/>
      </w:pPr>
      <w:rPr>
        <w:rFonts w:ascii="Times New Roman" w:eastAsia="Times New Roman" w:hAnsi="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4" w15:restartNumberingAfterBreak="0">
    <w:nsid w:val="245756F5"/>
    <w:multiLevelType w:val="hybridMultilevel"/>
    <w:tmpl w:val="997A4264"/>
    <w:lvl w:ilvl="0" w:tplc="A052026E">
      <w:start w:val="1"/>
      <w:numFmt w:val="decimal"/>
      <w:lvlText w:val="%1)"/>
      <w:lvlJc w:val="left"/>
      <w:pPr>
        <w:ind w:left="734" w:hanging="36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5"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E18508C"/>
    <w:multiLevelType w:val="hybridMultilevel"/>
    <w:tmpl w:val="BE404730"/>
    <w:lvl w:ilvl="0" w:tplc="458806FA">
      <w:start w:val="2014"/>
      <w:numFmt w:val="bullet"/>
      <w:lvlText w:val="-"/>
      <w:lvlJc w:val="left"/>
      <w:pPr>
        <w:ind w:left="1060" w:hanging="360"/>
      </w:pPr>
      <w:rPr>
        <w:rFonts w:ascii="Times New Roman" w:eastAsia="Times New Roman" w:hAnsi="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7" w15:restartNumberingAfterBreak="0">
    <w:nsid w:val="41EF41E1"/>
    <w:multiLevelType w:val="hybridMultilevel"/>
    <w:tmpl w:val="896A160C"/>
    <w:lvl w:ilvl="0" w:tplc="58D0A744">
      <w:start w:val="1"/>
      <w:numFmt w:val="decimal"/>
      <w:lvlText w:val="%1)"/>
      <w:lvlJc w:val="left"/>
      <w:pPr>
        <w:ind w:left="775" w:hanging="375"/>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8" w15:restartNumberingAfterBreak="0">
    <w:nsid w:val="478D2ACC"/>
    <w:multiLevelType w:val="hybridMultilevel"/>
    <w:tmpl w:val="D2DA72E0"/>
    <w:lvl w:ilvl="0" w:tplc="CADCF0C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11"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2" w15:restartNumberingAfterBreak="0">
    <w:nsid w:val="519F78F0"/>
    <w:multiLevelType w:val="hybridMultilevel"/>
    <w:tmpl w:val="124A050A"/>
    <w:lvl w:ilvl="0" w:tplc="46D856E6">
      <w:start w:val="2"/>
      <w:numFmt w:val="bullet"/>
      <w:lvlText w:val="-"/>
      <w:lvlJc w:val="left"/>
      <w:pPr>
        <w:ind w:left="734" w:hanging="360"/>
      </w:pPr>
      <w:rPr>
        <w:rFonts w:ascii="Times New Roman" w:eastAsia="Calibri" w:hAnsi="Times New Roman" w:cs="Times New Roman" w:hint="default"/>
      </w:rPr>
    </w:lvl>
    <w:lvl w:ilvl="1" w:tplc="04260003" w:tentative="1">
      <w:start w:val="1"/>
      <w:numFmt w:val="bullet"/>
      <w:lvlText w:val="o"/>
      <w:lvlJc w:val="left"/>
      <w:pPr>
        <w:ind w:left="1454" w:hanging="360"/>
      </w:pPr>
      <w:rPr>
        <w:rFonts w:ascii="Courier New" w:hAnsi="Courier New" w:cs="Courier New" w:hint="default"/>
      </w:rPr>
    </w:lvl>
    <w:lvl w:ilvl="2" w:tplc="04260005" w:tentative="1">
      <w:start w:val="1"/>
      <w:numFmt w:val="bullet"/>
      <w:lvlText w:val=""/>
      <w:lvlJc w:val="left"/>
      <w:pPr>
        <w:ind w:left="2174" w:hanging="360"/>
      </w:pPr>
      <w:rPr>
        <w:rFonts w:ascii="Wingdings" w:hAnsi="Wingdings" w:hint="default"/>
      </w:rPr>
    </w:lvl>
    <w:lvl w:ilvl="3" w:tplc="04260001" w:tentative="1">
      <w:start w:val="1"/>
      <w:numFmt w:val="bullet"/>
      <w:lvlText w:val=""/>
      <w:lvlJc w:val="left"/>
      <w:pPr>
        <w:ind w:left="2894" w:hanging="360"/>
      </w:pPr>
      <w:rPr>
        <w:rFonts w:ascii="Symbol" w:hAnsi="Symbol" w:hint="default"/>
      </w:rPr>
    </w:lvl>
    <w:lvl w:ilvl="4" w:tplc="04260003" w:tentative="1">
      <w:start w:val="1"/>
      <w:numFmt w:val="bullet"/>
      <w:lvlText w:val="o"/>
      <w:lvlJc w:val="left"/>
      <w:pPr>
        <w:ind w:left="3614" w:hanging="360"/>
      </w:pPr>
      <w:rPr>
        <w:rFonts w:ascii="Courier New" w:hAnsi="Courier New" w:cs="Courier New" w:hint="default"/>
      </w:rPr>
    </w:lvl>
    <w:lvl w:ilvl="5" w:tplc="04260005" w:tentative="1">
      <w:start w:val="1"/>
      <w:numFmt w:val="bullet"/>
      <w:lvlText w:val=""/>
      <w:lvlJc w:val="left"/>
      <w:pPr>
        <w:ind w:left="4334" w:hanging="360"/>
      </w:pPr>
      <w:rPr>
        <w:rFonts w:ascii="Wingdings" w:hAnsi="Wingdings" w:hint="default"/>
      </w:rPr>
    </w:lvl>
    <w:lvl w:ilvl="6" w:tplc="04260001" w:tentative="1">
      <w:start w:val="1"/>
      <w:numFmt w:val="bullet"/>
      <w:lvlText w:val=""/>
      <w:lvlJc w:val="left"/>
      <w:pPr>
        <w:ind w:left="5054" w:hanging="360"/>
      </w:pPr>
      <w:rPr>
        <w:rFonts w:ascii="Symbol" w:hAnsi="Symbol" w:hint="default"/>
      </w:rPr>
    </w:lvl>
    <w:lvl w:ilvl="7" w:tplc="04260003" w:tentative="1">
      <w:start w:val="1"/>
      <w:numFmt w:val="bullet"/>
      <w:lvlText w:val="o"/>
      <w:lvlJc w:val="left"/>
      <w:pPr>
        <w:ind w:left="5774" w:hanging="360"/>
      </w:pPr>
      <w:rPr>
        <w:rFonts w:ascii="Courier New" w:hAnsi="Courier New" w:cs="Courier New" w:hint="default"/>
      </w:rPr>
    </w:lvl>
    <w:lvl w:ilvl="8" w:tplc="04260005" w:tentative="1">
      <w:start w:val="1"/>
      <w:numFmt w:val="bullet"/>
      <w:lvlText w:val=""/>
      <w:lvlJc w:val="left"/>
      <w:pPr>
        <w:ind w:left="6494" w:hanging="360"/>
      </w:pPr>
      <w:rPr>
        <w:rFonts w:ascii="Wingdings" w:hAnsi="Wingdings" w:hint="default"/>
      </w:rPr>
    </w:lvl>
  </w:abstractNum>
  <w:abstractNum w:abstractNumId="13" w15:restartNumberingAfterBreak="0">
    <w:nsid w:val="686C4E87"/>
    <w:multiLevelType w:val="hybridMultilevel"/>
    <w:tmpl w:val="4EA8EAA8"/>
    <w:lvl w:ilvl="0" w:tplc="A2A4022A">
      <w:start w:val="1"/>
      <w:numFmt w:val="bullet"/>
      <w:lvlText w:val="-"/>
      <w:lvlJc w:val="left"/>
      <w:pPr>
        <w:tabs>
          <w:tab w:val="num" w:pos="720"/>
        </w:tabs>
        <w:ind w:left="720" w:hanging="360"/>
      </w:pPr>
      <w:rPr>
        <w:rFonts w:ascii="Times New Roman" w:eastAsia="Times New Roman" w:hAnsi="Times New Roman"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9B5BF9"/>
    <w:multiLevelType w:val="hybridMultilevel"/>
    <w:tmpl w:val="88D6E3C8"/>
    <w:lvl w:ilvl="0" w:tplc="9C3AF17A">
      <w:start w:val="2"/>
      <w:numFmt w:val="bullet"/>
      <w:lvlText w:val="–"/>
      <w:lvlJc w:val="left"/>
      <w:pPr>
        <w:ind w:left="701" w:hanging="360"/>
      </w:pPr>
      <w:rPr>
        <w:rFonts w:ascii="Times New Roman" w:eastAsia="Calibri"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6"/>
  </w:num>
  <w:num w:numId="4">
    <w:abstractNumId w:val="9"/>
  </w:num>
  <w:num w:numId="5">
    <w:abstractNumId w:val="1"/>
  </w:num>
  <w:num w:numId="6">
    <w:abstractNumId w:val="17"/>
  </w:num>
  <w:num w:numId="7">
    <w:abstractNumId w:val="15"/>
  </w:num>
  <w:num w:numId="8">
    <w:abstractNumId w:val="5"/>
  </w:num>
  <w:num w:numId="9">
    <w:abstractNumId w:val="10"/>
  </w:num>
  <w:num w:numId="10">
    <w:abstractNumId w:val="11"/>
  </w:num>
  <w:num w:numId="11">
    <w:abstractNumId w:val="14"/>
  </w:num>
  <w:num w:numId="12">
    <w:abstractNumId w:val="8"/>
  </w:num>
  <w:num w:numId="13">
    <w:abstractNumId w:val="7"/>
  </w:num>
  <w:num w:numId="14">
    <w:abstractNumId w:val="4"/>
  </w:num>
  <w:num w:numId="15">
    <w:abstractNumId w:val="13"/>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2286"/>
    <w:rsid w:val="00003E54"/>
    <w:rsid w:val="00004C67"/>
    <w:rsid w:val="0001142B"/>
    <w:rsid w:val="000117B2"/>
    <w:rsid w:val="000120F4"/>
    <w:rsid w:val="00013093"/>
    <w:rsid w:val="00014974"/>
    <w:rsid w:val="00021077"/>
    <w:rsid w:val="00023436"/>
    <w:rsid w:val="0002648E"/>
    <w:rsid w:val="00026B5B"/>
    <w:rsid w:val="000346D8"/>
    <w:rsid w:val="00035347"/>
    <w:rsid w:val="0004061E"/>
    <w:rsid w:val="000446D7"/>
    <w:rsid w:val="00044828"/>
    <w:rsid w:val="000513C2"/>
    <w:rsid w:val="00053B99"/>
    <w:rsid w:val="000556E6"/>
    <w:rsid w:val="0005582F"/>
    <w:rsid w:val="000662E7"/>
    <w:rsid w:val="00067791"/>
    <w:rsid w:val="00071778"/>
    <w:rsid w:val="0007566F"/>
    <w:rsid w:val="00080BFC"/>
    <w:rsid w:val="00083D16"/>
    <w:rsid w:val="0008799E"/>
    <w:rsid w:val="00087DA0"/>
    <w:rsid w:val="00095E60"/>
    <w:rsid w:val="000A358F"/>
    <w:rsid w:val="000B3D1C"/>
    <w:rsid w:val="000B5BDE"/>
    <w:rsid w:val="000B6AC3"/>
    <w:rsid w:val="000C02DA"/>
    <w:rsid w:val="000C338A"/>
    <w:rsid w:val="000C4566"/>
    <w:rsid w:val="000C6111"/>
    <w:rsid w:val="000D28E0"/>
    <w:rsid w:val="000D513D"/>
    <w:rsid w:val="000D79E6"/>
    <w:rsid w:val="000E108D"/>
    <w:rsid w:val="000E5184"/>
    <w:rsid w:val="000E5608"/>
    <w:rsid w:val="000E7ED0"/>
    <w:rsid w:val="000F6679"/>
    <w:rsid w:val="00101211"/>
    <w:rsid w:val="001128B5"/>
    <w:rsid w:val="00115C42"/>
    <w:rsid w:val="00117AFC"/>
    <w:rsid w:val="00126571"/>
    <w:rsid w:val="00126C18"/>
    <w:rsid w:val="0013070F"/>
    <w:rsid w:val="0013242B"/>
    <w:rsid w:val="001347D1"/>
    <w:rsid w:val="0013550B"/>
    <w:rsid w:val="0013569A"/>
    <w:rsid w:val="00137896"/>
    <w:rsid w:val="00140597"/>
    <w:rsid w:val="00141133"/>
    <w:rsid w:val="0014431E"/>
    <w:rsid w:val="0014692C"/>
    <w:rsid w:val="00151714"/>
    <w:rsid w:val="00151C8F"/>
    <w:rsid w:val="00152BCF"/>
    <w:rsid w:val="001538D6"/>
    <w:rsid w:val="00154AAE"/>
    <w:rsid w:val="0015601D"/>
    <w:rsid w:val="00156056"/>
    <w:rsid w:val="00157B3D"/>
    <w:rsid w:val="00161FC1"/>
    <w:rsid w:val="0016265E"/>
    <w:rsid w:val="00164382"/>
    <w:rsid w:val="00171E4F"/>
    <w:rsid w:val="00173968"/>
    <w:rsid w:val="00177A20"/>
    <w:rsid w:val="001816BD"/>
    <w:rsid w:val="00183AE1"/>
    <w:rsid w:val="0018482F"/>
    <w:rsid w:val="001865B0"/>
    <w:rsid w:val="00186FBC"/>
    <w:rsid w:val="001963E5"/>
    <w:rsid w:val="001A0BAB"/>
    <w:rsid w:val="001A1E8C"/>
    <w:rsid w:val="001A4487"/>
    <w:rsid w:val="001B34A1"/>
    <w:rsid w:val="001B71B1"/>
    <w:rsid w:val="001C1E10"/>
    <w:rsid w:val="001C2B4F"/>
    <w:rsid w:val="001C5396"/>
    <w:rsid w:val="001C56BA"/>
    <w:rsid w:val="001C58DA"/>
    <w:rsid w:val="001C620C"/>
    <w:rsid w:val="001C7556"/>
    <w:rsid w:val="001D0E04"/>
    <w:rsid w:val="001D25B9"/>
    <w:rsid w:val="001D3816"/>
    <w:rsid w:val="001D510D"/>
    <w:rsid w:val="001D5646"/>
    <w:rsid w:val="001D681A"/>
    <w:rsid w:val="001E4331"/>
    <w:rsid w:val="001E4DC4"/>
    <w:rsid w:val="001E4FFF"/>
    <w:rsid w:val="001E6914"/>
    <w:rsid w:val="001F2731"/>
    <w:rsid w:val="001F5735"/>
    <w:rsid w:val="001F6AAD"/>
    <w:rsid w:val="00200BC7"/>
    <w:rsid w:val="00205CD5"/>
    <w:rsid w:val="00206680"/>
    <w:rsid w:val="0021213F"/>
    <w:rsid w:val="002121FE"/>
    <w:rsid w:val="00216468"/>
    <w:rsid w:val="002171F7"/>
    <w:rsid w:val="00217FB7"/>
    <w:rsid w:val="00220DF5"/>
    <w:rsid w:val="00221A97"/>
    <w:rsid w:val="00221C68"/>
    <w:rsid w:val="00223C57"/>
    <w:rsid w:val="00226A78"/>
    <w:rsid w:val="00226D12"/>
    <w:rsid w:val="00227ED8"/>
    <w:rsid w:val="00230A3D"/>
    <w:rsid w:val="00235700"/>
    <w:rsid w:val="00236127"/>
    <w:rsid w:val="00243873"/>
    <w:rsid w:val="0025218F"/>
    <w:rsid w:val="002572D4"/>
    <w:rsid w:val="0025773E"/>
    <w:rsid w:val="0027319E"/>
    <w:rsid w:val="0027455A"/>
    <w:rsid w:val="00275A8E"/>
    <w:rsid w:val="0027656E"/>
    <w:rsid w:val="00282ADF"/>
    <w:rsid w:val="002836E1"/>
    <w:rsid w:val="00283AA2"/>
    <w:rsid w:val="00294B40"/>
    <w:rsid w:val="00295EA0"/>
    <w:rsid w:val="00296449"/>
    <w:rsid w:val="002A3D3A"/>
    <w:rsid w:val="002A4CE0"/>
    <w:rsid w:val="002A5A1F"/>
    <w:rsid w:val="002A6CD7"/>
    <w:rsid w:val="002B1A32"/>
    <w:rsid w:val="002B51B0"/>
    <w:rsid w:val="002C01C2"/>
    <w:rsid w:val="002C109D"/>
    <w:rsid w:val="002C20B4"/>
    <w:rsid w:val="002C307E"/>
    <w:rsid w:val="002C566C"/>
    <w:rsid w:val="002C7103"/>
    <w:rsid w:val="002D2B36"/>
    <w:rsid w:val="002D7A33"/>
    <w:rsid w:val="002E13FB"/>
    <w:rsid w:val="002E4A57"/>
    <w:rsid w:val="002E7291"/>
    <w:rsid w:val="002F5D48"/>
    <w:rsid w:val="003102AA"/>
    <w:rsid w:val="003124CB"/>
    <w:rsid w:val="00313576"/>
    <w:rsid w:val="003149E9"/>
    <w:rsid w:val="00315C4B"/>
    <w:rsid w:val="00321EEC"/>
    <w:rsid w:val="003235AA"/>
    <w:rsid w:val="0032424B"/>
    <w:rsid w:val="003265F3"/>
    <w:rsid w:val="00327260"/>
    <w:rsid w:val="00332417"/>
    <w:rsid w:val="00334E5E"/>
    <w:rsid w:val="00337C40"/>
    <w:rsid w:val="003417A9"/>
    <w:rsid w:val="003440E3"/>
    <w:rsid w:val="00345C48"/>
    <w:rsid w:val="003471E1"/>
    <w:rsid w:val="003501BC"/>
    <w:rsid w:val="0035735A"/>
    <w:rsid w:val="0036053F"/>
    <w:rsid w:val="0036204A"/>
    <w:rsid w:val="00364F99"/>
    <w:rsid w:val="0037178D"/>
    <w:rsid w:val="00372B9A"/>
    <w:rsid w:val="00373204"/>
    <w:rsid w:val="003749E6"/>
    <w:rsid w:val="00374EE1"/>
    <w:rsid w:val="00375713"/>
    <w:rsid w:val="00376273"/>
    <w:rsid w:val="00381DB1"/>
    <w:rsid w:val="003827BB"/>
    <w:rsid w:val="0039002B"/>
    <w:rsid w:val="00390C55"/>
    <w:rsid w:val="003948B1"/>
    <w:rsid w:val="00394F72"/>
    <w:rsid w:val="003A451A"/>
    <w:rsid w:val="003A6E22"/>
    <w:rsid w:val="003A7849"/>
    <w:rsid w:val="003B45CF"/>
    <w:rsid w:val="003B6F50"/>
    <w:rsid w:val="003C3021"/>
    <w:rsid w:val="003C5128"/>
    <w:rsid w:val="003C530F"/>
    <w:rsid w:val="003C6849"/>
    <w:rsid w:val="003D0A37"/>
    <w:rsid w:val="003D171B"/>
    <w:rsid w:val="003D4B72"/>
    <w:rsid w:val="003D6EA8"/>
    <w:rsid w:val="003E2DA8"/>
    <w:rsid w:val="003F7EFE"/>
    <w:rsid w:val="00407DCE"/>
    <w:rsid w:val="004118C9"/>
    <w:rsid w:val="00420A06"/>
    <w:rsid w:val="004261EB"/>
    <w:rsid w:val="00430257"/>
    <w:rsid w:val="00437A21"/>
    <w:rsid w:val="00441E5D"/>
    <w:rsid w:val="0044584E"/>
    <w:rsid w:val="00446D53"/>
    <w:rsid w:val="00451713"/>
    <w:rsid w:val="00457411"/>
    <w:rsid w:val="004625F8"/>
    <w:rsid w:val="004701FD"/>
    <w:rsid w:val="004734AF"/>
    <w:rsid w:val="00476B02"/>
    <w:rsid w:val="00476E9D"/>
    <w:rsid w:val="00483993"/>
    <w:rsid w:val="00483FFF"/>
    <w:rsid w:val="004878BD"/>
    <w:rsid w:val="00490159"/>
    <w:rsid w:val="004B1CAD"/>
    <w:rsid w:val="004B1DA3"/>
    <w:rsid w:val="004B53D9"/>
    <w:rsid w:val="004C0102"/>
    <w:rsid w:val="004C5BEA"/>
    <w:rsid w:val="004D0214"/>
    <w:rsid w:val="004D2053"/>
    <w:rsid w:val="004D251F"/>
    <w:rsid w:val="004D5AEA"/>
    <w:rsid w:val="004D79D0"/>
    <w:rsid w:val="004E01CB"/>
    <w:rsid w:val="004E1697"/>
    <w:rsid w:val="004E23F5"/>
    <w:rsid w:val="004F51EF"/>
    <w:rsid w:val="004F55B2"/>
    <w:rsid w:val="004F62C2"/>
    <w:rsid w:val="00500AD3"/>
    <w:rsid w:val="00506EE0"/>
    <w:rsid w:val="00507BA0"/>
    <w:rsid w:val="00510DE8"/>
    <w:rsid w:val="005116D8"/>
    <w:rsid w:val="00511C41"/>
    <w:rsid w:val="00512301"/>
    <w:rsid w:val="005146EF"/>
    <w:rsid w:val="00514EBE"/>
    <w:rsid w:val="00516DA6"/>
    <w:rsid w:val="00522835"/>
    <w:rsid w:val="00530976"/>
    <w:rsid w:val="005372E8"/>
    <w:rsid w:val="005401E9"/>
    <w:rsid w:val="00541B5D"/>
    <w:rsid w:val="005438BC"/>
    <w:rsid w:val="005575B9"/>
    <w:rsid w:val="00562563"/>
    <w:rsid w:val="00563301"/>
    <w:rsid w:val="00567A82"/>
    <w:rsid w:val="00571B50"/>
    <w:rsid w:val="00580DDF"/>
    <w:rsid w:val="00582BFC"/>
    <w:rsid w:val="00583CFA"/>
    <w:rsid w:val="005855AB"/>
    <w:rsid w:val="00587970"/>
    <w:rsid w:val="00587B5D"/>
    <w:rsid w:val="00587FB5"/>
    <w:rsid w:val="00592E2E"/>
    <w:rsid w:val="005937BE"/>
    <w:rsid w:val="005978A6"/>
    <w:rsid w:val="005A0975"/>
    <w:rsid w:val="005A2741"/>
    <w:rsid w:val="005A47D0"/>
    <w:rsid w:val="005A7A0E"/>
    <w:rsid w:val="005B6A93"/>
    <w:rsid w:val="005B7774"/>
    <w:rsid w:val="005D08F3"/>
    <w:rsid w:val="005D1C57"/>
    <w:rsid w:val="005D5148"/>
    <w:rsid w:val="005D611C"/>
    <w:rsid w:val="005E36D1"/>
    <w:rsid w:val="005F1404"/>
    <w:rsid w:val="006020DB"/>
    <w:rsid w:val="0061190C"/>
    <w:rsid w:val="0061490C"/>
    <w:rsid w:val="00616CC7"/>
    <w:rsid w:val="00616DA7"/>
    <w:rsid w:val="00617E10"/>
    <w:rsid w:val="006206EC"/>
    <w:rsid w:val="00622F65"/>
    <w:rsid w:val="00623A32"/>
    <w:rsid w:val="00635085"/>
    <w:rsid w:val="006371BA"/>
    <w:rsid w:val="006462A7"/>
    <w:rsid w:val="006569D9"/>
    <w:rsid w:val="006569DF"/>
    <w:rsid w:val="00657F8A"/>
    <w:rsid w:val="00664F46"/>
    <w:rsid w:val="0066520C"/>
    <w:rsid w:val="00683920"/>
    <w:rsid w:val="00683BBE"/>
    <w:rsid w:val="00687175"/>
    <w:rsid w:val="00687DEE"/>
    <w:rsid w:val="006957E9"/>
    <w:rsid w:val="006A202F"/>
    <w:rsid w:val="006A2569"/>
    <w:rsid w:val="006A290D"/>
    <w:rsid w:val="006A4326"/>
    <w:rsid w:val="006A7CF8"/>
    <w:rsid w:val="006B01BA"/>
    <w:rsid w:val="006B06C9"/>
    <w:rsid w:val="006B279B"/>
    <w:rsid w:val="006B39CD"/>
    <w:rsid w:val="006C06CF"/>
    <w:rsid w:val="006C651B"/>
    <w:rsid w:val="006C7180"/>
    <w:rsid w:val="006C76BC"/>
    <w:rsid w:val="006D4B8A"/>
    <w:rsid w:val="006D651D"/>
    <w:rsid w:val="006D6A94"/>
    <w:rsid w:val="006F0E22"/>
    <w:rsid w:val="006F223E"/>
    <w:rsid w:val="006F2559"/>
    <w:rsid w:val="0070036B"/>
    <w:rsid w:val="00707F33"/>
    <w:rsid w:val="007100C6"/>
    <w:rsid w:val="00710F01"/>
    <w:rsid w:val="00712EB0"/>
    <w:rsid w:val="0071489B"/>
    <w:rsid w:val="00714D96"/>
    <w:rsid w:val="00715FE0"/>
    <w:rsid w:val="00721B5C"/>
    <w:rsid w:val="00727142"/>
    <w:rsid w:val="007341F5"/>
    <w:rsid w:val="00736392"/>
    <w:rsid w:val="0073700E"/>
    <w:rsid w:val="00743314"/>
    <w:rsid w:val="007536A2"/>
    <w:rsid w:val="007547C4"/>
    <w:rsid w:val="007552DE"/>
    <w:rsid w:val="00762974"/>
    <w:rsid w:val="0076636C"/>
    <w:rsid w:val="007673B9"/>
    <w:rsid w:val="00767B0C"/>
    <w:rsid w:val="007747B8"/>
    <w:rsid w:val="0078077B"/>
    <w:rsid w:val="00785725"/>
    <w:rsid w:val="00787F59"/>
    <w:rsid w:val="00791DB5"/>
    <w:rsid w:val="007A37EB"/>
    <w:rsid w:val="007A4584"/>
    <w:rsid w:val="007A7ADE"/>
    <w:rsid w:val="007B2C1F"/>
    <w:rsid w:val="007B6FFF"/>
    <w:rsid w:val="007C3329"/>
    <w:rsid w:val="007D23A9"/>
    <w:rsid w:val="007D29D6"/>
    <w:rsid w:val="007D3319"/>
    <w:rsid w:val="007E03A6"/>
    <w:rsid w:val="007E0AEF"/>
    <w:rsid w:val="007E486A"/>
    <w:rsid w:val="007E7A70"/>
    <w:rsid w:val="007F3BE1"/>
    <w:rsid w:val="007F459D"/>
    <w:rsid w:val="007F50AD"/>
    <w:rsid w:val="007F5ACC"/>
    <w:rsid w:val="00800BE8"/>
    <w:rsid w:val="0080485C"/>
    <w:rsid w:val="0081050B"/>
    <w:rsid w:val="0081790C"/>
    <w:rsid w:val="008230AB"/>
    <w:rsid w:val="0083114B"/>
    <w:rsid w:val="00834C1F"/>
    <w:rsid w:val="0084143A"/>
    <w:rsid w:val="00844FE7"/>
    <w:rsid w:val="00845DE8"/>
    <w:rsid w:val="00850A1C"/>
    <w:rsid w:val="00854115"/>
    <w:rsid w:val="008577CE"/>
    <w:rsid w:val="00861F95"/>
    <w:rsid w:val="00862D0F"/>
    <w:rsid w:val="008640B4"/>
    <w:rsid w:val="00864391"/>
    <w:rsid w:val="00867BA6"/>
    <w:rsid w:val="00877329"/>
    <w:rsid w:val="008773AE"/>
    <w:rsid w:val="0088221C"/>
    <w:rsid w:val="00887DF1"/>
    <w:rsid w:val="00892208"/>
    <w:rsid w:val="008925DF"/>
    <w:rsid w:val="00893484"/>
    <w:rsid w:val="00895C31"/>
    <w:rsid w:val="0089613C"/>
    <w:rsid w:val="0089767B"/>
    <w:rsid w:val="008A295E"/>
    <w:rsid w:val="008A427F"/>
    <w:rsid w:val="008A504B"/>
    <w:rsid w:val="008A70DC"/>
    <w:rsid w:val="008A7E54"/>
    <w:rsid w:val="008B0502"/>
    <w:rsid w:val="008B3093"/>
    <w:rsid w:val="008B3E5C"/>
    <w:rsid w:val="008C16EE"/>
    <w:rsid w:val="008C7F21"/>
    <w:rsid w:val="008D46B1"/>
    <w:rsid w:val="008D5E43"/>
    <w:rsid w:val="008D64D3"/>
    <w:rsid w:val="008D71A1"/>
    <w:rsid w:val="008D722E"/>
    <w:rsid w:val="008E0EF1"/>
    <w:rsid w:val="008E2044"/>
    <w:rsid w:val="008E398C"/>
    <w:rsid w:val="008F41B5"/>
    <w:rsid w:val="008F4718"/>
    <w:rsid w:val="008F4997"/>
    <w:rsid w:val="008F60EC"/>
    <w:rsid w:val="00902BE1"/>
    <w:rsid w:val="009043E0"/>
    <w:rsid w:val="00907B1F"/>
    <w:rsid w:val="00911221"/>
    <w:rsid w:val="00913443"/>
    <w:rsid w:val="00915D58"/>
    <w:rsid w:val="0092222F"/>
    <w:rsid w:val="00924FCB"/>
    <w:rsid w:val="009310A1"/>
    <w:rsid w:val="00945CCB"/>
    <w:rsid w:val="00954D39"/>
    <w:rsid w:val="00954FFF"/>
    <w:rsid w:val="0095512F"/>
    <w:rsid w:val="0095578D"/>
    <w:rsid w:val="009566B4"/>
    <w:rsid w:val="00957BD6"/>
    <w:rsid w:val="00957FBF"/>
    <w:rsid w:val="00961452"/>
    <w:rsid w:val="009629B8"/>
    <w:rsid w:val="00963E11"/>
    <w:rsid w:val="00965309"/>
    <w:rsid w:val="00966FF4"/>
    <w:rsid w:val="009677AF"/>
    <w:rsid w:val="009702F3"/>
    <w:rsid w:val="00972BD0"/>
    <w:rsid w:val="00977A7F"/>
    <w:rsid w:val="00977CFF"/>
    <w:rsid w:val="0098406A"/>
    <w:rsid w:val="00990253"/>
    <w:rsid w:val="009910A2"/>
    <w:rsid w:val="009A0E3A"/>
    <w:rsid w:val="009A1C26"/>
    <w:rsid w:val="009A3D21"/>
    <w:rsid w:val="009B08ED"/>
    <w:rsid w:val="009B2E47"/>
    <w:rsid w:val="009B479F"/>
    <w:rsid w:val="009C1D16"/>
    <w:rsid w:val="009C5B54"/>
    <w:rsid w:val="009D6FFF"/>
    <w:rsid w:val="009E3502"/>
    <w:rsid w:val="009E49B1"/>
    <w:rsid w:val="009E6169"/>
    <w:rsid w:val="009F49C6"/>
    <w:rsid w:val="009F78BC"/>
    <w:rsid w:val="00A0188D"/>
    <w:rsid w:val="00A038E4"/>
    <w:rsid w:val="00A0497D"/>
    <w:rsid w:val="00A20831"/>
    <w:rsid w:val="00A215BF"/>
    <w:rsid w:val="00A24594"/>
    <w:rsid w:val="00A26085"/>
    <w:rsid w:val="00A2778F"/>
    <w:rsid w:val="00A3507D"/>
    <w:rsid w:val="00A46B46"/>
    <w:rsid w:val="00A5312C"/>
    <w:rsid w:val="00A63042"/>
    <w:rsid w:val="00A67BC0"/>
    <w:rsid w:val="00A770C7"/>
    <w:rsid w:val="00A82305"/>
    <w:rsid w:val="00A84DBC"/>
    <w:rsid w:val="00A900F4"/>
    <w:rsid w:val="00A91166"/>
    <w:rsid w:val="00A93EE9"/>
    <w:rsid w:val="00A9559E"/>
    <w:rsid w:val="00A974F2"/>
    <w:rsid w:val="00A97B27"/>
    <w:rsid w:val="00AA12CF"/>
    <w:rsid w:val="00AA265C"/>
    <w:rsid w:val="00AA35B2"/>
    <w:rsid w:val="00AA71F3"/>
    <w:rsid w:val="00AB6F4E"/>
    <w:rsid w:val="00AB7770"/>
    <w:rsid w:val="00AC15C1"/>
    <w:rsid w:val="00AC62DD"/>
    <w:rsid w:val="00AF1141"/>
    <w:rsid w:val="00AF1735"/>
    <w:rsid w:val="00AF2B4C"/>
    <w:rsid w:val="00AF4B51"/>
    <w:rsid w:val="00AF6149"/>
    <w:rsid w:val="00AF7FCC"/>
    <w:rsid w:val="00B00591"/>
    <w:rsid w:val="00B140F4"/>
    <w:rsid w:val="00B160D8"/>
    <w:rsid w:val="00B16423"/>
    <w:rsid w:val="00B175AA"/>
    <w:rsid w:val="00B21D01"/>
    <w:rsid w:val="00B271A1"/>
    <w:rsid w:val="00B30091"/>
    <w:rsid w:val="00B31CF9"/>
    <w:rsid w:val="00B37FF8"/>
    <w:rsid w:val="00B40AF0"/>
    <w:rsid w:val="00B40C6F"/>
    <w:rsid w:val="00B43A58"/>
    <w:rsid w:val="00B53AD7"/>
    <w:rsid w:val="00B603FA"/>
    <w:rsid w:val="00B605EA"/>
    <w:rsid w:val="00B66D7F"/>
    <w:rsid w:val="00B725BF"/>
    <w:rsid w:val="00B75620"/>
    <w:rsid w:val="00B80171"/>
    <w:rsid w:val="00B83B6D"/>
    <w:rsid w:val="00B86FC6"/>
    <w:rsid w:val="00B90087"/>
    <w:rsid w:val="00B91689"/>
    <w:rsid w:val="00B94FE3"/>
    <w:rsid w:val="00BA0E52"/>
    <w:rsid w:val="00BA35CF"/>
    <w:rsid w:val="00BA5524"/>
    <w:rsid w:val="00BA60EB"/>
    <w:rsid w:val="00BA74DB"/>
    <w:rsid w:val="00BB28CB"/>
    <w:rsid w:val="00BB56D9"/>
    <w:rsid w:val="00BC485F"/>
    <w:rsid w:val="00BC7D5C"/>
    <w:rsid w:val="00BD5264"/>
    <w:rsid w:val="00BD5322"/>
    <w:rsid w:val="00BE147B"/>
    <w:rsid w:val="00BE22DB"/>
    <w:rsid w:val="00BE3F75"/>
    <w:rsid w:val="00BE5F28"/>
    <w:rsid w:val="00BE6D54"/>
    <w:rsid w:val="00BF2D10"/>
    <w:rsid w:val="00BF2ED7"/>
    <w:rsid w:val="00BF33FF"/>
    <w:rsid w:val="00BF4C08"/>
    <w:rsid w:val="00C00BF4"/>
    <w:rsid w:val="00C06066"/>
    <w:rsid w:val="00C06AE8"/>
    <w:rsid w:val="00C139B6"/>
    <w:rsid w:val="00C20BB3"/>
    <w:rsid w:val="00C22A7A"/>
    <w:rsid w:val="00C23423"/>
    <w:rsid w:val="00C25FD5"/>
    <w:rsid w:val="00C46783"/>
    <w:rsid w:val="00C4697D"/>
    <w:rsid w:val="00C469CC"/>
    <w:rsid w:val="00C544AD"/>
    <w:rsid w:val="00C5513E"/>
    <w:rsid w:val="00C6177A"/>
    <w:rsid w:val="00C64146"/>
    <w:rsid w:val="00C735B1"/>
    <w:rsid w:val="00C7393D"/>
    <w:rsid w:val="00C75CD7"/>
    <w:rsid w:val="00C830BB"/>
    <w:rsid w:val="00C83AF6"/>
    <w:rsid w:val="00CA2652"/>
    <w:rsid w:val="00CA2C35"/>
    <w:rsid w:val="00CB01A5"/>
    <w:rsid w:val="00CB0FEC"/>
    <w:rsid w:val="00CB3E34"/>
    <w:rsid w:val="00CC131A"/>
    <w:rsid w:val="00CC29F8"/>
    <w:rsid w:val="00CD3225"/>
    <w:rsid w:val="00CD3498"/>
    <w:rsid w:val="00CD6044"/>
    <w:rsid w:val="00CE1B42"/>
    <w:rsid w:val="00CE29C6"/>
    <w:rsid w:val="00CE3242"/>
    <w:rsid w:val="00CE60DB"/>
    <w:rsid w:val="00CF1022"/>
    <w:rsid w:val="00CF173F"/>
    <w:rsid w:val="00CF35F7"/>
    <w:rsid w:val="00D03670"/>
    <w:rsid w:val="00D03E13"/>
    <w:rsid w:val="00D05C75"/>
    <w:rsid w:val="00D068AD"/>
    <w:rsid w:val="00D0737C"/>
    <w:rsid w:val="00D10525"/>
    <w:rsid w:val="00D10B38"/>
    <w:rsid w:val="00D12454"/>
    <w:rsid w:val="00D12AF7"/>
    <w:rsid w:val="00D13004"/>
    <w:rsid w:val="00D1691E"/>
    <w:rsid w:val="00D16D46"/>
    <w:rsid w:val="00D22081"/>
    <w:rsid w:val="00D2380C"/>
    <w:rsid w:val="00D247D0"/>
    <w:rsid w:val="00D25F43"/>
    <w:rsid w:val="00D26C58"/>
    <w:rsid w:val="00D27906"/>
    <w:rsid w:val="00D364F0"/>
    <w:rsid w:val="00D36967"/>
    <w:rsid w:val="00D37BC1"/>
    <w:rsid w:val="00D37D25"/>
    <w:rsid w:val="00D40C1D"/>
    <w:rsid w:val="00D40DC5"/>
    <w:rsid w:val="00D426E7"/>
    <w:rsid w:val="00D4453F"/>
    <w:rsid w:val="00D52F89"/>
    <w:rsid w:val="00D5553F"/>
    <w:rsid w:val="00D559AC"/>
    <w:rsid w:val="00D55B64"/>
    <w:rsid w:val="00D63A07"/>
    <w:rsid w:val="00D6541E"/>
    <w:rsid w:val="00D7104F"/>
    <w:rsid w:val="00D745E3"/>
    <w:rsid w:val="00D77EFF"/>
    <w:rsid w:val="00D82659"/>
    <w:rsid w:val="00D838D0"/>
    <w:rsid w:val="00D846DD"/>
    <w:rsid w:val="00D847A7"/>
    <w:rsid w:val="00D85004"/>
    <w:rsid w:val="00D87E7A"/>
    <w:rsid w:val="00D910B0"/>
    <w:rsid w:val="00D9163A"/>
    <w:rsid w:val="00D92DCC"/>
    <w:rsid w:val="00D932C6"/>
    <w:rsid w:val="00DA01E7"/>
    <w:rsid w:val="00DA192D"/>
    <w:rsid w:val="00DA6820"/>
    <w:rsid w:val="00DB0ED8"/>
    <w:rsid w:val="00DB1169"/>
    <w:rsid w:val="00DC27BA"/>
    <w:rsid w:val="00DC28BA"/>
    <w:rsid w:val="00DC2F84"/>
    <w:rsid w:val="00DC7DDC"/>
    <w:rsid w:val="00DD20F4"/>
    <w:rsid w:val="00DD22B3"/>
    <w:rsid w:val="00DD56CC"/>
    <w:rsid w:val="00DD7078"/>
    <w:rsid w:val="00DE0A42"/>
    <w:rsid w:val="00DE4E7B"/>
    <w:rsid w:val="00DE7DCC"/>
    <w:rsid w:val="00DF0B90"/>
    <w:rsid w:val="00DF0D9F"/>
    <w:rsid w:val="00DF157D"/>
    <w:rsid w:val="00DF183D"/>
    <w:rsid w:val="00DF1871"/>
    <w:rsid w:val="00DF1DB0"/>
    <w:rsid w:val="00DF3ACB"/>
    <w:rsid w:val="00E01D54"/>
    <w:rsid w:val="00E03FAE"/>
    <w:rsid w:val="00E04E01"/>
    <w:rsid w:val="00E100ED"/>
    <w:rsid w:val="00E13D23"/>
    <w:rsid w:val="00E13F52"/>
    <w:rsid w:val="00E16A33"/>
    <w:rsid w:val="00E202DF"/>
    <w:rsid w:val="00E204DD"/>
    <w:rsid w:val="00E21D7E"/>
    <w:rsid w:val="00E227D1"/>
    <w:rsid w:val="00E259C3"/>
    <w:rsid w:val="00E26259"/>
    <w:rsid w:val="00E2692A"/>
    <w:rsid w:val="00E27ED1"/>
    <w:rsid w:val="00E3289B"/>
    <w:rsid w:val="00E361DC"/>
    <w:rsid w:val="00E42023"/>
    <w:rsid w:val="00E42AAD"/>
    <w:rsid w:val="00E527F6"/>
    <w:rsid w:val="00E5464F"/>
    <w:rsid w:val="00E54FAE"/>
    <w:rsid w:val="00E62AA4"/>
    <w:rsid w:val="00E655B2"/>
    <w:rsid w:val="00E74BF6"/>
    <w:rsid w:val="00E76A41"/>
    <w:rsid w:val="00E84650"/>
    <w:rsid w:val="00E86A6C"/>
    <w:rsid w:val="00E915A0"/>
    <w:rsid w:val="00E92C4E"/>
    <w:rsid w:val="00E93EEC"/>
    <w:rsid w:val="00E93F6A"/>
    <w:rsid w:val="00EA0FC6"/>
    <w:rsid w:val="00EA1991"/>
    <w:rsid w:val="00EA402B"/>
    <w:rsid w:val="00EA5740"/>
    <w:rsid w:val="00EB03E7"/>
    <w:rsid w:val="00EB0963"/>
    <w:rsid w:val="00EC1DC1"/>
    <w:rsid w:val="00EC1FC7"/>
    <w:rsid w:val="00ED4313"/>
    <w:rsid w:val="00EE19AD"/>
    <w:rsid w:val="00EF0B57"/>
    <w:rsid w:val="00EF0B69"/>
    <w:rsid w:val="00EF35E7"/>
    <w:rsid w:val="00EF52DE"/>
    <w:rsid w:val="00F0058E"/>
    <w:rsid w:val="00F0237B"/>
    <w:rsid w:val="00F03016"/>
    <w:rsid w:val="00F03494"/>
    <w:rsid w:val="00F04140"/>
    <w:rsid w:val="00F07CE6"/>
    <w:rsid w:val="00F11716"/>
    <w:rsid w:val="00F13960"/>
    <w:rsid w:val="00F1568B"/>
    <w:rsid w:val="00F26636"/>
    <w:rsid w:val="00F31B3E"/>
    <w:rsid w:val="00F334F5"/>
    <w:rsid w:val="00F34631"/>
    <w:rsid w:val="00F3474A"/>
    <w:rsid w:val="00F3628F"/>
    <w:rsid w:val="00F36502"/>
    <w:rsid w:val="00F37DCD"/>
    <w:rsid w:val="00F37EB7"/>
    <w:rsid w:val="00F404B7"/>
    <w:rsid w:val="00F42508"/>
    <w:rsid w:val="00F4518B"/>
    <w:rsid w:val="00F45EB2"/>
    <w:rsid w:val="00F50C84"/>
    <w:rsid w:val="00F51BD6"/>
    <w:rsid w:val="00F53DFB"/>
    <w:rsid w:val="00F6068A"/>
    <w:rsid w:val="00F620BE"/>
    <w:rsid w:val="00F66AD9"/>
    <w:rsid w:val="00F67189"/>
    <w:rsid w:val="00F705E3"/>
    <w:rsid w:val="00F71F05"/>
    <w:rsid w:val="00F73CB8"/>
    <w:rsid w:val="00F76863"/>
    <w:rsid w:val="00F771CE"/>
    <w:rsid w:val="00F80D26"/>
    <w:rsid w:val="00F81D8F"/>
    <w:rsid w:val="00F8250F"/>
    <w:rsid w:val="00F82570"/>
    <w:rsid w:val="00F828B4"/>
    <w:rsid w:val="00F83BDB"/>
    <w:rsid w:val="00F86EBD"/>
    <w:rsid w:val="00F90E64"/>
    <w:rsid w:val="00F953D7"/>
    <w:rsid w:val="00FA05C6"/>
    <w:rsid w:val="00FB1D11"/>
    <w:rsid w:val="00FB3F07"/>
    <w:rsid w:val="00FB75DA"/>
    <w:rsid w:val="00FB7DFE"/>
    <w:rsid w:val="00FC2FE2"/>
    <w:rsid w:val="00FC6E7B"/>
    <w:rsid w:val="00FD2BBD"/>
    <w:rsid w:val="00FD45F9"/>
    <w:rsid w:val="00FD61B9"/>
    <w:rsid w:val="00FE09C7"/>
    <w:rsid w:val="00FE68D5"/>
    <w:rsid w:val="00FE794E"/>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7C9551"/>
  <w15:docId w15:val="{381B7F6A-3B35-4426-9664-7F5EEFCA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146EF"/>
    <w:rPr>
      <w:sz w:val="16"/>
      <w:szCs w:val="16"/>
    </w:rPr>
  </w:style>
  <w:style w:type="paragraph" w:styleId="Komentrateksts">
    <w:name w:val="annotation text"/>
    <w:basedOn w:val="Parasts"/>
    <w:link w:val="KomentratekstsRakstz"/>
    <w:uiPriority w:val="99"/>
    <w:unhideWhenUsed/>
    <w:rsid w:val="005146EF"/>
    <w:rPr>
      <w:sz w:val="20"/>
      <w:szCs w:val="20"/>
    </w:rPr>
  </w:style>
  <w:style w:type="character" w:customStyle="1" w:styleId="KomentratekstsRakstz">
    <w:name w:val="Komentāra teksts Rakstz."/>
    <w:basedOn w:val="Noklusjumarindkopasfonts"/>
    <w:link w:val="Komentrateksts"/>
    <w:uiPriority w:val="99"/>
    <w:rsid w:val="005146EF"/>
    <w:rPr>
      <w:sz w:val="20"/>
      <w:szCs w:val="20"/>
      <w:lang w:eastAsia="en-US"/>
    </w:rPr>
  </w:style>
  <w:style w:type="paragraph" w:styleId="Komentratma">
    <w:name w:val="annotation subject"/>
    <w:basedOn w:val="Komentrateksts"/>
    <w:next w:val="Komentrateksts"/>
    <w:link w:val="KomentratmaRakstz"/>
    <w:uiPriority w:val="99"/>
    <w:semiHidden/>
    <w:unhideWhenUsed/>
    <w:rsid w:val="005146EF"/>
    <w:rPr>
      <w:b/>
      <w:bCs/>
    </w:rPr>
  </w:style>
  <w:style w:type="character" w:customStyle="1" w:styleId="KomentratmaRakstz">
    <w:name w:val="Komentāra tēma Rakstz."/>
    <w:basedOn w:val="KomentratekstsRakstz"/>
    <w:link w:val="Komentratma"/>
    <w:uiPriority w:val="99"/>
    <w:semiHidden/>
    <w:rsid w:val="005146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62543931">
      <w:bodyDiv w:val="1"/>
      <w:marLeft w:val="0"/>
      <w:marRight w:val="0"/>
      <w:marTop w:val="0"/>
      <w:marBottom w:val="0"/>
      <w:divBdr>
        <w:top w:val="none" w:sz="0" w:space="0" w:color="auto"/>
        <w:left w:val="none" w:sz="0" w:space="0" w:color="auto"/>
        <w:bottom w:val="none" w:sz="0" w:space="0" w:color="auto"/>
        <w:right w:val="none" w:sz="0" w:space="0" w:color="auto"/>
      </w:divBdr>
      <w:divsChild>
        <w:div w:id="104883370">
          <w:marLeft w:val="0"/>
          <w:marRight w:val="0"/>
          <w:marTop w:val="480"/>
          <w:marBottom w:val="240"/>
          <w:divBdr>
            <w:top w:val="none" w:sz="0" w:space="0" w:color="auto"/>
            <w:left w:val="none" w:sz="0" w:space="0" w:color="auto"/>
            <w:bottom w:val="none" w:sz="0" w:space="0" w:color="auto"/>
            <w:right w:val="none" w:sz="0" w:space="0" w:color="auto"/>
          </w:divBdr>
        </w:div>
        <w:div w:id="175455065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6913-7D2A-490E-96B0-ABEB807E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1721</Words>
  <Characters>12107</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“Kartība kāda nosaka un apzina paaugstinātas bīstamības objektus, kā arī civilās aizsardzības un katastrofas pārvaldīšanas plānošanu un īstenošanu” sākotnējās ietekmes novērtējuma ziņojums (anotācija)</vt:lpstr>
      <vt:lpstr>Ministru kabineta noteikumu projekta “Kartība kāda nosaka un apzina paaugstinātas bīstamības objektus, kā arī civilās aizsardzības un katastrofas pārvaldīšanas plānošanu un īstenošanu” sākotnējās ietekmes novērtējuma ziņojums (anotācija)</vt:lpstr>
    </vt:vector>
  </TitlesOfParts>
  <Company>IeM</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“Kartība kāda nosaka un apzina paaugstinātas bīstamības objektus, kā arī civilās aizsardzības un katastrofas pārvaldīšanas plānošanu un īstenošanu” sākotnējās ietekmes novērtējuma ziņojums (anotācija)</dc:title>
  <dc:subject>Anotācija</dc:subject>
  <dc:creator>Jevgeņija Petuhova</dc:creator>
  <cp:keywords/>
  <dc:description>jevgenija.petuhova@vugd.gov.lv  tel.: 67075877</dc:description>
  <cp:lastModifiedBy>Ivars Nakurts</cp:lastModifiedBy>
  <cp:revision>6</cp:revision>
  <cp:lastPrinted>2016-09-02T10:53:00Z</cp:lastPrinted>
  <dcterms:created xsi:type="dcterms:W3CDTF">2017-07-14T10:50:00Z</dcterms:created>
  <dcterms:modified xsi:type="dcterms:W3CDTF">2017-08-02T12:47:00Z</dcterms:modified>
</cp:coreProperties>
</file>