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65" w:rsidRDefault="00136D87" w:rsidP="007F671D">
      <w:pPr>
        <w:jc w:val="center"/>
        <w:rPr>
          <w:b/>
          <w:sz w:val="26"/>
          <w:szCs w:val="26"/>
        </w:rPr>
      </w:pPr>
      <w:bookmarkStart w:id="0" w:name="OLE_LINK3"/>
      <w:bookmarkStart w:id="1" w:name="OLE_LINK4"/>
      <w:bookmarkStart w:id="2" w:name="OLE_LINK1"/>
      <w:r w:rsidRPr="006914B3">
        <w:rPr>
          <w:b/>
          <w:sz w:val="26"/>
          <w:szCs w:val="26"/>
        </w:rPr>
        <w:t>M</w:t>
      </w:r>
      <w:r w:rsidR="00235CA0">
        <w:rPr>
          <w:b/>
          <w:sz w:val="26"/>
          <w:szCs w:val="26"/>
        </w:rPr>
        <w:t>i</w:t>
      </w:r>
      <w:r w:rsidR="005D6B8A" w:rsidRPr="006914B3">
        <w:rPr>
          <w:b/>
          <w:sz w:val="26"/>
          <w:szCs w:val="26"/>
        </w:rPr>
        <w:t>nistru kabineta rīkojuma projekta</w:t>
      </w:r>
      <w:r w:rsidR="007F671D">
        <w:rPr>
          <w:b/>
          <w:sz w:val="26"/>
          <w:szCs w:val="26"/>
        </w:rPr>
        <w:t xml:space="preserve"> „</w:t>
      </w:r>
      <w:r w:rsidR="002643AF" w:rsidRPr="002643AF">
        <w:rPr>
          <w:b/>
          <w:sz w:val="26"/>
          <w:szCs w:val="26"/>
        </w:rPr>
        <w:t>Par dāvinājuma pieņemšanu</w:t>
      </w:r>
      <w:r w:rsidR="00CC06AB">
        <w:rPr>
          <w:b/>
          <w:sz w:val="26"/>
          <w:szCs w:val="26"/>
        </w:rPr>
        <w:t>”</w:t>
      </w:r>
      <w:r w:rsidR="00020664" w:rsidRPr="006914B3">
        <w:rPr>
          <w:b/>
          <w:sz w:val="26"/>
          <w:szCs w:val="26"/>
        </w:rPr>
        <w:t xml:space="preserve"> </w:t>
      </w:r>
    </w:p>
    <w:p w:rsidR="00585B7B" w:rsidRDefault="00585B7B" w:rsidP="007F671D">
      <w:pPr>
        <w:jc w:val="center"/>
        <w:rPr>
          <w:b/>
          <w:sz w:val="26"/>
          <w:szCs w:val="26"/>
        </w:rPr>
      </w:pPr>
      <w:r w:rsidRPr="006914B3">
        <w:rPr>
          <w:b/>
          <w:sz w:val="26"/>
          <w:szCs w:val="26"/>
        </w:rPr>
        <w:t xml:space="preserve">sākotnējās ietekmes novērtējuma </w:t>
      </w:r>
      <w:smartTag w:uri="schemas-tilde-lv/tildestengine" w:element="veidnes">
        <w:smartTagPr>
          <w:attr w:name="id" w:val="-1"/>
          <w:attr w:name="baseform" w:val="ziņojums"/>
          <w:attr w:name="text" w:val="ziņojums"/>
        </w:smartTagPr>
        <w:r w:rsidRPr="006914B3">
          <w:rPr>
            <w:b/>
            <w:sz w:val="26"/>
            <w:szCs w:val="26"/>
          </w:rPr>
          <w:t>ziņojums</w:t>
        </w:r>
      </w:smartTag>
      <w:r w:rsidRPr="006914B3">
        <w:rPr>
          <w:b/>
          <w:sz w:val="26"/>
          <w:szCs w:val="26"/>
        </w:rPr>
        <w:t xml:space="preserve"> (anotācija)</w:t>
      </w:r>
    </w:p>
    <w:p w:rsidR="00681E25" w:rsidRPr="009B2F21" w:rsidRDefault="00681E25" w:rsidP="007F671D">
      <w:pPr>
        <w:jc w:val="center"/>
        <w:rPr>
          <w:b/>
          <w:sz w:val="28"/>
          <w:szCs w:val="28"/>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804"/>
      </w:tblGrid>
      <w:tr w:rsidR="00585B7B" w:rsidRPr="00317B6A" w:rsidTr="003770AC">
        <w:tc>
          <w:tcPr>
            <w:tcW w:w="10060"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3770AC">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916055">
            <w:pPr>
              <w:pStyle w:val="naiskr"/>
              <w:spacing w:before="0" w:after="0"/>
              <w:ind w:left="141" w:hanging="10"/>
            </w:pPr>
            <w:r w:rsidRPr="00B24229">
              <w:t>Pamatojums</w:t>
            </w:r>
          </w:p>
        </w:tc>
        <w:tc>
          <w:tcPr>
            <w:tcW w:w="6804" w:type="dxa"/>
          </w:tcPr>
          <w:p w:rsidR="00A51E4D" w:rsidRPr="00B24229" w:rsidRDefault="008B3C16" w:rsidP="008B3C16">
            <w:pPr>
              <w:pStyle w:val="ListParagraph"/>
              <w:numPr>
                <w:ilvl w:val="0"/>
                <w:numId w:val="26"/>
              </w:numPr>
              <w:ind w:right="127"/>
              <w:jc w:val="both"/>
            </w:pPr>
            <w:r w:rsidRPr="00B24229">
              <w:t xml:space="preserve">Jautājuma saistība ar valsts nacionālo sporta bāzu pārvaldības pilnveidošanu, kā arī valsts interesēm atbilstošāko rīcību ar valsts īpašumā esošajām </w:t>
            </w:r>
            <w:r w:rsidR="0041016A" w:rsidRPr="00B24229">
              <w:t>nacionālo sporta bāzu kapitāla daļām.</w:t>
            </w:r>
          </w:p>
          <w:p w:rsidR="00AF54E9" w:rsidRPr="00B24229" w:rsidRDefault="00AF54E9" w:rsidP="002931C5">
            <w:pPr>
              <w:pStyle w:val="ListParagraph"/>
              <w:numPr>
                <w:ilvl w:val="0"/>
                <w:numId w:val="26"/>
              </w:numPr>
              <w:ind w:right="127"/>
              <w:jc w:val="both"/>
            </w:pPr>
            <w:r w:rsidRPr="00B24229">
              <w:t>Atbilstoši Civillikuma 1912. un 1913.pantam, kā arī 1915.panta pirmajai daļai valstij kā apdāvināmajam jānosaka iestāde, kura tās vārdā pieņemtu dāvinājumu, lai tas būtu spēkā. Ievērojot to, ka Latvijas normatīvajos aktos nav tieši regulēta kapitālsabiedrību kapitāla daļu pieņemšana dāvinājumā valsts vārdā, un, tā kā atbilstoši publisko tiesību pamatprincipiem valsts iestādes drīkst rīkoties tikai normatīvajos aktos noteikto pilnvaru ietvaros (darīt to, kas ir tieši atļauts), Izglītības un zinātnes ministrija (turpmāk</w:t>
            </w:r>
            <w:r w:rsidR="002931C5">
              <w:t xml:space="preserve"> </w:t>
            </w:r>
            <w:r w:rsidRPr="00B24229">
              <w:t xml:space="preserve">– IZM) nevar patstāvīgi (ar savu lēmumu) pieņemt </w:t>
            </w:r>
            <w:r w:rsidR="00787371" w:rsidRPr="00B24229">
              <w:t xml:space="preserve">dāvinājumā </w:t>
            </w:r>
            <w:r w:rsidRPr="00B24229">
              <w:t xml:space="preserve">no biedrības „Latvijas Olimpiskā komiteja” </w:t>
            </w:r>
            <w:r w:rsidR="00787371" w:rsidRPr="00B24229">
              <w:t>(reģistrācijas Nr. 50008022421</w:t>
            </w:r>
            <w:r w:rsidR="0019241B" w:rsidRPr="00B24229">
              <w:t>) (turpmāk – LOK)</w:t>
            </w:r>
            <w:r w:rsidR="00787371" w:rsidRPr="00B24229">
              <w:t xml:space="preserve"> Sabiedrības ar ierobežotu atbildību „Sporta centrs „Mežaparks”” (reģistrācijas Nr. 40003044327) (turpmāk – SIA „Sporta centrs „Mežaparks””)142 (viens simts četrdesmit divas) kapitāla daļas </w:t>
            </w:r>
            <w:r w:rsidR="0019241B" w:rsidRPr="00B24229">
              <w:t xml:space="preserve">un </w:t>
            </w:r>
            <w:r w:rsidR="00787371" w:rsidRPr="00B24229">
              <w:t>Sabiedrības ar ierobežotu atbildību „Tenisa centrs „Lielupe”” (reģistrācijas Nr. 4003030774)</w:t>
            </w:r>
            <w:r w:rsidR="0019241B" w:rsidRPr="00B24229">
              <w:t xml:space="preserve"> (turpmāk – SIA „Tenisa centrs „Lielupe””</w:t>
            </w:r>
            <w:r w:rsidR="00787371" w:rsidRPr="00B24229">
              <w:t xml:space="preserve"> 141 (viens simts četrdesmit vienu) kapitāla daļ</w:t>
            </w:r>
            <w:r w:rsidR="002E604A">
              <w:t>u</w:t>
            </w:r>
            <w:r w:rsidR="00787371" w:rsidRPr="00B24229">
              <w:t xml:space="preserve"> ar katras kapitāla daļas nominālvērtību 1 (viena) </w:t>
            </w:r>
            <w:r w:rsidR="00787371" w:rsidRPr="00B24229">
              <w:rPr>
                <w:i/>
              </w:rPr>
              <w:t>euro</w:t>
            </w:r>
            <w:r w:rsidR="00787371" w:rsidRPr="00B24229">
              <w:t xml:space="preserve"> apmērā.</w:t>
            </w:r>
            <w:r w:rsidR="0019241B" w:rsidRPr="00B24229">
              <w:t xml:space="preserve"> </w:t>
            </w:r>
            <w:r w:rsidRPr="00B24229">
              <w:t xml:space="preserve">Saskaņā ar Latvijas Republikas Satversmes 58.pantu valsts pārvaldes iestādes ir padotas Ministru kabinetam, kurš ir tiesīgs rīkoties valsts vārdā – nolemt pieņemt dāvinājumu un pilnvarot </w:t>
            </w:r>
            <w:r w:rsidR="0019241B" w:rsidRPr="00B24229">
              <w:t>IZM veikt darbības, lai nostiprinātu valsts īpašuma tiesības uz dāvinājuma priekšmetu.</w:t>
            </w:r>
          </w:p>
        </w:tc>
      </w:tr>
      <w:tr w:rsidR="00585B7B" w:rsidRPr="00317B6A" w:rsidTr="003770AC">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585B7B" w:rsidRPr="00317B6A"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tc>
        <w:tc>
          <w:tcPr>
            <w:tcW w:w="6804" w:type="dxa"/>
          </w:tcPr>
          <w:p w:rsidR="003F2757" w:rsidRDefault="00B7598A" w:rsidP="00B7598A">
            <w:pPr>
              <w:ind w:left="141" w:right="142"/>
              <w:jc w:val="both"/>
            </w:pPr>
            <w:r>
              <w:tab/>
            </w:r>
            <w:r w:rsidR="003F2757" w:rsidRPr="005E389B">
              <w:t xml:space="preserve">SIA </w:t>
            </w:r>
            <w:r w:rsidR="00E573D7">
              <w:t>„</w:t>
            </w:r>
            <w:r w:rsidR="003F2757" w:rsidRPr="005E389B">
              <w:t xml:space="preserve">Sporta centrs </w:t>
            </w:r>
            <w:r w:rsidR="00E573D7">
              <w:t>„</w:t>
            </w:r>
            <w:r w:rsidR="003F2757" w:rsidRPr="005E389B">
              <w:t xml:space="preserve">Mežaparks”” parakstītā pamatkapitāla, apmaksātā pamatkapitāla un balsstiesīgā pamatkapitāla lielums ir </w:t>
            </w:r>
            <w:r w:rsidR="00404CB9">
              <w:br/>
            </w:r>
            <w:r w:rsidR="003F2757" w:rsidRPr="005E389B">
              <w:t xml:space="preserve">15 604 420 </w:t>
            </w:r>
            <w:r w:rsidR="003F2757" w:rsidRPr="005E389B">
              <w:rPr>
                <w:i/>
              </w:rPr>
              <w:t>euro</w:t>
            </w:r>
            <w:r w:rsidR="003F2757" w:rsidRPr="005E389B">
              <w:t xml:space="preserve">, tajā skaitā </w:t>
            </w:r>
            <w:r w:rsidR="003F2757">
              <w:t>valsti</w:t>
            </w:r>
            <w:r w:rsidR="00150ACB">
              <w:t>j</w:t>
            </w:r>
            <w:r w:rsidR="003F2757">
              <w:t xml:space="preserve"> (IZM</w:t>
            </w:r>
            <w:r w:rsidR="00150ACB">
              <w:rPr>
                <w:rStyle w:val="FootnoteReference"/>
              </w:rPr>
              <w:footnoteReference w:id="1"/>
            </w:r>
            <w:r w:rsidR="003F2757">
              <w:t>)</w:t>
            </w:r>
            <w:r w:rsidR="003F2757" w:rsidRPr="005E389B">
              <w:t xml:space="preserve"> piederošo daļu skaits – 99,999% jeb 15 604 278 pamatkapitāla daļas ar kopējo vērtību </w:t>
            </w:r>
            <w:r w:rsidR="00404CB9">
              <w:br/>
            </w:r>
            <w:r w:rsidR="003F2757" w:rsidRPr="005E389B">
              <w:t xml:space="preserve">15 604 278 </w:t>
            </w:r>
            <w:r w:rsidR="003F2757" w:rsidRPr="005E389B">
              <w:rPr>
                <w:i/>
              </w:rPr>
              <w:t>euro</w:t>
            </w:r>
            <w:r w:rsidR="003F2757" w:rsidRPr="005E389B">
              <w:t xml:space="preserve"> un LOK piederošo daļu skaits – 0,001% jeb 142 pamatkapitāla daļas ar kopējo vērtību 142 </w:t>
            </w:r>
            <w:r w:rsidR="003F2757" w:rsidRPr="005E389B">
              <w:rPr>
                <w:i/>
              </w:rPr>
              <w:t>euro</w:t>
            </w:r>
            <w:r w:rsidR="003F2757" w:rsidRPr="005E389B">
              <w:t xml:space="preserve">. </w:t>
            </w:r>
            <w:r w:rsidR="005E389B" w:rsidRPr="005E389B">
              <w:t xml:space="preserve">SIA </w:t>
            </w:r>
            <w:r w:rsidR="00E573D7">
              <w:t>„</w:t>
            </w:r>
            <w:r w:rsidR="005E389B" w:rsidRPr="005E389B">
              <w:t xml:space="preserve">Tenisa centrs </w:t>
            </w:r>
            <w:r w:rsidR="00E573D7">
              <w:t>„</w:t>
            </w:r>
            <w:r w:rsidR="005E389B" w:rsidRPr="005E389B">
              <w:t xml:space="preserve">Lielupe” parakstītā pamatkapitāla, apmaksātā pamatkapitāla un balsstiesīgā pamatkapitāla lielums ir 11 164 042 </w:t>
            </w:r>
            <w:r w:rsidR="005E389B" w:rsidRPr="005E389B">
              <w:rPr>
                <w:i/>
              </w:rPr>
              <w:t>euro</w:t>
            </w:r>
            <w:r w:rsidR="005E389B" w:rsidRPr="005E389B">
              <w:t xml:space="preserve">, tajā skaitā </w:t>
            </w:r>
            <w:r w:rsidR="005E389B">
              <w:t>valsti</w:t>
            </w:r>
            <w:r w:rsidR="00150ACB">
              <w:t>j</w:t>
            </w:r>
            <w:r w:rsidR="005E389B">
              <w:t xml:space="preserve"> (IZM</w:t>
            </w:r>
            <w:r w:rsidR="00150ACB">
              <w:rPr>
                <w:rStyle w:val="FootnoteReference"/>
              </w:rPr>
              <w:footnoteReference w:id="2"/>
            </w:r>
            <w:r w:rsidR="005E389B">
              <w:t>)</w:t>
            </w:r>
            <w:r w:rsidR="005E389B" w:rsidRPr="005E389B">
              <w:t xml:space="preserve"> piederošo daļu skaits – 99,999 % jeb  – 11 163 901 pamatkapitāla daļas ar kopējo vērtību 11 163 901 </w:t>
            </w:r>
            <w:r w:rsidR="005E389B" w:rsidRPr="005E389B">
              <w:rPr>
                <w:i/>
              </w:rPr>
              <w:t>euro</w:t>
            </w:r>
            <w:r w:rsidR="005E389B" w:rsidRPr="005E389B">
              <w:t xml:space="preserve">, un LOK piederošo daļu skaits – 0,001% jeb 141 pamatkapitāla daļa ar kopējo vērtību 141 </w:t>
            </w:r>
            <w:r w:rsidR="005E389B" w:rsidRPr="005E389B">
              <w:rPr>
                <w:i/>
              </w:rPr>
              <w:t>euro</w:t>
            </w:r>
            <w:r w:rsidR="005E389B" w:rsidRPr="005E389B">
              <w:t xml:space="preserve">. </w:t>
            </w:r>
            <w:r w:rsidR="00931DBE">
              <w:t xml:space="preserve">LOK par abu minēto kapitālsabiedrību līdzīpašnieku kļuva ar mērķi nodrošināt to attīstību, ieguldot kapitālsabiedrību pamatkapitālā </w:t>
            </w:r>
            <w:r w:rsidR="003F2757">
              <w:t>LOK</w:t>
            </w:r>
            <w:r w:rsidR="00931DBE">
              <w:t xml:space="preserve"> piesaistītos valsts galvotā aizdevuma līdzekļus</w:t>
            </w:r>
            <w:r w:rsidR="003F2757">
              <w:t xml:space="preserve"> (skatīt Ministru kabineta 2008.gada 8.jūlija rīkojumu Nr.385 „Par sabiedrības ar ierobežotu atbildību „Sporta centrs „Mežaparks”” pamatkapitāla palielināšanu” un Ministru </w:t>
            </w:r>
            <w:r w:rsidR="003F2757">
              <w:lastRenderedPageBreak/>
              <w:t xml:space="preserve">kabineta 2008.gada 8.jūlija rīkojumu Nr.386 „Par sabiedrības ar ierobežotu atbildību „Tenisa centrs „Lielupe”” pamatkapitāla palielināšanu”). Neskatoties uz to, ka minētie projekti netika īstenoti un LOK kapitālsabiedrību pamatkapitālā neieguldīja </w:t>
            </w:r>
            <w:r w:rsidR="0046200B">
              <w:t>solītos apjomīgos finanšu līdzek</w:t>
            </w:r>
            <w:r w:rsidR="001453A8">
              <w:t>ļus</w:t>
            </w:r>
            <w:r w:rsidR="0046200B">
              <w:t xml:space="preserve">, LOK līdzdalība abu kapitālsabiedrību pamatkapitālā tika saglabāta, jo </w:t>
            </w:r>
            <w:r w:rsidR="00A83695">
              <w:t xml:space="preserve">pirms LOK </w:t>
            </w:r>
            <w:r w:rsidR="0057592D">
              <w:t>kļūšanas par kapitālsabiedrību līdzīpašnieku starp valsti (IZM personā) un LOK netika noslēgts līgums, kurš paredz</w:t>
            </w:r>
            <w:r w:rsidR="00411B86">
              <w:t xml:space="preserve">ētu, ka projektu </w:t>
            </w:r>
            <w:r w:rsidR="00DB1F95">
              <w:t>neīstenošanas gadījum</w:t>
            </w:r>
            <w:r w:rsidR="006D43D1">
              <w:t xml:space="preserve">ā LOK </w:t>
            </w:r>
            <w:r w:rsidR="00CA5F3F">
              <w:t>nodod (vai pārdod atpakaļ) savas kapitāla daļas valstij (IZM personā).</w:t>
            </w:r>
          </w:p>
          <w:p w:rsidR="005E389B" w:rsidRDefault="00B7598A" w:rsidP="005E389B">
            <w:pPr>
              <w:ind w:left="141" w:right="142"/>
              <w:jc w:val="both"/>
            </w:pPr>
            <w:r>
              <w:tab/>
            </w:r>
            <w:r w:rsidR="00BE157D">
              <w:t xml:space="preserve">Ar mērķi pilnveidot </w:t>
            </w:r>
            <w:r w:rsidR="00BE157D" w:rsidRPr="00BE157D">
              <w:t>sporta nozare</w:t>
            </w:r>
            <w:r w:rsidR="00BE157D">
              <w:t xml:space="preserve">s kapitālsabiedrību pārvaldību, </w:t>
            </w:r>
            <w:r w:rsidR="00DE5896">
              <w:t xml:space="preserve">2017.gada </w:t>
            </w:r>
            <w:r w:rsidR="00874CD6">
              <w:t>martā</w:t>
            </w:r>
            <w:r w:rsidR="00DE5896">
              <w:t xml:space="preserve"> IZM prezentēja </w:t>
            </w:r>
            <w:r w:rsidR="00DD327E">
              <w:t>konceptuālo ziņojumu „Par centralizētas nacionālo sporta bāzu pārvaldības struktūras izveidi”</w:t>
            </w:r>
            <w:r w:rsidR="00A75CB7">
              <w:t xml:space="preserve">. Turpinot diskusiju procesu ar sporta nozari, kā arī, strādājot pie dažāda veida scenārijiem (t.sk. pie iespējamajiem alternatīvajiem sporta nozares kapitālsabiedrību pārvaldības modeļiem), IZM bija svarīgi noskaidrot LOK kā SIA „Sporta centrs „Mežaparks”” </w:t>
            </w:r>
            <w:r w:rsidR="00520FB5">
              <w:t xml:space="preserve">un  SIA „Tenisa centrs „Lielupe”” </w:t>
            </w:r>
            <w:r w:rsidR="00A75CB7">
              <w:t>līdzīpašnieces viedokli jautājumā par LOK iespējamo rīcību, nododot savā īpašumā esošās kapitāla daļas valstij (IZM personā).</w:t>
            </w:r>
            <w:r w:rsidR="009A7960">
              <w:t xml:space="preserve"> </w:t>
            </w:r>
            <w:r w:rsidR="00D23429">
              <w:t xml:space="preserve">Tādēļ IZM </w:t>
            </w:r>
            <w:r w:rsidR="00385BC8" w:rsidRPr="00385BC8">
              <w:t>2017.gada 22.maija vēstulē</w:t>
            </w:r>
            <w:r w:rsidR="00093AA7">
              <w:t xml:space="preserve"> </w:t>
            </w:r>
            <w:r w:rsidR="00093AA7">
              <w:br/>
            </w:r>
            <w:r w:rsidR="00385BC8" w:rsidRPr="00385BC8">
              <w:t xml:space="preserve">Nr.01-17/2007 </w:t>
            </w:r>
            <w:r w:rsidR="00D23429">
              <w:t xml:space="preserve">vērsās pie LOK ar lūgumu sniegt IZM </w:t>
            </w:r>
            <w:r w:rsidR="00D23429" w:rsidRPr="00D23429">
              <w:t>oficiālu viedokli (attiecīgu pozīciju apstiprinot LOK Izpildkomitejas sēdē) vai un pie kādiem nosacījumiem LOK piekristu, slēdzot attiecīgu civiltiesisku darījumu, ar vai bez atlīdzības nodot valsts (</w:t>
            </w:r>
            <w:r w:rsidR="00D23429">
              <w:t>IZM</w:t>
            </w:r>
            <w:r w:rsidR="00D23429" w:rsidRPr="00D23429">
              <w:t xml:space="preserve"> personā) īpašumā LOK piederoš</w:t>
            </w:r>
            <w:r w:rsidR="00D23429">
              <w:t>ās SIA „Sporta centrs „</w:t>
            </w:r>
            <w:r w:rsidR="00D23429" w:rsidRPr="00D23429">
              <w:t xml:space="preserve">Mežaparks”” </w:t>
            </w:r>
            <w:r w:rsidR="00D23429">
              <w:t>un SIA „Tenisa centrs „</w:t>
            </w:r>
            <w:r w:rsidR="00D23429" w:rsidRPr="00D23429">
              <w:t>Lielupe””</w:t>
            </w:r>
            <w:r w:rsidR="00D23429">
              <w:t xml:space="preserve"> un</w:t>
            </w:r>
            <w:r w:rsidR="00D23429" w:rsidRPr="00D23429">
              <w:t xml:space="preserve"> </w:t>
            </w:r>
            <w:r w:rsidR="00D23429">
              <w:t xml:space="preserve">pamatkapitāla daļas. </w:t>
            </w:r>
            <w:r w:rsidR="005E145B">
              <w:t xml:space="preserve">Minētais jautājums tika pārrunāts arī IZM </w:t>
            </w:r>
            <w:r w:rsidR="0084276C" w:rsidRPr="00385BC8">
              <w:t>2017.gada 12.jūnijā</w:t>
            </w:r>
            <w:r w:rsidR="0084276C">
              <w:t xml:space="preserve"> </w:t>
            </w:r>
            <w:r w:rsidR="005E145B">
              <w:t>notikušajā visu iesaistīto pušu sanāksmē.</w:t>
            </w:r>
          </w:p>
          <w:p w:rsidR="00E60FC3" w:rsidRDefault="00870F9F" w:rsidP="00E573D7">
            <w:pPr>
              <w:ind w:left="141" w:right="142"/>
              <w:jc w:val="both"/>
            </w:pPr>
            <w:r>
              <w:tab/>
              <w:t xml:space="preserve">2017.gada 20.jūnja LOK Izpildkomitejas sēdē, izskatot jautājumu par turpmāko rīcību ar SIA „Sporta centrs „Mežaparks”” un SIA „Tenisa centrs „Lielupe”” pamatkapitāla daļām, </w:t>
            </w:r>
            <w:r w:rsidR="00B3582A">
              <w:t>tika nolemts (</w:t>
            </w:r>
            <w:r w:rsidR="00B3582A" w:rsidRPr="00B3582A">
              <w:t>prot.Nr.</w:t>
            </w:r>
            <w:r w:rsidR="00B3582A">
              <w:t>6</w:t>
            </w:r>
            <w:r w:rsidR="00B3582A" w:rsidRPr="00B3582A">
              <w:t xml:space="preserve"> </w:t>
            </w:r>
            <w:r w:rsidR="00B3582A">
              <w:t xml:space="preserve">4.§, 4.2.apakšpunkts) noteikt sekojošu kārtību LOK rīcībai ar tai piederošajām SIA „Sporta centrs „Mežaparks”” un SIA „Tenisa centrs „Lielupe”” pamatkapitāla daļām, slēdzot par tām civiltiesiskus darījumus ar Latvijas valsti IZM personā: (1) dāvināt valstij IZM personā </w:t>
            </w:r>
            <w:r w:rsidR="00842E98">
              <w:t xml:space="preserve">LOK piederošo 141 SIA „Tenisa centrs „Lielupe”” pamatkapitāla daļu ar nominālvērtību 141 </w:t>
            </w:r>
            <w:r w:rsidR="00D711A6" w:rsidRPr="005E389B">
              <w:rPr>
                <w:i/>
              </w:rPr>
              <w:t>euro</w:t>
            </w:r>
            <w:r w:rsidR="00D711A6">
              <w:t xml:space="preserve"> </w:t>
            </w:r>
            <w:r w:rsidR="00842E98">
              <w:t>(</w:t>
            </w:r>
            <w:r w:rsidR="00906540">
              <w:t xml:space="preserve">protokollēmuma </w:t>
            </w:r>
            <w:r w:rsidR="00842E98">
              <w:t xml:space="preserve">4.2.1.apakšpunkts); (2) dāvināt valstij IZM personā LOK piederošo 142 SIA „Sporta centrs „Mežaparks”” pamatkapitāla daļas ar nominālvērtību 142 </w:t>
            </w:r>
            <w:r w:rsidR="00D711A6" w:rsidRPr="005E389B">
              <w:rPr>
                <w:i/>
              </w:rPr>
              <w:t xml:space="preserve"> euro</w:t>
            </w:r>
            <w:r w:rsidR="00842E98">
              <w:t>, sporta nozares un Latvijas Olimpiskās vienības (turpmāk – LOV)</w:t>
            </w:r>
            <w:r w:rsidR="002920B7">
              <w:t xml:space="preserve"> attīstības nodrošināšanai pievienojot dāvinājumam sekojošu uzlikumu: IZM nodrošina, ka starp SIA „Sporta centrs „Mežaparks””, no vienas puses, un LOK un LOV, no otras puses, </w:t>
            </w:r>
            <w:r w:rsidR="005654DC">
              <w:t>noslēgto nedzīvojamo telpu un teritorijas nomas līgumu termiņš tiek pagarināts līdz 2027.gada 30.jūnijam, nemainot to būtību un pamatnosacījumus un ierakstot šādus nomas līgumus zemesgrāmatā, pie kam pamatkapitāla daļu dāvinājuma līgums parakstāms pēc pagarināto nomas līgumu ierakstīšanas zemesgrāmatā (</w:t>
            </w:r>
            <w:r w:rsidR="00906540">
              <w:t xml:space="preserve">protokollēmuma </w:t>
            </w:r>
            <w:r w:rsidR="005654DC">
              <w:t>4.2.2.apakšpunkts).</w:t>
            </w:r>
          </w:p>
          <w:p w:rsidR="001742B2" w:rsidRDefault="00E573D7" w:rsidP="001742B2">
            <w:pPr>
              <w:ind w:left="141" w:right="142"/>
              <w:jc w:val="both"/>
            </w:pPr>
            <w:r>
              <w:tab/>
            </w:r>
            <w:r w:rsidR="009E5B5C">
              <w:t>IZM</w:t>
            </w:r>
            <w:r w:rsidR="00E60FC3" w:rsidRPr="00E60FC3">
              <w:t xml:space="preserve"> atbalsta nepieciešamību tiesību aktos noteiktā kārtībā rast ilgtermiņa risinājumu attiecībā uz </w:t>
            </w:r>
            <w:r>
              <w:t>LOV</w:t>
            </w:r>
            <w:r w:rsidR="00E60FC3" w:rsidRPr="00E60FC3">
              <w:t xml:space="preserve"> darbības nodrošināšanai nepieciešamajām telpām, jo </w:t>
            </w:r>
            <w:r>
              <w:t>IZM ieskatā Sporta centra „</w:t>
            </w:r>
            <w:r w:rsidR="00E60FC3" w:rsidRPr="00E60FC3">
              <w:t xml:space="preserve">Mežaparks” </w:t>
            </w:r>
            <w:r w:rsidR="00E60FC3" w:rsidRPr="00E60FC3">
              <w:lastRenderedPageBreak/>
              <w:t xml:space="preserve">turpmākā attīstība ir cieši saistīta ar </w:t>
            </w:r>
            <w:r w:rsidR="00C76C64">
              <w:t>LOV</w:t>
            </w:r>
            <w:r w:rsidR="00E60FC3" w:rsidRPr="00E60FC3">
              <w:t xml:space="preserve"> attīstību, ko apliecina arī iepriekšējos gados pieņemtie lēmumi </w:t>
            </w:r>
            <w:r>
              <w:t>par investīcijām Sporta centrā „</w:t>
            </w:r>
            <w:r w:rsidR="00E60FC3" w:rsidRPr="00E60FC3">
              <w:t xml:space="preserve">Mežaparks”, lai nodrošinātu </w:t>
            </w:r>
            <w:r>
              <w:t>LOV</w:t>
            </w:r>
            <w:r w:rsidR="00E60FC3" w:rsidRPr="00E60FC3">
              <w:t xml:space="preserve"> darbību</w:t>
            </w:r>
            <w:r w:rsidR="00C505D2">
              <w:t xml:space="preserve"> (skatīt </w:t>
            </w:r>
            <w:r w:rsidR="00C505D2" w:rsidRPr="00C505D2">
              <w:t>Ministru kabineta 20</w:t>
            </w:r>
            <w:r w:rsidR="00C505D2">
              <w:t>14.gada 18.augusta rīkojum</w:t>
            </w:r>
            <w:r w:rsidR="0052057F">
              <w:t>a</w:t>
            </w:r>
            <w:r w:rsidR="00C505D2">
              <w:t xml:space="preserve"> Nr.430 „</w:t>
            </w:r>
            <w:r w:rsidR="00C505D2" w:rsidRPr="00C505D2">
              <w:t>Par Murjāņu sporta ģimnāzijas esošo būvju rekonstrukcijas un multifunkcionālas slēgtas sporta manēžas būvniecības projekta īstenošanai 2014.gadā paredzēto valsts budžeta līdzekļu pārdali”</w:t>
            </w:r>
            <w:r w:rsidR="00C505D2">
              <w:t xml:space="preserve"> 1.3. un 1.3.</w:t>
            </w:r>
            <w:r w:rsidR="00C505D2" w:rsidRPr="00C505D2">
              <w:rPr>
                <w:vertAlign w:val="superscript"/>
              </w:rPr>
              <w:t>1</w:t>
            </w:r>
            <w:r w:rsidR="00C505D2">
              <w:t xml:space="preserve"> apakšpunktus)</w:t>
            </w:r>
            <w:r w:rsidR="00E60FC3" w:rsidRPr="00E60FC3">
              <w:t>.</w:t>
            </w:r>
            <w:r>
              <w:t xml:space="preserve"> Savukārt attiecībā uz Tenisa centra „Lielupe” turpmāko attīstību būtiskākie lēmumi jau ir tikuši pieņemti iepriekš, paredzot apjomīgas investīcijas šīs sporta bāzes rekonstrukcijā (</w:t>
            </w:r>
            <w:r w:rsidR="009E5B5C">
              <w:t xml:space="preserve">skatīt </w:t>
            </w:r>
            <w:r w:rsidRPr="00E573D7">
              <w:t xml:space="preserve">Ministru kabineta 2013.gada 4.novembra rīkojuma Nr.522 </w:t>
            </w:r>
            <w:r>
              <w:t>„</w:t>
            </w:r>
            <w:r w:rsidRPr="00E573D7">
              <w:t xml:space="preserve">Par Latvijas Nacionālā valsts sporta centra </w:t>
            </w:r>
            <w:r>
              <w:t>„</w:t>
            </w:r>
            <w:r w:rsidRPr="00E573D7">
              <w:t xml:space="preserve">Mežaparks” un Tenisa centra </w:t>
            </w:r>
            <w:r>
              <w:t>„</w:t>
            </w:r>
            <w:r w:rsidRPr="00E573D7">
              <w:t>Lielupe” rekonstrukcijas projektiem paredzēto valsts budžeta ilgtermiņa saistību pārdali”” 1.3.apakšpunktu</w:t>
            </w:r>
            <w:r w:rsidR="009E5B5C">
              <w:t>).</w:t>
            </w:r>
            <w:r w:rsidR="00B614A5">
              <w:t xml:space="preserve"> </w:t>
            </w:r>
          </w:p>
          <w:p w:rsidR="00F06528" w:rsidRDefault="001742B2" w:rsidP="008070CF">
            <w:pPr>
              <w:ind w:left="141" w:right="142"/>
              <w:jc w:val="both"/>
            </w:pPr>
            <w:r>
              <w:tab/>
            </w:r>
            <w:r w:rsidRPr="00B24229">
              <w:t>Jautājum</w:t>
            </w:r>
            <w:r>
              <w:t xml:space="preserve">s ir saistīts ne tikai ar </w:t>
            </w:r>
            <w:r w:rsidRPr="00B24229">
              <w:t xml:space="preserve">valsts nacionālo sporta bāzu pārvaldības pilnveidošanu, </w:t>
            </w:r>
            <w:r>
              <w:t xml:space="preserve">bet arī </w:t>
            </w:r>
            <w:r w:rsidRPr="00B24229">
              <w:t>valsts interesēm atbilstošāko rīcību ar valsts īpašumā esošajām nacionālo sporta bāzu kapitāla daļām.</w:t>
            </w:r>
            <w:r>
              <w:t xml:space="preserve"> </w:t>
            </w:r>
            <w:r w:rsidR="00D61865">
              <w:t>IZM ieskat</w:t>
            </w:r>
            <w:r w:rsidR="000374BE">
              <w:t>ā valsts interesēs ir, lai valstij (IZM personā) abās šajās kapitālsabiedrībās piederētu nevis 99,999%, bet gan 100% kapitāla daļas (līdzīgi kā tas ir attiecībā uz abām pārējām sporta nozares kapitālsabiedrībām, kuras pārvalda nacionālās sporta bāzes – VSIA „Kultūras un sporta centrs „Daugavas stadions”” un SIA „Bobsleja un kamaniņu trase „Sigulda””</w:t>
            </w:r>
            <w:r w:rsidR="00583630">
              <w:t>)</w:t>
            </w:r>
            <w:r w:rsidR="000374BE">
              <w:t>.</w:t>
            </w:r>
            <w:r w:rsidR="00583630">
              <w:t xml:space="preserve"> Tas ir pamatojams ne tikai ar </w:t>
            </w:r>
            <w:r w:rsidR="00BF433B" w:rsidRPr="00E36E44">
              <w:rPr>
                <w:rFonts w:eastAsia="Times New Roman"/>
                <w:color w:val="000000"/>
              </w:rPr>
              <w:t>Publiskas personas kapitāla daļu un kapi</w:t>
            </w:r>
            <w:r w:rsidR="00BF433B">
              <w:rPr>
                <w:rFonts w:eastAsia="Times New Roman"/>
                <w:color w:val="000000"/>
              </w:rPr>
              <w:t xml:space="preserve">tālsabiedrību pārvaldības likumā </w:t>
            </w:r>
            <w:r w:rsidR="00F541AE">
              <w:rPr>
                <w:rFonts w:eastAsia="Times New Roman"/>
                <w:color w:val="000000"/>
              </w:rPr>
              <w:t xml:space="preserve">un citos ārējos tiesību aktos </w:t>
            </w:r>
            <w:r w:rsidR="00BF433B">
              <w:rPr>
                <w:rFonts w:eastAsia="Times New Roman"/>
                <w:color w:val="000000"/>
              </w:rPr>
              <w:t xml:space="preserve">paredzētajām atšķirībām dažādos </w:t>
            </w:r>
            <w:r w:rsidR="00F541AE">
              <w:rPr>
                <w:rFonts w:eastAsia="Times New Roman"/>
                <w:color w:val="000000"/>
              </w:rPr>
              <w:t xml:space="preserve">ar kapitālsabiedrību darbību un pārvaldību saistītos jautājumos starp valsts kapitālsabiedrībām un privātām kapitālsabiedrībām, kā arī faktu, ka pēc būtības ir zudis tiesiskais pamats privātā kapitāla piesaistei (skatīt iepriekš minēto attiecībā uz sākotnējiem nosacījumiem LOK kā privātā partnera piesaistei), bet </w:t>
            </w:r>
            <w:r w:rsidR="00F63529">
              <w:rPr>
                <w:rFonts w:eastAsia="Times New Roman"/>
                <w:color w:val="000000"/>
              </w:rPr>
              <w:t xml:space="preserve">arī </w:t>
            </w:r>
            <w:r w:rsidR="00F541AE">
              <w:rPr>
                <w:rFonts w:eastAsia="Times New Roman"/>
                <w:color w:val="000000"/>
              </w:rPr>
              <w:t xml:space="preserve">ar IZM ieceri </w:t>
            </w:r>
            <w:r w:rsidR="0050407E">
              <w:rPr>
                <w:rFonts w:eastAsia="Times New Roman"/>
                <w:color w:val="000000"/>
              </w:rPr>
              <w:t>piesaistīt</w:t>
            </w:r>
            <w:r w:rsidR="00F541AE">
              <w:rPr>
                <w:rFonts w:eastAsia="Times New Roman"/>
                <w:color w:val="000000"/>
              </w:rPr>
              <w:t xml:space="preserve"> papildus līdzekļu</w:t>
            </w:r>
            <w:r w:rsidR="0050407E">
              <w:rPr>
                <w:rFonts w:eastAsia="Times New Roman"/>
                <w:color w:val="000000"/>
              </w:rPr>
              <w:t>s</w:t>
            </w:r>
            <w:r w:rsidR="00F541AE">
              <w:rPr>
                <w:rFonts w:eastAsia="Times New Roman"/>
                <w:color w:val="000000"/>
              </w:rPr>
              <w:t xml:space="preserve"> šo kapitālsabiedrību attīstībai. </w:t>
            </w:r>
            <w:r w:rsidR="00F06528" w:rsidRPr="005E389B">
              <w:t>Lai abu minēto kapitālsabiedrību īpašumā esošajos nekustamajos īpašumos (</w:t>
            </w:r>
            <w:r w:rsidR="00F06528">
              <w:t>SIA „Sporta centrs „</w:t>
            </w:r>
            <w:r w:rsidR="00F06528" w:rsidRPr="005E389B">
              <w:t>Mežaparks”” gadījumā – Roberta Feldmaņa ielā 11, Rīgā</w:t>
            </w:r>
            <w:r w:rsidR="00F06528">
              <w:t>;</w:t>
            </w:r>
            <w:r w:rsidR="00F06528" w:rsidRPr="005E389B">
              <w:t xml:space="preserve"> </w:t>
            </w:r>
            <w:r w:rsidR="00F06528">
              <w:t>SIA „Tenisa centrs „</w:t>
            </w:r>
            <w:r w:rsidR="00F06528" w:rsidRPr="005E389B">
              <w:t>Lielupe” gadījumā – Oskar</w:t>
            </w:r>
            <w:r w:rsidR="00F06528">
              <w:t>a Kalpaka prospektā 16, Jūrmalā</w:t>
            </w:r>
            <w:r w:rsidR="00F06528" w:rsidRPr="005E389B">
              <w:t xml:space="preserve">) būtu iespējams īstenot Eiropas Reģionālās attīstības fonda projektus darbības programmas </w:t>
            </w:r>
            <w:r w:rsidR="00F06528">
              <w:t>„</w:t>
            </w:r>
            <w:r w:rsidR="00F06528" w:rsidRPr="005E389B">
              <w:t xml:space="preserve">Izaugsme un nodarbinātība” 4.2.1. specifiskā atbalsta mērķa </w:t>
            </w:r>
            <w:r w:rsidR="00F06528">
              <w:t>„</w:t>
            </w:r>
            <w:r w:rsidR="00F06528" w:rsidRPr="005E389B">
              <w:t xml:space="preserve">Veicināt energoefektivitātes paaugstināšanu valsts un dzīvojamās ēkās” 4.2.1.2. pasākuma </w:t>
            </w:r>
            <w:r w:rsidR="00F06528">
              <w:t>„</w:t>
            </w:r>
            <w:r w:rsidR="00F06528" w:rsidRPr="005E389B">
              <w:t>Veicināt energoefektivitātes paaugstināšanu valsts ēkās” otrās projektu iesniegumu atlases kārtas ietvaros, piesaistot šo nacionālo sporta bāzu attīstībai (energoefektivitātes paaugstināšanai) apjomīgas investīcijas, attiecīgās</w:t>
            </w:r>
            <w:r w:rsidR="00F06528">
              <w:t xml:space="preserve"> </w:t>
            </w:r>
            <w:r w:rsidR="00F06528" w:rsidRPr="005E389B">
              <w:t>kapitālsabiedrības, kuras īpašumā atrodas konkrētais nekustamais īpašums, 100% kapitāla daļu īpašniekam ir jābūt valstij.</w:t>
            </w:r>
          </w:p>
          <w:p w:rsidR="006A2E73" w:rsidRDefault="00B73BB9" w:rsidP="00B73BB9">
            <w:pPr>
              <w:ind w:left="141" w:right="142"/>
              <w:jc w:val="both"/>
            </w:pPr>
            <w:r>
              <w:tab/>
              <w:t>Izvērtējot LOK izvirzītos nosacījumus dāvinājuma līguma noslēgšanai attiecībā uz LOK  piederošajām 142 SIA „Sporta centrs „Mežaparks”” pamatkapitāla daļām, konstatējams, ka šo nosacījumu izpilde ir tiesiski iespējama un atbilst gan valsts, gan SIA „Sporta centrs „Mežaparks”” interesēm.</w:t>
            </w:r>
            <w:r w:rsidR="001F6B50">
              <w:t xml:space="preserve"> </w:t>
            </w:r>
            <w:r w:rsidR="004F2C8A" w:rsidRPr="004F2C8A">
              <w:t xml:space="preserve">Saskaņā ar Komerclikuma 221.panta pirmo daļu valde ir sabiedrības izpildinstitūcija, kura vada un pārstāv sabiedrību. No šīs Komerclikuma normas izriet arī, ka valde ir tā institūcija, kura ir tiesīga lemt par nomas līguma </w:t>
            </w:r>
            <w:r w:rsidR="004F2C8A" w:rsidRPr="004F2C8A">
              <w:lastRenderedPageBreak/>
              <w:t xml:space="preserve">pagarināšanu vai nepagarināšanu, kā arī nomas maksas apmēra un citu līguma noteikumu noteikšanu. </w:t>
            </w:r>
            <w:r w:rsidR="004F2C8A">
              <w:t>Ņemot vēr</w:t>
            </w:r>
            <w:r w:rsidR="004E2747">
              <w:t>ā SIA „Sporta centrs „Mežaparks”” valdes veikto izvērtējumu, ka LOK izvirzīto nosacījumu izpilde (attiecīgo līgumu pagarināšana</w:t>
            </w:r>
            <w:r w:rsidR="00722668">
              <w:t xml:space="preserve"> un ierakstīšana zemesgrāmatā</w:t>
            </w:r>
            <w:r w:rsidR="004E2747">
              <w:t xml:space="preserve">) ir pamatota, lietderīga un atbilst SIA „Sporta centrs „Mežaparks”” interesēm, kā arī to, ka SIA „Sporta centrs „Mežaparks”” valde ir paudusi atbalstu attiecīgu līgumu pagarināšanai, IZM nekonstatē riskus kapitāla daļu dāvinājuma līgumā pielīgto nosacījumu par nomas līgumu pagarināšanu un ierakstīšanu zemesgrāmatā izpildei. </w:t>
            </w:r>
            <w:r w:rsidR="006A2E73">
              <w:t>P</w:t>
            </w:r>
            <w:r w:rsidR="006A2E73" w:rsidRPr="006A2E73">
              <w:t>uses</w:t>
            </w:r>
            <w:r w:rsidR="006A2E73">
              <w:t xml:space="preserve"> (IZM un LOK) </w:t>
            </w:r>
            <w:r w:rsidR="006A2E73" w:rsidRPr="006A2E73">
              <w:t xml:space="preserve">vispirms parakstīs </w:t>
            </w:r>
            <w:r w:rsidR="006A2E73">
              <w:t xml:space="preserve">kapitāla daļu </w:t>
            </w:r>
            <w:r w:rsidR="006A2E73" w:rsidRPr="006A2E73">
              <w:t xml:space="preserve">dāvinājuma līgumu, tad izpildīs dāvinājuma līguma spēkā stāšanās (atliekošos) nosacījumus (nomas līguma termiņa pagarināšana un ierakstīšana zemesgrāmatā) un tad dāvinājuma līgums stāsies spēkā (tātad, stāsies spēkā </w:t>
            </w:r>
            <w:r w:rsidR="006A2E73">
              <w:t>p</w:t>
            </w:r>
            <w:r w:rsidR="006A2E73" w:rsidRPr="006A2E73">
              <w:t xml:space="preserve">ušu pienākumi, kas attiecas uz </w:t>
            </w:r>
            <w:r w:rsidR="006A2E73">
              <w:t>k</w:t>
            </w:r>
            <w:r w:rsidR="006A2E73" w:rsidRPr="006A2E73">
              <w:t xml:space="preserve">apitāla daļu īpašuma tiesību nodošanu, un citi dāvinājuma līguma nosacījumi). Šāda </w:t>
            </w:r>
            <w:r w:rsidR="004A69F3">
              <w:t>līguma</w:t>
            </w:r>
            <w:r w:rsidR="006A2E73" w:rsidRPr="006A2E73">
              <w:t xml:space="preserve"> konstrukcija atbilst Civillikuma 1551.panta noteikumiem par līguma atliekošiem nosacījumiem un Civillikuma 1558.-1562.panta noteikumiem par atliekošo nosacījumu tiesiskajām sekām.</w:t>
            </w:r>
          </w:p>
          <w:p w:rsidR="008F1034" w:rsidRDefault="001F6B50" w:rsidP="00B73BB9">
            <w:pPr>
              <w:ind w:left="141" w:right="142"/>
              <w:jc w:val="both"/>
            </w:pPr>
            <w:r>
              <w:tab/>
              <w:t xml:space="preserve"> </w:t>
            </w:r>
            <w:r w:rsidR="008F1034">
              <w:t xml:space="preserve"> IZM ieskatā uz dāvinājuma pieņemšanu no LOK </w:t>
            </w:r>
            <w:r w:rsidR="008F1034" w:rsidRPr="00FE5919">
              <w:t xml:space="preserve">un lēmuma pieņemšanu par nomas līguma pagarināšanu ar </w:t>
            </w:r>
            <w:r w:rsidR="008F1034">
              <w:t>LOK un LOV neattiecas likuma „</w:t>
            </w:r>
            <w:r w:rsidR="008F1034" w:rsidRPr="00FE5919">
              <w:t>Par interešu konflikta novēršanu valsts amatpersonu darbībā” 14.panta otrajā daļ</w:t>
            </w:r>
            <w:r w:rsidR="008F1034">
              <w:t>ā</w:t>
            </w:r>
            <w:r w:rsidR="008F1034" w:rsidRPr="00FE5919">
              <w:t xml:space="preserve"> noteiktais aizliegums</w:t>
            </w:r>
            <w:r w:rsidR="008F1034">
              <w:t xml:space="preserve"> </w:t>
            </w:r>
            <w:r w:rsidR="008F1034" w:rsidRPr="00F13592">
              <w:t>valsts amatpersonai vai koleģiālajai institūcijai prasīt vai pieņemt no fiziskās vai juridiskās personas ziedojumu, kā arī cita veida mantisku palīdzību publiskām vajadzībām, ja ziedojums vai palīdzība ietekmē lēmuma pieņemšanu attiecībā uz šo fizisko vai juridisko personu.</w:t>
            </w:r>
            <w:r w:rsidR="008F1034">
              <w:t xml:space="preserve"> Turklāt  kapitāla daļu dāvinājuma līgumā ar LOK tiks noteikts, ka </w:t>
            </w:r>
            <w:r w:rsidR="008F1034" w:rsidRPr="00921C92">
              <w:t xml:space="preserve">par dāvinājuma ņēmēja rupju nepateicību (kas saskaņā ar Civillikumu dod dāvinājuma devējam tiesības atsaukt dāvinājumu) netiks uzskatīta tāda </w:t>
            </w:r>
            <w:r w:rsidR="008F1034">
              <w:t>d</w:t>
            </w:r>
            <w:r w:rsidR="008F1034" w:rsidRPr="00921C92">
              <w:t xml:space="preserve">āvinājuma saņēmēja (Latvijas valsts) rīcība, viedoklis vai lēmumi, kas nesaskan ar </w:t>
            </w:r>
            <w:r w:rsidR="008F1034">
              <w:t>d</w:t>
            </w:r>
            <w:r w:rsidR="008F1034" w:rsidRPr="00921C92">
              <w:t xml:space="preserve">āvinājuma devēja (LOK) viedokli un attiecas uz jautājumiem, kurus neregulē </w:t>
            </w:r>
            <w:r w:rsidR="008F1034">
              <w:t>d</w:t>
            </w:r>
            <w:r w:rsidR="008F1034" w:rsidRPr="00921C92">
              <w:t>āvinājuma līgums.</w:t>
            </w:r>
          </w:p>
          <w:p w:rsidR="001F6B50" w:rsidRDefault="008F1034" w:rsidP="00B73BB9">
            <w:pPr>
              <w:ind w:left="141" w:right="142"/>
              <w:jc w:val="both"/>
            </w:pPr>
            <w:r>
              <w:tab/>
            </w:r>
            <w:r w:rsidR="001F6B50">
              <w:t>D</w:t>
            </w:r>
            <w:r w:rsidR="001F6B50" w:rsidRPr="001F6B50">
              <w:t>āvināmās kapitāla daļas ir brīvas no jebkādiem apgrūtinājumiem.</w:t>
            </w:r>
          </w:p>
          <w:p w:rsidR="00FE5919" w:rsidRDefault="00FE5919" w:rsidP="00B73BB9">
            <w:pPr>
              <w:ind w:left="141" w:right="142"/>
              <w:jc w:val="both"/>
            </w:pPr>
            <w:r>
              <w:tab/>
            </w:r>
          </w:p>
          <w:p w:rsidR="00B73BB9" w:rsidRDefault="001F6B50" w:rsidP="00B73BB9">
            <w:pPr>
              <w:ind w:left="141" w:right="142"/>
              <w:jc w:val="both"/>
            </w:pPr>
            <w:r>
              <w:tab/>
            </w:r>
            <w:r w:rsidR="009661DC">
              <w:t>Ievērojot minēto, IZM ir izstrādājusi Ministru kabineta rīkojuma projektu „</w:t>
            </w:r>
            <w:r w:rsidR="002643AF" w:rsidRPr="002643AF">
              <w:t>Par dāvinājuma pieņemšanu”</w:t>
            </w:r>
            <w:r w:rsidR="00B73BB9">
              <w:t>, kurš paredz:</w:t>
            </w:r>
          </w:p>
          <w:p w:rsidR="00B73BB9" w:rsidRDefault="00B73BB9" w:rsidP="00B73BB9">
            <w:pPr>
              <w:pStyle w:val="ListParagraph"/>
              <w:numPr>
                <w:ilvl w:val="0"/>
                <w:numId w:val="29"/>
              </w:numPr>
              <w:ind w:right="142"/>
              <w:jc w:val="both"/>
            </w:pPr>
            <w:r>
              <w:t xml:space="preserve">atļaut IZM pieņemt LOK dāvinājumu – SIA „Sporta centrs „Mežaparks”” 142 kapitāla daļas ar katras kapitāla daļas nominālvērtību 1 </w:t>
            </w:r>
            <w:r w:rsidR="00D711A6" w:rsidRPr="005E389B">
              <w:rPr>
                <w:i/>
              </w:rPr>
              <w:t xml:space="preserve"> euro</w:t>
            </w:r>
            <w:r w:rsidR="00D711A6">
              <w:t xml:space="preserve"> </w:t>
            </w:r>
            <w:r>
              <w:t>apmērā un SIA „Tenisa centrs „Lielupe”” 141 kapitāla daļ</w:t>
            </w:r>
            <w:r w:rsidR="00D36CC7">
              <w:t>u</w:t>
            </w:r>
            <w:r>
              <w:t xml:space="preserve"> ar katras kapitāla daļas nominālvērtību 1 </w:t>
            </w:r>
            <w:r w:rsidR="00D711A6" w:rsidRPr="005E389B">
              <w:rPr>
                <w:i/>
              </w:rPr>
              <w:t xml:space="preserve"> euro</w:t>
            </w:r>
            <w:r w:rsidR="00D711A6">
              <w:t xml:space="preserve"> </w:t>
            </w:r>
            <w:r>
              <w:t>apmērā;</w:t>
            </w:r>
          </w:p>
          <w:p w:rsidR="00B73BB9" w:rsidRDefault="00B73BB9" w:rsidP="00977F8A">
            <w:pPr>
              <w:pStyle w:val="ListParagraph"/>
              <w:numPr>
                <w:ilvl w:val="0"/>
                <w:numId w:val="29"/>
              </w:numPr>
              <w:ind w:right="142"/>
              <w:jc w:val="both"/>
            </w:pPr>
            <w:r>
              <w:t xml:space="preserve">pilnvarojumu IZM valsts sekretārei </w:t>
            </w:r>
            <w:r w:rsidR="00977F8A">
              <w:t xml:space="preserve"> </w:t>
            </w:r>
            <w:r w:rsidR="00977F8A" w:rsidRPr="00977F8A">
              <w:t>parakstīt dāvinājuma līgumu un citus dokumentus, kas nepieciešami valsts īpašuma tiesību nostiprin</w:t>
            </w:r>
            <w:r w:rsidR="00977F8A">
              <w:t>āšanai uz dāvinājuma priekšmetu</w:t>
            </w:r>
            <w:r>
              <w:t>;</w:t>
            </w:r>
          </w:p>
          <w:p w:rsidR="008F1034" w:rsidRPr="008F1034" w:rsidRDefault="00977F8A" w:rsidP="00460801">
            <w:pPr>
              <w:pStyle w:val="ListParagraph"/>
              <w:numPr>
                <w:ilvl w:val="0"/>
                <w:numId w:val="29"/>
              </w:numPr>
              <w:ind w:right="142"/>
              <w:jc w:val="both"/>
              <w:rPr>
                <w:rFonts w:eastAsia="Times New Roman"/>
                <w:color w:val="000000"/>
              </w:rPr>
            </w:pPr>
            <w:r>
              <w:t>n</w:t>
            </w:r>
            <w:r w:rsidRPr="00977F8A">
              <w:t xml:space="preserve">oteikt </w:t>
            </w:r>
            <w:r>
              <w:t>IZM</w:t>
            </w:r>
            <w:r w:rsidRPr="00977F8A">
              <w:t xml:space="preserve"> par </w:t>
            </w:r>
            <w:r>
              <w:t xml:space="preserve">minēto </w:t>
            </w:r>
            <w:r w:rsidRPr="00977F8A">
              <w:t xml:space="preserve">kapitāla daļu turētāju un </w:t>
            </w:r>
            <w:r>
              <w:t xml:space="preserve">paredz uzdevumu IZM </w:t>
            </w:r>
            <w:r w:rsidRPr="00977F8A">
              <w:t>normatīvajos aktos noteiktajā kārtībā nodrošināt to reģistrēšanu uz valsts vārda</w:t>
            </w:r>
            <w:r>
              <w:t>.</w:t>
            </w:r>
          </w:p>
          <w:p w:rsidR="008F1034" w:rsidRDefault="00905B70" w:rsidP="00646682">
            <w:pPr>
              <w:ind w:left="141" w:right="142"/>
              <w:jc w:val="both"/>
            </w:pPr>
            <w:r>
              <w:tab/>
            </w:r>
          </w:p>
          <w:p w:rsidR="005C1558" w:rsidRPr="00680B3F" w:rsidRDefault="008F1034" w:rsidP="0084316D">
            <w:pPr>
              <w:ind w:left="141" w:right="142"/>
              <w:jc w:val="both"/>
              <w:rPr>
                <w:rFonts w:eastAsia="Times New Roman"/>
                <w:color w:val="000000"/>
              </w:rPr>
            </w:pPr>
            <w:r>
              <w:lastRenderedPageBreak/>
              <w:tab/>
            </w:r>
            <w:r w:rsidR="00905B70">
              <w:t>Ņemot vērā faktu, ka IZM</w:t>
            </w:r>
            <w:r w:rsidR="00905B70" w:rsidRPr="00905B70">
              <w:t xml:space="preserve"> nav iesniegusi izskatīšanai Ministru kabinetā priekšlikumus par valsts līdzdalības saglabāšanu </w:t>
            </w:r>
            <w:r w:rsidR="00905B70">
              <w:t xml:space="preserve">kapitālsabiedrībās, kurās IZM ir valsts kapitāla daļu turētāja (t.sk. arī attiecībā uz SIA „Sporta centrs „Mežaparks”” un SIA „Tenisa centrs „Lielupe””) un turpmāko rīcību ar attiecīgajām kapitāla daļām, kā rezultātā </w:t>
            </w:r>
            <w:r w:rsidR="00905B70" w:rsidRPr="00905B70">
              <w:t xml:space="preserve">valsts Ministru kabineta personā nav lēmusi par valsts līdzdalības </w:t>
            </w:r>
            <w:r w:rsidR="00905B70">
              <w:t>saglabāšanas nepieciešamību SIA „Sporta centrs „Mežaparks”” un SIA „Tenisa centrs „Lielupe””</w:t>
            </w:r>
            <w:r w:rsidR="00905B70" w:rsidRPr="00905B70">
              <w:t>, ka arī nav definējusi mērķus, kādus vēlas sasniegt ar dalību minētajās kapitālsabiedrībās, t.i., nav noteikusi vispārējos stratēģiskos mērķus</w:t>
            </w:r>
            <w:r w:rsidR="00905B70">
              <w:t>, ņemot vērā arī Pārresoru koordinācijas centra 2017.gada 11.septembra atzinumā Nr.</w:t>
            </w:r>
            <w:r w:rsidR="00905B70" w:rsidRPr="00905B70">
              <w:t>1.2-5.1/135</w:t>
            </w:r>
            <w:r w:rsidR="00905B70">
              <w:t xml:space="preserve"> minēto, IZM </w:t>
            </w:r>
            <w:r w:rsidR="007207FC">
              <w:t xml:space="preserve">vienlaikus </w:t>
            </w:r>
            <w:r w:rsidR="00555D35">
              <w:t xml:space="preserve">ar Ministru kabineta rīkojuma projektu ir </w:t>
            </w:r>
            <w:r w:rsidR="00905B70">
              <w:t xml:space="preserve">izstrādājusi Ministru kabineta sēdes protokollēmuma projektu, kurš paredz (2.punkts) uzdevumu IZM sagatavot un izglītības un zinātnes ministram  līdz 2018.gada </w:t>
            </w:r>
            <w:r w:rsidR="005307BB">
              <w:t>30</w:t>
            </w:r>
            <w:r w:rsidR="00905B70">
              <w:t xml:space="preserve">.martam noteiktā kārtībā izskatīšanai Ministru kabinetā iesniegt izvērtējumu par valsts līdzdalības nepieciešamību un vispārējo stratēģisko mērķu noteikšanu attiecībā uz kapitālsabiedrībām, kurās IZM ir valsts kapitāla daļu turētāja. </w:t>
            </w:r>
            <w:r w:rsidR="005307BB">
              <w:t xml:space="preserve">Ātrāka termiņa noteikšana objektīvi nav iespējama, </w:t>
            </w:r>
            <w:r w:rsidR="00171458">
              <w:t xml:space="preserve">jo diskusiju procesā ar sporta nozares sociālajiem partneriem </w:t>
            </w:r>
            <w:r w:rsidR="00171458">
              <w:rPr>
                <w:rFonts w:eastAsia="Times New Roman"/>
                <w:color w:val="000000"/>
              </w:rPr>
              <w:t xml:space="preserve">panākta vienošanās, ka atsevišķi lēmumi šajā saistībā (it īpaši attiecībā uz SIA „Bobsleja un kamaniņu trase „Sigulda”” un SIA „Latvijas Olimpiskā vienība”) </w:t>
            </w:r>
            <w:r w:rsidR="005307BB">
              <w:rPr>
                <w:rFonts w:eastAsia="Times New Roman"/>
                <w:color w:val="000000"/>
              </w:rPr>
              <w:t>pieņemam</w:t>
            </w:r>
            <w:r w:rsidR="00171458">
              <w:rPr>
                <w:rFonts w:eastAsia="Times New Roman"/>
                <w:color w:val="000000"/>
              </w:rPr>
              <w:t>i</w:t>
            </w:r>
            <w:r w:rsidR="005307BB">
              <w:rPr>
                <w:rFonts w:eastAsia="Times New Roman"/>
                <w:color w:val="000000"/>
              </w:rPr>
              <w:t xml:space="preserve"> pēc </w:t>
            </w:r>
            <w:r w:rsidR="00171458">
              <w:rPr>
                <w:rFonts w:eastAsia="Times New Roman"/>
                <w:color w:val="000000"/>
              </w:rPr>
              <w:t>XXIII Ziemas Olimpiskajām</w:t>
            </w:r>
            <w:r w:rsidR="00171458" w:rsidRPr="00171458">
              <w:rPr>
                <w:rFonts w:eastAsia="Times New Roman"/>
                <w:color w:val="000000"/>
              </w:rPr>
              <w:t xml:space="preserve"> spēl</w:t>
            </w:r>
            <w:r w:rsidR="00171458">
              <w:rPr>
                <w:rFonts w:eastAsia="Times New Roman"/>
                <w:color w:val="000000"/>
              </w:rPr>
              <w:t>ēm</w:t>
            </w:r>
            <w:r w:rsidR="00171458" w:rsidRPr="00171458">
              <w:rPr>
                <w:rFonts w:eastAsia="Times New Roman"/>
                <w:color w:val="000000"/>
              </w:rPr>
              <w:t xml:space="preserve"> Phjončhanā, Dienvidkorejā, </w:t>
            </w:r>
            <w:r w:rsidR="00171458">
              <w:rPr>
                <w:rFonts w:eastAsia="Times New Roman"/>
                <w:color w:val="000000"/>
              </w:rPr>
              <w:t xml:space="preserve">kuras norisināsies </w:t>
            </w:r>
            <w:r w:rsidR="00171458" w:rsidRPr="00171458">
              <w:rPr>
                <w:rFonts w:eastAsia="Times New Roman"/>
                <w:color w:val="000000"/>
              </w:rPr>
              <w:t>no 2018. gada 9. līdz 25. februārim</w:t>
            </w:r>
            <w:r w:rsidR="00171458">
              <w:rPr>
                <w:rFonts w:eastAsia="Times New Roman"/>
                <w:color w:val="000000"/>
              </w:rPr>
              <w:t>.</w:t>
            </w:r>
          </w:p>
        </w:tc>
      </w:tr>
      <w:tr w:rsidR="00585B7B" w:rsidRPr="00317B6A" w:rsidTr="00F65399">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005A9D" w:rsidP="00916055">
            <w:pPr>
              <w:pStyle w:val="naiskr"/>
              <w:spacing w:before="0" w:after="0"/>
              <w:ind w:left="141"/>
            </w:pPr>
            <w:r w:rsidRPr="00317B6A">
              <w:t>Projekta izstrādē iesaistītās institūcijas</w:t>
            </w:r>
          </w:p>
        </w:tc>
        <w:tc>
          <w:tcPr>
            <w:tcW w:w="6804" w:type="dxa"/>
            <w:tcBorders>
              <w:bottom w:val="single" w:sz="4" w:space="0" w:color="auto"/>
            </w:tcBorders>
          </w:tcPr>
          <w:p w:rsidR="00643E6C" w:rsidRPr="00317B6A" w:rsidRDefault="00DC332F" w:rsidP="002F0B51">
            <w:pPr>
              <w:ind w:left="82" w:right="141"/>
              <w:jc w:val="both"/>
            </w:pPr>
            <w:r w:rsidRPr="00317B6A">
              <w:t xml:space="preserve">Ministru kabineta rīkojuma </w:t>
            </w:r>
            <w:r w:rsidR="00B73BB9">
              <w:t xml:space="preserve">projektu </w:t>
            </w:r>
            <w:r w:rsidRPr="00317B6A">
              <w:t xml:space="preserve">izstrādāja IZM. </w:t>
            </w:r>
            <w:r w:rsidR="002E630E">
              <w:t xml:space="preserve">Ņemot vērā faktu, ka </w:t>
            </w:r>
            <w:r w:rsidR="00B73BB9">
              <w:t xml:space="preserve">jautājums saistīts ar sporta nozares kapitālsabiedrību pārvaldību, par ko diskusijas ar sporta nozares organizācijām (t.sk. LOK un biedrību „Latvijas Sporta federāciju padome”) norisinās jau kopš 2017.gada marta, kā arī to, ka konkrētajā jautājumā ar tieši iesaistīto pusi (LOK) ir notikušas gan klātienes sarunas, </w:t>
            </w:r>
            <w:r w:rsidR="002F0B51">
              <w:t xml:space="preserve">publiskas diskusijas un </w:t>
            </w:r>
            <w:r w:rsidR="00B73BB9">
              <w:t xml:space="preserve">sarakste ar oficiālām vēstulēm, kā arī </w:t>
            </w:r>
            <w:r w:rsidR="002F0B51">
              <w:t xml:space="preserve">LOK viedoklis ir apstiprināts </w:t>
            </w:r>
            <w:r w:rsidR="00B73BB9">
              <w:t xml:space="preserve">LOK Izpildkomitejas 2017.gada 20.jūnija sēdē, </w:t>
            </w:r>
            <w:r w:rsidR="002F6EEF" w:rsidRPr="00317B6A">
              <w:t>papildus pasākumi sabiedrības iesaistei nebija nepieciešam</w:t>
            </w:r>
            <w:r w:rsidR="00DF03FB" w:rsidRPr="00317B6A">
              <w:t>i</w:t>
            </w:r>
            <w:r w:rsidR="00DC384C">
              <w:t>.</w:t>
            </w:r>
            <w:r w:rsidR="00555D35">
              <w:t xml:space="preserve"> Papildus minētam atzīmējams, ka LOK 2017.gada 6.septembra vēstulē Nr.123 sniedza pozitīvu atzinumu par izstrādāto Ministru kabineta rīkojuma projektu.</w:t>
            </w:r>
          </w:p>
        </w:tc>
      </w:tr>
      <w:tr w:rsidR="00585B7B" w:rsidRPr="00317B6A" w:rsidTr="00F65399">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804" w:type="dxa"/>
            <w:tcBorders>
              <w:top w:val="single" w:sz="4" w:space="0" w:color="auto"/>
              <w:left w:val="single" w:sz="4" w:space="0" w:color="auto"/>
              <w:bottom w:val="single" w:sz="4" w:space="0" w:color="auto"/>
              <w:right w:val="single" w:sz="4" w:space="0" w:color="auto"/>
            </w:tcBorders>
          </w:tcPr>
          <w:p w:rsidR="006A26FB" w:rsidRPr="00317B6A" w:rsidRDefault="00291AF4" w:rsidP="002F0B51">
            <w:pPr>
              <w:ind w:left="114" w:right="127"/>
              <w:jc w:val="both"/>
            </w:pPr>
            <w:r w:rsidRPr="00317B6A">
              <w:t>Ministru kabineta r</w:t>
            </w:r>
            <w:r w:rsidR="00E5461A" w:rsidRPr="00317B6A">
              <w:t xml:space="preserve">īkojuma projekts attiecas uz </w:t>
            </w:r>
            <w:r w:rsidR="002F0B51" w:rsidRPr="00317B6A">
              <w:t xml:space="preserve"> tūrisma, sporta un brīvā laika politiku (sporta politiku)</w:t>
            </w:r>
            <w:r w:rsidRPr="00317B6A">
              <w:t>.</w:t>
            </w:r>
          </w:p>
        </w:tc>
      </w:tr>
    </w:tbl>
    <w:p w:rsidR="00921C92" w:rsidRDefault="00921C92">
      <w:pPr>
        <w:rPr>
          <w:b/>
          <w:bCs/>
        </w:rPr>
      </w:pPr>
    </w:p>
    <w:p w:rsidR="00555D35" w:rsidRDefault="00555D35" w:rsidP="00555D3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555D35" w:rsidRPr="00317B6A" w:rsidTr="003B439E">
        <w:tc>
          <w:tcPr>
            <w:tcW w:w="10060" w:type="dxa"/>
            <w:vAlign w:val="center"/>
          </w:tcPr>
          <w:p w:rsidR="00555D35" w:rsidRDefault="00555D35" w:rsidP="003B439E">
            <w:pPr>
              <w:pStyle w:val="naisnod"/>
              <w:spacing w:before="0" w:after="0"/>
            </w:pPr>
            <w:r w:rsidRPr="00C3572A">
              <w:t xml:space="preserve">II. Tiesību akta projekta ietekme uz sabiedrību, tautsaimniecības attīstību un </w:t>
            </w:r>
          </w:p>
          <w:p w:rsidR="00555D35" w:rsidRPr="00317B6A" w:rsidRDefault="00555D35" w:rsidP="003B439E">
            <w:pPr>
              <w:pStyle w:val="naisnod"/>
              <w:spacing w:before="0" w:after="0"/>
            </w:pPr>
            <w:r w:rsidRPr="00C3572A">
              <w:t>administratīvo slogu</w:t>
            </w:r>
          </w:p>
        </w:tc>
      </w:tr>
      <w:tr w:rsidR="00555D35" w:rsidRPr="00B24229" w:rsidTr="003B439E">
        <w:trPr>
          <w:trHeight w:val="273"/>
        </w:trPr>
        <w:tc>
          <w:tcPr>
            <w:tcW w:w="10060" w:type="dxa"/>
          </w:tcPr>
          <w:p w:rsidR="00555D35" w:rsidRPr="00B24229" w:rsidRDefault="00555D35" w:rsidP="003B439E">
            <w:pPr>
              <w:ind w:right="127"/>
              <w:jc w:val="center"/>
            </w:pPr>
            <w:r w:rsidRPr="00C3572A">
              <w:t>Projekts šo jomu neskar</w:t>
            </w:r>
          </w:p>
        </w:tc>
      </w:tr>
    </w:tbl>
    <w:p w:rsidR="00555D35" w:rsidRDefault="00555D35" w:rsidP="00555D35"/>
    <w:p w:rsidR="00555D35" w:rsidRDefault="00555D35" w:rsidP="00555D35"/>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54"/>
        <w:gridCol w:w="1394"/>
        <w:gridCol w:w="1189"/>
        <w:gridCol w:w="1194"/>
        <w:gridCol w:w="1332"/>
      </w:tblGrid>
      <w:tr w:rsidR="007F671D" w:rsidRPr="0033617F" w:rsidTr="003D13B0">
        <w:trPr>
          <w:trHeight w:val="361"/>
          <w:jc w:val="center"/>
        </w:trPr>
        <w:tc>
          <w:tcPr>
            <w:tcW w:w="10060" w:type="dxa"/>
            <w:gridSpan w:val="6"/>
            <w:vAlign w:val="center"/>
          </w:tcPr>
          <w:p w:rsidR="007F671D" w:rsidRPr="0033617F" w:rsidRDefault="007F671D" w:rsidP="003D13B0">
            <w:pPr>
              <w:jc w:val="center"/>
              <w:rPr>
                <w:b/>
                <w:i/>
              </w:rPr>
            </w:pPr>
            <w:r w:rsidRPr="0033617F">
              <w:br w:type="page"/>
            </w:r>
            <w:r w:rsidRPr="0033617F">
              <w:br w:type="page"/>
            </w:r>
            <w:r w:rsidRPr="0033617F">
              <w:br w:type="page"/>
            </w:r>
            <w:r w:rsidRPr="0033617F">
              <w:rPr>
                <w:b/>
              </w:rPr>
              <w:t>III. Tiesību akta projekta ietekme uz valsts budžetu un pašvaldību budžetiem</w:t>
            </w:r>
          </w:p>
        </w:tc>
      </w:tr>
      <w:tr w:rsidR="007F671D" w:rsidRPr="0033617F" w:rsidTr="003D13B0">
        <w:trPr>
          <w:jc w:val="center"/>
        </w:trPr>
        <w:tc>
          <w:tcPr>
            <w:tcW w:w="3397" w:type="dxa"/>
            <w:vMerge w:val="restart"/>
            <w:vAlign w:val="center"/>
          </w:tcPr>
          <w:p w:rsidR="007F671D" w:rsidRPr="0033617F" w:rsidRDefault="007F671D" w:rsidP="003D13B0">
            <w:pPr>
              <w:jc w:val="center"/>
              <w:rPr>
                <w:b/>
              </w:rPr>
            </w:pPr>
            <w:r w:rsidRPr="0033617F">
              <w:rPr>
                <w:b/>
              </w:rPr>
              <w:t>Rādītāji</w:t>
            </w:r>
          </w:p>
        </w:tc>
        <w:tc>
          <w:tcPr>
            <w:tcW w:w="2948" w:type="dxa"/>
            <w:gridSpan w:val="2"/>
            <w:vMerge w:val="restart"/>
            <w:vAlign w:val="center"/>
          </w:tcPr>
          <w:p w:rsidR="007F671D" w:rsidRPr="0033617F" w:rsidRDefault="007F671D" w:rsidP="003D13B0">
            <w:pPr>
              <w:jc w:val="center"/>
              <w:rPr>
                <w:b/>
              </w:rPr>
            </w:pPr>
            <w:r w:rsidRPr="0033617F">
              <w:rPr>
                <w:b/>
              </w:rPr>
              <w:t>2017</w:t>
            </w:r>
          </w:p>
        </w:tc>
        <w:tc>
          <w:tcPr>
            <w:tcW w:w="3715" w:type="dxa"/>
            <w:gridSpan w:val="3"/>
            <w:vAlign w:val="center"/>
          </w:tcPr>
          <w:p w:rsidR="007F671D" w:rsidRPr="0033617F" w:rsidRDefault="007F671D" w:rsidP="003D13B0">
            <w:pPr>
              <w:jc w:val="center"/>
              <w:rPr>
                <w:b/>
                <w:i/>
              </w:rPr>
            </w:pPr>
            <w:r w:rsidRPr="0033617F">
              <w:t>Turpmākie trīs gadi (</w:t>
            </w:r>
            <w:r w:rsidRPr="0033617F">
              <w:rPr>
                <w:i/>
              </w:rPr>
              <w:t>euro</w:t>
            </w:r>
            <w:r w:rsidRPr="0033617F">
              <w:t>)</w:t>
            </w:r>
          </w:p>
        </w:tc>
      </w:tr>
      <w:tr w:rsidR="007F671D" w:rsidRPr="0033617F" w:rsidTr="003D13B0">
        <w:trPr>
          <w:jc w:val="center"/>
        </w:trPr>
        <w:tc>
          <w:tcPr>
            <w:tcW w:w="3397" w:type="dxa"/>
            <w:vMerge/>
            <w:vAlign w:val="center"/>
          </w:tcPr>
          <w:p w:rsidR="007F671D" w:rsidRPr="0033617F" w:rsidRDefault="007F671D" w:rsidP="003D13B0">
            <w:pPr>
              <w:jc w:val="center"/>
              <w:rPr>
                <w:b/>
                <w:i/>
              </w:rPr>
            </w:pPr>
          </w:p>
        </w:tc>
        <w:tc>
          <w:tcPr>
            <w:tcW w:w="2948" w:type="dxa"/>
            <w:gridSpan w:val="2"/>
            <w:vMerge/>
            <w:vAlign w:val="center"/>
          </w:tcPr>
          <w:p w:rsidR="007F671D" w:rsidRPr="0033617F" w:rsidRDefault="007F671D" w:rsidP="003D13B0">
            <w:pPr>
              <w:jc w:val="center"/>
              <w:rPr>
                <w:b/>
                <w:i/>
              </w:rPr>
            </w:pPr>
          </w:p>
        </w:tc>
        <w:tc>
          <w:tcPr>
            <w:tcW w:w="1189" w:type="dxa"/>
            <w:vAlign w:val="center"/>
          </w:tcPr>
          <w:p w:rsidR="007F671D" w:rsidRPr="0033617F" w:rsidRDefault="007F671D" w:rsidP="003D13B0">
            <w:pPr>
              <w:jc w:val="center"/>
              <w:rPr>
                <w:b/>
                <w:i/>
              </w:rPr>
            </w:pPr>
            <w:r w:rsidRPr="0033617F">
              <w:rPr>
                <w:b/>
                <w:bCs/>
              </w:rPr>
              <w:t>2018</w:t>
            </w:r>
          </w:p>
        </w:tc>
        <w:tc>
          <w:tcPr>
            <w:tcW w:w="1194" w:type="dxa"/>
            <w:vAlign w:val="center"/>
          </w:tcPr>
          <w:p w:rsidR="007F671D" w:rsidRPr="0033617F" w:rsidRDefault="007F671D" w:rsidP="003D13B0">
            <w:pPr>
              <w:jc w:val="center"/>
              <w:rPr>
                <w:b/>
                <w:i/>
              </w:rPr>
            </w:pPr>
            <w:r w:rsidRPr="0033617F">
              <w:rPr>
                <w:b/>
                <w:bCs/>
              </w:rPr>
              <w:t>2019</w:t>
            </w:r>
          </w:p>
        </w:tc>
        <w:tc>
          <w:tcPr>
            <w:tcW w:w="1332" w:type="dxa"/>
            <w:vAlign w:val="center"/>
          </w:tcPr>
          <w:p w:rsidR="007F671D" w:rsidRPr="0033617F" w:rsidRDefault="007F671D" w:rsidP="003D13B0">
            <w:pPr>
              <w:jc w:val="center"/>
              <w:rPr>
                <w:b/>
                <w:i/>
              </w:rPr>
            </w:pPr>
            <w:r w:rsidRPr="0033617F">
              <w:rPr>
                <w:b/>
                <w:bCs/>
              </w:rPr>
              <w:t>2020</w:t>
            </w:r>
          </w:p>
        </w:tc>
      </w:tr>
      <w:tr w:rsidR="007F671D" w:rsidRPr="0033617F" w:rsidTr="003D13B0">
        <w:trPr>
          <w:jc w:val="center"/>
        </w:trPr>
        <w:tc>
          <w:tcPr>
            <w:tcW w:w="3397" w:type="dxa"/>
            <w:vMerge/>
            <w:vAlign w:val="center"/>
          </w:tcPr>
          <w:p w:rsidR="007F671D" w:rsidRPr="0033617F" w:rsidRDefault="007F671D" w:rsidP="003D13B0">
            <w:pPr>
              <w:jc w:val="center"/>
              <w:rPr>
                <w:b/>
                <w:i/>
              </w:rPr>
            </w:pPr>
          </w:p>
        </w:tc>
        <w:tc>
          <w:tcPr>
            <w:tcW w:w="1554" w:type="dxa"/>
            <w:vAlign w:val="center"/>
          </w:tcPr>
          <w:p w:rsidR="007F671D" w:rsidRPr="0033617F" w:rsidRDefault="007F671D" w:rsidP="003D13B0">
            <w:pPr>
              <w:jc w:val="center"/>
              <w:rPr>
                <w:b/>
                <w:i/>
              </w:rPr>
            </w:pPr>
            <w:r w:rsidRPr="0033617F">
              <w:t xml:space="preserve">saskaņā ar valsts budžetu </w:t>
            </w:r>
            <w:r w:rsidRPr="0033617F">
              <w:lastRenderedPageBreak/>
              <w:t>kārtējam gadam</w:t>
            </w:r>
          </w:p>
        </w:tc>
        <w:tc>
          <w:tcPr>
            <w:tcW w:w="1394" w:type="dxa"/>
            <w:vAlign w:val="center"/>
          </w:tcPr>
          <w:p w:rsidR="007F671D" w:rsidRPr="0033617F" w:rsidRDefault="007F671D" w:rsidP="003D13B0">
            <w:pPr>
              <w:jc w:val="center"/>
              <w:rPr>
                <w:b/>
                <w:i/>
              </w:rPr>
            </w:pPr>
            <w:r w:rsidRPr="0033617F">
              <w:lastRenderedPageBreak/>
              <w:t xml:space="preserve">izmaiņas kārtējā gadā, </w:t>
            </w:r>
            <w:r w:rsidRPr="0033617F">
              <w:lastRenderedPageBreak/>
              <w:t>salīdzinot ar budžetu kārtējam gadam</w:t>
            </w:r>
          </w:p>
        </w:tc>
        <w:tc>
          <w:tcPr>
            <w:tcW w:w="1189" w:type="dxa"/>
            <w:vAlign w:val="center"/>
          </w:tcPr>
          <w:p w:rsidR="007F671D" w:rsidRPr="0033617F" w:rsidRDefault="007F671D" w:rsidP="003D13B0">
            <w:pPr>
              <w:jc w:val="center"/>
              <w:rPr>
                <w:b/>
                <w:i/>
              </w:rPr>
            </w:pPr>
            <w:r w:rsidRPr="0033617F">
              <w:lastRenderedPageBreak/>
              <w:t xml:space="preserve">izmaiņas, salīdzinot </w:t>
            </w:r>
            <w:r w:rsidRPr="0033617F">
              <w:lastRenderedPageBreak/>
              <w:t>ar kārtējo  gadu</w:t>
            </w:r>
          </w:p>
        </w:tc>
        <w:tc>
          <w:tcPr>
            <w:tcW w:w="1194" w:type="dxa"/>
            <w:vAlign w:val="center"/>
          </w:tcPr>
          <w:p w:rsidR="007F671D" w:rsidRPr="0033617F" w:rsidRDefault="007F671D" w:rsidP="003D13B0">
            <w:pPr>
              <w:jc w:val="center"/>
              <w:rPr>
                <w:b/>
                <w:i/>
              </w:rPr>
            </w:pPr>
            <w:r w:rsidRPr="0033617F">
              <w:lastRenderedPageBreak/>
              <w:t xml:space="preserve">izmaiņas, salīdzinot </w:t>
            </w:r>
            <w:r w:rsidRPr="0033617F">
              <w:lastRenderedPageBreak/>
              <w:t>ar kārtējo  gadu</w:t>
            </w:r>
          </w:p>
        </w:tc>
        <w:tc>
          <w:tcPr>
            <w:tcW w:w="1332" w:type="dxa"/>
            <w:vAlign w:val="center"/>
          </w:tcPr>
          <w:p w:rsidR="007F671D" w:rsidRPr="0033617F" w:rsidRDefault="007F671D" w:rsidP="003D13B0">
            <w:pPr>
              <w:jc w:val="center"/>
              <w:rPr>
                <w:b/>
                <w:i/>
              </w:rPr>
            </w:pPr>
            <w:r w:rsidRPr="0033617F">
              <w:lastRenderedPageBreak/>
              <w:t xml:space="preserve">izmaiņas, salīdzinot </w:t>
            </w:r>
            <w:r w:rsidRPr="0033617F">
              <w:lastRenderedPageBreak/>
              <w:t>ar kārtējo  gadu</w:t>
            </w:r>
          </w:p>
        </w:tc>
      </w:tr>
      <w:tr w:rsidR="007F671D" w:rsidRPr="0033617F" w:rsidTr="003D13B0">
        <w:trPr>
          <w:jc w:val="center"/>
        </w:trPr>
        <w:tc>
          <w:tcPr>
            <w:tcW w:w="3397" w:type="dxa"/>
            <w:vAlign w:val="center"/>
          </w:tcPr>
          <w:p w:rsidR="007F671D" w:rsidRPr="0033617F" w:rsidRDefault="007F671D" w:rsidP="003D13B0">
            <w:pPr>
              <w:jc w:val="center"/>
              <w:rPr>
                <w:bCs/>
              </w:rPr>
            </w:pPr>
            <w:r w:rsidRPr="0033617F">
              <w:rPr>
                <w:bCs/>
              </w:rPr>
              <w:lastRenderedPageBreak/>
              <w:t>1</w:t>
            </w:r>
          </w:p>
        </w:tc>
        <w:tc>
          <w:tcPr>
            <w:tcW w:w="1554" w:type="dxa"/>
            <w:vAlign w:val="center"/>
          </w:tcPr>
          <w:p w:rsidR="007F671D" w:rsidRPr="0033617F" w:rsidRDefault="007F671D" w:rsidP="003D13B0">
            <w:pPr>
              <w:jc w:val="center"/>
              <w:rPr>
                <w:bCs/>
              </w:rPr>
            </w:pPr>
            <w:r w:rsidRPr="0033617F">
              <w:rPr>
                <w:bCs/>
              </w:rPr>
              <w:t>2</w:t>
            </w:r>
          </w:p>
        </w:tc>
        <w:tc>
          <w:tcPr>
            <w:tcW w:w="1394" w:type="dxa"/>
            <w:vAlign w:val="center"/>
          </w:tcPr>
          <w:p w:rsidR="007F671D" w:rsidRPr="0033617F" w:rsidRDefault="007F671D" w:rsidP="003D13B0">
            <w:pPr>
              <w:jc w:val="center"/>
              <w:rPr>
                <w:bCs/>
              </w:rPr>
            </w:pPr>
            <w:r w:rsidRPr="0033617F">
              <w:rPr>
                <w:bCs/>
              </w:rPr>
              <w:t>3</w:t>
            </w:r>
          </w:p>
        </w:tc>
        <w:tc>
          <w:tcPr>
            <w:tcW w:w="1189" w:type="dxa"/>
            <w:vAlign w:val="center"/>
          </w:tcPr>
          <w:p w:rsidR="007F671D" w:rsidRPr="0033617F" w:rsidRDefault="007F671D" w:rsidP="003D13B0">
            <w:pPr>
              <w:jc w:val="center"/>
              <w:rPr>
                <w:bCs/>
              </w:rPr>
            </w:pPr>
            <w:r w:rsidRPr="0033617F">
              <w:rPr>
                <w:bCs/>
              </w:rPr>
              <w:t>4</w:t>
            </w:r>
          </w:p>
        </w:tc>
        <w:tc>
          <w:tcPr>
            <w:tcW w:w="1194" w:type="dxa"/>
            <w:vAlign w:val="center"/>
          </w:tcPr>
          <w:p w:rsidR="007F671D" w:rsidRPr="0033617F" w:rsidRDefault="007F671D" w:rsidP="003D13B0">
            <w:pPr>
              <w:jc w:val="center"/>
              <w:rPr>
                <w:bCs/>
              </w:rPr>
            </w:pPr>
            <w:r w:rsidRPr="0033617F">
              <w:rPr>
                <w:bCs/>
              </w:rPr>
              <w:t>5</w:t>
            </w:r>
          </w:p>
        </w:tc>
        <w:tc>
          <w:tcPr>
            <w:tcW w:w="1332" w:type="dxa"/>
            <w:vAlign w:val="center"/>
          </w:tcPr>
          <w:p w:rsidR="007F671D" w:rsidRPr="0033617F" w:rsidRDefault="007F671D" w:rsidP="003D13B0">
            <w:pPr>
              <w:jc w:val="center"/>
              <w:rPr>
                <w:bCs/>
              </w:rPr>
            </w:pPr>
            <w:r w:rsidRPr="0033617F">
              <w:rPr>
                <w:bCs/>
              </w:rPr>
              <w:t>6</w:t>
            </w:r>
          </w:p>
        </w:tc>
      </w:tr>
      <w:tr w:rsidR="007F671D" w:rsidRPr="0033617F" w:rsidTr="003D13B0">
        <w:trPr>
          <w:jc w:val="center"/>
        </w:trPr>
        <w:tc>
          <w:tcPr>
            <w:tcW w:w="3397" w:type="dxa"/>
          </w:tcPr>
          <w:p w:rsidR="007F671D" w:rsidRPr="0033617F" w:rsidRDefault="007F671D" w:rsidP="003D13B0">
            <w:pPr>
              <w:rPr>
                <w:i/>
              </w:rPr>
            </w:pPr>
            <w:r w:rsidRPr="0033617F">
              <w:t>1. Budžeta ieņēmumi:</w:t>
            </w:r>
          </w:p>
        </w:tc>
        <w:tc>
          <w:tcPr>
            <w:tcW w:w="1554" w:type="dxa"/>
          </w:tcPr>
          <w:p w:rsidR="007F671D" w:rsidRPr="0033617F" w:rsidRDefault="007F671D" w:rsidP="003D13B0">
            <w:pPr>
              <w:jc w:val="center"/>
              <w:rPr>
                <w:b/>
              </w:rPr>
            </w:pPr>
            <w:r w:rsidRPr="0033617F">
              <w:rPr>
                <w:b/>
              </w:rPr>
              <w:t>0</w:t>
            </w:r>
          </w:p>
        </w:tc>
        <w:tc>
          <w:tcPr>
            <w:tcW w:w="1394" w:type="dxa"/>
          </w:tcPr>
          <w:p w:rsidR="007F671D" w:rsidRPr="0033617F" w:rsidRDefault="007F671D" w:rsidP="003D13B0">
            <w:pPr>
              <w:jc w:val="center"/>
              <w:rPr>
                <w:b/>
              </w:rPr>
            </w:pPr>
            <w:r w:rsidRPr="0033617F">
              <w:rPr>
                <w:b/>
              </w:rPr>
              <w:t>0</w:t>
            </w:r>
          </w:p>
        </w:tc>
        <w:tc>
          <w:tcPr>
            <w:tcW w:w="1189" w:type="dxa"/>
          </w:tcPr>
          <w:p w:rsidR="007F671D" w:rsidRPr="0033617F" w:rsidRDefault="007F671D" w:rsidP="003D13B0">
            <w:pPr>
              <w:jc w:val="center"/>
              <w:rPr>
                <w:b/>
              </w:rPr>
            </w:pPr>
            <w:r w:rsidRPr="0033617F">
              <w:rPr>
                <w:b/>
              </w:rPr>
              <w:t>0</w:t>
            </w:r>
          </w:p>
        </w:tc>
        <w:tc>
          <w:tcPr>
            <w:tcW w:w="1194" w:type="dxa"/>
          </w:tcPr>
          <w:p w:rsidR="007F671D" w:rsidRPr="0033617F" w:rsidRDefault="007F671D" w:rsidP="003D13B0">
            <w:pPr>
              <w:jc w:val="center"/>
              <w:rPr>
                <w:b/>
              </w:rPr>
            </w:pPr>
            <w:r w:rsidRPr="0033617F">
              <w:rPr>
                <w:b/>
              </w:rPr>
              <w:t>0</w:t>
            </w:r>
          </w:p>
        </w:tc>
        <w:tc>
          <w:tcPr>
            <w:tcW w:w="1332" w:type="dxa"/>
          </w:tcPr>
          <w:p w:rsidR="007F671D" w:rsidRPr="0033617F" w:rsidRDefault="007F671D" w:rsidP="003D13B0">
            <w:pPr>
              <w:jc w:val="center"/>
              <w:rPr>
                <w:b/>
              </w:rPr>
            </w:pPr>
            <w:r w:rsidRPr="0033617F">
              <w:rPr>
                <w:b/>
              </w:rPr>
              <w:t>0</w:t>
            </w:r>
          </w:p>
        </w:tc>
      </w:tr>
      <w:tr w:rsidR="007F671D" w:rsidRPr="0033617F" w:rsidTr="003D13B0">
        <w:trPr>
          <w:jc w:val="center"/>
        </w:trPr>
        <w:tc>
          <w:tcPr>
            <w:tcW w:w="3397" w:type="dxa"/>
          </w:tcPr>
          <w:p w:rsidR="007F671D" w:rsidRPr="0033617F" w:rsidRDefault="007F671D" w:rsidP="003D13B0">
            <w:pPr>
              <w:rPr>
                <w:i/>
              </w:rPr>
            </w:pPr>
            <w:r w:rsidRPr="0033617F">
              <w:t>1.1. valsts pamatbudžets, tai skaitā ieņēmumi no maksas pakalpojumiem un citi pašu ieņēmumi</w:t>
            </w:r>
          </w:p>
        </w:tc>
        <w:tc>
          <w:tcPr>
            <w:tcW w:w="1554" w:type="dxa"/>
          </w:tcPr>
          <w:p w:rsidR="007F671D" w:rsidRPr="0033617F" w:rsidRDefault="007F671D" w:rsidP="003D13B0">
            <w:pPr>
              <w:jc w:val="center"/>
              <w:rPr>
                <w:i/>
              </w:rPr>
            </w:pPr>
          </w:p>
        </w:tc>
        <w:tc>
          <w:tcPr>
            <w:tcW w:w="1394" w:type="dxa"/>
          </w:tcPr>
          <w:p w:rsidR="007F671D" w:rsidRPr="0033617F" w:rsidRDefault="007F671D" w:rsidP="003D13B0">
            <w:pPr>
              <w:jc w:val="center"/>
              <w:rPr>
                <w:i/>
              </w:rPr>
            </w:pPr>
          </w:p>
        </w:tc>
        <w:tc>
          <w:tcPr>
            <w:tcW w:w="1189" w:type="dxa"/>
          </w:tcPr>
          <w:p w:rsidR="007F671D" w:rsidRPr="0033617F" w:rsidRDefault="007F671D" w:rsidP="003D13B0">
            <w:pPr>
              <w:jc w:val="center"/>
              <w:rPr>
                <w:i/>
              </w:rPr>
            </w:pPr>
          </w:p>
        </w:tc>
        <w:tc>
          <w:tcPr>
            <w:tcW w:w="1194" w:type="dxa"/>
          </w:tcPr>
          <w:p w:rsidR="007F671D" w:rsidRPr="0033617F" w:rsidRDefault="007F671D" w:rsidP="003D13B0">
            <w:pPr>
              <w:jc w:val="center"/>
              <w:rPr>
                <w:i/>
              </w:rPr>
            </w:pPr>
          </w:p>
        </w:tc>
        <w:tc>
          <w:tcPr>
            <w:tcW w:w="1332" w:type="dxa"/>
          </w:tcPr>
          <w:p w:rsidR="007F671D" w:rsidRPr="0033617F" w:rsidRDefault="007F671D" w:rsidP="003D13B0">
            <w:pPr>
              <w:jc w:val="center"/>
              <w:rPr>
                <w:i/>
              </w:rPr>
            </w:pPr>
          </w:p>
        </w:tc>
      </w:tr>
      <w:tr w:rsidR="007F671D" w:rsidRPr="0033617F" w:rsidTr="003D13B0">
        <w:trPr>
          <w:jc w:val="center"/>
        </w:trPr>
        <w:tc>
          <w:tcPr>
            <w:tcW w:w="3397" w:type="dxa"/>
          </w:tcPr>
          <w:p w:rsidR="007F671D" w:rsidRPr="0033617F" w:rsidRDefault="007F671D" w:rsidP="003D13B0">
            <w:pPr>
              <w:rPr>
                <w:i/>
              </w:rPr>
            </w:pPr>
            <w:r w:rsidRPr="0033617F">
              <w:t>1.2. valsts speciālais budžets</w:t>
            </w:r>
          </w:p>
        </w:tc>
        <w:tc>
          <w:tcPr>
            <w:tcW w:w="1554" w:type="dxa"/>
          </w:tcPr>
          <w:p w:rsidR="007F671D" w:rsidRPr="0033617F" w:rsidRDefault="007F671D" w:rsidP="003D13B0">
            <w:pPr>
              <w:jc w:val="center"/>
            </w:pPr>
          </w:p>
        </w:tc>
        <w:tc>
          <w:tcPr>
            <w:tcW w:w="1394" w:type="dxa"/>
          </w:tcPr>
          <w:p w:rsidR="007F671D" w:rsidRPr="0033617F" w:rsidRDefault="007F671D" w:rsidP="003D13B0">
            <w:pPr>
              <w:jc w:val="center"/>
            </w:pPr>
          </w:p>
        </w:tc>
        <w:tc>
          <w:tcPr>
            <w:tcW w:w="1189" w:type="dxa"/>
          </w:tcPr>
          <w:p w:rsidR="007F671D" w:rsidRPr="0033617F" w:rsidRDefault="007F671D" w:rsidP="003D13B0">
            <w:pPr>
              <w:jc w:val="center"/>
            </w:pPr>
          </w:p>
        </w:tc>
        <w:tc>
          <w:tcPr>
            <w:tcW w:w="1194" w:type="dxa"/>
          </w:tcPr>
          <w:p w:rsidR="007F671D" w:rsidRPr="0033617F" w:rsidRDefault="007F671D" w:rsidP="003D13B0">
            <w:pPr>
              <w:jc w:val="center"/>
            </w:pPr>
          </w:p>
        </w:tc>
        <w:tc>
          <w:tcPr>
            <w:tcW w:w="1332" w:type="dxa"/>
          </w:tcPr>
          <w:p w:rsidR="007F671D" w:rsidRPr="0033617F" w:rsidRDefault="007F671D" w:rsidP="003D13B0">
            <w:pPr>
              <w:jc w:val="center"/>
            </w:pPr>
          </w:p>
        </w:tc>
      </w:tr>
      <w:tr w:rsidR="007F671D" w:rsidRPr="0033617F" w:rsidTr="003D13B0">
        <w:trPr>
          <w:jc w:val="center"/>
        </w:trPr>
        <w:tc>
          <w:tcPr>
            <w:tcW w:w="3397" w:type="dxa"/>
          </w:tcPr>
          <w:p w:rsidR="007F671D" w:rsidRPr="0033617F" w:rsidRDefault="007F671D" w:rsidP="003D13B0">
            <w:pPr>
              <w:rPr>
                <w:i/>
              </w:rPr>
            </w:pPr>
            <w:r w:rsidRPr="0033617F">
              <w:t>1.3. pašvaldību budžets</w:t>
            </w:r>
          </w:p>
        </w:tc>
        <w:tc>
          <w:tcPr>
            <w:tcW w:w="1554" w:type="dxa"/>
          </w:tcPr>
          <w:p w:rsidR="007F671D" w:rsidRPr="0033617F" w:rsidRDefault="007F671D" w:rsidP="003D13B0">
            <w:pPr>
              <w:jc w:val="center"/>
            </w:pPr>
          </w:p>
        </w:tc>
        <w:tc>
          <w:tcPr>
            <w:tcW w:w="1394" w:type="dxa"/>
          </w:tcPr>
          <w:p w:rsidR="007F671D" w:rsidRPr="0033617F" w:rsidRDefault="007F671D" w:rsidP="003D13B0">
            <w:pPr>
              <w:jc w:val="center"/>
            </w:pPr>
          </w:p>
        </w:tc>
        <w:tc>
          <w:tcPr>
            <w:tcW w:w="1189" w:type="dxa"/>
          </w:tcPr>
          <w:p w:rsidR="007F671D" w:rsidRPr="0033617F" w:rsidRDefault="007F671D" w:rsidP="003D13B0">
            <w:pPr>
              <w:jc w:val="center"/>
            </w:pPr>
          </w:p>
        </w:tc>
        <w:tc>
          <w:tcPr>
            <w:tcW w:w="1194" w:type="dxa"/>
          </w:tcPr>
          <w:p w:rsidR="007F671D" w:rsidRPr="0033617F" w:rsidRDefault="007F671D" w:rsidP="003D13B0">
            <w:pPr>
              <w:jc w:val="center"/>
            </w:pPr>
          </w:p>
        </w:tc>
        <w:tc>
          <w:tcPr>
            <w:tcW w:w="1332" w:type="dxa"/>
          </w:tcPr>
          <w:p w:rsidR="007F671D" w:rsidRPr="0033617F" w:rsidRDefault="007F671D" w:rsidP="003D13B0">
            <w:pPr>
              <w:jc w:val="center"/>
            </w:pPr>
          </w:p>
        </w:tc>
      </w:tr>
      <w:tr w:rsidR="00582BD7" w:rsidRPr="0033617F" w:rsidTr="003D13B0">
        <w:trPr>
          <w:jc w:val="center"/>
        </w:trPr>
        <w:tc>
          <w:tcPr>
            <w:tcW w:w="3397" w:type="dxa"/>
          </w:tcPr>
          <w:p w:rsidR="00582BD7" w:rsidRPr="0033617F" w:rsidRDefault="00582BD7" w:rsidP="00582BD7">
            <w:r w:rsidRPr="0033617F">
              <w:t>2. Budžeta izdevumi:</w:t>
            </w:r>
          </w:p>
        </w:tc>
        <w:tc>
          <w:tcPr>
            <w:tcW w:w="1554" w:type="dxa"/>
          </w:tcPr>
          <w:p w:rsidR="00582BD7" w:rsidRPr="00317B6A" w:rsidRDefault="00582BD7" w:rsidP="00582BD7">
            <w:pPr>
              <w:jc w:val="center"/>
              <w:rPr>
                <w:b/>
              </w:rPr>
            </w:pPr>
            <w:r w:rsidRPr="00317B6A">
              <w:rPr>
                <w:b/>
              </w:rPr>
              <w:t>0</w:t>
            </w:r>
          </w:p>
        </w:tc>
        <w:tc>
          <w:tcPr>
            <w:tcW w:w="1394" w:type="dxa"/>
          </w:tcPr>
          <w:p w:rsidR="00582BD7" w:rsidRPr="00317B6A" w:rsidRDefault="00582BD7" w:rsidP="00582BD7">
            <w:pPr>
              <w:jc w:val="center"/>
              <w:rPr>
                <w:b/>
              </w:rPr>
            </w:pPr>
            <w:r w:rsidRPr="00317B6A">
              <w:rPr>
                <w:b/>
              </w:rPr>
              <w:t>0</w:t>
            </w:r>
          </w:p>
        </w:tc>
        <w:tc>
          <w:tcPr>
            <w:tcW w:w="1189" w:type="dxa"/>
          </w:tcPr>
          <w:p w:rsidR="00582BD7" w:rsidRPr="00317B6A" w:rsidRDefault="00582BD7" w:rsidP="00582BD7">
            <w:pPr>
              <w:jc w:val="center"/>
              <w:rPr>
                <w:b/>
              </w:rPr>
            </w:pPr>
            <w:r w:rsidRPr="00317B6A">
              <w:rPr>
                <w:b/>
              </w:rPr>
              <w:t>0</w:t>
            </w:r>
          </w:p>
        </w:tc>
        <w:tc>
          <w:tcPr>
            <w:tcW w:w="1194" w:type="dxa"/>
          </w:tcPr>
          <w:p w:rsidR="00582BD7" w:rsidRPr="00317B6A" w:rsidRDefault="00582BD7" w:rsidP="00582BD7">
            <w:pPr>
              <w:jc w:val="center"/>
              <w:rPr>
                <w:b/>
              </w:rPr>
            </w:pPr>
            <w:r w:rsidRPr="00317B6A">
              <w:rPr>
                <w:b/>
              </w:rPr>
              <w:t>0</w:t>
            </w:r>
          </w:p>
        </w:tc>
        <w:tc>
          <w:tcPr>
            <w:tcW w:w="1332" w:type="dxa"/>
          </w:tcPr>
          <w:p w:rsidR="00582BD7" w:rsidRPr="00317B6A" w:rsidRDefault="00582BD7" w:rsidP="00582BD7">
            <w:pPr>
              <w:jc w:val="center"/>
              <w:rPr>
                <w:b/>
              </w:rPr>
            </w:pPr>
            <w:r w:rsidRPr="00317B6A">
              <w:rPr>
                <w:b/>
              </w:rPr>
              <w:t>0</w:t>
            </w:r>
          </w:p>
        </w:tc>
      </w:tr>
      <w:tr w:rsidR="00582BD7" w:rsidRPr="0033617F" w:rsidTr="003D13B0">
        <w:trPr>
          <w:jc w:val="center"/>
        </w:trPr>
        <w:tc>
          <w:tcPr>
            <w:tcW w:w="3397" w:type="dxa"/>
          </w:tcPr>
          <w:p w:rsidR="00582BD7" w:rsidRPr="0033617F" w:rsidRDefault="00582BD7" w:rsidP="00582BD7">
            <w:r w:rsidRPr="0033617F">
              <w:t>2.1. valsts pamatbudžets</w:t>
            </w:r>
          </w:p>
        </w:tc>
        <w:tc>
          <w:tcPr>
            <w:tcW w:w="1554" w:type="dxa"/>
          </w:tcPr>
          <w:p w:rsidR="00582BD7" w:rsidRPr="00317B6A" w:rsidRDefault="00582BD7" w:rsidP="00582BD7">
            <w:pPr>
              <w:jc w:val="center"/>
              <w:rPr>
                <w:i/>
              </w:rPr>
            </w:pPr>
            <w:r w:rsidRPr="00317B6A">
              <w:rPr>
                <w:i/>
              </w:rPr>
              <w:t>0</w:t>
            </w:r>
          </w:p>
        </w:tc>
        <w:tc>
          <w:tcPr>
            <w:tcW w:w="1394" w:type="dxa"/>
          </w:tcPr>
          <w:p w:rsidR="00582BD7" w:rsidRPr="00317B6A" w:rsidRDefault="00582BD7" w:rsidP="00582BD7">
            <w:pPr>
              <w:jc w:val="center"/>
              <w:rPr>
                <w:i/>
              </w:rPr>
            </w:pPr>
            <w:r w:rsidRPr="00317B6A">
              <w:rPr>
                <w:i/>
              </w:rPr>
              <w:t>0</w:t>
            </w:r>
          </w:p>
        </w:tc>
        <w:tc>
          <w:tcPr>
            <w:tcW w:w="1189" w:type="dxa"/>
          </w:tcPr>
          <w:p w:rsidR="00582BD7" w:rsidRPr="00317B6A" w:rsidRDefault="00582BD7" w:rsidP="00582BD7">
            <w:pPr>
              <w:jc w:val="center"/>
              <w:rPr>
                <w:i/>
              </w:rPr>
            </w:pPr>
            <w:r w:rsidRPr="00317B6A">
              <w:rPr>
                <w:i/>
              </w:rPr>
              <w:t>0</w:t>
            </w:r>
          </w:p>
        </w:tc>
        <w:tc>
          <w:tcPr>
            <w:tcW w:w="1194" w:type="dxa"/>
          </w:tcPr>
          <w:p w:rsidR="00582BD7" w:rsidRPr="00317B6A" w:rsidRDefault="00582BD7" w:rsidP="00582BD7">
            <w:pPr>
              <w:jc w:val="center"/>
              <w:rPr>
                <w:i/>
              </w:rPr>
            </w:pPr>
            <w:r w:rsidRPr="00317B6A">
              <w:rPr>
                <w:i/>
              </w:rPr>
              <w:t>0</w:t>
            </w:r>
          </w:p>
        </w:tc>
        <w:tc>
          <w:tcPr>
            <w:tcW w:w="1332" w:type="dxa"/>
          </w:tcPr>
          <w:p w:rsidR="00582BD7" w:rsidRPr="00317B6A" w:rsidRDefault="00582BD7" w:rsidP="00582BD7">
            <w:pPr>
              <w:jc w:val="center"/>
              <w:rPr>
                <w:i/>
              </w:rPr>
            </w:pPr>
            <w:r w:rsidRPr="00317B6A">
              <w:rPr>
                <w:i/>
              </w:rPr>
              <w:t>0</w:t>
            </w:r>
          </w:p>
        </w:tc>
      </w:tr>
      <w:tr w:rsidR="00582BD7" w:rsidRPr="0033617F" w:rsidTr="003D13B0">
        <w:trPr>
          <w:jc w:val="center"/>
        </w:trPr>
        <w:tc>
          <w:tcPr>
            <w:tcW w:w="3397" w:type="dxa"/>
          </w:tcPr>
          <w:p w:rsidR="00582BD7" w:rsidRPr="0033617F" w:rsidRDefault="00582BD7" w:rsidP="00582BD7">
            <w:r w:rsidRPr="0033617F">
              <w:t>2.2. valsts speciālais budžets</w:t>
            </w:r>
          </w:p>
        </w:tc>
        <w:tc>
          <w:tcPr>
            <w:tcW w:w="1554" w:type="dxa"/>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332" w:type="dxa"/>
          </w:tcPr>
          <w:p w:rsidR="00582BD7" w:rsidRPr="00317B6A" w:rsidRDefault="00582BD7" w:rsidP="00582BD7">
            <w:pPr>
              <w:jc w:val="center"/>
            </w:pPr>
          </w:p>
        </w:tc>
      </w:tr>
      <w:tr w:rsidR="00582BD7" w:rsidRPr="0033617F" w:rsidTr="003D13B0">
        <w:trPr>
          <w:jc w:val="center"/>
        </w:trPr>
        <w:tc>
          <w:tcPr>
            <w:tcW w:w="3397" w:type="dxa"/>
          </w:tcPr>
          <w:p w:rsidR="00582BD7" w:rsidRPr="0033617F" w:rsidRDefault="00582BD7" w:rsidP="00582BD7">
            <w:r w:rsidRPr="0033617F">
              <w:t xml:space="preserve">2.3. pašvaldību budžets </w:t>
            </w:r>
          </w:p>
        </w:tc>
        <w:tc>
          <w:tcPr>
            <w:tcW w:w="1554" w:type="dxa"/>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332" w:type="dxa"/>
          </w:tcPr>
          <w:p w:rsidR="00582BD7" w:rsidRPr="00317B6A" w:rsidRDefault="00582BD7" w:rsidP="00582BD7">
            <w:pPr>
              <w:jc w:val="center"/>
            </w:pPr>
          </w:p>
        </w:tc>
      </w:tr>
      <w:tr w:rsidR="00582BD7" w:rsidRPr="0033617F" w:rsidTr="003D13B0">
        <w:trPr>
          <w:jc w:val="center"/>
        </w:trPr>
        <w:tc>
          <w:tcPr>
            <w:tcW w:w="3397" w:type="dxa"/>
          </w:tcPr>
          <w:p w:rsidR="00582BD7" w:rsidRPr="0033617F" w:rsidRDefault="00582BD7" w:rsidP="00582BD7">
            <w:r w:rsidRPr="0033617F">
              <w:t>3. Finansiālā ietekme:</w:t>
            </w:r>
          </w:p>
        </w:tc>
        <w:tc>
          <w:tcPr>
            <w:tcW w:w="1554" w:type="dxa"/>
            <w:shd w:val="clear" w:color="auto" w:fill="auto"/>
          </w:tcPr>
          <w:p w:rsidR="00582BD7" w:rsidRPr="00317B6A" w:rsidRDefault="00582BD7" w:rsidP="00582BD7">
            <w:pPr>
              <w:jc w:val="center"/>
              <w:rPr>
                <w:b/>
              </w:rPr>
            </w:pPr>
            <w:r w:rsidRPr="00317B6A">
              <w:rPr>
                <w:b/>
              </w:rPr>
              <w:t>0</w:t>
            </w:r>
          </w:p>
        </w:tc>
        <w:tc>
          <w:tcPr>
            <w:tcW w:w="1394" w:type="dxa"/>
          </w:tcPr>
          <w:p w:rsidR="00582BD7" w:rsidRPr="00317B6A" w:rsidRDefault="00582BD7" w:rsidP="00582BD7">
            <w:pPr>
              <w:jc w:val="center"/>
              <w:rPr>
                <w:b/>
              </w:rPr>
            </w:pPr>
            <w:r w:rsidRPr="00317B6A">
              <w:rPr>
                <w:b/>
              </w:rPr>
              <w:t>0</w:t>
            </w:r>
          </w:p>
        </w:tc>
        <w:tc>
          <w:tcPr>
            <w:tcW w:w="1189" w:type="dxa"/>
          </w:tcPr>
          <w:p w:rsidR="00582BD7" w:rsidRPr="00317B6A" w:rsidRDefault="00582BD7" w:rsidP="00582BD7">
            <w:pPr>
              <w:jc w:val="center"/>
              <w:rPr>
                <w:b/>
              </w:rPr>
            </w:pPr>
            <w:r w:rsidRPr="00317B6A">
              <w:rPr>
                <w:b/>
              </w:rPr>
              <w:t>0</w:t>
            </w:r>
          </w:p>
        </w:tc>
        <w:tc>
          <w:tcPr>
            <w:tcW w:w="1194" w:type="dxa"/>
          </w:tcPr>
          <w:p w:rsidR="00582BD7" w:rsidRPr="00317B6A" w:rsidRDefault="00582BD7" w:rsidP="00582BD7">
            <w:pPr>
              <w:jc w:val="center"/>
              <w:rPr>
                <w:b/>
              </w:rPr>
            </w:pPr>
            <w:r w:rsidRPr="00317B6A">
              <w:rPr>
                <w:b/>
              </w:rPr>
              <w:t>0</w:t>
            </w:r>
          </w:p>
        </w:tc>
        <w:tc>
          <w:tcPr>
            <w:tcW w:w="1332" w:type="dxa"/>
          </w:tcPr>
          <w:p w:rsidR="00582BD7" w:rsidRPr="00317B6A" w:rsidRDefault="00582BD7" w:rsidP="00582BD7">
            <w:pPr>
              <w:jc w:val="center"/>
              <w:rPr>
                <w:b/>
              </w:rPr>
            </w:pPr>
            <w:r w:rsidRPr="00317B6A">
              <w:rPr>
                <w:b/>
              </w:rPr>
              <w:t>0</w:t>
            </w:r>
          </w:p>
        </w:tc>
      </w:tr>
      <w:tr w:rsidR="00582BD7" w:rsidRPr="0033617F" w:rsidTr="003D13B0">
        <w:trPr>
          <w:jc w:val="center"/>
        </w:trPr>
        <w:tc>
          <w:tcPr>
            <w:tcW w:w="3397" w:type="dxa"/>
          </w:tcPr>
          <w:p w:rsidR="00582BD7" w:rsidRPr="0033617F" w:rsidRDefault="00582BD7" w:rsidP="00582BD7">
            <w:r w:rsidRPr="0033617F">
              <w:t>3.1. valsts pamatbudžets</w:t>
            </w:r>
          </w:p>
        </w:tc>
        <w:tc>
          <w:tcPr>
            <w:tcW w:w="1554" w:type="dxa"/>
            <w:shd w:val="clear" w:color="auto" w:fill="auto"/>
          </w:tcPr>
          <w:p w:rsidR="00582BD7" w:rsidRPr="00317B6A" w:rsidRDefault="00582BD7" w:rsidP="00582BD7">
            <w:pPr>
              <w:jc w:val="center"/>
              <w:rPr>
                <w:i/>
              </w:rPr>
            </w:pPr>
            <w:r w:rsidRPr="00317B6A">
              <w:rPr>
                <w:i/>
              </w:rPr>
              <w:t>0</w:t>
            </w:r>
          </w:p>
        </w:tc>
        <w:tc>
          <w:tcPr>
            <w:tcW w:w="1394" w:type="dxa"/>
          </w:tcPr>
          <w:p w:rsidR="00582BD7" w:rsidRPr="00317B6A" w:rsidRDefault="00582BD7" w:rsidP="00582BD7">
            <w:pPr>
              <w:jc w:val="center"/>
              <w:rPr>
                <w:i/>
              </w:rPr>
            </w:pPr>
            <w:r w:rsidRPr="00317B6A">
              <w:rPr>
                <w:i/>
              </w:rPr>
              <w:t>0</w:t>
            </w:r>
          </w:p>
        </w:tc>
        <w:tc>
          <w:tcPr>
            <w:tcW w:w="1189" w:type="dxa"/>
          </w:tcPr>
          <w:p w:rsidR="00582BD7" w:rsidRPr="00317B6A" w:rsidRDefault="00582BD7" w:rsidP="00582BD7">
            <w:pPr>
              <w:jc w:val="center"/>
              <w:rPr>
                <w:i/>
              </w:rPr>
            </w:pPr>
            <w:r w:rsidRPr="00317B6A">
              <w:rPr>
                <w:i/>
              </w:rPr>
              <w:t>0</w:t>
            </w:r>
          </w:p>
        </w:tc>
        <w:tc>
          <w:tcPr>
            <w:tcW w:w="1194" w:type="dxa"/>
          </w:tcPr>
          <w:p w:rsidR="00582BD7" w:rsidRPr="00317B6A" w:rsidRDefault="00582BD7" w:rsidP="00582BD7">
            <w:pPr>
              <w:jc w:val="center"/>
              <w:rPr>
                <w:i/>
              </w:rPr>
            </w:pPr>
            <w:r w:rsidRPr="00317B6A">
              <w:rPr>
                <w:i/>
              </w:rPr>
              <w:t>0</w:t>
            </w:r>
          </w:p>
        </w:tc>
        <w:tc>
          <w:tcPr>
            <w:tcW w:w="1332" w:type="dxa"/>
          </w:tcPr>
          <w:p w:rsidR="00582BD7" w:rsidRPr="00317B6A" w:rsidRDefault="00582BD7" w:rsidP="00582BD7">
            <w:pPr>
              <w:jc w:val="center"/>
              <w:rPr>
                <w:i/>
              </w:rPr>
            </w:pPr>
            <w:r w:rsidRPr="00317B6A">
              <w:rPr>
                <w:i/>
              </w:rPr>
              <w:t>0</w:t>
            </w:r>
          </w:p>
        </w:tc>
      </w:tr>
      <w:tr w:rsidR="00582BD7" w:rsidRPr="0033617F" w:rsidTr="003D13B0">
        <w:trPr>
          <w:jc w:val="center"/>
        </w:trPr>
        <w:tc>
          <w:tcPr>
            <w:tcW w:w="3397" w:type="dxa"/>
          </w:tcPr>
          <w:p w:rsidR="00582BD7" w:rsidRPr="0033617F" w:rsidRDefault="00582BD7" w:rsidP="00582BD7">
            <w:r w:rsidRPr="0033617F">
              <w:t>3.2. speciālais budžets</w:t>
            </w:r>
          </w:p>
        </w:tc>
        <w:tc>
          <w:tcPr>
            <w:tcW w:w="1554" w:type="dxa"/>
            <w:shd w:val="clear" w:color="auto" w:fill="auto"/>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332" w:type="dxa"/>
          </w:tcPr>
          <w:p w:rsidR="00582BD7" w:rsidRPr="00317B6A" w:rsidRDefault="00582BD7" w:rsidP="00582BD7">
            <w:pPr>
              <w:jc w:val="center"/>
            </w:pPr>
          </w:p>
        </w:tc>
      </w:tr>
      <w:tr w:rsidR="00582BD7" w:rsidRPr="0033617F" w:rsidTr="003D13B0">
        <w:trPr>
          <w:jc w:val="center"/>
        </w:trPr>
        <w:tc>
          <w:tcPr>
            <w:tcW w:w="3397" w:type="dxa"/>
          </w:tcPr>
          <w:p w:rsidR="00582BD7" w:rsidRPr="0033617F" w:rsidRDefault="00582BD7" w:rsidP="00582BD7">
            <w:r w:rsidRPr="0033617F">
              <w:t xml:space="preserve">3.3. pašvaldību budžets </w:t>
            </w:r>
          </w:p>
        </w:tc>
        <w:tc>
          <w:tcPr>
            <w:tcW w:w="1554" w:type="dxa"/>
            <w:shd w:val="clear" w:color="auto" w:fill="auto"/>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332" w:type="dxa"/>
          </w:tcPr>
          <w:p w:rsidR="00582BD7" w:rsidRPr="00317B6A" w:rsidRDefault="00582BD7" w:rsidP="00582BD7">
            <w:pPr>
              <w:jc w:val="center"/>
            </w:pPr>
          </w:p>
        </w:tc>
      </w:tr>
      <w:tr w:rsidR="00582BD7" w:rsidRPr="0033617F" w:rsidTr="003D13B0">
        <w:trPr>
          <w:jc w:val="center"/>
        </w:trPr>
        <w:tc>
          <w:tcPr>
            <w:tcW w:w="3397" w:type="dxa"/>
            <w:vMerge w:val="restart"/>
          </w:tcPr>
          <w:p w:rsidR="00582BD7" w:rsidRPr="0033617F" w:rsidRDefault="00582BD7" w:rsidP="00582BD7">
            <w:r w:rsidRPr="0033617F">
              <w:t xml:space="preserve">4. Finanšu līdzekļi papildu izdevumu finansēšanai (kompensējošu izdevumu samazinājumu norāda ar </w:t>
            </w:r>
            <w:r w:rsidR="00E573D7">
              <w:t>„</w:t>
            </w:r>
            <w:r w:rsidRPr="0033617F">
              <w:t>+” zīmi)</w:t>
            </w:r>
          </w:p>
        </w:tc>
        <w:tc>
          <w:tcPr>
            <w:tcW w:w="1554" w:type="dxa"/>
            <w:vMerge w:val="restart"/>
          </w:tcPr>
          <w:p w:rsidR="00582BD7" w:rsidRPr="00317B6A" w:rsidRDefault="00582BD7" w:rsidP="00582BD7">
            <w:pPr>
              <w:jc w:val="center"/>
              <w:rPr>
                <w:i/>
              </w:rPr>
            </w:pPr>
            <w:r w:rsidRPr="00317B6A">
              <w:t>X</w:t>
            </w:r>
          </w:p>
        </w:tc>
        <w:tc>
          <w:tcPr>
            <w:tcW w:w="1394" w:type="dxa"/>
          </w:tcPr>
          <w:p w:rsidR="00582BD7" w:rsidRPr="00317B6A" w:rsidRDefault="00582BD7" w:rsidP="00582BD7">
            <w:pPr>
              <w:jc w:val="center"/>
            </w:pPr>
            <w:r w:rsidRPr="00317B6A">
              <w:t>0</w:t>
            </w:r>
          </w:p>
        </w:tc>
        <w:tc>
          <w:tcPr>
            <w:tcW w:w="1189" w:type="dxa"/>
          </w:tcPr>
          <w:p w:rsidR="00582BD7" w:rsidRPr="00317B6A" w:rsidRDefault="00582BD7" w:rsidP="00582BD7">
            <w:pPr>
              <w:jc w:val="center"/>
            </w:pPr>
            <w:r w:rsidRPr="00317B6A">
              <w:t>0</w:t>
            </w:r>
          </w:p>
        </w:tc>
        <w:tc>
          <w:tcPr>
            <w:tcW w:w="1194" w:type="dxa"/>
          </w:tcPr>
          <w:p w:rsidR="00582BD7" w:rsidRPr="00317B6A" w:rsidRDefault="00582BD7" w:rsidP="00582BD7">
            <w:pPr>
              <w:jc w:val="center"/>
            </w:pPr>
            <w:r w:rsidRPr="00317B6A">
              <w:t>0</w:t>
            </w:r>
          </w:p>
        </w:tc>
        <w:tc>
          <w:tcPr>
            <w:tcW w:w="1332" w:type="dxa"/>
          </w:tcPr>
          <w:p w:rsidR="00582BD7" w:rsidRPr="00317B6A" w:rsidRDefault="00582BD7" w:rsidP="00582BD7">
            <w:pPr>
              <w:jc w:val="center"/>
            </w:pPr>
            <w:r w:rsidRPr="00317B6A">
              <w:t>0</w:t>
            </w:r>
          </w:p>
        </w:tc>
      </w:tr>
      <w:tr w:rsidR="00582BD7" w:rsidRPr="0033617F" w:rsidTr="003D13B0">
        <w:trPr>
          <w:jc w:val="center"/>
        </w:trPr>
        <w:tc>
          <w:tcPr>
            <w:tcW w:w="3397" w:type="dxa"/>
            <w:vMerge/>
          </w:tcPr>
          <w:p w:rsidR="00582BD7" w:rsidRPr="0033617F" w:rsidRDefault="00582BD7" w:rsidP="00582BD7"/>
        </w:tc>
        <w:tc>
          <w:tcPr>
            <w:tcW w:w="1554" w:type="dxa"/>
            <w:vMerge/>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332" w:type="dxa"/>
          </w:tcPr>
          <w:p w:rsidR="00582BD7" w:rsidRPr="0033617F" w:rsidRDefault="00582BD7" w:rsidP="00582BD7">
            <w:pPr>
              <w:jc w:val="center"/>
            </w:pPr>
          </w:p>
        </w:tc>
      </w:tr>
      <w:tr w:rsidR="00582BD7" w:rsidRPr="0033617F" w:rsidTr="003D13B0">
        <w:trPr>
          <w:jc w:val="center"/>
        </w:trPr>
        <w:tc>
          <w:tcPr>
            <w:tcW w:w="3397" w:type="dxa"/>
            <w:vMerge/>
          </w:tcPr>
          <w:p w:rsidR="00582BD7" w:rsidRPr="0033617F" w:rsidRDefault="00582BD7" w:rsidP="00582BD7"/>
        </w:tc>
        <w:tc>
          <w:tcPr>
            <w:tcW w:w="1554" w:type="dxa"/>
            <w:vMerge/>
          </w:tcPr>
          <w:p w:rsidR="00582BD7" w:rsidRPr="0033617F" w:rsidRDefault="00582BD7" w:rsidP="00582BD7">
            <w:pPr>
              <w:jc w:val="center"/>
              <w:rPr>
                <w:i/>
              </w:rPr>
            </w:pPr>
          </w:p>
        </w:tc>
        <w:tc>
          <w:tcPr>
            <w:tcW w:w="1394" w:type="dxa"/>
          </w:tcPr>
          <w:p w:rsidR="002643AF" w:rsidRDefault="002643AF" w:rsidP="00582BD7">
            <w:pPr>
              <w:jc w:val="center"/>
            </w:pPr>
          </w:p>
          <w:p w:rsidR="00582BD7" w:rsidRPr="002643AF" w:rsidRDefault="00582BD7" w:rsidP="002643AF">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332" w:type="dxa"/>
          </w:tcPr>
          <w:p w:rsidR="00582BD7" w:rsidRPr="0033617F" w:rsidRDefault="00582BD7" w:rsidP="00582BD7">
            <w:pPr>
              <w:jc w:val="center"/>
            </w:pPr>
          </w:p>
        </w:tc>
      </w:tr>
      <w:tr w:rsidR="00582BD7" w:rsidRPr="0033617F" w:rsidTr="003D13B0">
        <w:trPr>
          <w:jc w:val="center"/>
        </w:trPr>
        <w:tc>
          <w:tcPr>
            <w:tcW w:w="3397" w:type="dxa"/>
          </w:tcPr>
          <w:p w:rsidR="00582BD7" w:rsidRPr="0033617F" w:rsidRDefault="00582BD7" w:rsidP="00582BD7">
            <w:r w:rsidRPr="0033617F">
              <w:t>5. Precizēta finansiālā ietekme:</w:t>
            </w:r>
          </w:p>
        </w:tc>
        <w:tc>
          <w:tcPr>
            <w:tcW w:w="1554" w:type="dxa"/>
            <w:vMerge w:val="restart"/>
          </w:tcPr>
          <w:p w:rsidR="00582BD7" w:rsidRPr="00317B6A" w:rsidRDefault="00582BD7" w:rsidP="00582BD7">
            <w:pPr>
              <w:jc w:val="center"/>
              <w:rPr>
                <w:i/>
              </w:rPr>
            </w:pPr>
            <w:r w:rsidRPr="00317B6A">
              <w:t>X</w:t>
            </w:r>
          </w:p>
          <w:p w:rsidR="00582BD7" w:rsidRPr="00317B6A" w:rsidRDefault="00582BD7" w:rsidP="00582BD7">
            <w:pPr>
              <w:jc w:val="center"/>
              <w:rPr>
                <w:i/>
              </w:rPr>
            </w:pPr>
            <w:r w:rsidRPr="00317B6A">
              <w:rPr>
                <w:b/>
              </w:rPr>
              <w:t>0</w:t>
            </w:r>
          </w:p>
        </w:tc>
        <w:tc>
          <w:tcPr>
            <w:tcW w:w="1394" w:type="dxa"/>
          </w:tcPr>
          <w:p w:rsidR="00582BD7" w:rsidRPr="00317B6A" w:rsidRDefault="00582BD7" w:rsidP="00582BD7">
            <w:pPr>
              <w:jc w:val="center"/>
            </w:pPr>
            <w:r w:rsidRPr="00317B6A">
              <w:t>0</w:t>
            </w:r>
          </w:p>
        </w:tc>
        <w:tc>
          <w:tcPr>
            <w:tcW w:w="1189" w:type="dxa"/>
          </w:tcPr>
          <w:p w:rsidR="00582BD7" w:rsidRPr="00317B6A" w:rsidRDefault="00582BD7" w:rsidP="00582BD7">
            <w:pPr>
              <w:jc w:val="center"/>
            </w:pPr>
            <w:r w:rsidRPr="00317B6A">
              <w:t>0</w:t>
            </w:r>
          </w:p>
        </w:tc>
        <w:tc>
          <w:tcPr>
            <w:tcW w:w="1194" w:type="dxa"/>
          </w:tcPr>
          <w:p w:rsidR="00582BD7" w:rsidRPr="00317B6A" w:rsidRDefault="00582BD7" w:rsidP="00582BD7">
            <w:pPr>
              <w:jc w:val="center"/>
            </w:pPr>
            <w:r w:rsidRPr="00317B6A">
              <w:t>0</w:t>
            </w:r>
          </w:p>
        </w:tc>
        <w:tc>
          <w:tcPr>
            <w:tcW w:w="1332" w:type="dxa"/>
          </w:tcPr>
          <w:p w:rsidR="00582BD7" w:rsidRPr="00317B6A" w:rsidRDefault="00582BD7" w:rsidP="00582BD7">
            <w:pPr>
              <w:jc w:val="center"/>
            </w:pPr>
            <w:r w:rsidRPr="00317B6A">
              <w:t>0</w:t>
            </w:r>
          </w:p>
        </w:tc>
      </w:tr>
      <w:tr w:rsidR="00582BD7" w:rsidRPr="0033617F" w:rsidTr="003D13B0">
        <w:trPr>
          <w:jc w:val="center"/>
        </w:trPr>
        <w:tc>
          <w:tcPr>
            <w:tcW w:w="3397" w:type="dxa"/>
          </w:tcPr>
          <w:p w:rsidR="00582BD7" w:rsidRPr="0033617F" w:rsidRDefault="00582BD7" w:rsidP="00582BD7">
            <w:r w:rsidRPr="0033617F">
              <w:t>5.1. valsts pamatbudžets</w:t>
            </w:r>
          </w:p>
        </w:tc>
        <w:tc>
          <w:tcPr>
            <w:tcW w:w="1554" w:type="dxa"/>
            <w:vMerge/>
            <w:vAlign w:val="center"/>
          </w:tcPr>
          <w:p w:rsidR="00582BD7" w:rsidRPr="0033617F" w:rsidRDefault="00582BD7" w:rsidP="00582BD7">
            <w:pPr>
              <w:jc w:val="center"/>
              <w:rPr>
                <w:i/>
              </w:rPr>
            </w:pPr>
          </w:p>
        </w:tc>
        <w:tc>
          <w:tcPr>
            <w:tcW w:w="1394" w:type="dxa"/>
          </w:tcPr>
          <w:p w:rsidR="00582BD7" w:rsidRPr="0033617F" w:rsidRDefault="00582BD7" w:rsidP="00582BD7">
            <w:pPr>
              <w:jc w:val="center"/>
            </w:pPr>
            <w:r w:rsidRPr="00317B6A">
              <w:t>0</w:t>
            </w:r>
          </w:p>
        </w:tc>
        <w:tc>
          <w:tcPr>
            <w:tcW w:w="1189" w:type="dxa"/>
          </w:tcPr>
          <w:p w:rsidR="00582BD7" w:rsidRPr="0033617F" w:rsidRDefault="00582BD7" w:rsidP="00582BD7">
            <w:pPr>
              <w:jc w:val="center"/>
            </w:pPr>
            <w:r w:rsidRPr="00317B6A">
              <w:t>0</w:t>
            </w:r>
          </w:p>
        </w:tc>
        <w:tc>
          <w:tcPr>
            <w:tcW w:w="1194" w:type="dxa"/>
          </w:tcPr>
          <w:p w:rsidR="00582BD7" w:rsidRPr="0033617F" w:rsidRDefault="00582BD7" w:rsidP="00582BD7">
            <w:pPr>
              <w:jc w:val="center"/>
            </w:pPr>
            <w:r w:rsidRPr="00317B6A">
              <w:t>0</w:t>
            </w:r>
          </w:p>
        </w:tc>
        <w:tc>
          <w:tcPr>
            <w:tcW w:w="1332" w:type="dxa"/>
          </w:tcPr>
          <w:p w:rsidR="00582BD7" w:rsidRPr="0033617F" w:rsidRDefault="00582BD7" w:rsidP="00582BD7">
            <w:pPr>
              <w:jc w:val="center"/>
            </w:pPr>
            <w:r w:rsidRPr="00317B6A">
              <w:t>0</w:t>
            </w:r>
          </w:p>
        </w:tc>
      </w:tr>
      <w:tr w:rsidR="00582BD7" w:rsidRPr="0033617F" w:rsidTr="003D13B0">
        <w:trPr>
          <w:jc w:val="center"/>
        </w:trPr>
        <w:tc>
          <w:tcPr>
            <w:tcW w:w="3397" w:type="dxa"/>
          </w:tcPr>
          <w:p w:rsidR="00582BD7" w:rsidRPr="0033617F" w:rsidRDefault="00582BD7" w:rsidP="00582BD7">
            <w:r w:rsidRPr="0033617F">
              <w:t>5.2. speciālais budžets</w:t>
            </w:r>
          </w:p>
        </w:tc>
        <w:tc>
          <w:tcPr>
            <w:tcW w:w="1554" w:type="dxa"/>
            <w:vMerge/>
            <w:vAlign w:val="center"/>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332" w:type="dxa"/>
          </w:tcPr>
          <w:p w:rsidR="00582BD7" w:rsidRPr="0033617F" w:rsidRDefault="00582BD7" w:rsidP="00582BD7">
            <w:pPr>
              <w:jc w:val="center"/>
            </w:pPr>
          </w:p>
        </w:tc>
      </w:tr>
      <w:tr w:rsidR="00582BD7" w:rsidRPr="0033617F" w:rsidTr="00A90576">
        <w:trPr>
          <w:jc w:val="center"/>
        </w:trPr>
        <w:tc>
          <w:tcPr>
            <w:tcW w:w="3397" w:type="dxa"/>
          </w:tcPr>
          <w:p w:rsidR="00582BD7" w:rsidRPr="0033617F" w:rsidRDefault="00582BD7" w:rsidP="00582BD7">
            <w:r w:rsidRPr="0033617F">
              <w:t xml:space="preserve">5.3. pašvaldību budžets </w:t>
            </w:r>
          </w:p>
        </w:tc>
        <w:tc>
          <w:tcPr>
            <w:tcW w:w="1554" w:type="dxa"/>
            <w:vMerge/>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332" w:type="dxa"/>
          </w:tcPr>
          <w:p w:rsidR="00582BD7" w:rsidRPr="0033617F" w:rsidRDefault="00582BD7" w:rsidP="00582BD7">
            <w:pPr>
              <w:jc w:val="center"/>
            </w:pPr>
          </w:p>
        </w:tc>
      </w:tr>
      <w:tr w:rsidR="007F671D" w:rsidRPr="0033617F" w:rsidTr="003D13B0">
        <w:trPr>
          <w:jc w:val="center"/>
        </w:trPr>
        <w:tc>
          <w:tcPr>
            <w:tcW w:w="3397" w:type="dxa"/>
          </w:tcPr>
          <w:p w:rsidR="007F671D" w:rsidRPr="0033617F" w:rsidRDefault="007F671D" w:rsidP="007F671D">
            <w:r w:rsidRPr="0033617F">
              <w:t>6. Detalizēts ieņēmumu un izdevumu aprēķins (ja nepie</w:t>
            </w:r>
            <w:r w:rsidRPr="0033617F">
              <w:softHyphen/>
              <w:t>ciešams, detalizētu ieņēmumu un izdevumu aprēķinu var pie</w:t>
            </w:r>
            <w:r w:rsidRPr="0033617F">
              <w:softHyphen/>
              <w:t>vienot anotācijas pielikumā):</w:t>
            </w:r>
          </w:p>
        </w:tc>
        <w:tc>
          <w:tcPr>
            <w:tcW w:w="6663" w:type="dxa"/>
            <w:gridSpan w:val="5"/>
            <w:vMerge w:val="restart"/>
            <w:shd w:val="clear" w:color="auto" w:fill="auto"/>
          </w:tcPr>
          <w:p w:rsidR="007F671D" w:rsidRPr="00317B6A" w:rsidRDefault="002E101E" w:rsidP="00BE38FA">
            <w:pPr>
              <w:ind w:right="34"/>
              <w:jc w:val="both"/>
              <w:rPr>
                <w:rFonts w:eastAsia="Times New Roman"/>
                <w:color w:val="000000"/>
              </w:rPr>
            </w:pPr>
            <w:r>
              <w:t>Budžeta ieņēmumi un izdevumi nemainās, tomēr valsts (IZM personā) īpašumā esoš</w:t>
            </w:r>
            <w:r w:rsidR="00BE38FA">
              <w:t>o</w:t>
            </w:r>
            <w:r>
              <w:t xml:space="preserve"> SIA „Sporta centrs „Mežaparks”” </w:t>
            </w:r>
            <w:r w:rsidR="00BE38FA">
              <w:t xml:space="preserve">kapitāla daļu skaits </w:t>
            </w:r>
            <w:r>
              <w:t xml:space="preserve">palielināsies par </w:t>
            </w:r>
            <w:r w:rsidR="00BE38FA">
              <w:t xml:space="preserve">142 daļām (attiecīgi par </w:t>
            </w:r>
            <w:r>
              <w:t xml:space="preserve">142 </w:t>
            </w:r>
            <w:r w:rsidR="00D711A6" w:rsidRPr="005E389B">
              <w:rPr>
                <w:i/>
              </w:rPr>
              <w:t>euro</w:t>
            </w:r>
            <w:r w:rsidR="00BE38FA">
              <w:t>)</w:t>
            </w:r>
            <w:r>
              <w:t>, savukārt valsts (IZM personā) īpašumā esoš</w:t>
            </w:r>
            <w:r w:rsidR="00BE38FA">
              <w:t>o</w:t>
            </w:r>
            <w:r>
              <w:t xml:space="preserve"> SIA „Tenisa centrs „Lielupe”” </w:t>
            </w:r>
            <w:r w:rsidR="00BE38FA">
              <w:t xml:space="preserve">kapitāla daļu skaits </w:t>
            </w:r>
            <w:r>
              <w:t>palielināsies par 141</w:t>
            </w:r>
            <w:r w:rsidR="00BE38FA">
              <w:t xml:space="preserve"> daļām (attiecīgi par 141</w:t>
            </w:r>
            <w:r>
              <w:t xml:space="preserve"> </w:t>
            </w:r>
            <w:r w:rsidR="00D711A6" w:rsidRPr="005E389B">
              <w:rPr>
                <w:i/>
              </w:rPr>
              <w:t>euro</w:t>
            </w:r>
            <w:r w:rsidR="00BE38FA">
              <w:t>)</w:t>
            </w:r>
            <w:r>
              <w:t xml:space="preserve">. Tādejādi kopējais palielinājums ir </w:t>
            </w:r>
            <w:r w:rsidR="00BE38FA">
              <w:t xml:space="preserve">par </w:t>
            </w:r>
            <w:r>
              <w:t xml:space="preserve">283 </w:t>
            </w:r>
            <w:r w:rsidR="00D711A6" w:rsidRPr="005E389B">
              <w:rPr>
                <w:i/>
              </w:rPr>
              <w:t>euro</w:t>
            </w:r>
            <w:r>
              <w:t>.</w:t>
            </w:r>
          </w:p>
        </w:tc>
      </w:tr>
      <w:tr w:rsidR="007F671D" w:rsidRPr="0033617F" w:rsidTr="003D13B0">
        <w:trPr>
          <w:jc w:val="center"/>
        </w:trPr>
        <w:tc>
          <w:tcPr>
            <w:tcW w:w="3397" w:type="dxa"/>
          </w:tcPr>
          <w:p w:rsidR="007F671D" w:rsidRPr="0033617F" w:rsidRDefault="007F671D" w:rsidP="007F671D">
            <w:r w:rsidRPr="0033617F">
              <w:t>6.1. detalizēts ieņēmumu aprēķins</w:t>
            </w:r>
          </w:p>
        </w:tc>
        <w:tc>
          <w:tcPr>
            <w:tcW w:w="6663" w:type="dxa"/>
            <w:gridSpan w:val="5"/>
            <w:vMerge/>
            <w:shd w:val="clear" w:color="auto" w:fill="auto"/>
          </w:tcPr>
          <w:p w:rsidR="007F671D" w:rsidRPr="0033617F" w:rsidRDefault="007F671D" w:rsidP="007F671D">
            <w:pPr>
              <w:rPr>
                <w:b/>
                <w:i/>
              </w:rPr>
            </w:pPr>
          </w:p>
        </w:tc>
      </w:tr>
      <w:tr w:rsidR="007F671D" w:rsidRPr="0033617F" w:rsidTr="003D13B0">
        <w:trPr>
          <w:jc w:val="center"/>
        </w:trPr>
        <w:tc>
          <w:tcPr>
            <w:tcW w:w="3397" w:type="dxa"/>
          </w:tcPr>
          <w:p w:rsidR="007F671D" w:rsidRPr="0033617F" w:rsidRDefault="007F671D" w:rsidP="007F671D">
            <w:r w:rsidRPr="0033617F">
              <w:t>6.2. detalizēts izdevumu aprēķins</w:t>
            </w:r>
          </w:p>
        </w:tc>
        <w:tc>
          <w:tcPr>
            <w:tcW w:w="6663" w:type="dxa"/>
            <w:gridSpan w:val="5"/>
            <w:vMerge/>
            <w:shd w:val="clear" w:color="auto" w:fill="auto"/>
          </w:tcPr>
          <w:p w:rsidR="007F671D" w:rsidRPr="0033617F" w:rsidRDefault="007F671D" w:rsidP="007F671D">
            <w:pPr>
              <w:rPr>
                <w:b/>
                <w:i/>
              </w:rPr>
            </w:pPr>
          </w:p>
        </w:tc>
      </w:tr>
      <w:tr w:rsidR="007F671D" w:rsidRPr="0033617F" w:rsidTr="003D13B0">
        <w:trPr>
          <w:trHeight w:val="399"/>
          <w:jc w:val="center"/>
        </w:trPr>
        <w:tc>
          <w:tcPr>
            <w:tcW w:w="3397" w:type="dxa"/>
          </w:tcPr>
          <w:p w:rsidR="007F671D" w:rsidRPr="0033617F" w:rsidRDefault="007F671D" w:rsidP="007F671D">
            <w:r w:rsidRPr="0033617F">
              <w:t>7. Cita informācija</w:t>
            </w:r>
          </w:p>
        </w:tc>
        <w:tc>
          <w:tcPr>
            <w:tcW w:w="6663" w:type="dxa"/>
            <w:gridSpan w:val="5"/>
            <w:shd w:val="clear" w:color="auto" w:fill="auto"/>
          </w:tcPr>
          <w:p w:rsidR="007F671D" w:rsidRPr="002E101E" w:rsidRDefault="002E101E" w:rsidP="002643AF">
            <w:pPr>
              <w:ind w:right="34"/>
              <w:jc w:val="both"/>
            </w:pPr>
            <w:r>
              <w:t xml:space="preserve">SIA „Sporta centrs „Mežaparks”” 142 kapitāla daļu vērtība ir 142 </w:t>
            </w:r>
            <w:r w:rsidR="00D711A6" w:rsidRPr="005E389B">
              <w:rPr>
                <w:i/>
              </w:rPr>
              <w:t>euro</w:t>
            </w:r>
            <w:r w:rsidR="00D711A6">
              <w:t xml:space="preserve"> </w:t>
            </w:r>
            <w:r>
              <w:t xml:space="preserve">(katras kapitāla daļas nominālvērtība ir 1 </w:t>
            </w:r>
            <w:r w:rsidR="00D711A6" w:rsidRPr="005E389B">
              <w:rPr>
                <w:i/>
              </w:rPr>
              <w:t>euro</w:t>
            </w:r>
            <w:r>
              <w:t xml:space="preserve">), savukārt SIA „Tenisa centrs „Lielupe”” 141 kapitāla daļas vērtība ir 141 </w:t>
            </w:r>
            <w:r w:rsidR="00D711A6" w:rsidRPr="005E389B">
              <w:rPr>
                <w:i/>
              </w:rPr>
              <w:t>euro</w:t>
            </w:r>
            <w:r w:rsidR="00D711A6">
              <w:t xml:space="preserve"> </w:t>
            </w:r>
            <w:r>
              <w:t xml:space="preserve">(katras kapitāla daļas nominālvērtība ir 1 </w:t>
            </w:r>
            <w:r w:rsidR="00D711A6" w:rsidRPr="005E389B">
              <w:rPr>
                <w:i/>
              </w:rPr>
              <w:t>euro</w:t>
            </w:r>
            <w:r>
              <w:t xml:space="preserve">). Tādejādi kopējā LOK dāvinājuma vērtība ir 283 </w:t>
            </w:r>
            <w:r w:rsidR="00D711A6" w:rsidRPr="005E389B">
              <w:rPr>
                <w:i/>
              </w:rPr>
              <w:t>euro</w:t>
            </w:r>
            <w:r>
              <w:t>.</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3B439E">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3B439E">
        <w:tc>
          <w:tcPr>
            <w:tcW w:w="10060" w:type="dxa"/>
            <w:vAlign w:val="center"/>
          </w:tcPr>
          <w:p w:rsidR="00C3572A" w:rsidRPr="00317B6A" w:rsidRDefault="00C3572A" w:rsidP="003B439E">
            <w:pPr>
              <w:pStyle w:val="naisnod"/>
              <w:spacing w:before="0" w:after="0"/>
            </w:pPr>
            <w:r w:rsidRPr="00C3572A">
              <w:t>V. Tiesību akta projekta atbilstība Latvijas Republikas starptautiskajām saistībām</w:t>
            </w:r>
          </w:p>
        </w:tc>
      </w:tr>
      <w:tr w:rsidR="00C3572A" w:rsidRPr="00B24229" w:rsidTr="003B439E">
        <w:trPr>
          <w:trHeight w:val="273"/>
        </w:trPr>
        <w:tc>
          <w:tcPr>
            <w:tcW w:w="10060" w:type="dxa"/>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555D35">
        <w:tc>
          <w:tcPr>
            <w:tcW w:w="10060" w:type="dxa"/>
            <w:tcBorders>
              <w:bottom w:val="single" w:sz="4" w:space="0" w:color="auto"/>
            </w:tcBorders>
            <w:vAlign w:val="center"/>
          </w:tcPr>
          <w:p w:rsidR="00C3572A" w:rsidRPr="00317B6A" w:rsidRDefault="00C3572A" w:rsidP="003B439E">
            <w:pPr>
              <w:pStyle w:val="naisnod"/>
              <w:spacing w:before="0" w:after="0"/>
            </w:pPr>
            <w:r w:rsidRPr="00C3572A">
              <w:lastRenderedPageBreak/>
              <w:t>VI. Sabiedrības līdzdalība un komunikācijas aktivitātes</w:t>
            </w:r>
          </w:p>
        </w:tc>
      </w:tr>
      <w:tr w:rsidR="00C3572A" w:rsidRPr="00B24229"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804"/>
      </w:tblGrid>
      <w:tr w:rsidR="00C3572A" w:rsidRPr="00317B6A" w:rsidTr="003B439E">
        <w:tc>
          <w:tcPr>
            <w:tcW w:w="10060" w:type="dxa"/>
            <w:gridSpan w:val="3"/>
            <w:vAlign w:val="center"/>
          </w:tcPr>
          <w:p w:rsidR="00C3572A" w:rsidRPr="00317B6A" w:rsidRDefault="00C3572A" w:rsidP="003B439E">
            <w:pPr>
              <w:pStyle w:val="naisnod"/>
              <w:spacing w:before="0" w:after="0"/>
            </w:pPr>
            <w:r w:rsidRPr="00C3572A">
              <w:t>VII. Tiesību akta projekta izpildes nodrošināšana un tās ietekme uz institūcijām</w:t>
            </w:r>
          </w:p>
        </w:tc>
      </w:tr>
      <w:tr w:rsidR="00BF5318" w:rsidRPr="00B24229" w:rsidTr="003B439E">
        <w:trPr>
          <w:trHeight w:val="630"/>
        </w:trPr>
        <w:tc>
          <w:tcPr>
            <w:tcW w:w="709" w:type="dxa"/>
          </w:tcPr>
          <w:p w:rsidR="00BF5318" w:rsidRPr="00B24229" w:rsidRDefault="00BF5318" w:rsidP="00BF5318">
            <w:pPr>
              <w:pStyle w:val="naiskr"/>
              <w:spacing w:before="0" w:after="0"/>
              <w:jc w:val="center"/>
            </w:pPr>
            <w:r w:rsidRPr="00B24229">
              <w:t>1.</w:t>
            </w:r>
          </w:p>
        </w:tc>
        <w:tc>
          <w:tcPr>
            <w:tcW w:w="2547" w:type="dxa"/>
          </w:tcPr>
          <w:p w:rsidR="00BF5318" w:rsidRPr="00B24229" w:rsidRDefault="00932A30" w:rsidP="00BF5318">
            <w:pPr>
              <w:pStyle w:val="naiskr"/>
              <w:spacing w:before="0" w:after="0"/>
              <w:ind w:left="141" w:hanging="10"/>
            </w:pPr>
            <w:r w:rsidRPr="00932A30">
              <w:t>Projekta izpildē iesaistītās institūcijas</w:t>
            </w:r>
          </w:p>
        </w:tc>
        <w:tc>
          <w:tcPr>
            <w:tcW w:w="6804" w:type="dxa"/>
          </w:tcPr>
          <w:p w:rsidR="00BF5318" w:rsidRPr="00B24229" w:rsidRDefault="002931C5" w:rsidP="00BF5318">
            <w:pPr>
              <w:ind w:left="141" w:right="127"/>
              <w:jc w:val="both"/>
            </w:pPr>
            <w:r>
              <w:t>IZM.</w:t>
            </w:r>
          </w:p>
        </w:tc>
      </w:tr>
      <w:tr w:rsidR="00932A30" w:rsidRPr="00B24229" w:rsidTr="003B439E">
        <w:trPr>
          <w:trHeight w:val="630"/>
        </w:trPr>
        <w:tc>
          <w:tcPr>
            <w:tcW w:w="709" w:type="dxa"/>
          </w:tcPr>
          <w:p w:rsidR="00932A30" w:rsidRPr="00B24229" w:rsidRDefault="00932A30" w:rsidP="00BF5318">
            <w:pPr>
              <w:pStyle w:val="naiskr"/>
              <w:spacing w:before="0" w:after="0"/>
              <w:jc w:val="center"/>
            </w:pPr>
            <w:r>
              <w:t>2.</w:t>
            </w:r>
          </w:p>
        </w:tc>
        <w:tc>
          <w:tcPr>
            <w:tcW w:w="2547" w:type="dxa"/>
          </w:tcPr>
          <w:p w:rsidR="00932A30" w:rsidRDefault="00932A30" w:rsidP="00BF5318">
            <w:pPr>
              <w:pStyle w:val="naiskr"/>
              <w:spacing w:before="0" w:after="0"/>
              <w:ind w:left="141" w:hanging="10"/>
            </w:pPr>
            <w:r w:rsidRPr="00932A30">
              <w:t>Projekta izpildes ietekme uz pārvaldes funkci</w:t>
            </w:r>
            <w:r>
              <w:t>jām un institucionālo struktūru.</w:t>
            </w:r>
          </w:p>
          <w:p w:rsidR="00932A30" w:rsidRDefault="00932A30" w:rsidP="00BF5318">
            <w:pPr>
              <w:pStyle w:val="naiskr"/>
              <w:spacing w:before="0" w:after="0"/>
              <w:ind w:left="141" w:hanging="10"/>
            </w:pPr>
          </w:p>
          <w:p w:rsidR="00932A30" w:rsidRPr="00932A30" w:rsidRDefault="00932A30" w:rsidP="00BF5318">
            <w:pPr>
              <w:pStyle w:val="naiskr"/>
              <w:spacing w:before="0" w:after="0"/>
              <w:ind w:left="141" w:hanging="10"/>
            </w:pPr>
            <w:r w:rsidRPr="00932A30">
              <w:t>Jaunu institūciju izveide, esošu institūciju likvidācija vai reorganizācija, to ietekme uz institūcijas cilvēkresursiem</w:t>
            </w:r>
          </w:p>
        </w:tc>
        <w:tc>
          <w:tcPr>
            <w:tcW w:w="6804" w:type="dxa"/>
          </w:tcPr>
          <w:p w:rsidR="00B30487" w:rsidRDefault="00B30487" w:rsidP="00BF5318">
            <w:pPr>
              <w:ind w:left="141" w:right="127"/>
              <w:jc w:val="both"/>
            </w:pPr>
            <w:r>
              <w:t>Ministru kabineta rīkojuma projekta izpilde neietekmē pārvaldes funkcijas un institucionālo struktūru, jo IZM jau šobrīd ir valstij piederošo SIA „Sporta centrs „Mežaparks”” un SIA „Tenisa centrs „Lielupe”” kapitāla daļu turētāja.</w:t>
            </w:r>
          </w:p>
          <w:p w:rsidR="00B30487" w:rsidRDefault="00B30487" w:rsidP="00BF5318">
            <w:pPr>
              <w:ind w:left="141" w:right="127"/>
              <w:jc w:val="both"/>
            </w:pPr>
          </w:p>
          <w:p w:rsidR="007E529F" w:rsidRPr="00932A30" w:rsidRDefault="007E529F" w:rsidP="001E6812">
            <w:pPr>
              <w:ind w:left="141" w:right="127"/>
              <w:jc w:val="both"/>
            </w:pPr>
            <w:r>
              <w:t>Atbilstoši Ministru kabineta r</w:t>
            </w:r>
            <w:r w:rsidR="00B30487">
              <w:t>īkojuma projekta 3.</w:t>
            </w:r>
            <w:r w:rsidR="00D632B6">
              <w:t>punktā</w:t>
            </w:r>
            <w:r w:rsidR="00A856C2">
              <w:t xml:space="preserve"> noteiktam </w:t>
            </w:r>
            <w:r w:rsidR="00B30487">
              <w:t xml:space="preserve">IZM </w:t>
            </w:r>
            <w:r w:rsidR="00D2673D">
              <w:t>normatīvajos aktos noteiktajā kārtībā nodrošinās</w:t>
            </w:r>
            <w:bookmarkStart w:id="3" w:name="_GoBack"/>
            <w:bookmarkEnd w:id="3"/>
            <w:r w:rsidR="00D2673D">
              <w:t xml:space="preserve"> dāvinājumā saņemto kapitāla daļu reģistrēšanu uz valsts vārda.</w:t>
            </w:r>
          </w:p>
        </w:tc>
      </w:tr>
      <w:tr w:rsidR="00932A30" w:rsidRPr="00B24229" w:rsidTr="003B439E">
        <w:trPr>
          <w:trHeight w:val="630"/>
        </w:trPr>
        <w:tc>
          <w:tcPr>
            <w:tcW w:w="709" w:type="dxa"/>
          </w:tcPr>
          <w:p w:rsidR="00932A30" w:rsidRPr="00B24229" w:rsidRDefault="00932A30" w:rsidP="00BF5318">
            <w:pPr>
              <w:pStyle w:val="naiskr"/>
              <w:spacing w:before="0" w:after="0"/>
              <w:jc w:val="center"/>
            </w:pPr>
            <w:r>
              <w:t>3.</w:t>
            </w:r>
          </w:p>
        </w:tc>
        <w:tc>
          <w:tcPr>
            <w:tcW w:w="2547" w:type="dxa"/>
          </w:tcPr>
          <w:p w:rsidR="00932A30" w:rsidRPr="00932A30" w:rsidRDefault="00932A30" w:rsidP="00BF5318">
            <w:pPr>
              <w:pStyle w:val="naiskr"/>
              <w:spacing w:before="0" w:after="0"/>
              <w:ind w:left="141" w:hanging="10"/>
            </w:pPr>
            <w:r w:rsidRPr="00932A30">
              <w:t>Cita informācija</w:t>
            </w:r>
          </w:p>
        </w:tc>
        <w:tc>
          <w:tcPr>
            <w:tcW w:w="6804" w:type="dxa"/>
          </w:tcPr>
          <w:p w:rsidR="00932A30" w:rsidRPr="00932A30" w:rsidRDefault="00D2673D" w:rsidP="00932A30">
            <w:pPr>
              <w:ind w:left="141" w:right="127"/>
              <w:jc w:val="both"/>
            </w:pPr>
            <w:r>
              <w:t>Nav.</w:t>
            </w:r>
          </w:p>
        </w:tc>
      </w:tr>
    </w:tbl>
    <w:p w:rsidR="00932A30" w:rsidRDefault="00932A30" w:rsidP="00C7220E">
      <w:pPr>
        <w:pStyle w:val="BodyText2"/>
        <w:spacing w:after="0" w:line="240" w:lineRule="auto"/>
        <w:ind w:firstLine="720"/>
        <w:jc w:val="both"/>
      </w:pPr>
    </w:p>
    <w:p w:rsidR="00932A30" w:rsidRDefault="00932A30"/>
    <w:p w:rsidR="00932A30" w:rsidRDefault="00932A30"/>
    <w:p w:rsidR="00617D7A" w:rsidRPr="0008616C" w:rsidRDefault="00481F9B" w:rsidP="00C7220E">
      <w:pPr>
        <w:pStyle w:val="BodyText2"/>
        <w:spacing w:after="0" w:line="240" w:lineRule="auto"/>
        <w:ind w:firstLine="720"/>
        <w:jc w:val="both"/>
      </w:pPr>
      <w:r w:rsidRPr="0008616C">
        <w:t>I</w:t>
      </w:r>
      <w:r w:rsidR="008F245F" w:rsidRPr="0008616C">
        <w:t>zglītības un zinātnes ministr</w:t>
      </w:r>
      <w:r w:rsidR="00044C6E" w:rsidRPr="0008616C">
        <w:t>s</w:t>
      </w:r>
      <w:r w:rsidRPr="0008616C">
        <w:tab/>
      </w:r>
      <w:r w:rsidRPr="0008616C">
        <w:tab/>
      </w:r>
      <w:r w:rsidRPr="0008616C">
        <w:tab/>
      </w:r>
      <w:r w:rsidRPr="0008616C">
        <w:tab/>
      </w:r>
      <w:r w:rsidRPr="0008616C">
        <w:tab/>
      </w:r>
      <w:r w:rsidR="00044C6E" w:rsidRPr="0008616C">
        <w:t>Kārlis Šadurskis</w:t>
      </w:r>
    </w:p>
    <w:p w:rsidR="00585B7B" w:rsidRPr="0008616C" w:rsidRDefault="00585B7B" w:rsidP="00D96FCD"/>
    <w:p w:rsidR="00E94769" w:rsidRPr="0008616C" w:rsidRDefault="00E94769" w:rsidP="00D96FCD"/>
    <w:p w:rsidR="00C72B99" w:rsidRPr="0008616C" w:rsidRDefault="00C72B99" w:rsidP="00C72B99">
      <w:pPr>
        <w:ind w:firstLine="720"/>
        <w:jc w:val="both"/>
      </w:pPr>
      <w:r w:rsidRPr="0008616C">
        <w:t>Vizē:</w:t>
      </w:r>
    </w:p>
    <w:p w:rsidR="00C451CB" w:rsidRPr="0008616C" w:rsidRDefault="00C72B99" w:rsidP="0014095C">
      <w:pPr>
        <w:ind w:firstLine="720"/>
        <w:jc w:val="both"/>
      </w:pPr>
      <w:r w:rsidRPr="0008616C">
        <w:t>Valsts sekretār</w:t>
      </w:r>
      <w:r w:rsidR="0014095C" w:rsidRPr="0008616C">
        <w:t>e</w:t>
      </w:r>
      <w:r w:rsidR="0014095C" w:rsidRPr="0008616C">
        <w:tab/>
      </w:r>
      <w:r w:rsidR="0014095C" w:rsidRPr="0008616C">
        <w:tab/>
      </w:r>
      <w:r w:rsidR="0014095C" w:rsidRPr="0008616C">
        <w:tab/>
      </w:r>
      <w:r w:rsidRPr="0008616C">
        <w:t xml:space="preserve"> </w:t>
      </w:r>
      <w:r w:rsidRPr="0008616C">
        <w:tab/>
      </w:r>
      <w:r w:rsidRPr="0008616C">
        <w:tab/>
      </w:r>
      <w:r w:rsidRPr="0008616C">
        <w:tab/>
      </w:r>
      <w:r w:rsidR="0014095C" w:rsidRPr="0008616C">
        <w:t>Līga Lejiņa</w:t>
      </w:r>
    </w:p>
    <w:p w:rsidR="00D60813" w:rsidRDefault="00D60813" w:rsidP="00D96FCD">
      <w:pPr>
        <w:jc w:val="both"/>
        <w:rPr>
          <w:sz w:val="22"/>
          <w:szCs w:val="22"/>
        </w:rPr>
      </w:pPr>
    </w:p>
    <w:p w:rsidR="00886427" w:rsidRDefault="00886427" w:rsidP="00E244D0">
      <w:pPr>
        <w:ind w:left="720"/>
      </w:pPr>
    </w:p>
    <w:p w:rsidR="0084316D" w:rsidRDefault="0084316D" w:rsidP="00E244D0">
      <w:pPr>
        <w:ind w:left="720"/>
      </w:pPr>
    </w:p>
    <w:p w:rsidR="0084316D" w:rsidRDefault="0084316D" w:rsidP="00E244D0">
      <w:pPr>
        <w:ind w:left="720"/>
      </w:pPr>
    </w:p>
    <w:p w:rsidR="0084316D" w:rsidRDefault="0084316D" w:rsidP="00E244D0">
      <w:pPr>
        <w:ind w:left="720"/>
      </w:pPr>
    </w:p>
    <w:p w:rsidR="0084316D" w:rsidRDefault="0084316D" w:rsidP="00E244D0">
      <w:pPr>
        <w:ind w:left="720"/>
      </w:pPr>
    </w:p>
    <w:p w:rsidR="0084316D" w:rsidRDefault="0084316D" w:rsidP="00E244D0">
      <w:pPr>
        <w:ind w:left="720"/>
      </w:pPr>
    </w:p>
    <w:p w:rsidR="0084316D" w:rsidRDefault="0084316D" w:rsidP="00E244D0">
      <w:pPr>
        <w:ind w:left="720"/>
      </w:pPr>
    </w:p>
    <w:p w:rsidR="00104AAB" w:rsidRDefault="00104AAB" w:rsidP="00E244D0">
      <w:pPr>
        <w:ind w:left="720"/>
      </w:pPr>
    </w:p>
    <w:p w:rsidR="0084316D" w:rsidRDefault="0084316D" w:rsidP="00E244D0">
      <w:pPr>
        <w:ind w:left="720"/>
      </w:pPr>
    </w:p>
    <w:p w:rsidR="00E244D0" w:rsidRPr="002D62A9" w:rsidRDefault="002B673A" w:rsidP="00E244D0">
      <w:pPr>
        <w:ind w:left="720"/>
        <w:rPr>
          <w:sz w:val="22"/>
          <w:szCs w:val="22"/>
        </w:rPr>
      </w:pPr>
      <w:r>
        <w:rPr>
          <w:sz w:val="22"/>
          <w:szCs w:val="22"/>
        </w:rPr>
        <w:t>0</w:t>
      </w:r>
      <w:r w:rsidR="0084316D">
        <w:rPr>
          <w:sz w:val="22"/>
          <w:szCs w:val="22"/>
        </w:rPr>
        <w:t>5</w:t>
      </w:r>
      <w:r w:rsidR="00044C6E">
        <w:rPr>
          <w:sz w:val="22"/>
          <w:szCs w:val="22"/>
        </w:rPr>
        <w:t>.</w:t>
      </w:r>
      <w:r>
        <w:rPr>
          <w:sz w:val="22"/>
          <w:szCs w:val="22"/>
        </w:rPr>
        <w:t>10</w:t>
      </w:r>
      <w:r w:rsidR="00044C6E">
        <w:rPr>
          <w:sz w:val="22"/>
          <w:szCs w:val="22"/>
        </w:rPr>
        <w:t>.</w:t>
      </w:r>
      <w:r w:rsidR="00E244D0" w:rsidRPr="002D62A9">
        <w:rPr>
          <w:sz w:val="22"/>
          <w:szCs w:val="22"/>
        </w:rPr>
        <w:t>201</w:t>
      </w:r>
      <w:r w:rsidR="00044C6E">
        <w:rPr>
          <w:sz w:val="22"/>
          <w:szCs w:val="22"/>
        </w:rPr>
        <w:t>7</w:t>
      </w:r>
      <w:r w:rsidR="00E244D0" w:rsidRPr="002D62A9">
        <w:rPr>
          <w:sz w:val="22"/>
          <w:szCs w:val="22"/>
        </w:rPr>
        <w:t xml:space="preserve">. </w:t>
      </w:r>
      <w:r w:rsidR="00A856C2">
        <w:rPr>
          <w:sz w:val="22"/>
          <w:szCs w:val="22"/>
        </w:rPr>
        <w:t>1</w:t>
      </w:r>
      <w:r w:rsidR="00DA1832">
        <w:rPr>
          <w:sz w:val="22"/>
          <w:szCs w:val="22"/>
        </w:rPr>
        <w:t>5</w:t>
      </w:r>
      <w:r w:rsidR="00E244D0" w:rsidRPr="002D62A9">
        <w:rPr>
          <w:sz w:val="22"/>
          <w:szCs w:val="22"/>
        </w:rPr>
        <w:t>:</w:t>
      </w:r>
      <w:r w:rsidR="00DA1832">
        <w:rPr>
          <w:sz w:val="22"/>
          <w:szCs w:val="22"/>
        </w:rPr>
        <w:t>25</w:t>
      </w:r>
    </w:p>
    <w:p w:rsidR="0046135E" w:rsidRDefault="00F13592" w:rsidP="00E244D0">
      <w:pPr>
        <w:ind w:left="720"/>
        <w:rPr>
          <w:sz w:val="22"/>
          <w:szCs w:val="22"/>
        </w:rPr>
      </w:pPr>
      <w:r>
        <w:rPr>
          <w:sz w:val="22"/>
          <w:szCs w:val="22"/>
        </w:rPr>
        <w:t>2</w:t>
      </w:r>
      <w:r w:rsidR="00A856C2">
        <w:rPr>
          <w:sz w:val="22"/>
          <w:szCs w:val="22"/>
        </w:rPr>
        <w:t>353</w:t>
      </w:r>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Sporta departamenta direktor</w:t>
      </w:r>
      <w:r w:rsidR="00044C6E">
        <w:rPr>
          <w:sz w:val="22"/>
          <w:szCs w:val="22"/>
        </w:rPr>
        <w:t>s</w:t>
      </w:r>
      <w:r w:rsidRPr="002D62A9">
        <w:rPr>
          <w:sz w:val="22"/>
          <w:szCs w:val="22"/>
        </w:rPr>
        <w:t xml:space="preserve"> E.Severs</w:t>
      </w:r>
    </w:p>
    <w:p w:rsidR="00763103" w:rsidRPr="002D62A9" w:rsidRDefault="00E244D0" w:rsidP="00E244D0">
      <w:pPr>
        <w:ind w:left="720"/>
        <w:rPr>
          <w:sz w:val="22"/>
          <w:szCs w:val="22"/>
        </w:rPr>
      </w:pPr>
      <w:r w:rsidRPr="002D62A9">
        <w:rPr>
          <w:sz w:val="22"/>
          <w:szCs w:val="22"/>
        </w:rPr>
        <w:t>67047935, edgars.severs@izm.gov.lv</w:t>
      </w:r>
    </w:p>
    <w:sectPr w:rsidR="00763103" w:rsidRPr="002D62A9" w:rsidSect="00E94769">
      <w:headerReference w:type="default" r:id="rId8"/>
      <w:footerReference w:type="default" r:id="rId9"/>
      <w:footerReference w:type="first" r:id="rId10"/>
      <w:pgSz w:w="11906" w:h="16838" w:code="9"/>
      <w:pgMar w:top="1219" w:right="1134" w:bottom="1134" w:left="1701" w:header="709"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F3" w:rsidRDefault="00D966F3" w:rsidP="00123E9B">
      <w:r>
        <w:separator/>
      </w:r>
    </w:p>
  </w:endnote>
  <w:endnote w:type="continuationSeparator" w:id="0">
    <w:p w:rsidR="00D966F3" w:rsidRDefault="00D966F3"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2643AF" w:rsidRDefault="002643AF" w:rsidP="002643AF">
    <w:pPr>
      <w:ind w:left="-567" w:right="-568"/>
      <w:jc w:val="both"/>
    </w:pPr>
    <w:r>
      <w:rPr>
        <w:sz w:val="22"/>
        <w:szCs w:val="22"/>
      </w:rPr>
      <w:t>IZMAnot_</w:t>
    </w:r>
    <w:r w:rsidR="002B673A">
      <w:rPr>
        <w:sz w:val="22"/>
        <w:szCs w:val="22"/>
      </w:rPr>
      <w:t>0</w:t>
    </w:r>
    <w:r w:rsidR="0084316D">
      <w:rPr>
        <w:sz w:val="22"/>
        <w:szCs w:val="22"/>
      </w:rPr>
      <w:t>5</w:t>
    </w:r>
    <w:r w:rsidR="002B673A">
      <w:rPr>
        <w:sz w:val="22"/>
        <w:szCs w:val="22"/>
      </w:rPr>
      <w:t>10</w:t>
    </w:r>
    <w:r>
      <w:rPr>
        <w:sz w:val="22"/>
        <w:szCs w:val="22"/>
      </w:rPr>
      <w:t>17_sports;</w:t>
    </w:r>
    <w:r w:rsidRPr="004816F6">
      <w:rPr>
        <w:sz w:val="22"/>
        <w:szCs w:val="22"/>
      </w:rPr>
      <w:t xml:space="preserve"> </w:t>
    </w:r>
    <w:r w:rsidRPr="007F671D">
      <w:rPr>
        <w:sz w:val="22"/>
        <w:szCs w:val="22"/>
      </w:rPr>
      <w:t>Ministru kabineta rīkojuma projekta „</w:t>
    </w:r>
    <w:r w:rsidRPr="002643AF">
      <w:rPr>
        <w:sz w:val="22"/>
        <w:szCs w:val="22"/>
      </w:rPr>
      <w:t>Par dāvinājuma pieņemšanu</w:t>
    </w:r>
    <w:r w:rsidRPr="007F671D">
      <w:rPr>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4816F6" w:rsidRDefault="00FF6A6E" w:rsidP="001A51C5">
    <w:pPr>
      <w:ind w:left="-567" w:right="-568"/>
      <w:jc w:val="both"/>
      <w:rPr>
        <w:sz w:val="22"/>
        <w:szCs w:val="22"/>
      </w:rPr>
    </w:pPr>
    <w:r>
      <w:rPr>
        <w:sz w:val="22"/>
        <w:szCs w:val="22"/>
      </w:rPr>
      <w:t>IZMAnot_</w:t>
    </w:r>
    <w:r w:rsidR="002B673A">
      <w:rPr>
        <w:sz w:val="22"/>
        <w:szCs w:val="22"/>
      </w:rPr>
      <w:t>0</w:t>
    </w:r>
    <w:r w:rsidR="0084316D">
      <w:rPr>
        <w:sz w:val="22"/>
        <w:szCs w:val="22"/>
      </w:rPr>
      <w:t>5</w:t>
    </w:r>
    <w:r w:rsidR="002B673A">
      <w:rPr>
        <w:sz w:val="22"/>
        <w:szCs w:val="22"/>
      </w:rPr>
      <w:t>10</w:t>
    </w:r>
    <w:r w:rsidR="002643AF">
      <w:rPr>
        <w:sz w:val="22"/>
        <w:szCs w:val="22"/>
      </w:rPr>
      <w:t>17</w:t>
    </w:r>
    <w:r>
      <w:rPr>
        <w:sz w:val="22"/>
        <w:szCs w:val="22"/>
      </w:rPr>
      <w:t>_</w:t>
    </w:r>
    <w:r w:rsidR="00E82EFE">
      <w:rPr>
        <w:sz w:val="22"/>
        <w:szCs w:val="22"/>
      </w:rPr>
      <w:t>sports</w:t>
    </w:r>
    <w:r>
      <w:rPr>
        <w:sz w:val="22"/>
        <w:szCs w:val="22"/>
      </w:rPr>
      <w:t>;</w:t>
    </w:r>
    <w:r w:rsidRPr="004816F6">
      <w:rPr>
        <w:sz w:val="22"/>
        <w:szCs w:val="22"/>
      </w:rPr>
      <w:t xml:space="preserve"> </w:t>
    </w:r>
    <w:r w:rsidR="007F671D" w:rsidRPr="007F671D">
      <w:rPr>
        <w:sz w:val="22"/>
        <w:szCs w:val="22"/>
      </w:rPr>
      <w:t>Ministru kabineta rīkojuma projekta „</w:t>
    </w:r>
    <w:r w:rsidR="002643AF" w:rsidRPr="002643AF">
      <w:rPr>
        <w:sz w:val="22"/>
        <w:szCs w:val="22"/>
      </w:rPr>
      <w:t>Par dāvinājuma pieņemšanu</w:t>
    </w:r>
    <w:r w:rsidR="007F671D" w:rsidRPr="007F671D">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F3" w:rsidRDefault="00D966F3" w:rsidP="00123E9B">
      <w:r>
        <w:separator/>
      </w:r>
    </w:p>
  </w:footnote>
  <w:footnote w:type="continuationSeparator" w:id="0">
    <w:p w:rsidR="00D966F3" w:rsidRDefault="00D966F3" w:rsidP="00123E9B">
      <w:r>
        <w:continuationSeparator/>
      </w:r>
    </w:p>
  </w:footnote>
  <w:footnote w:id="1">
    <w:p w:rsidR="00150ACB" w:rsidRDefault="00150ACB" w:rsidP="00150ACB">
      <w:pPr>
        <w:pStyle w:val="FootnoteText"/>
        <w:jc w:val="both"/>
      </w:pPr>
      <w:r>
        <w:rPr>
          <w:rStyle w:val="FootnoteReference"/>
        </w:rPr>
        <w:footnoteRef/>
      </w:r>
      <w:r>
        <w:t xml:space="preserve"> Saskaņā ar Ministru kabineta 2003.gada 16.septembra noteikumu Nr.528 „Izglītības un zinātnes ministrijas nolikums” 25.7.apakšpunktu IZM ir </w:t>
      </w:r>
      <w:r w:rsidRPr="00150ACB">
        <w:t>valsts kapitāla daļu turētāja</w:t>
      </w:r>
      <w:r>
        <w:t xml:space="preserve"> SIA „Sporta centrs „Mežaparks””.</w:t>
      </w:r>
    </w:p>
  </w:footnote>
  <w:footnote w:id="2">
    <w:p w:rsidR="00150ACB" w:rsidRDefault="00150ACB" w:rsidP="00150ACB">
      <w:pPr>
        <w:pStyle w:val="FootnoteText"/>
        <w:jc w:val="both"/>
      </w:pPr>
      <w:r>
        <w:rPr>
          <w:rStyle w:val="FootnoteReference"/>
        </w:rPr>
        <w:footnoteRef/>
      </w:r>
      <w:r>
        <w:t xml:space="preserve"> Saskaņā ar Ministru kabineta 2003.gada 16.septembra noteikumu Nr.528 „Izglītības un zinātnes ministrijas nolikums” 25.8.apakšpunktu IZM ir </w:t>
      </w:r>
      <w:r w:rsidRPr="00150ACB">
        <w:t>valsts kapitāla daļu turētāja</w:t>
      </w:r>
      <w:r>
        <w:t xml:space="preserve"> SIA „Tenisa centrs „Lielupe””.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Default="00FF6A6E">
    <w:pPr>
      <w:pStyle w:val="Header"/>
      <w:jc w:val="center"/>
    </w:pPr>
    <w:r>
      <w:fldChar w:fldCharType="begin"/>
    </w:r>
    <w:r>
      <w:instrText xml:space="preserve"> PAGE   \* MERGEFORMAT </w:instrText>
    </w:r>
    <w:r>
      <w:fldChar w:fldCharType="separate"/>
    </w:r>
    <w:r w:rsidR="001E6812">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9">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3">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7">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8">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9">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1">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3">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6">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28">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1">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2"/>
  </w:num>
  <w:num w:numId="2">
    <w:abstractNumId w:val="24"/>
  </w:num>
  <w:num w:numId="3">
    <w:abstractNumId w:val="23"/>
  </w:num>
  <w:num w:numId="4">
    <w:abstractNumId w:val="29"/>
  </w:num>
  <w:num w:numId="5">
    <w:abstractNumId w:val="20"/>
  </w:num>
  <w:num w:numId="6">
    <w:abstractNumId w:val="22"/>
  </w:num>
  <w:num w:numId="7">
    <w:abstractNumId w:val="4"/>
  </w:num>
  <w:num w:numId="8">
    <w:abstractNumId w:val="1"/>
  </w:num>
  <w:num w:numId="9">
    <w:abstractNumId w:val="11"/>
  </w:num>
  <w:num w:numId="10">
    <w:abstractNumId w:val="31"/>
  </w:num>
  <w:num w:numId="11">
    <w:abstractNumId w:val="27"/>
  </w:num>
  <w:num w:numId="12">
    <w:abstractNumId w:val="7"/>
  </w:num>
  <w:num w:numId="13">
    <w:abstractNumId w:val="2"/>
  </w:num>
  <w:num w:numId="14">
    <w:abstractNumId w:val="3"/>
  </w:num>
  <w:num w:numId="15">
    <w:abstractNumId w:val="26"/>
  </w:num>
  <w:num w:numId="16">
    <w:abstractNumId w:val="32"/>
  </w:num>
  <w:num w:numId="17">
    <w:abstractNumId w:val="14"/>
  </w:num>
  <w:num w:numId="18">
    <w:abstractNumId w:val="15"/>
  </w:num>
  <w:num w:numId="19">
    <w:abstractNumId w:val="13"/>
  </w:num>
  <w:num w:numId="20">
    <w:abstractNumId w:val="8"/>
  </w:num>
  <w:num w:numId="21">
    <w:abstractNumId w:val="18"/>
  </w:num>
  <w:num w:numId="22">
    <w:abstractNumId w:val="30"/>
  </w:num>
  <w:num w:numId="23">
    <w:abstractNumId w:val="17"/>
  </w:num>
  <w:num w:numId="24">
    <w:abstractNumId w:val="0"/>
  </w:num>
  <w:num w:numId="25">
    <w:abstractNumId w:val="19"/>
  </w:num>
  <w:num w:numId="26">
    <w:abstractNumId w:val="10"/>
  </w:num>
  <w:num w:numId="27">
    <w:abstractNumId w:val="25"/>
  </w:num>
  <w:num w:numId="28">
    <w:abstractNumId w:val="16"/>
  </w:num>
  <w:num w:numId="29">
    <w:abstractNumId w:val="6"/>
  </w:num>
  <w:num w:numId="30">
    <w:abstractNumId w:val="28"/>
  </w:num>
  <w:num w:numId="31">
    <w:abstractNumId w:val="5"/>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3BAA"/>
    <w:rsid w:val="00014BD0"/>
    <w:rsid w:val="00020664"/>
    <w:rsid w:val="000216EC"/>
    <w:rsid w:val="0002179F"/>
    <w:rsid w:val="000219F0"/>
    <w:rsid w:val="00024A0F"/>
    <w:rsid w:val="00027332"/>
    <w:rsid w:val="00027346"/>
    <w:rsid w:val="0003044F"/>
    <w:rsid w:val="00033013"/>
    <w:rsid w:val="0003466E"/>
    <w:rsid w:val="000347B3"/>
    <w:rsid w:val="00034AA4"/>
    <w:rsid w:val="0003571A"/>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B8C"/>
    <w:rsid w:val="00074BDD"/>
    <w:rsid w:val="00076F56"/>
    <w:rsid w:val="000777A0"/>
    <w:rsid w:val="000777F6"/>
    <w:rsid w:val="00080116"/>
    <w:rsid w:val="00080CC1"/>
    <w:rsid w:val="00081477"/>
    <w:rsid w:val="00081CEB"/>
    <w:rsid w:val="00082C6B"/>
    <w:rsid w:val="00082FC2"/>
    <w:rsid w:val="000849C2"/>
    <w:rsid w:val="00084C38"/>
    <w:rsid w:val="0008599C"/>
    <w:rsid w:val="0008616C"/>
    <w:rsid w:val="00090BFF"/>
    <w:rsid w:val="000912B2"/>
    <w:rsid w:val="0009162F"/>
    <w:rsid w:val="00091E26"/>
    <w:rsid w:val="000934D5"/>
    <w:rsid w:val="00093AA7"/>
    <w:rsid w:val="00094F13"/>
    <w:rsid w:val="00095EBB"/>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E058D"/>
    <w:rsid w:val="000E0815"/>
    <w:rsid w:val="000E2489"/>
    <w:rsid w:val="000E3B94"/>
    <w:rsid w:val="000E4A2A"/>
    <w:rsid w:val="000E4A57"/>
    <w:rsid w:val="000E5FDF"/>
    <w:rsid w:val="000E6027"/>
    <w:rsid w:val="000F1AC0"/>
    <w:rsid w:val="000F3777"/>
    <w:rsid w:val="000F3894"/>
    <w:rsid w:val="0010198A"/>
    <w:rsid w:val="00101C45"/>
    <w:rsid w:val="00102CE1"/>
    <w:rsid w:val="00103760"/>
    <w:rsid w:val="00103A3D"/>
    <w:rsid w:val="00104AAB"/>
    <w:rsid w:val="00106424"/>
    <w:rsid w:val="001106D1"/>
    <w:rsid w:val="00111433"/>
    <w:rsid w:val="00111709"/>
    <w:rsid w:val="00111B15"/>
    <w:rsid w:val="00112C20"/>
    <w:rsid w:val="00113514"/>
    <w:rsid w:val="00114C20"/>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261"/>
    <w:rsid w:val="0016142A"/>
    <w:rsid w:val="00162670"/>
    <w:rsid w:val="00166975"/>
    <w:rsid w:val="001673FC"/>
    <w:rsid w:val="00171458"/>
    <w:rsid w:val="00171B42"/>
    <w:rsid w:val="00172A25"/>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3178"/>
    <w:rsid w:val="00194724"/>
    <w:rsid w:val="00194A0F"/>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548E"/>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D0913"/>
    <w:rsid w:val="001D0F7F"/>
    <w:rsid w:val="001D17EA"/>
    <w:rsid w:val="001D1F6A"/>
    <w:rsid w:val="001D2466"/>
    <w:rsid w:val="001D2E9F"/>
    <w:rsid w:val="001D3147"/>
    <w:rsid w:val="001D4A15"/>
    <w:rsid w:val="001D789D"/>
    <w:rsid w:val="001D7C74"/>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615"/>
    <w:rsid w:val="00225D5E"/>
    <w:rsid w:val="0022719E"/>
    <w:rsid w:val="00227D34"/>
    <w:rsid w:val="00227FE8"/>
    <w:rsid w:val="00231984"/>
    <w:rsid w:val="00232B87"/>
    <w:rsid w:val="002339F0"/>
    <w:rsid w:val="00233FDE"/>
    <w:rsid w:val="00235CA0"/>
    <w:rsid w:val="00237289"/>
    <w:rsid w:val="00237D13"/>
    <w:rsid w:val="00241061"/>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37C0"/>
    <w:rsid w:val="002643AF"/>
    <w:rsid w:val="00266356"/>
    <w:rsid w:val="00267302"/>
    <w:rsid w:val="00270408"/>
    <w:rsid w:val="00270E39"/>
    <w:rsid w:val="00272248"/>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4F98"/>
    <w:rsid w:val="002D50D6"/>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3C73"/>
    <w:rsid w:val="002F4062"/>
    <w:rsid w:val="002F4472"/>
    <w:rsid w:val="002F46E7"/>
    <w:rsid w:val="002F5953"/>
    <w:rsid w:val="002F5EAC"/>
    <w:rsid w:val="002F6EEF"/>
    <w:rsid w:val="002F72C0"/>
    <w:rsid w:val="003014C2"/>
    <w:rsid w:val="003028DB"/>
    <w:rsid w:val="00304D49"/>
    <w:rsid w:val="00304F7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6BE0"/>
    <w:rsid w:val="003478B4"/>
    <w:rsid w:val="00350D8D"/>
    <w:rsid w:val="00351AA0"/>
    <w:rsid w:val="00352F47"/>
    <w:rsid w:val="00353516"/>
    <w:rsid w:val="0035445A"/>
    <w:rsid w:val="0035463A"/>
    <w:rsid w:val="00357A2C"/>
    <w:rsid w:val="003608F0"/>
    <w:rsid w:val="00360B68"/>
    <w:rsid w:val="003620CD"/>
    <w:rsid w:val="00363F09"/>
    <w:rsid w:val="00364A83"/>
    <w:rsid w:val="00367957"/>
    <w:rsid w:val="003705EF"/>
    <w:rsid w:val="003710C1"/>
    <w:rsid w:val="003719EC"/>
    <w:rsid w:val="00376CEF"/>
    <w:rsid w:val="003770AC"/>
    <w:rsid w:val="003773F8"/>
    <w:rsid w:val="00377A66"/>
    <w:rsid w:val="00381A75"/>
    <w:rsid w:val="00383F46"/>
    <w:rsid w:val="00385BC8"/>
    <w:rsid w:val="00386F10"/>
    <w:rsid w:val="00387612"/>
    <w:rsid w:val="003900A2"/>
    <w:rsid w:val="003905CA"/>
    <w:rsid w:val="003906FF"/>
    <w:rsid w:val="00393529"/>
    <w:rsid w:val="003950EC"/>
    <w:rsid w:val="003972C7"/>
    <w:rsid w:val="00397AA4"/>
    <w:rsid w:val="00397ECE"/>
    <w:rsid w:val="003A0426"/>
    <w:rsid w:val="003A0504"/>
    <w:rsid w:val="003A0974"/>
    <w:rsid w:val="003A0BA4"/>
    <w:rsid w:val="003A193D"/>
    <w:rsid w:val="003A1A94"/>
    <w:rsid w:val="003A30EC"/>
    <w:rsid w:val="003A3EAD"/>
    <w:rsid w:val="003A657F"/>
    <w:rsid w:val="003A6F5B"/>
    <w:rsid w:val="003B05AB"/>
    <w:rsid w:val="003B0922"/>
    <w:rsid w:val="003B0E4C"/>
    <w:rsid w:val="003B1A4F"/>
    <w:rsid w:val="003B2B5A"/>
    <w:rsid w:val="003B4005"/>
    <w:rsid w:val="003B465C"/>
    <w:rsid w:val="003B5F90"/>
    <w:rsid w:val="003B6D50"/>
    <w:rsid w:val="003C0796"/>
    <w:rsid w:val="003C1075"/>
    <w:rsid w:val="003C2496"/>
    <w:rsid w:val="003C691E"/>
    <w:rsid w:val="003D01AF"/>
    <w:rsid w:val="003D4908"/>
    <w:rsid w:val="003D5EAB"/>
    <w:rsid w:val="003D7335"/>
    <w:rsid w:val="003E40B5"/>
    <w:rsid w:val="003E4A67"/>
    <w:rsid w:val="003E4DD8"/>
    <w:rsid w:val="003E6E62"/>
    <w:rsid w:val="003E7DD2"/>
    <w:rsid w:val="003F0BF1"/>
    <w:rsid w:val="003F1F82"/>
    <w:rsid w:val="003F2757"/>
    <w:rsid w:val="003F2A27"/>
    <w:rsid w:val="003F43C8"/>
    <w:rsid w:val="003F45A5"/>
    <w:rsid w:val="003F5CC4"/>
    <w:rsid w:val="003F608E"/>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1191"/>
    <w:rsid w:val="00411B86"/>
    <w:rsid w:val="00411CF0"/>
    <w:rsid w:val="00411F72"/>
    <w:rsid w:val="00412E8E"/>
    <w:rsid w:val="00415D76"/>
    <w:rsid w:val="00415F7B"/>
    <w:rsid w:val="00416FC9"/>
    <w:rsid w:val="00417538"/>
    <w:rsid w:val="004177B4"/>
    <w:rsid w:val="0041793F"/>
    <w:rsid w:val="00420504"/>
    <w:rsid w:val="00423736"/>
    <w:rsid w:val="00424E6F"/>
    <w:rsid w:val="0042540D"/>
    <w:rsid w:val="00425AD7"/>
    <w:rsid w:val="004309AD"/>
    <w:rsid w:val="004310C7"/>
    <w:rsid w:val="004331E9"/>
    <w:rsid w:val="004418F9"/>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508"/>
    <w:rsid w:val="004800CF"/>
    <w:rsid w:val="004804CE"/>
    <w:rsid w:val="004809DF"/>
    <w:rsid w:val="00480A79"/>
    <w:rsid w:val="004816F6"/>
    <w:rsid w:val="00481797"/>
    <w:rsid w:val="00481F9B"/>
    <w:rsid w:val="004821A5"/>
    <w:rsid w:val="00482B4C"/>
    <w:rsid w:val="00482F3D"/>
    <w:rsid w:val="0048376B"/>
    <w:rsid w:val="0048396F"/>
    <w:rsid w:val="00486A8A"/>
    <w:rsid w:val="004925F7"/>
    <w:rsid w:val="004940B7"/>
    <w:rsid w:val="0049673D"/>
    <w:rsid w:val="00496E04"/>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673C"/>
    <w:rsid w:val="004C6E14"/>
    <w:rsid w:val="004C7662"/>
    <w:rsid w:val="004D202D"/>
    <w:rsid w:val="004D35B2"/>
    <w:rsid w:val="004D3922"/>
    <w:rsid w:val="004D40E3"/>
    <w:rsid w:val="004D5BFB"/>
    <w:rsid w:val="004D6A71"/>
    <w:rsid w:val="004D70A2"/>
    <w:rsid w:val="004E0F6A"/>
    <w:rsid w:val="004E12FF"/>
    <w:rsid w:val="004E2747"/>
    <w:rsid w:val="004E3F2E"/>
    <w:rsid w:val="004E4B60"/>
    <w:rsid w:val="004E607D"/>
    <w:rsid w:val="004F04A1"/>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6A1E"/>
    <w:rsid w:val="00506F79"/>
    <w:rsid w:val="0051334F"/>
    <w:rsid w:val="005134ED"/>
    <w:rsid w:val="00513D43"/>
    <w:rsid w:val="00514A59"/>
    <w:rsid w:val="00514C25"/>
    <w:rsid w:val="005161C9"/>
    <w:rsid w:val="00516733"/>
    <w:rsid w:val="0052057F"/>
    <w:rsid w:val="00520B00"/>
    <w:rsid w:val="00520FB5"/>
    <w:rsid w:val="0052372C"/>
    <w:rsid w:val="00524879"/>
    <w:rsid w:val="0052503E"/>
    <w:rsid w:val="00526BBC"/>
    <w:rsid w:val="005303DD"/>
    <w:rsid w:val="005306CD"/>
    <w:rsid w:val="005307BB"/>
    <w:rsid w:val="00530EBE"/>
    <w:rsid w:val="00530ED3"/>
    <w:rsid w:val="0053293C"/>
    <w:rsid w:val="005333E2"/>
    <w:rsid w:val="00533BE9"/>
    <w:rsid w:val="005344F2"/>
    <w:rsid w:val="00534712"/>
    <w:rsid w:val="00535B15"/>
    <w:rsid w:val="005362A9"/>
    <w:rsid w:val="0053795C"/>
    <w:rsid w:val="00540235"/>
    <w:rsid w:val="005418EE"/>
    <w:rsid w:val="0054241F"/>
    <w:rsid w:val="005431CC"/>
    <w:rsid w:val="0054456F"/>
    <w:rsid w:val="005446EE"/>
    <w:rsid w:val="00545639"/>
    <w:rsid w:val="005462AF"/>
    <w:rsid w:val="005511F9"/>
    <w:rsid w:val="00551AA8"/>
    <w:rsid w:val="00552059"/>
    <w:rsid w:val="00554CE1"/>
    <w:rsid w:val="00555D35"/>
    <w:rsid w:val="005562DC"/>
    <w:rsid w:val="005575F5"/>
    <w:rsid w:val="00557E2F"/>
    <w:rsid w:val="00560101"/>
    <w:rsid w:val="005637B7"/>
    <w:rsid w:val="00564A7F"/>
    <w:rsid w:val="005654DC"/>
    <w:rsid w:val="00565777"/>
    <w:rsid w:val="00570755"/>
    <w:rsid w:val="005714B2"/>
    <w:rsid w:val="0057274A"/>
    <w:rsid w:val="00572892"/>
    <w:rsid w:val="00573C60"/>
    <w:rsid w:val="0057494E"/>
    <w:rsid w:val="0057592D"/>
    <w:rsid w:val="005764B1"/>
    <w:rsid w:val="00576BE5"/>
    <w:rsid w:val="00581213"/>
    <w:rsid w:val="00581302"/>
    <w:rsid w:val="00582BD7"/>
    <w:rsid w:val="00583630"/>
    <w:rsid w:val="00585B7B"/>
    <w:rsid w:val="00587C74"/>
    <w:rsid w:val="00590DD0"/>
    <w:rsid w:val="00591268"/>
    <w:rsid w:val="0059354C"/>
    <w:rsid w:val="00593973"/>
    <w:rsid w:val="00594C27"/>
    <w:rsid w:val="00594DEF"/>
    <w:rsid w:val="005A02DC"/>
    <w:rsid w:val="005A03DE"/>
    <w:rsid w:val="005A077D"/>
    <w:rsid w:val="005A0EAC"/>
    <w:rsid w:val="005A19BE"/>
    <w:rsid w:val="005A2C74"/>
    <w:rsid w:val="005A518B"/>
    <w:rsid w:val="005A627E"/>
    <w:rsid w:val="005A7083"/>
    <w:rsid w:val="005A7608"/>
    <w:rsid w:val="005A7644"/>
    <w:rsid w:val="005A7707"/>
    <w:rsid w:val="005B1E9C"/>
    <w:rsid w:val="005B31E6"/>
    <w:rsid w:val="005B4A3E"/>
    <w:rsid w:val="005B4B22"/>
    <w:rsid w:val="005B57F2"/>
    <w:rsid w:val="005B5ABD"/>
    <w:rsid w:val="005B5C5C"/>
    <w:rsid w:val="005B61D3"/>
    <w:rsid w:val="005B7920"/>
    <w:rsid w:val="005C1558"/>
    <w:rsid w:val="005C1641"/>
    <w:rsid w:val="005C1BC7"/>
    <w:rsid w:val="005C278A"/>
    <w:rsid w:val="005C32C9"/>
    <w:rsid w:val="005C3A56"/>
    <w:rsid w:val="005C3A67"/>
    <w:rsid w:val="005C5513"/>
    <w:rsid w:val="005C5DB9"/>
    <w:rsid w:val="005C5E85"/>
    <w:rsid w:val="005C6B8A"/>
    <w:rsid w:val="005C7471"/>
    <w:rsid w:val="005D05F2"/>
    <w:rsid w:val="005D2257"/>
    <w:rsid w:val="005D2C19"/>
    <w:rsid w:val="005D4235"/>
    <w:rsid w:val="005D4A0C"/>
    <w:rsid w:val="005D564D"/>
    <w:rsid w:val="005D64B0"/>
    <w:rsid w:val="005D66E2"/>
    <w:rsid w:val="005D6B61"/>
    <w:rsid w:val="005D6B8A"/>
    <w:rsid w:val="005E145B"/>
    <w:rsid w:val="005E389B"/>
    <w:rsid w:val="005E40D9"/>
    <w:rsid w:val="005E4159"/>
    <w:rsid w:val="005E4DF4"/>
    <w:rsid w:val="005F22A7"/>
    <w:rsid w:val="005F2BCF"/>
    <w:rsid w:val="005F3AA1"/>
    <w:rsid w:val="005F58A9"/>
    <w:rsid w:val="005F6A42"/>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682"/>
    <w:rsid w:val="00653952"/>
    <w:rsid w:val="00653B95"/>
    <w:rsid w:val="00654274"/>
    <w:rsid w:val="006555D2"/>
    <w:rsid w:val="0065692E"/>
    <w:rsid w:val="006606C8"/>
    <w:rsid w:val="006617A4"/>
    <w:rsid w:val="00662C4D"/>
    <w:rsid w:val="00662F76"/>
    <w:rsid w:val="0066443C"/>
    <w:rsid w:val="00664540"/>
    <w:rsid w:val="0066504D"/>
    <w:rsid w:val="00666844"/>
    <w:rsid w:val="00667079"/>
    <w:rsid w:val="00670B6E"/>
    <w:rsid w:val="00671666"/>
    <w:rsid w:val="0067238F"/>
    <w:rsid w:val="00672827"/>
    <w:rsid w:val="00672CAB"/>
    <w:rsid w:val="00676453"/>
    <w:rsid w:val="00676573"/>
    <w:rsid w:val="006769A6"/>
    <w:rsid w:val="00680B3F"/>
    <w:rsid w:val="00681E25"/>
    <w:rsid w:val="00682170"/>
    <w:rsid w:val="00685380"/>
    <w:rsid w:val="00685E09"/>
    <w:rsid w:val="0068655F"/>
    <w:rsid w:val="00687B8B"/>
    <w:rsid w:val="006909A4"/>
    <w:rsid w:val="006914B3"/>
    <w:rsid w:val="00693071"/>
    <w:rsid w:val="00693E2C"/>
    <w:rsid w:val="00694526"/>
    <w:rsid w:val="00694574"/>
    <w:rsid w:val="006945C5"/>
    <w:rsid w:val="00696BD1"/>
    <w:rsid w:val="00696EF6"/>
    <w:rsid w:val="00697E73"/>
    <w:rsid w:val="006A0732"/>
    <w:rsid w:val="006A20B2"/>
    <w:rsid w:val="006A26FB"/>
    <w:rsid w:val="006A2E73"/>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C5D57"/>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621"/>
    <w:rsid w:val="007207FC"/>
    <w:rsid w:val="007213F1"/>
    <w:rsid w:val="00721827"/>
    <w:rsid w:val="00722668"/>
    <w:rsid w:val="007247C1"/>
    <w:rsid w:val="00724AF2"/>
    <w:rsid w:val="00724F55"/>
    <w:rsid w:val="007263F1"/>
    <w:rsid w:val="00726C59"/>
    <w:rsid w:val="007275E1"/>
    <w:rsid w:val="0073052C"/>
    <w:rsid w:val="0073235F"/>
    <w:rsid w:val="00732686"/>
    <w:rsid w:val="00732A32"/>
    <w:rsid w:val="00733818"/>
    <w:rsid w:val="00733E34"/>
    <w:rsid w:val="00734D65"/>
    <w:rsid w:val="007351BE"/>
    <w:rsid w:val="0074024D"/>
    <w:rsid w:val="007442E2"/>
    <w:rsid w:val="00746067"/>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9F2"/>
    <w:rsid w:val="00781BCE"/>
    <w:rsid w:val="00783B51"/>
    <w:rsid w:val="00783BFA"/>
    <w:rsid w:val="00783C80"/>
    <w:rsid w:val="00785F44"/>
    <w:rsid w:val="00787371"/>
    <w:rsid w:val="00791E64"/>
    <w:rsid w:val="0079257F"/>
    <w:rsid w:val="0079317A"/>
    <w:rsid w:val="00793C74"/>
    <w:rsid w:val="00795000"/>
    <w:rsid w:val="007951D8"/>
    <w:rsid w:val="00795A9E"/>
    <w:rsid w:val="0079616C"/>
    <w:rsid w:val="00797264"/>
    <w:rsid w:val="007A0D97"/>
    <w:rsid w:val="007A1337"/>
    <w:rsid w:val="007A2311"/>
    <w:rsid w:val="007A4A08"/>
    <w:rsid w:val="007A4B92"/>
    <w:rsid w:val="007A51FA"/>
    <w:rsid w:val="007A584F"/>
    <w:rsid w:val="007A605D"/>
    <w:rsid w:val="007A68A0"/>
    <w:rsid w:val="007A70F7"/>
    <w:rsid w:val="007A72BB"/>
    <w:rsid w:val="007A7D3A"/>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2464"/>
    <w:rsid w:val="007E36FC"/>
    <w:rsid w:val="007E5095"/>
    <w:rsid w:val="007E529F"/>
    <w:rsid w:val="007E6314"/>
    <w:rsid w:val="007E71C1"/>
    <w:rsid w:val="007E7F9D"/>
    <w:rsid w:val="007F0A35"/>
    <w:rsid w:val="007F1F1C"/>
    <w:rsid w:val="007F3911"/>
    <w:rsid w:val="007F4741"/>
    <w:rsid w:val="007F55D7"/>
    <w:rsid w:val="007F671D"/>
    <w:rsid w:val="007F6D6B"/>
    <w:rsid w:val="0080017B"/>
    <w:rsid w:val="00802031"/>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571F"/>
    <w:rsid w:val="00865F4A"/>
    <w:rsid w:val="0086671A"/>
    <w:rsid w:val="00870F25"/>
    <w:rsid w:val="00870F9F"/>
    <w:rsid w:val="0087128F"/>
    <w:rsid w:val="00871CB3"/>
    <w:rsid w:val="008723BF"/>
    <w:rsid w:val="008736C0"/>
    <w:rsid w:val="00873AFB"/>
    <w:rsid w:val="00873ED2"/>
    <w:rsid w:val="00874CD6"/>
    <w:rsid w:val="00877B2E"/>
    <w:rsid w:val="00880012"/>
    <w:rsid w:val="00882419"/>
    <w:rsid w:val="0088273C"/>
    <w:rsid w:val="00884A65"/>
    <w:rsid w:val="00886427"/>
    <w:rsid w:val="00887353"/>
    <w:rsid w:val="0089266F"/>
    <w:rsid w:val="008928E8"/>
    <w:rsid w:val="00892CEB"/>
    <w:rsid w:val="00892DC2"/>
    <w:rsid w:val="0089323C"/>
    <w:rsid w:val="00893CD2"/>
    <w:rsid w:val="00897A25"/>
    <w:rsid w:val="008A17E9"/>
    <w:rsid w:val="008A60A4"/>
    <w:rsid w:val="008A6943"/>
    <w:rsid w:val="008B2279"/>
    <w:rsid w:val="008B27BF"/>
    <w:rsid w:val="008B3C16"/>
    <w:rsid w:val="008B50AE"/>
    <w:rsid w:val="008B53EA"/>
    <w:rsid w:val="008B55F4"/>
    <w:rsid w:val="008C06F7"/>
    <w:rsid w:val="008C28CD"/>
    <w:rsid w:val="008C68D2"/>
    <w:rsid w:val="008C716F"/>
    <w:rsid w:val="008D1C7C"/>
    <w:rsid w:val="008D28DE"/>
    <w:rsid w:val="008D2C97"/>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EBE"/>
    <w:rsid w:val="00903206"/>
    <w:rsid w:val="00905B70"/>
    <w:rsid w:val="009063BF"/>
    <w:rsid w:val="00906540"/>
    <w:rsid w:val="00907E6F"/>
    <w:rsid w:val="00910FB5"/>
    <w:rsid w:val="0091172F"/>
    <w:rsid w:val="009122A7"/>
    <w:rsid w:val="00913388"/>
    <w:rsid w:val="00913AF7"/>
    <w:rsid w:val="009146B5"/>
    <w:rsid w:val="00916055"/>
    <w:rsid w:val="0091656C"/>
    <w:rsid w:val="00916F7D"/>
    <w:rsid w:val="009179FA"/>
    <w:rsid w:val="0092093A"/>
    <w:rsid w:val="00920AFE"/>
    <w:rsid w:val="009212E2"/>
    <w:rsid w:val="00921C92"/>
    <w:rsid w:val="00921F54"/>
    <w:rsid w:val="00923486"/>
    <w:rsid w:val="009254BE"/>
    <w:rsid w:val="00930905"/>
    <w:rsid w:val="00931200"/>
    <w:rsid w:val="00931DBE"/>
    <w:rsid w:val="009321E2"/>
    <w:rsid w:val="00932A30"/>
    <w:rsid w:val="00933D45"/>
    <w:rsid w:val="009343C2"/>
    <w:rsid w:val="00935F6C"/>
    <w:rsid w:val="009414A1"/>
    <w:rsid w:val="00942D3A"/>
    <w:rsid w:val="009431E6"/>
    <w:rsid w:val="00943700"/>
    <w:rsid w:val="00943C3C"/>
    <w:rsid w:val="00944333"/>
    <w:rsid w:val="00944E24"/>
    <w:rsid w:val="00947832"/>
    <w:rsid w:val="00951967"/>
    <w:rsid w:val="0095432B"/>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689E"/>
    <w:rsid w:val="00976CDB"/>
    <w:rsid w:val="00977F8A"/>
    <w:rsid w:val="009848C9"/>
    <w:rsid w:val="009849CF"/>
    <w:rsid w:val="009879C2"/>
    <w:rsid w:val="00987CF4"/>
    <w:rsid w:val="00990076"/>
    <w:rsid w:val="00991790"/>
    <w:rsid w:val="00991845"/>
    <w:rsid w:val="0099370A"/>
    <w:rsid w:val="009950B3"/>
    <w:rsid w:val="00995D97"/>
    <w:rsid w:val="00996AEB"/>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B33"/>
    <w:rsid w:val="009D45E8"/>
    <w:rsid w:val="009D482E"/>
    <w:rsid w:val="009D4EC8"/>
    <w:rsid w:val="009D53EB"/>
    <w:rsid w:val="009D54A8"/>
    <w:rsid w:val="009D593E"/>
    <w:rsid w:val="009D5CF1"/>
    <w:rsid w:val="009E0E18"/>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7D34"/>
    <w:rsid w:val="00A10BB0"/>
    <w:rsid w:val="00A1231E"/>
    <w:rsid w:val="00A13034"/>
    <w:rsid w:val="00A1339D"/>
    <w:rsid w:val="00A13445"/>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51E4D"/>
    <w:rsid w:val="00A51F07"/>
    <w:rsid w:val="00A524B8"/>
    <w:rsid w:val="00A562C5"/>
    <w:rsid w:val="00A5709C"/>
    <w:rsid w:val="00A57753"/>
    <w:rsid w:val="00A62569"/>
    <w:rsid w:val="00A631A3"/>
    <w:rsid w:val="00A64217"/>
    <w:rsid w:val="00A65993"/>
    <w:rsid w:val="00A660A8"/>
    <w:rsid w:val="00A6630D"/>
    <w:rsid w:val="00A7205F"/>
    <w:rsid w:val="00A720FA"/>
    <w:rsid w:val="00A721D8"/>
    <w:rsid w:val="00A7341A"/>
    <w:rsid w:val="00A739AB"/>
    <w:rsid w:val="00A73A9C"/>
    <w:rsid w:val="00A75CB7"/>
    <w:rsid w:val="00A75FB6"/>
    <w:rsid w:val="00A81A75"/>
    <w:rsid w:val="00A820BD"/>
    <w:rsid w:val="00A83695"/>
    <w:rsid w:val="00A84E50"/>
    <w:rsid w:val="00A8540A"/>
    <w:rsid w:val="00A856C2"/>
    <w:rsid w:val="00A861B7"/>
    <w:rsid w:val="00A8706A"/>
    <w:rsid w:val="00A877FE"/>
    <w:rsid w:val="00A9391C"/>
    <w:rsid w:val="00A94CC5"/>
    <w:rsid w:val="00A960A0"/>
    <w:rsid w:val="00AA0527"/>
    <w:rsid w:val="00AA170E"/>
    <w:rsid w:val="00AA1754"/>
    <w:rsid w:val="00AA2CC8"/>
    <w:rsid w:val="00AA33DE"/>
    <w:rsid w:val="00AA3C68"/>
    <w:rsid w:val="00AA4269"/>
    <w:rsid w:val="00AA4363"/>
    <w:rsid w:val="00AA5CA7"/>
    <w:rsid w:val="00AB15C3"/>
    <w:rsid w:val="00AB1ED1"/>
    <w:rsid w:val="00AB1FD4"/>
    <w:rsid w:val="00AB251D"/>
    <w:rsid w:val="00AB3339"/>
    <w:rsid w:val="00AB3A31"/>
    <w:rsid w:val="00AB656C"/>
    <w:rsid w:val="00AB7722"/>
    <w:rsid w:val="00AC4230"/>
    <w:rsid w:val="00AC5F81"/>
    <w:rsid w:val="00AC60AC"/>
    <w:rsid w:val="00AC624B"/>
    <w:rsid w:val="00AC7A31"/>
    <w:rsid w:val="00AD02C1"/>
    <w:rsid w:val="00AD1E01"/>
    <w:rsid w:val="00AD32CE"/>
    <w:rsid w:val="00AD4674"/>
    <w:rsid w:val="00AD4F07"/>
    <w:rsid w:val="00AD584F"/>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7F8"/>
    <w:rsid w:val="00B17109"/>
    <w:rsid w:val="00B23E1C"/>
    <w:rsid w:val="00B24229"/>
    <w:rsid w:val="00B244D4"/>
    <w:rsid w:val="00B251F9"/>
    <w:rsid w:val="00B25F1D"/>
    <w:rsid w:val="00B2782A"/>
    <w:rsid w:val="00B30487"/>
    <w:rsid w:val="00B30B51"/>
    <w:rsid w:val="00B324F4"/>
    <w:rsid w:val="00B336D8"/>
    <w:rsid w:val="00B34BFA"/>
    <w:rsid w:val="00B356A4"/>
    <w:rsid w:val="00B3582A"/>
    <w:rsid w:val="00B40C78"/>
    <w:rsid w:val="00B411EC"/>
    <w:rsid w:val="00B41C0A"/>
    <w:rsid w:val="00B429CA"/>
    <w:rsid w:val="00B42C06"/>
    <w:rsid w:val="00B44F22"/>
    <w:rsid w:val="00B45EDD"/>
    <w:rsid w:val="00B45F3D"/>
    <w:rsid w:val="00B471E0"/>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A006C"/>
    <w:rsid w:val="00BA20B0"/>
    <w:rsid w:val="00BA3159"/>
    <w:rsid w:val="00BA372F"/>
    <w:rsid w:val="00BA4E67"/>
    <w:rsid w:val="00BA5CA2"/>
    <w:rsid w:val="00BA6156"/>
    <w:rsid w:val="00BA6305"/>
    <w:rsid w:val="00BA66FC"/>
    <w:rsid w:val="00BA7940"/>
    <w:rsid w:val="00BB302C"/>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57D"/>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6FE8"/>
    <w:rsid w:val="00BF7C57"/>
    <w:rsid w:val="00C01EB4"/>
    <w:rsid w:val="00C03731"/>
    <w:rsid w:val="00C03839"/>
    <w:rsid w:val="00C0400D"/>
    <w:rsid w:val="00C048B3"/>
    <w:rsid w:val="00C06955"/>
    <w:rsid w:val="00C073B7"/>
    <w:rsid w:val="00C11016"/>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78BC"/>
    <w:rsid w:val="00C40C5E"/>
    <w:rsid w:val="00C40D08"/>
    <w:rsid w:val="00C411E2"/>
    <w:rsid w:val="00C41BA9"/>
    <w:rsid w:val="00C42121"/>
    <w:rsid w:val="00C451CB"/>
    <w:rsid w:val="00C45FB0"/>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62E2"/>
    <w:rsid w:val="00C76C64"/>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F57"/>
    <w:rsid w:val="00CB6605"/>
    <w:rsid w:val="00CB7A72"/>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F04D1"/>
    <w:rsid w:val="00CF16AE"/>
    <w:rsid w:val="00CF3ED9"/>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506B1"/>
    <w:rsid w:val="00D50C0B"/>
    <w:rsid w:val="00D51380"/>
    <w:rsid w:val="00D51DE2"/>
    <w:rsid w:val="00D551F2"/>
    <w:rsid w:val="00D60813"/>
    <w:rsid w:val="00D61865"/>
    <w:rsid w:val="00D61A7B"/>
    <w:rsid w:val="00D632B6"/>
    <w:rsid w:val="00D64A7A"/>
    <w:rsid w:val="00D66BC1"/>
    <w:rsid w:val="00D711A6"/>
    <w:rsid w:val="00D714BA"/>
    <w:rsid w:val="00D7505B"/>
    <w:rsid w:val="00D75260"/>
    <w:rsid w:val="00D75B70"/>
    <w:rsid w:val="00D804C5"/>
    <w:rsid w:val="00D820D1"/>
    <w:rsid w:val="00D82401"/>
    <w:rsid w:val="00D82AE2"/>
    <w:rsid w:val="00D82C4E"/>
    <w:rsid w:val="00D84EAF"/>
    <w:rsid w:val="00D850A4"/>
    <w:rsid w:val="00D856AD"/>
    <w:rsid w:val="00D85715"/>
    <w:rsid w:val="00D90152"/>
    <w:rsid w:val="00D91223"/>
    <w:rsid w:val="00D934BA"/>
    <w:rsid w:val="00D93950"/>
    <w:rsid w:val="00D96230"/>
    <w:rsid w:val="00D966F3"/>
    <w:rsid w:val="00D96853"/>
    <w:rsid w:val="00D96FCD"/>
    <w:rsid w:val="00D978F5"/>
    <w:rsid w:val="00D978FE"/>
    <w:rsid w:val="00DA1832"/>
    <w:rsid w:val="00DA20D6"/>
    <w:rsid w:val="00DA2A6C"/>
    <w:rsid w:val="00DA2B2B"/>
    <w:rsid w:val="00DA30DA"/>
    <w:rsid w:val="00DA3AED"/>
    <w:rsid w:val="00DA4123"/>
    <w:rsid w:val="00DA77B4"/>
    <w:rsid w:val="00DA7BE4"/>
    <w:rsid w:val="00DB16B2"/>
    <w:rsid w:val="00DB1F95"/>
    <w:rsid w:val="00DB2BB1"/>
    <w:rsid w:val="00DB6BB3"/>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44D5"/>
    <w:rsid w:val="00DF4AB3"/>
    <w:rsid w:val="00DF5003"/>
    <w:rsid w:val="00DF5249"/>
    <w:rsid w:val="00DF5932"/>
    <w:rsid w:val="00E000FD"/>
    <w:rsid w:val="00E03E05"/>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C77"/>
    <w:rsid w:val="00E973B3"/>
    <w:rsid w:val="00EA0495"/>
    <w:rsid w:val="00EA1844"/>
    <w:rsid w:val="00EA246E"/>
    <w:rsid w:val="00EA2658"/>
    <w:rsid w:val="00EA275A"/>
    <w:rsid w:val="00EA2797"/>
    <w:rsid w:val="00EA4AC5"/>
    <w:rsid w:val="00EA5091"/>
    <w:rsid w:val="00EA709C"/>
    <w:rsid w:val="00EB0611"/>
    <w:rsid w:val="00EB0F52"/>
    <w:rsid w:val="00EB16CB"/>
    <w:rsid w:val="00EB1899"/>
    <w:rsid w:val="00EB3208"/>
    <w:rsid w:val="00EB5CEE"/>
    <w:rsid w:val="00EB67EB"/>
    <w:rsid w:val="00EB7D72"/>
    <w:rsid w:val="00EC0598"/>
    <w:rsid w:val="00EC0869"/>
    <w:rsid w:val="00EC091D"/>
    <w:rsid w:val="00EC37B3"/>
    <w:rsid w:val="00EC44B4"/>
    <w:rsid w:val="00EC5AE4"/>
    <w:rsid w:val="00EC6941"/>
    <w:rsid w:val="00EC7BBC"/>
    <w:rsid w:val="00ED1710"/>
    <w:rsid w:val="00ED29EB"/>
    <w:rsid w:val="00ED6681"/>
    <w:rsid w:val="00ED6E3A"/>
    <w:rsid w:val="00EE0F72"/>
    <w:rsid w:val="00EE3881"/>
    <w:rsid w:val="00EE3C77"/>
    <w:rsid w:val="00EE4748"/>
    <w:rsid w:val="00EE47BE"/>
    <w:rsid w:val="00EE4FC1"/>
    <w:rsid w:val="00EE550E"/>
    <w:rsid w:val="00EE676B"/>
    <w:rsid w:val="00EE7D3E"/>
    <w:rsid w:val="00EF5381"/>
    <w:rsid w:val="00EF58DD"/>
    <w:rsid w:val="00F00F9F"/>
    <w:rsid w:val="00F01660"/>
    <w:rsid w:val="00F03A50"/>
    <w:rsid w:val="00F04465"/>
    <w:rsid w:val="00F05C65"/>
    <w:rsid w:val="00F06077"/>
    <w:rsid w:val="00F06483"/>
    <w:rsid w:val="00F06528"/>
    <w:rsid w:val="00F0730F"/>
    <w:rsid w:val="00F1205C"/>
    <w:rsid w:val="00F13091"/>
    <w:rsid w:val="00F13592"/>
    <w:rsid w:val="00F20565"/>
    <w:rsid w:val="00F20699"/>
    <w:rsid w:val="00F20B34"/>
    <w:rsid w:val="00F215C8"/>
    <w:rsid w:val="00F21A92"/>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A06"/>
    <w:rsid w:val="00F44355"/>
    <w:rsid w:val="00F4465A"/>
    <w:rsid w:val="00F44DFE"/>
    <w:rsid w:val="00F458C8"/>
    <w:rsid w:val="00F45C61"/>
    <w:rsid w:val="00F463E3"/>
    <w:rsid w:val="00F46EE8"/>
    <w:rsid w:val="00F47AD8"/>
    <w:rsid w:val="00F52A24"/>
    <w:rsid w:val="00F53178"/>
    <w:rsid w:val="00F535A5"/>
    <w:rsid w:val="00F541AE"/>
    <w:rsid w:val="00F5649E"/>
    <w:rsid w:val="00F57B67"/>
    <w:rsid w:val="00F57F4B"/>
    <w:rsid w:val="00F6047E"/>
    <w:rsid w:val="00F62C42"/>
    <w:rsid w:val="00F63024"/>
    <w:rsid w:val="00F63529"/>
    <w:rsid w:val="00F65399"/>
    <w:rsid w:val="00F70A6B"/>
    <w:rsid w:val="00F71637"/>
    <w:rsid w:val="00F71E34"/>
    <w:rsid w:val="00F72CE7"/>
    <w:rsid w:val="00F755C7"/>
    <w:rsid w:val="00F81A9F"/>
    <w:rsid w:val="00F82221"/>
    <w:rsid w:val="00F83581"/>
    <w:rsid w:val="00F8549E"/>
    <w:rsid w:val="00F85AF0"/>
    <w:rsid w:val="00F85BE4"/>
    <w:rsid w:val="00F862B1"/>
    <w:rsid w:val="00F8643F"/>
    <w:rsid w:val="00F8736F"/>
    <w:rsid w:val="00F951E3"/>
    <w:rsid w:val="00FA0692"/>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841"/>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5A03B-D929-4FCD-8CCB-8D9842F9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7</Pages>
  <Words>11688</Words>
  <Characters>6663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rīkojuma projekts "Par dāvinājuma pieņemšanu”</vt:lpstr>
    </vt:vector>
  </TitlesOfParts>
  <Company>Izglītības un zinātnes ministrija, Sporta departaments</Company>
  <LinksUpToDate>false</LinksUpToDate>
  <CharactersWithSpaces>18315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dāvinājuma pieņemšanu”</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234</cp:revision>
  <cp:lastPrinted>2014-08-11T11:23:00Z</cp:lastPrinted>
  <dcterms:created xsi:type="dcterms:W3CDTF">2017-08-24T13:13:00Z</dcterms:created>
  <dcterms:modified xsi:type="dcterms:W3CDTF">2017-10-05T12:26:00Z</dcterms:modified>
</cp:coreProperties>
</file>