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35"/>
    <w:bookmarkStart w:id="1" w:name="OLE_LINK36"/>
    <w:p w:rsidR="001B2481" w:rsidRPr="008D25A9" w:rsidRDefault="001A4F1D" w:rsidP="001B248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E98B83F5F32E42FA9F50CA4542C74A7D"/>
          </w:placeholder>
        </w:sdtPr>
        <w:sdtContent>
          <w:r w:rsidR="008F2DC7">
            <w:rPr>
              <w:rFonts w:ascii="Times New Roman" w:eastAsia="Times New Roman" w:hAnsi="Times New Roman" w:cs="Times New Roman"/>
              <w:b/>
              <w:bCs/>
              <w:color w:val="000000" w:themeColor="text1"/>
              <w:sz w:val="24"/>
              <w:szCs w:val="24"/>
              <w:lang w:eastAsia="lv-LV"/>
            </w:rPr>
            <w:t xml:space="preserve">Likumprojekta </w:t>
          </w:r>
          <w:r w:rsidR="007829AC">
            <w:rPr>
              <w:rFonts w:ascii="Times New Roman" w:eastAsia="Times New Roman" w:hAnsi="Times New Roman" w:cs="Times New Roman"/>
              <w:b/>
              <w:bCs/>
              <w:color w:val="000000" w:themeColor="text1"/>
              <w:sz w:val="24"/>
              <w:szCs w:val="24"/>
              <w:lang w:eastAsia="lv-LV"/>
            </w:rPr>
            <w:t>„</w:t>
          </w:r>
          <w:r w:rsidR="001B2481" w:rsidRPr="008D25A9">
            <w:rPr>
              <w:rFonts w:ascii="Times New Roman" w:hAnsi="Times New Roman" w:cs="Times New Roman"/>
              <w:b/>
              <w:color w:val="000000" w:themeColor="text1"/>
              <w:sz w:val="24"/>
              <w:szCs w:val="24"/>
            </w:rPr>
            <w:t>Grozījumi Elektronisko plašsaziņas līdzekļu likumā”</w:t>
          </w:r>
        </w:sdtContent>
      </w:sdt>
      <w:r w:rsidR="001B2481" w:rsidRPr="008D25A9">
        <w:rPr>
          <w:rFonts w:ascii="Times New Roman" w:eastAsia="Times New Roman" w:hAnsi="Times New Roman" w:cs="Times New Roman"/>
          <w:b/>
          <w:bCs/>
          <w:color w:val="000000" w:themeColor="text1"/>
          <w:sz w:val="24"/>
          <w:szCs w:val="24"/>
          <w:lang w:eastAsia="lv-LV"/>
        </w:rPr>
        <w:t xml:space="preserve"> </w:t>
      </w:r>
      <w:r w:rsidR="001B2481" w:rsidRPr="008D25A9">
        <w:rPr>
          <w:rFonts w:ascii="Times New Roman" w:eastAsia="Times New Roman" w:hAnsi="Times New Roman" w:cs="Times New Roman"/>
          <w:b/>
          <w:bCs/>
          <w:color w:val="000000" w:themeColor="text1"/>
          <w:sz w:val="24"/>
          <w:szCs w:val="24"/>
          <w:lang w:eastAsia="lv-LV"/>
        </w:rPr>
        <w:br/>
      </w:r>
      <w:bookmarkStart w:id="2" w:name="OLE_LINK37"/>
      <w:bookmarkStart w:id="3" w:name="OLE_LINK38"/>
      <w:r w:rsidR="001B2481" w:rsidRPr="008D25A9">
        <w:rPr>
          <w:rFonts w:ascii="Times New Roman" w:eastAsia="Times New Roman" w:hAnsi="Times New Roman" w:cs="Times New Roman"/>
          <w:b/>
          <w:bCs/>
          <w:color w:val="000000" w:themeColor="text1"/>
          <w:sz w:val="24"/>
          <w:szCs w:val="24"/>
          <w:lang w:eastAsia="lv-LV"/>
        </w:rPr>
        <w:t>sākotnējās ietekmes novērtējuma ziņojums (anotācija)</w:t>
      </w:r>
    </w:p>
    <w:bookmarkEnd w:id="0"/>
    <w:bookmarkEnd w:id="1"/>
    <w:bookmarkEnd w:id="2"/>
    <w:bookmarkEnd w:id="3"/>
    <w:p w:rsidR="001B2481" w:rsidRPr="008D25A9" w:rsidRDefault="001B2481" w:rsidP="001B2481">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495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6"/>
        <w:gridCol w:w="5753"/>
      </w:tblGrid>
      <w:tr w:rsidR="001B2481" w:rsidRPr="008D25A9" w:rsidTr="0071418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 Tiesību akta projekta izstrādes nepieciešamība</w:t>
            </w:r>
          </w:p>
        </w:tc>
      </w:tr>
      <w:tr w:rsidR="001B2481" w:rsidRPr="008D25A9" w:rsidTr="00714184">
        <w:trPr>
          <w:trHeight w:val="324"/>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A27DE5"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A27DE5">
              <w:rPr>
                <w:rFonts w:ascii="Times New Roman" w:eastAsia="Times New Roman" w:hAnsi="Times New Roman" w:cs="Times New Roman"/>
                <w:color w:val="000000" w:themeColor="text1"/>
                <w:sz w:val="24"/>
                <w:szCs w:val="24"/>
                <w:lang w:eastAsia="lv-LV"/>
              </w:rPr>
              <w:t>Pamatojums</w:t>
            </w:r>
          </w:p>
        </w:tc>
        <w:sdt>
          <w:sdtPr>
            <w:rPr>
              <w:rFonts w:ascii="Times New Roman" w:eastAsia="Times New Roman" w:hAnsi="Times New Roman" w:cs="Times New Roman"/>
              <w:bCs/>
              <w:color w:val="000000" w:themeColor="text1"/>
              <w:sz w:val="24"/>
              <w:szCs w:val="24"/>
              <w:lang w:eastAsia="lv-LV"/>
            </w:rPr>
            <w:id w:val="-1453780694"/>
            <w:placeholder>
              <w:docPart w:val="1321B85A4E924DB99CC8F26AA10B520B"/>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A27DE5" w:rsidRDefault="007829AC" w:rsidP="007829AC">
                <w:pPr>
                  <w:spacing w:after="0" w:line="240" w:lineRule="auto"/>
                  <w:jc w:val="both"/>
                  <w:rPr>
                    <w:rFonts w:ascii="Times New Roman" w:eastAsia="Times New Roman" w:hAnsi="Times New Roman" w:cs="Times New Roman"/>
                    <w:color w:val="000000" w:themeColor="text1"/>
                    <w:sz w:val="24"/>
                    <w:szCs w:val="24"/>
                    <w:lang w:eastAsia="lv-LV"/>
                  </w:rPr>
                </w:pPr>
                <w:r w:rsidRPr="007829AC">
                  <w:rPr>
                    <w:rFonts w:ascii="Times New Roman" w:eastAsia="Times New Roman" w:hAnsi="Times New Roman" w:cs="Times New Roman"/>
                    <w:bCs/>
                    <w:color w:val="000000" w:themeColor="text1"/>
                    <w:sz w:val="24"/>
                    <w:szCs w:val="24"/>
                    <w:lang w:eastAsia="lv-LV"/>
                  </w:rPr>
                  <w:t>Likumprojekts „Grozījumi Elektronisko plašsaziņas līdzekļu likumā” (turpmāk – Likumprojekts) sagatavots, pamatojoties uz Ministru kabineta 2017.gada 28.augusta sēdes protokollēmuma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32. un 33.punktā doto uzdevumu Kultūras ministrijai sadarbībā ar Nacionālo elektronisko plašsaziņas līdzekļu padomi izstrādāt un kultūras ministram līdz 2017.gada 15.septembrim iesniegt Ministru kabinetā nepieciešamos normatīvo aktu projektus par ikgadējās valsts nodevas piemērošanu elektroniskajiem plašsaziņas līdzekļiem, kuriem ir izsniegta retranslācijas atļauja, un Kultūras ministrijai sadarbībā ar Nacionālo elektronisko plašsaziņas līdzekļu padomi izvērtēt iespēju noteikt maksu elektroniskajiem plašsaziņas līdzekļiem par retranslējamās programmas reģistrēšanu un nepieciešamības gadījumā iesniegt normatīvo aktu projektus izskatīšanai Ministru kabinetā.</w:t>
                </w:r>
              </w:p>
            </w:tc>
          </w:sdtContent>
        </w:sdt>
      </w:tr>
      <w:tr w:rsidR="001B2481" w:rsidRPr="008D25A9" w:rsidTr="00714184">
        <w:trPr>
          <w:trHeight w:val="372"/>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rsidR="00480E02"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480E02" w:rsidRPr="00480E02" w:rsidRDefault="00480E02" w:rsidP="00480E02">
            <w:pPr>
              <w:rPr>
                <w:rFonts w:ascii="Times New Roman" w:eastAsia="Times New Roman" w:hAnsi="Times New Roman" w:cs="Times New Roman"/>
                <w:sz w:val="24"/>
                <w:szCs w:val="24"/>
                <w:lang w:eastAsia="lv-LV"/>
              </w:rPr>
            </w:pPr>
          </w:p>
          <w:p w:rsidR="00480E02" w:rsidRPr="00480E02" w:rsidRDefault="00480E02" w:rsidP="00480E02">
            <w:pPr>
              <w:rPr>
                <w:rFonts w:ascii="Times New Roman" w:eastAsia="Times New Roman" w:hAnsi="Times New Roman" w:cs="Times New Roman"/>
                <w:sz w:val="24"/>
                <w:szCs w:val="24"/>
                <w:lang w:eastAsia="lv-LV"/>
              </w:rPr>
            </w:pPr>
          </w:p>
          <w:p w:rsidR="00480E02" w:rsidRPr="00480E02" w:rsidRDefault="00480E02" w:rsidP="00480E02">
            <w:pPr>
              <w:rPr>
                <w:rFonts w:ascii="Times New Roman" w:eastAsia="Times New Roman" w:hAnsi="Times New Roman" w:cs="Times New Roman"/>
                <w:sz w:val="24"/>
                <w:szCs w:val="24"/>
                <w:lang w:eastAsia="lv-LV"/>
              </w:rPr>
            </w:pPr>
          </w:p>
          <w:p w:rsidR="00480E02" w:rsidRPr="00480E02" w:rsidRDefault="00480E02" w:rsidP="00480E02">
            <w:pPr>
              <w:rPr>
                <w:rFonts w:ascii="Times New Roman" w:eastAsia="Times New Roman" w:hAnsi="Times New Roman" w:cs="Times New Roman"/>
                <w:sz w:val="24"/>
                <w:szCs w:val="24"/>
                <w:lang w:eastAsia="lv-LV"/>
              </w:rPr>
            </w:pPr>
          </w:p>
          <w:p w:rsidR="00480E02" w:rsidRPr="00480E02" w:rsidRDefault="00480E02" w:rsidP="00480E02">
            <w:pPr>
              <w:rPr>
                <w:rFonts w:ascii="Times New Roman" w:eastAsia="Times New Roman" w:hAnsi="Times New Roman" w:cs="Times New Roman"/>
                <w:sz w:val="24"/>
                <w:szCs w:val="24"/>
                <w:lang w:eastAsia="lv-LV"/>
              </w:rPr>
            </w:pPr>
          </w:p>
          <w:p w:rsidR="00480E02" w:rsidRDefault="00480E02" w:rsidP="00480E02">
            <w:pPr>
              <w:rPr>
                <w:rFonts w:ascii="Times New Roman" w:eastAsia="Times New Roman" w:hAnsi="Times New Roman" w:cs="Times New Roman"/>
                <w:sz w:val="24"/>
                <w:szCs w:val="24"/>
                <w:lang w:eastAsia="lv-LV"/>
              </w:rPr>
            </w:pPr>
          </w:p>
          <w:p w:rsidR="001B2481" w:rsidRPr="00480E02" w:rsidRDefault="00480E02" w:rsidP="00480E02">
            <w:pPr>
              <w:tabs>
                <w:tab w:val="left" w:pos="20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84" w:type="pct"/>
            <w:tcBorders>
              <w:top w:val="outset" w:sz="6" w:space="0" w:color="414142"/>
              <w:left w:val="outset" w:sz="6" w:space="0" w:color="414142"/>
              <w:bottom w:val="outset" w:sz="6" w:space="0" w:color="414142"/>
              <w:right w:val="outset" w:sz="6" w:space="0" w:color="414142"/>
            </w:tcBorders>
            <w:hideMark/>
          </w:tcPr>
          <w:p w:rsidR="001B2481" w:rsidRDefault="001B2481" w:rsidP="002033D0">
            <w:pPr>
              <w:pStyle w:val="Bezatstarpm"/>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Likumprojekts nepieciešams, lai padarītu efektīvāku N</w:t>
            </w:r>
            <w:r>
              <w:rPr>
                <w:rFonts w:ascii="Times New Roman" w:hAnsi="Times New Roman" w:cs="Times New Roman"/>
                <w:color w:val="000000" w:themeColor="text1"/>
                <w:sz w:val="24"/>
                <w:szCs w:val="24"/>
              </w:rPr>
              <w:t>acionālā</w:t>
            </w:r>
            <w:r w:rsidR="002033D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elektronisko plašsaziņas līdzekļu padome</w:t>
            </w:r>
            <w:r w:rsidR="002033D0">
              <w:rPr>
                <w:rFonts w:ascii="Times New Roman" w:hAnsi="Times New Roman" w:cs="Times New Roman"/>
                <w:color w:val="000000" w:themeColor="text1"/>
                <w:sz w:val="24"/>
                <w:szCs w:val="24"/>
              </w:rPr>
              <w:t>s</w:t>
            </w:r>
            <w:r w:rsidRPr="008D25A9">
              <w:rPr>
                <w:rFonts w:ascii="Times New Roman" w:hAnsi="Times New Roman" w:cs="Times New Roman"/>
                <w:color w:val="000000" w:themeColor="text1"/>
                <w:sz w:val="24"/>
                <w:szCs w:val="24"/>
              </w:rPr>
              <w:t xml:space="preserve"> </w:t>
            </w:r>
            <w:r w:rsidR="002033D0">
              <w:rPr>
                <w:rFonts w:ascii="Times New Roman" w:hAnsi="Times New Roman" w:cs="Times New Roman"/>
                <w:color w:val="000000" w:themeColor="text1"/>
                <w:sz w:val="24"/>
                <w:szCs w:val="24"/>
              </w:rPr>
              <w:t xml:space="preserve">(turpmāk – NEPLP) </w:t>
            </w:r>
            <w:r w:rsidRPr="008D25A9">
              <w:rPr>
                <w:rFonts w:ascii="Times New Roman" w:hAnsi="Times New Roman" w:cs="Times New Roman"/>
                <w:color w:val="000000" w:themeColor="text1"/>
                <w:sz w:val="24"/>
                <w:szCs w:val="24"/>
              </w:rPr>
              <w:t>īstenoto uzraudzību, sasn</w:t>
            </w:r>
            <w:r w:rsidR="00A27DE5">
              <w:rPr>
                <w:rFonts w:ascii="Times New Roman" w:hAnsi="Times New Roman" w:cs="Times New Roman"/>
                <w:color w:val="000000" w:themeColor="text1"/>
                <w:sz w:val="24"/>
                <w:szCs w:val="24"/>
              </w:rPr>
              <w:t>iegt</w:t>
            </w:r>
            <w:r w:rsidR="002033D0">
              <w:rPr>
                <w:rFonts w:ascii="Times New Roman" w:hAnsi="Times New Roman" w:cs="Times New Roman"/>
                <w:color w:val="000000" w:themeColor="text1"/>
                <w:sz w:val="24"/>
                <w:szCs w:val="24"/>
              </w:rPr>
              <w:t>u</w:t>
            </w:r>
            <w:r w:rsidR="00A27DE5">
              <w:rPr>
                <w:rFonts w:ascii="Times New Roman" w:hAnsi="Times New Roman" w:cs="Times New Roman"/>
                <w:color w:val="000000" w:themeColor="text1"/>
                <w:sz w:val="24"/>
                <w:szCs w:val="24"/>
              </w:rPr>
              <w:t xml:space="preserve"> noteiktus politikas mērķus</w:t>
            </w:r>
            <w:r w:rsidRPr="008D25A9">
              <w:rPr>
                <w:rFonts w:ascii="Times New Roman" w:hAnsi="Times New Roman" w:cs="Times New Roman"/>
                <w:color w:val="000000" w:themeColor="text1"/>
                <w:sz w:val="24"/>
                <w:szCs w:val="24"/>
              </w:rPr>
              <w:t xml:space="preserve"> un arī segt</w:t>
            </w:r>
            <w:r w:rsidR="002033D0">
              <w:rPr>
                <w:rFonts w:ascii="Times New Roman" w:hAnsi="Times New Roman" w:cs="Times New Roman"/>
                <w:color w:val="000000" w:themeColor="text1"/>
                <w:sz w:val="24"/>
                <w:szCs w:val="24"/>
              </w:rPr>
              <w:t>u</w:t>
            </w:r>
            <w:r w:rsidRPr="008D25A9">
              <w:rPr>
                <w:rFonts w:ascii="Times New Roman" w:hAnsi="Times New Roman" w:cs="Times New Roman"/>
                <w:color w:val="000000" w:themeColor="text1"/>
                <w:sz w:val="24"/>
                <w:szCs w:val="24"/>
              </w:rPr>
              <w:t xml:space="preserve"> daļu </w:t>
            </w:r>
            <w:r w:rsidR="002033D0">
              <w:rPr>
                <w:rFonts w:ascii="Times New Roman" w:hAnsi="Times New Roman" w:cs="Times New Roman"/>
                <w:color w:val="000000" w:themeColor="text1"/>
                <w:sz w:val="24"/>
                <w:szCs w:val="24"/>
              </w:rPr>
              <w:t>NEPLP</w:t>
            </w:r>
            <w:r w:rsidRPr="008D25A9">
              <w:rPr>
                <w:rFonts w:ascii="Times New Roman" w:hAnsi="Times New Roman" w:cs="Times New Roman"/>
                <w:color w:val="000000" w:themeColor="text1"/>
                <w:sz w:val="24"/>
                <w:szCs w:val="24"/>
              </w:rPr>
              <w:t xml:space="preserve"> izdevumu</w:t>
            </w:r>
            <w:r w:rsidR="002033D0">
              <w:rPr>
                <w:rFonts w:ascii="Times New Roman" w:hAnsi="Times New Roman" w:cs="Times New Roman"/>
                <w:color w:val="000000" w:themeColor="text1"/>
                <w:sz w:val="24"/>
                <w:szCs w:val="24"/>
              </w:rPr>
              <w:t xml:space="preserve">. </w:t>
            </w:r>
          </w:p>
          <w:p w:rsidR="002033D0" w:rsidRDefault="002033D0" w:rsidP="002033D0">
            <w:pPr>
              <w:pStyle w:val="Bezatstarpm"/>
              <w:jc w:val="both"/>
              <w:rPr>
                <w:rFonts w:ascii="Times New Roman" w:hAnsi="Times New Roman" w:cs="Times New Roman"/>
                <w:color w:val="000000" w:themeColor="text1"/>
                <w:sz w:val="24"/>
                <w:szCs w:val="24"/>
              </w:rPr>
            </w:pPr>
          </w:p>
          <w:p w:rsidR="001B2481" w:rsidRPr="008D25A9" w:rsidRDefault="001B2481" w:rsidP="00714184">
            <w:pPr>
              <w:spacing w:line="240" w:lineRule="auto"/>
              <w:jc w:val="both"/>
              <w:rPr>
                <w:rFonts w:ascii="Times New Roman" w:hAnsi="Times New Roman" w:cs="Times New Roman"/>
                <w:b/>
                <w:color w:val="000000" w:themeColor="text1"/>
                <w:sz w:val="24"/>
                <w:szCs w:val="24"/>
              </w:rPr>
            </w:pPr>
            <w:r w:rsidRPr="008D25A9">
              <w:rPr>
                <w:rFonts w:ascii="Times New Roman" w:hAnsi="Times New Roman" w:cs="Times New Roman"/>
                <w:b/>
                <w:color w:val="000000" w:themeColor="text1"/>
                <w:sz w:val="24"/>
                <w:szCs w:val="24"/>
              </w:rPr>
              <w:t>Tiesiskais regulējums</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Elektronisko plašsaziņas līdzekļu likums (turpmāk – EPLL) reglamentē Latvijas jurisdikcijā esošo elektronisko plašsaziņas līdzekļu (turpmāk – EPL) darbības kārtību un noteikumus, kā arī citu tiesību subjektu darbību šajā likumā paredzētajos gadījumos. </w:t>
            </w:r>
            <w:r>
              <w:rPr>
                <w:rFonts w:ascii="Times New Roman" w:hAnsi="Times New Roman" w:cs="Times New Roman"/>
                <w:color w:val="000000" w:themeColor="text1"/>
                <w:sz w:val="24"/>
                <w:szCs w:val="24"/>
              </w:rPr>
              <w:t>EPLL</w:t>
            </w:r>
            <w:r w:rsidRPr="008D25A9">
              <w:rPr>
                <w:rFonts w:ascii="Times New Roman" w:hAnsi="Times New Roman" w:cs="Times New Roman"/>
                <w:color w:val="000000" w:themeColor="text1"/>
                <w:sz w:val="24"/>
                <w:szCs w:val="24"/>
              </w:rPr>
              <w:t xml:space="preserve"> noteic apraides vai retranslācijas tiesības arī pārrobežu EPL, kuri Latvijas teritorijā veic apraidi vai retranslāciju, ko tieši vai netieši var uztvert vienā vai vairākās valstīs</w:t>
            </w:r>
            <w:r w:rsidR="00FE0780">
              <w:rPr>
                <w:rFonts w:ascii="Times New Roman" w:hAnsi="Times New Roman" w:cs="Times New Roman"/>
                <w:color w:val="000000" w:themeColor="text1"/>
                <w:sz w:val="24"/>
                <w:szCs w:val="24"/>
              </w:rPr>
              <w:t xml:space="preserve"> ārpus Latvijas teritorijas (8.</w:t>
            </w:r>
            <w:r w:rsidRPr="008D25A9">
              <w:rPr>
                <w:rFonts w:ascii="Times New Roman" w:hAnsi="Times New Roman" w:cs="Times New Roman"/>
                <w:color w:val="000000" w:themeColor="text1"/>
                <w:sz w:val="24"/>
                <w:szCs w:val="24"/>
              </w:rPr>
              <w:t>pants).</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Gan par apraides, gan par retranslācijas atļaujas saņemšanu ir maksājama valsts nodeva apmērā, ko</w:t>
            </w:r>
            <w:r w:rsidR="00FE0780">
              <w:rPr>
                <w:rFonts w:ascii="Times New Roman" w:hAnsi="Times New Roman" w:cs="Times New Roman"/>
                <w:color w:val="000000" w:themeColor="text1"/>
                <w:sz w:val="24"/>
                <w:szCs w:val="24"/>
              </w:rPr>
              <w:t xml:space="preserve"> noteic Ministru kabineta 2010.gada 28.decembra noteikumi Nr.</w:t>
            </w:r>
            <w:r w:rsidRPr="008D25A9">
              <w:rPr>
                <w:rFonts w:ascii="Times New Roman" w:hAnsi="Times New Roman" w:cs="Times New Roman"/>
                <w:color w:val="000000" w:themeColor="text1"/>
                <w:sz w:val="24"/>
                <w:szCs w:val="24"/>
              </w:rPr>
              <w:t xml:space="preserve">1238 </w:t>
            </w:r>
            <w:r w:rsidR="00FE0780">
              <w:rPr>
                <w:rFonts w:ascii="Times New Roman" w:hAnsi="Times New Roman" w:cs="Times New Roman"/>
                <w:color w:val="000000" w:themeColor="text1"/>
                <w:sz w:val="24"/>
                <w:szCs w:val="24"/>
              </w:rPr>
              <w:t>„</w:t>
            </w:r>
            <w:r w:rsidRPr="008D25A9">
              <w:rPr>
                <w:rFonts w:ascii="Times New Roman" w:hAnsi="Times New Roman" w:cs="Times New Roman"/>
                <w:color w:val="000000" w:themeColor="text1"/>
                <w:sz w:val="24"/>
                <w:szCs w:val="24"/>
              </w:rPr>
              <w:t xml:space="preserve">Noteikumi par valsts nodevu par apraides atļaujas izsniegšanu, retranslācijas atļaujas izsniegšanu un tāda pakalpojumu sniedzēja reģistrāciju, kas sniedz elektronisko plašsaziņas līdzekļu pakalpojumus pēc pieprasījuma” </w:t>
            </w:r>
            <w:r w:rsidRPr="008D25A9">
              <w:rPr>
                <w:rFonts w:ascii="Times New Roman" w:hAnsi="Times New Roman" w:cs="Times New Roman"/>
                <w:color w:val="000000" w:themeColor="text1"/>
                <w:sz w:val="24"/>
                <w:szCs w:val="24"/>
              </w:rPr>
              <w:lastRenderedPageBreak/>
              <w:t>(turpmāk – MK noteikumi).</w:t>
            </w:r>
          </w:p>
          <w:p w:rsidR="001B2481" w:rsidRPr="008D25A9" w:rsidRDefault="00FE0780"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 noteikumu 6.</w:t>
            </w:r>
            <w:r w:rsidR="001B2481" w:rsidRPr="008D25A9">
              <w:rPr>
                <w:rFonts w:ascii="Times New Roman" w:hAnsi="Times New Roman" w:cs="Times New Roman"/>
                <w:color w:val="000000" w:themeColor="text1"/>
                <w:sz w:val="24"/>
                <w:szCs w:val="24"/>
              </w:rPr>
              <w:t xml:space="preserve">punkts paredz, ka no valsts nodevas ir atbrīvoti sabiedriskie un nekomerciālie </w:t>
            </w:r>
            <w:r>
              <w:rPr>
                <w:rFonts w:ascii="Times New Roman" w:hAnsi="Times New Roman" w:cs="Times New Roman"/>
                <w:color w:val="000000" w:themeColor="text1"/>
                <w:sz w:val="24"/>
                <w:szCs w:val="24"/>
              </w:rPr>
              <w:t>EPL. Atbilstoši MK noteikumu 7.</w:t>
            </w:r>
            <w:r w:rsidR="001B2481" w:rsidRPr="008D25A9">
              <w:rPr>
                <w:rFonts w:ascii="Times New Roman" w:hAnsi="Times New Roman" w:cs="Times New Roman"/>
                <w:color w:val="000000" w:themeColor="text1"/>
                <w:sz w:val="24"/>
                <w:szCs w:val="24"/>
              </w:rPr>
              <w:t>punktam, veicot grozījumus izsniegtajā apraides vai retranslācijas atļaujā, valsts nodeva nav jāmaksā.</w:t>
            </w:r>
          </w:p>
          <w:p w:rsidR="001B2481"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Apraide ir darbību kopums, kas nodrošina EPL programmu un raidījumu veidošanu, to sākotnējo izplatīšanu saskaņā ar raidījumu pārraidīšanas sarakstu un vienlaicīgu publisku uztveršanu, izmantojot elekt</w:t>
            </w:r>
            <w:r w:rsidR="00FE0780">
              <w:rPr>
                <w:rFonts w:ascii="Times New Roman" w:hAnsi="Times New Roman" w:cs="Times New Roman"/>
                <w:color w:val="000000" w:themeColor="text1"/>
                <w:sz w:val="24"/>
                <w:szCs w:val="24"/>
              </w:rPr>
              <w:t>ronisko sakaru tīklus. EPLL 18.</w:t>
            </w:r>
            <w:r w:rsidRPr="008D25A9">
              <w:rPr>
                <w:rFonts w:ascii="Times New Roman" w:hAnsi="Times New Roman" w:cs="Times New Roman"/>
                <w:color w:val="000000" w:themeColor="text1"/>
                <w:sz w:val="24"/>
                <w:szCs w:val="24"/>
              </w:rPr>
              <w:t>pants noteic, ka apraides atļauja apliecina EPL tiesības veidot un izplatīt programmas un nosaka tā saistības un pienākumus. Tā tiek izsniegta uz 10 gadiem. Par apraides atļaujas izsniegšanu komerciālais nacionālais plašsaziņas līdzeklis un komerciālās pārrobežu n televīzijas programmas apraidei maksā valsts nodevu 2845,74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w:t>
            </w:r>
            <w:r w:rsidR="00FE0780">
              <w:rPr>
                <w:rFonts w:ascii="Times New Roman" w:hAnsi="Times New Roman" w:cs="Times New Roman"/>
                <w:color w:val="000000" w:themeColor="text1"/>
                <w:sz w:val="24"/>
                <w:szCs w:val="24"/>
              </w:rPr>
              <w:t>(MK noteikumu 2.1.8. un 2.1.10.</w:t>
            </w:r>
            <w:r>
              <w:rPr>
                <w:rFonts w:ascii="Times New Roman" w:hAnsi="Times New Roman" w:cs="Times New Roman"/>
                <w:color w:val="000000" w:themeColor="text1"/>
                <w:sz w:val="24"/>
                <w:szCs w:val="24"/>
              </w:rPr>
              <w:t>apakš</w:t>
            </w:r>
            <w:r w:rsidRPr="008D25A9">
              <w:rPr>
                <w:rFonts w:ascii="Times New Roman" w:hAnsi="Times New Roman" w:cs="Times New Roman"/>
                <w:color w:val="000000" w:themeColor="text1"/>
                <w:sz w:val="24"/>
                <w:szCs w:val="24"/>
              </w:rPr>
              <w:t>punkts).</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Apraides tiesību īstenošanas uzraudzība nereti prasa būtiskus resursus no </w:t>
            </w:r>
            <w:r w:rsidR="00FE0780">
              <w:rPr>
                <w:rFonts w:ascii="Times New Roman" w:hAnsi="Times New Roman" w:cs="Times New Roman"/>
                <w:color w:val="000000" w:themeColor="text1"/>
                <w:sz w:val="24"/>
                <w:szCs w:val="24"/>
              </w:rPr>
              <w:t>NEPLP</w:t>
            </w:r>
            <w:r>
              <w:rPr>
                <w:rFonts w:ascii="Times New Roman" w:hAnsi="Times New Roman" w:cs="Times New Roman"/>
                <w:color w:val="000000" w:themeColor="text1"/>
                <w:sz w:val="24"/>
                <w:szCs w:val="24"/>
              </w:rPr>
              <w:t xml:space="preserve">, tai skaitā attiecībā uz pārrobežu televīzijas programmām, kuras Latvijā nav uztveramas. Ir paredzēta tikai valsts nodeva par apraides atļaujas izsniegšanu, bet nepastāv ikgadēji maksājumi, kā tas ir virknē citu valstu. </w:t>
            </w:r>
          </w:p>
          <w:p w:rsidR="001B2481" w:rsidRDefault="001B2481" w:rsidP="008F2DC7">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Retranslācija ir programmas uztveršana un tūlītēja pilnīga vai daļēja izplatīšana Latvijā publiskā elektronisko sakaru tīklā, neizdarot programmā vai raidījuma satu</w:t>
            </w:r>
            <w:r w:rsidR="00FE0780">
              <w:rPr>
                <w:rFonts w:ascii="Times New Roman" w:hAnsi="Times New Roman" w:cs="Times New Roman"/>
                <w:color w:val="000000" w:themeColor="text1"/>
                <w:sz w:val="24"/>
                <w:szCs w:val="24"/>
              </w:rPr>
              <w:t>rā nekādus grozījumus. EPLL 19.</w:t>
            </w:r>
            <w:r w:rsidRPr="008D25A9">
              <w:rPr>
                <w:rFonts w:ascii="Times New Roman" w:hAnsi="Times New Roman" w:cs="Times New Roman"/>
                <w:color w:val="000000" w:themeColor="text1"/>
                <w:sz w:val="24"/>
                <w:szCs w:val="24"/>
              </w:rPr>
              <w:t xml:space="preserve">pants noteic, ka programmu retranslācijai publiskajos elektronisko sakaru tīklos nepieciešams saņemt retranslējamās programmas īpašnieka (turētāja) piekrišanu un </w:t>
            </w:r>
            <w:r w:rsidR="00FE0780">
              <w:rPr>
                <w:rFonts w:ascii="Times New Roman" w:hAnsi="Times New Roman" w:cs="Times New Roman"/>
                <w:color w:val="000000" w:themeColor="text1"/>
                <w:sz w:val="24"/>
                <w:szCs w:val="24"/>
              </w:rPr>
              <w:t>NEPLP</w:t>
            </w:r>
            <w:r w:rsidRPr="008D25A9">
              <w:rPr>
                <w:rFonts w:ascii="Times New Roman" w:hAnsi="Times New Roman" w:cs="Times New Roman"/>
                <w:color w:val="000000" w:themeColor="text1"/>
                <w:sz w:val="24"/>
                <w:szCs w:val="24"/>
              </w:rPr>
              <w:t xml:space="preserve"> retranslācijas atļauju. Likums nenosaka retranslācijas atļaujas darbības termiņu. Par retranslācijas atļaujas izsniegšanu neatkarīgi no retranslējamās programmas izplatīšanas veida un </w:t>
            </w:r>
            <w:r>
              <w:rPr>
                <w:rFonts w:ascii="Times New Roman" w:hAnsi="Times New Roman" w:cs="Times New Roman"/>
                <w:color w:val="000000" w:themeColor="text1"/>
                <w:sz w:val="24"/>
                <w:szCs w:val="24"/>
              </w:rPr>
              <w:t xml:space="preserve">programmu </w:t>
            </w:r>
            <w:r w:rsidRPr="008D25A9">
              <w:rPr>
                <w:rFonts w:ascii="Times New Roman" w:hAnsi="Times New Roman" w:cs="Times New Roman"/>
                <w:color w:val="000000" w:themeColor="text1"/>
                <w:sz w:val="24"/>
                <w:szCs w:val="24"/>
              </w:rPr>
              <w:t xml:space="preserve">skaita maksājama valsts nodeva 142,29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(MK noteikumu 2.2.</w:t>
            </w:r>
            <w:r>
              <w:rPr>
                <w:rFonts w:ascii="Times New Roman" w:hAnsi="Times New Roman" w:cs="Times New Roman"/>
                <w:color w:val="000000" w:themeColor="text1"/>
                <w:sz w:val="24"/>
                <w:szCs w:val="24"/>
              </w:rPr>
              <w:t>apakš</w:t>
            </w:r>
            <w:r w:rsidRPr="008D25A9">
              <w:rPr>
                <w:rFonts w:ascii="Times New Roman" w:hAnsi="Times New Roman" w:cs="Times New Roman"/>
                <w:color w:val="000000" w:themeColor="text1"/>
                <w:sz w:val="24"/>
                <w:szCs w:val="24"/>
              </w:rPr>
              <w:t>punkts).</w:t>
            </w:r>
          </w:p>
          <w:p w:rsidR="001B2481" w:rsidRDefault="001B2481" w:rsidP="008F2DC7">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normatīvajos aktos šobrīd lietoto terminu nekonsekvenci, nepieciešams norādīt, ka retranslācijas atļauju kabeļoperators saņem tikai kā vispārējo atļauju darboties viņam kā EPL, bet katrai individuālai programmai nav vajadzīga šāda atļauja, jo tas būtu pretrunā ar retranslācijas brīvību. Normatīvie akti norāda, ka šādas programmas tiek retranslētas tādā nozīmē, ka tās tiek izplatītas galalietotājiem. Retranslācijas atļauju pārreģistrē, nodevu iekasējot pēc izplatāmo programmu skaita, lai nodrošināto to izplatīšanas tiesīguma uzraudzību. Tā ir vispārējās atļaujas pārreģistrācija, un no šiem noteikumiem neizriet, ka katrai programmai </w:t>
            </w:r>
            <w:r>
              <w:rPr>
                <w:rFonts w:ascii="Times New Roman" w:hAnsi="Times New Roman" w:cs="Times New Roman"/>
                <w:sz w:val="24"/>
                <w:szCs w:val="24"/>
                <w:lang w:eastAsia="lv-LV"/>
              </w:rPr>
              <w:lastRenderedPageBreak/>
              <w:t xml:space="preserve">vajadzīga atsevišķa retranslācijas atļauja. Paredzams, ka saistībā ar administratīvo pārkāpumu sodu reformu normatīvajos aktos lietotā terminoloģija tiks sakārtota. </w:t>
            </w:r>
          </w:p>
          <w:p w:rsidR="001B2481"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Detalizētu kārtību retranslācijas </w:t>
            </w:r>
            <w:r>
              <w:rPr>
                <w:rFonts w:ascii="Times New Roman" w:hAnsi="Times New Roman" w:cs="Times New Roman"/>
                <w:color w:val="000000" w:themeColor="text1"/>
                <w:sz w:val="24"/>
                <w:szCs w:val="24"/>
              </w:rPr>
              <w:t>veikšanai</w:t>
            </w:r>
            <w:r w:rsidRPr="008D25A9">
              <w:rPr>
                <w:rFonts w:ascii="Times New Roman" w:hAnsi="Times New Roman" w:cs="Times New Roman"/>
                <w:color w:val="000000" w:themeColor="text1"/>
                <w:sz w:val="24"/>
                <w:szCs w:val="24"/>
              </w:rPr>
              <w:t xml:space="preserve"> paredz </w:t>
            </w:r>
            <w:r w:rsidR="00FE0780">
              <w:rPr>
                <w:rFonts w:ascii="Times New Roman" w:hAnsi="Times New Roman" w:cs="Times New Roman"/>
                <w:color w:val="000000" w:themeColor="text1"/>
                <w:sz w:val="24"/>
                <w:szCs w:val="24"/>
              </w:rPr>
              <w:t>NEPLP</w:t>
            </w:r>
            <w:r>
              <w:rPr>
                <w:rFonts w:ascii="Times New Roman" w:hAnsi="Times New Roman" w:cs="Times New Roman"/>
                <w:color w:val="000000" w:themeColor="text1"/>
                <w:sz w:val="24"/>
                <w:szCs w:val="24"/>
              </w:rPr>
              <w:t xml:space="preserve"> izdots </w:t>
            </w:r>
            <w:r w:rsidRPr="008D25A9">
              <w:rPr>
                <w:rFonts w:ascii="Times New Roman" w:hAnsi="Times New Roman" w:cs="Times New Roman"/>
                <w:color w:val="000000" w:themeColor="text1"/>
                <w:sz w:val="24"/>
                <w:szCs w:val="24"/>
              </w:rPr>
              <w:t xml:space="preserve">ārējais normatīvais akts – Elektronisko plašsaziņas līdzekļu nozares attīstības nacionālās stratēģijas 2012. – 2017.gadam pielikums Nr.5 </w:t>
            </w:r>
            <w:r w:rsidR="00FE0780">
              <w:rPr>
                <w:rFonts w:ascii="Times New Roman" w:hAnsi="Times New Roman" w:cs="Times New Roman"/>
                <w:color w:val="000000" w:themeColor="text1"/>
                <w:sz w:val="24"/>
                <w:szCs w:val="24"/>
              </w:rPr>
              <w:t>„</w:t>
            </w:r>
            <w:r w:rsidRPr="008D25A9">
              <w:rPr>
                <w:rFonts w:ascii="Times New Roman" w:hAnsi="Times New Roman" w:cs="Times New Roman"/>
                <w:color w:val="000000" w:themeColor="text1"/>
                <w:sz w:val="24"/>
                <w:szCs w:val="24"/>
              </w:rPr>
              <w:t>Kārtība, kādā izsniedz retranslācijas atļaujas un elektroniskajiem plašsaziņas līdzekļiem piešķir tiesības retranslēt audio un audiovizuālās programmas”. Atbilstoši izsniegtajai atļaujai EPL izvēlās retranslējamās programmas</w:t>
            </w:r>
            <w:r>
              <w:rPr>
                <w:rFonts w:ascii="Times New Roman" w:hAnsi="Times New Roman" w:cs="Times New Roman"/>
                <w:color w:val="000000" w:themeColor="text1"/>
                <w:sz w:val="24"/>
                <w:szCs w:val="24"/>
              </w:rPr>
              <w:t xml:space="preserve"> no programmu saraksta, kuras jau tiek retranslētas Latvijā, vai pievieno jaunu programmu</w:t>
            </w:r>
            <w:r w:rsidRPr="008D25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Darbības tiek veikts elektroniskā reģistrācijas sistēmā. Šobrīd netiek detalizēti pārbaudīts, vai attiecīgās programmas retranslācijai attiecīgajam EPL ir tiesisks pamats (programmas īpašnieka piekrišana), kas veicina tirgus kropļošanu. </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Tātad retranslācijas a</w:t>
            </w:r>
            <w:r w:rsidRPr="008D25A9">
              <w:rPr>
                <w:rFonts w:ascii="Times New Roman" w:hAnsi="Times New Roman" w:cs="Times New Roman"/>
                <w:color w:val="000000" w:themeColor="text1"/>
                <w:sz w:val="24"/>
                <w:szCs w:val="24"/>
              </w:rPr>
              <w:t xml:space="preserve">tļauja tiek izsniegta </w:t>
            </w:r>
            <w:r>
              <w:rPr>
                <w:rFonts w:ascii="Times New Roman" w:hAnsi="Times New Roman" w:cs="Times New Roman"/>
                <w:color w:val="000000" w:themeColor="text1"/>
                <w:sz w:val="24"/>
                <w:szCs w:val="24"/>
              </w:rPr>
              <w:t xml:space="preserve">bez termiņa ierobežojuma, to izsniedz </w:t>
            </w:r>
            <w:r w:rsidRPr="008D25A9">
              <w:rPr>
                <w:rFonts w:ascii="Times New Roman" w:hAnsi="Times New Roman" w:cs="Times New Roman"/>
                <w:color w:val="000000" w:themeColor="text1"/>
                <w:sz w:val="24"/>
                <w:szCs w:val="24"/>
              </w:rPr>
              <w:t>nevis par katru atsevišķu programmu, bet gan par visām programmām, kuras pakalpojumu sniedzējs izplata.</w:t>
            </w:r>
            <w:r>
              <w:rPr>
                <w:rFonts w:ascii="Times New Roman" w:hAnsi="Times New Roman" w:cs="Times New Roman"/>
                <w:color w:val="000000" w:themeColor="text1"/>
                <w:sz w:val="24"/>
                <w:szCs w:val="24"/>
              </w:rPr>
              <w:t xml:space="preserve"> Līdz ar to nodevas apmērs neatšķiras, vai EPL retranslē desmit vai simts programmas, kā arī no tā, kādas programmas tiek retranslētas. </w:t>
            </w:r>
          </w:p>
          <w:p w:rsidR="001B2481" w:rsidRPr="00D550B6" w:rsidRDefault="001B2481" w:rsidP="00714184">
            <w:pPr>
              <w:spacing w:line="240" w:lineRule="auto"/>
              <w:jc w:val="both"/>
              <w:rPr>
                <w:rFonts w:ascii="Times New Roman" w:hAnsi="Times New Roman" w:cs="Times New Roman"/>
                <w:sz w:val="24"/>
                <w:szCs w:val="24"/>
              </w:rPr>
            </w:pPr>
            <w:r w:rsidRPr="00D550B6">
              <w:rPr>
                <w:rFonts w:ascii="Times New Roman" w:hAnsi="Times New Roman" w:cs="Times New Roman"/>
                <w:color w:val="000000" w:themeColor="text1"/>
                <w:sz w:val="24"/>
                <w:szCs w:val="24"/>
              </w:rPr>
              <w:t>Jāņem vērā, ka s</w:t>
            </w:r>
            <w:r w:rsidR="00FE0780">
              <w:rPr>
                <w:rFonts w:ascii="Times New Roman" w:hAnsi="Times New Roman" w:cs="Times New Roman"/>
                <w:sz w:val="24"/>
                <w:szCs w:val="24"/>
              </w:rPr>
              <w:t>askaņā ar EPLL 21.</w:t>
            </w:r>
            <w:r w:rsidRPr="00D550B6">
              <w:rPr>
                <w:rFonts w:ascii="Times New Roman" w:hAnsi="Times New Roman" w:cs="Times New Roman"/>
                <w:sz w:val="24"/>
                <w:szCs w:val="24"/>
              </w:rPr>
              <w:t xml:space="preserve">pantu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ir piešķirtas tiesības anulēt apraides vai retranslācijas atļauju.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ir tiesīga arī apturēt EPL darbību uz laiku līdz septiņām dienām mazāku pārkāpumu gadījumā, savukārt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pienākums anulēt atļauju noteikts EPL izdarītu būtisku pārkāpumu gadījumā. Izvērtējot pārkāpuma būtiskumu,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jāņem vērā pārkāpuma sabiedriskā bīstamība, EPL veiktās darbības saistībā ar pārkāpuma seku novēršanu, kā arī pārkāpuma ietekme uz vispārējo EPL darbību pirms lēmuma par apraides vai retranslācijas atļaujas anulēšanu vai apturēšanu pieņemšanas.</w:t>
            </w:r>
          </w:p>
          <w:p w:rsidR="001B2481" w:rsidRPr="00D550B6" w:rsidRDefault="001B2481" w:rsidP="00714184">
            <w:pPr>
              <w:spacing w:line="240" w:lineRule="auto"/>
              <w:jc w:val="both"/>
              <w:rPr>
                <w:rFonts w:ascii="Times New Roman" w:hAnsi="Times New Roman" w:cs="Times New Roman"/>
                <w:sz w:val="24"/>
                <w:szCs w:val="24"/>
              </w:rPr>
            </w:pPr>
            <w:r w:rsidRPr="00D550B6">
              <w:rPr>
                <w:rFonts w:ascii="Times New Roman" w:hAnsi="Times New Roman" w:cs="Times New Roman"/>
                <w:sz w:val="24"/>
                <w:szCs w:val="24"/>
              </w:rPr>
              <w:t>Atbilstoši EPLL 21.</w:t>
            </w:r>
            <w:r w:rsidRPr="00D550B6">
              <w:rPr>
                <w:rFonts w:ascii="Times New Roman" w:hAnsi="Times New Roman" w:cs="Times New Roman"/>
                <w:sz w:val="24"/>
                <w:szCs w:val="24"/>
                <w:vertAlign w:val="superscript"/>
              </w:rPr>
              <w:t>1</w:t>
            </w:r>
            <w:r w:rsidRPr="00D550B6">
              <w:rPr>
                <w:rFonts w:ascii="Times New Roman" w:hAnsi="Times New Roman" w:cs="Times New Roman"/>
                <w:sz w:val="24"/>
                <w:szCs w:val="24"/>
              </w:rPr>
              <w:t xml:space="preserve">pantam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kompetencē ir arī nodrošināt uztveršanas brīvību un neierobežot EPL audiovizuālās programmas retranslāciju no citas Eiropas Savienības dalībvalsts vai Eiropas Ekonomiskās zonas valsts, tai pašā laikā izsekojot programmu saturu atbilstību EPLL ietvertajiem noteikumiem. Piemēram, ja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konstatē, ka attiecīgajā programmā pēdējā gada laikā divas reizes laikā no 7.00 līdz 22.00 ticis izplatīts audio un audiovizuāls darbs, kurā atainota fizis</w:t>
            </w:r>
            <w:r>
              <w:rPr>
                <w:rFonts w:ascii="Times New Roman" w:hAnsi="Times New Roman" w:cs="Times New Roman"/>
                <w:sz w:val="24"/>
                <w:szCs w:val="24"/>
              </w:rPr>
              <w:t>ka vai psiholoģiska vardarbība</w:t>
            </w:r>
            <w:r w:rsidRPr="00D550B6">
              <w:rPr>
                <w:rFonts w:ascii="Times New Roman" w:hAnsi="Times New Roman" w:cs="Times New Roman"/>
                <w:sz w:val="24"/>
                <w:szCs w:val="24"/>
              </w:rPr>
              <w:t xml:space="preserve">, ar narkotiku lietošanu un seksuālām darbībām saistītas ainas, tad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kompetencē vispirms ir informēt attiecīgo EPL, attiecīgo valsti, kā arī Eiropas Komisiju. Tikai tajā gadījumā, ja apspriešanās ar attiecīgo EPL, valsti un Eiropas Komisiju noslēgusies bez risinājuma un EPL atkārtoti pieļauj pārkāpumu,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ir </w:t>
            </w:r>
            <w:r w:rsidRPr="00D550B6">
              <w:rPr>
                <w:rFonts w:ascii="Times New Roman" w:hAnsi="Times New Roman" w:cs="Times New Roman"/>
                <w:sz w:val="24"/>
                <w:szCs w:val="24"/>
              </w:rPr>
              <w:lastRenderedPageBreak/>
              <w:t>tiesīga pati lemt par attiecīgās programmas aizliegumu.</w:t>
            </w:r>
          </w:p>
          <w:p w:rsidR="001B2481" w:rsidRPr="00D550B6" w:rsidRDefault="001B2481" w:rsidP="00714184">
            <w:pPr>
              <w:spacing w:line="240" w:lineRule="auto"/>
              <w:jc w:val="both"/>
              <w:rPr>
                <w:rFonts w:ascii="Times New Roman" w:hAnsi="Times New Roman" w:cs="Times New Roman"/>
                <w:sz w:val="24"/>
                <w:szCs w:val="24"/>
              </w:rPr>
            </w:pPr>
            <w:r w:rsidRPr="00D550B6">
              <w:rPr>
                <w:rFonts w:ascii="Times New Roman" w:hAnsi="Times New Roman" w:cs="Times New Roman"/>
                <w:sz w:val="24"/>
                <w:szCs w:val="24"/>
              </w:rPr>
              <w:t xml:space="preserve">EPLL regulējums piešķir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kompetenci arī pārbaudīt citas Eiropas Savienības vai Ekonomiskās zonas valsts jurisdikcijā esošu EPL audiovizuālu programmu, kas vērsta uz Latvijas teritoriju, veidošanas nosacījumus. Gadījumā, ja </w:t>
            </w:r>
            <w:r w:rsidR="00FE0780">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konstatē, ka ir pārkāpti Latvijas normatīvo aktu noteikumi, kas detalizētāk vai stingrāk regulē programmu veidošanas nosacījumus, taču atbilst Eiropas Savienības tiesību aktiem, </w:t>
            </w:r>
            <w:r w:rsidR="003B59C8">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līdzīgi kā iepriekš, arī vispirms ir pienākums informēt attiecīgo EPL un attiecīgo valsti par konstatētajiem pārkāpumiem, kā arī tiesības lūgt attiecīgo valsti nodrošināt, lai EPL ievēro Latvijas normatīvo aktu prasības. </w:t>
            </w:r>
            <w:r w:rsidR="003B59C8">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ir tiesīga pati lemt par EPL programmas izplatīšanas aizliegumu tikai pēc tam, kad ir informēti attiecīgie subjekti (arī Eiropas Komisija), taču risinājums nav panākts, un Eiropas Komisija ir pieņēmusi lēmumu par </w:t>
            </w:r>
            <w:r w:rsidR="003B59C8">
              <w:rPr>
                <w:rFonts w:ascii="Times New Roman" w:hAnsi="Times New Roman" w:cs="Times New Roman"/>
                <w:color w:val="000000" w:themeColor="text1"/>
                <w:sz w:val="24"/>
                <w:szCs w:val="24"/>
              </w:rPr>
              <w:t>NEPLP</w:t>
            </w:r>
            <w:r w:rsidRPr="00D550B6">
              <w:rPr>
                <w:rFonts w:ascii="Times New Roman" w:hAnsi="Times New Roman" w:cs="Times New Roman"/>
                <w:sz w:val="24"/>
                <w:szCs w:val="24"/>
              </w:rPr>
              <w:t xml:space="preserve"> tiesībām rīkoties.</w:t>
            </w:r>
          </w:p>
          <w:p w:rsidR="001B2481" w:rsidRPr="005A793B" w:rsidRDefault="001B2481" w:rsidP="00714184">
            <w:pPr>
              <w:spacing w:line="240" w:lineRule="auto"/>
              <w:jc w:val="both"/>
              <w:rPr>
                <w:rFonts w:ascii="Times New Roman" w:hAnsi="Times New Roman" w:cs="Times New Roman"/>
                <w:b/>
                <w:color w:val="000000" w:themeColor="text1"/>
                <w:sz w:val="24"/>
                <w:szCs w:val="24"/>
              </w:rPr>
            </w:pPr>
            <w:r w:rsidRPr="005A793B">
              <w:rPr>
                <w:rFonts w:ascii="Times New Roman" w:hAnsi="Times New Roman" w:cs="Times New Roman"/>
                <w:b/>
                <w:color w:val="000000" w:themeColor="text1"/>
                <w:sz w:val="24"/>
                <w:szCs w:val="24"/>
              </w:rPr>
              <w:t>Valsts nodevas</w:t>
            </w:r>
          </w:p>
          <w:p w:rsidR="001B2481" w:rsidRPr="00DB1605" w:rsidRDefault="003B59C8" w:rsidP="00714184">
            <w:pPr>
              <w:spacing w:line="240" w:lineRule="auto"/>
              <w:jc w:val="both"/>
            </w:pPr>
            <w:r>
              <w:rPr>
                <w:rFonts w:ascii="Times New Roman" w:hAnsi="Times New Roman" w:cs="Times New Roman"/>
                <w:color w:val="000000" w:themeColor="text1"/>
                <w:sz w:val="24"/>
                <w:szCs w:val="24"/>
              </w:rPr>
              <w:t>2012.</w:t>
            </w:r>
            <w:r w:rsidR="001B2481" w:rsidRPr="00DB1605">
              <w:rPr>
                <w:rFonts w:ascii="Times New Roman" w:hAnsi="Times New Roman" w:cs="Times New Roman"/>
                <w:color w:val="000000" w:themeColor="text1"/>
                <w:sz w:val="24"/>
                <w:szCs w:val="24"/>
              </w:rPr>
              <w:t xml:space="preserve">gada 20.marta informatīvajā ziņojumā </w:t>
            </w:r>
            <w:r>
              <w:rPr>
                <w:rFonts w:ascii="Times New Roman" w:hAnsi="Times New Roman" w:cs="Times New Roman"/>
                <w:color w:val="000000" w:themeColor="text1"/>
                <w:sz w:val="24"/>
                <w:szCs w:val="24"/>
              </w:rPr>
              <w:t>„</w:t>
            </w:r>
            <w:r w:rsidR="001B2481" w:rsidRPr="00DB1605">
              <w:rPr>
                <w:rFonts w:ascii="Times New Roman" w:hAnsi="Times New Roman" w:cs="Times New Roman"/>
                <w:color w:val="000000" w:themeColor="text1"/>
                <w:sz w:val="24"/>
                <w:szCs w:val="24"/>
              </w:rPr>
              <w:t xml:space="preserve">Par valsts nodevu un maksas pakalpojumu nošķiršanu un valsts nodevu sistēmas pilnveidošanu” paredzēts: </w:t>
            </w:r>
            <w:r>
              <w:rPr>
                <w:rFonts w:ascii="Times New Roman" w:hAnsi="Times New Roman" w:cs="Times New Roman"/>
                <w:color w:val="000000" w:themeColor="text1"/>
                <w:sz w:val="24"/>
                <w:szCs w:val="24"/>
              </w:rPr>
              <w:t>„</w:t>
            </w:r>
            <w:r w:rsidR="001B2481" w:rsidRPr="00DB1605">
              <w:rPr>
                <w:rFonts w:ascii="Times New Roman" w:hAnsi="Times New Roman" w:cs="Times New Roman"/>
                <w:color w:val="000000" w:themeColor="text1"/>
                <w:sz w:val="24"/>
                <w:szCs w:val="24"/>
              </w:rPr>
              <w:t>(..) jaunas valsts nodevas nosakāmas tikai speciālam mērķim – sasniegt kādu konkrētu politikas rezultātu atsevišķā darbības jomā, t.sk. ar mērķi regulēt aizsargāt, attīstīt, kontrolēt un uzraudzīt.”</w:t>
            </w:r>
            <w:r w:rsidR="001B2481" w:rsidRPr="00DB1605">
              <w:rPr>
                <w:rStyle w:val="Vresatsauce"/>
                <w:rFonts w:ascii="Times New Roman" w:hAnsi="Times New Roman" w:cs="Times New Roman"/>
                <w:color w:val="000000" w:themeColor="text1"/>
                <w:sz w:val="24"/>
                <w:szCs w:val="24"/>
              </w:rPr>
              <w:t xml:space="preserve"> </w:t>
            </w:r>
            <w:r w:rsidR="001B2481" w:rsidRPr="00DB1605">
              <w:rPr>
                <w:rFonts w:ascii="Times New Roman" w:hAnsi="Times New Roman" w:cs="Times New Roman"/>
                <w:color w:val="000000" w:themeColor="text1"/>
                <w:sz w:val="24"/>
                <w:szCs w:val="24"/>
              </w:rPr>
              <w:t>Nodeva, atšķirībā no nodokļa, nav regulārs maksājums, izņemot tās valsts nodevas, kuras saistītas ar uzraudzības, kontroles veikšanu un kuru maksāšanas regularitāte ir atkarīga no minēto darbību veikšanas biežuma.”</w:t>
            </w:r>
            <w:r w:rsidR="001B2481" w:rsidRPr="00DB1605">
              <w:rPr>
                <w:rStyle w:val="Vresatsauce"/>
                <w:rFonts w:ascii="Times New Roman" w:hAnsi="Times New Roman" w:cs="Times New Roman"/>
                <w:color w:val="000000" w:themeColor="text1"/>
                <w:sz w:val="24"/>
                <w:szCs w:val="24"/>
              </w:rPr>
              <w:footnoteReference w:id="1"/>
            </w:r>
          </w:p>
          <w:p w:rsidR="001B2481"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Valsts nodevu noteikšana ir cieši saistīta ar valsts rīcības brīvību. Satversmes tiesa ir norādījusi, ka valstij, nosakot un realizējot savu </w:t>
            </w:r>
            <w:r>
              <w:rPr>
                <w:rFonts w:ascii="Times New Roman" w:hAnsi="Times New Roman" w:cs="Times New Roman"/>
                <w:color w:val="000000" w:themeColor="text1"/>
                <w:sz w:val="24"/>
                <w:szCs w:val="24"/>
              </w:rPr>
              <w:t>šādu</w:t>
            </w:r>
            <w:r w:rsidRPr="008D25A9">
              <w:rPr>
                <w:rFonts w:ascii="Times New Roman" w:hAnsi="Times New Roman" w:cs="Times New Roman"/>
                <w:color w:val="000000" w:themeColor="text1"/>
                <w:sz w:val="24"/>
                <w:szCs w:val="24"/>
              </w:rPr>
              <w:t xml:space="preserve"> politiku, ir plaša rīcības brīvība. Tajā ietilpst tiesības izvēlēties, kādas likmes un kādām personu kategorijām paredzamas, kā arī tiesības noteikt attiecīgā regulējuma detaļas. Likumdevēja izšķiršanās par to, kāds nodoklis </w:t>
            </w:r>
            <w:r>
              <w:rPr>
                <w:rFonts w:ascii="Times New Roman" w:hAnsi="Times New Roman" w:cs="Times New Roman"/>
                <w:color w:val="000000" w:themeColor="text1"/>
                <w:sz w:val="24"/>
                <w:szCs w:val="24"/>
              </w:rPr>
              <w:t xml:space="preserve">vai nodeva būtu samērīga un nepieciešama, </w:t>
            </w:r>
            <w:r w:rsidRPr="008D25A9">
              <w:rPr>
                <w:rFonts w:ascii="Times New Roman" w:hAnsi="Times New Roman" w:cs="Times New Roman"/>
                <w:color w:val="000000" w:themeColor="text1"/>
                <w:sz w:val="24"/>
                <w:szCs w:val="24"/>
              </w:rPr>
              <w:t>ir politikas un lietderības jautājums (</w:t>
            </w:r>
            <w:r w:rsidR="003B59C8">
              <w:rPr>
                <w:rFonts w:ascii="Times New Roman" w:hAnsi="Times New Roman" w:cs="Times New Roman"/>
                <w:i/>
                <w:color w:val="000000" w:themeColor="text1"/>
                <w:sz w:val="24"/>
                <w:szCs w:val="24"/>
              </w:rPr>
              <w:t>sk. Satversmes tiesas 2011.gada 20.</w:t>
            </w:r>
            <w:r w:rsidRPr="008D25A9">
              <w:rPr>
                <w:rFonts w:ascii="Times New Roman" w:hAnsi="Times New Roman" w:cs="Times New Roman"/>
                <w:i/>
                <w:color w:val="000000" w:themeColor="text1"/>
                <w:sz w:val="24"/>
                <w:szCs w:val="24"/>
              </w:rPr>
              <w:t>maija sp</w:t>
            </w:r>
            <w:r w:rsidR="003B59C8">
              <w:rPr>
                <w:rFonts w:ascii="Times New Roman" w:hAnsi="Times New Roman" w:cs="Times New Roman"/>
                <w:i/>
                <w:color w:val="000000" w:themeColor="text1"/>
                <w:sz w:val="24"/>
                <w:szCs w:val="24"/>
              </w:rPr>
              <w:t>rieduma lietā Nr.</w:t>
            </w:r>
            <w:r>
              <w:rPr>
                <w:rFonts w:ascii="Times New Roman" w:hAnsi="Times New Roman" w:cs="Times New Roman"/>
                <w:i/>
                <w:color w:val="000000" w:themeColor="text1"/>
                <w:sz w:val="24"/>
                <w:szCs w:val="24"/>
              </w:rPr>
              <w:t>2010-70-01 9.</w:t>
            </w:r>
            <w:r w:rsidRPr="008D25A9">
              <w:rPr>
                <w:rFonts w:ascii="Times New Roman" w:hAnsi="Times New Roman" w:cs="Times New Roman"/>
                <w:i/>
                <w:color w:val="000000" w:themeColor="text1"/>
                <w:sz w:val="24"/>
                <w:szCs w:val="24"/>
              </w:rPr>
              <w:t>punktu</w:t>
            </w:r>
            <w:r w:rsidRPr="008D25A9">
              <w:rPr>
                <w:rFonts w:ascii="Times New Roman" w:hAnsi="Times New Roman" w:cs="Times New Roman"/>
                <w:color w:val="000000" w:themeColor="text1"/>
                <w:sz w:val="24"/>
                <w:szCs w:val="24"/>
              </w:rPr>
              <w:t>). Likumdevējam ir plaša rīcības brīvība, nosakot arī to, kādus nodokļu atvieglojumus un pēc kādiem kritērijiem tā vai cita personu grupa var saņemt (</w:t>
            </w:r>
            <w:r w:rsidR="003B59C8">
              <w:rPr>
                <w:rFonts w:ascii="Times New Roman" w:hAnsi="Times New Roman" w:cs="Times New Roman"/>
                <w:i/>
                <w:color w:val="000000" w:themeColor="text1"/>
                <w:sz w:val="24"/>
                <w:szCs w:val="24"/>
              </w:rPr>
              <w:t>sk. Satversmes tiesas 2011.gada 20.</w:t>
            </w:r>
            <w:r w:rsidRPr="008D25A9">
              <w:rPr>
                <w:rFonts w:ascii="Times New Roman" w:hAnsi="Times New Roman" w:cs="Times New Roman"/>
                <w:i/>
                <w:color w:val="000000" w:themeColor="text1"/>
                <w:sz w:val="24"/>
                <w:szCs w:val="24"/>
              </w:rPr>
              <w:t>maija spr</w:t>
            </w:r>
            <w:r w:rsidR="003B59C8">
              <w:rPr>
                <w:rFonts w:ascii="Times New Roman" w:hAnsi="Times New Roman" w:cs="Times New Roman"/>
                <w:i/>
                <w:color w:val="000000" w:themeColor="text1"/>
                <w:sz w:val="24"/>
                <w:szCs w:val="24"/>
              </w:rPr>
              <w:t>ieduma lietā Nr.</w:t>
            </w:r>
            <w:r>
              <w:rPr>
                <w:rFonts w:ascii="Times New Roman" w:hAnsi="Times New Roman" w:cs="Times New Roman"/>
                <w:i/>
                <w:color w:val="000000" w:themeColor="text1"/>
                <w:sz w:val="24"/>
                <w:szCs w:val="24"/>
              </w:rPr>
              <w:t>2010-70-01 16.</w:t>
            </w:r>
            <w:r w:rsidRPr="008D25A9">
              <w:rPr>
                <w:rFonts w:ascii="Times New Roman" w:hAnsi="Times New Roman" w:cs="Times New Roman"/>
                <w:i/>
                <w:color w:val="000000" w:themeColor="text1"/>
                <w:sz w:val="24"/>
                <w:szCs w:val="24"/>
              </w:rPr>
              <w:t>punktu</w:t>
            </w:r>
            <w:r w:rsidRPr="008D25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Paredzot papildu valsts nodevas un nosakot atvieglojumus </w:t>
            </w:r>
            <w:r>
              <w:rPr>
                <w:rFonts w:ascii="Times New Roman" w:hAnsi="Times New Roman" w:cs="Times New Roman"/>
                <w:color w:val="000000" w:themeColor="text1"/>
                <w:sz w:val="24"/>
                <w:szCs w:val="24"/>
              </w:rPr>
              <w:lastRenderedPageBreak/>
              <w:t xml:space="preserve">no tām, būs iespējams sasniegt papildu politikas mērķus. </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Pirmkārt, ikgadējā apraides tiesību īstenošanas uzraudzības nodeva ne tikai ļaus segt papildu izdevumus, kas ir būtiski gadījumos, kad, piemēram, jāveic EPL nedēļas raidlaika pārbaude (īpaši pārrobežu televīzijai, kas nav pat Latvijā pieejama un nav latviešu valodā), bet paredzētais izņēmums no tās stimulēs veidot programm</w:t>
            </w:r>
            <w:r w:rsidR="0039607F">
              <w:rPr>
                <w:rFonts w:ascii="Times New Roman" w:hAnsi="Times New Roman" w:cs="Times New Roman"/>
                <w:color w:val="000000" w:themeColor="text1"/>
                <w:sz w:val="24"/>
                <w:szCs w:val="24"/>
              </w:rPr>
              <w:t xml:space="preserve">as ar lielāku latviešu valodas </w:t>
            </w:r>
            <w:r>
              <w:rPr>
                <w:rFonts w:ascii="Times New Roman" w:hAnsi="Times New Roman" w:cs="Times New Roman"/>
                <w:color w:val="000000" w:themeColor="text1"/>
                <w:sz w:val="24"/>
                <w:szCs w:val="24"/>
              </w:rPr>
              <w:t xml:space="preserve">un tieši raidījumu latviešu valodā īpatsvaru, tādējādi nemaksājot attiecīgo nodevu. EPL varēs izvēlēties arī to nedarīt, bet tad EPL nevarēs izmantot atvieglojumu no ikgadējās valsts nodevas. </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Otrkārt, valsts nodeva par retranslācijas atļaujas pārreģistr</w:t>
            </w:r>
            <w:r w:rsidR="006A3DF7">
              <w:rPr>
                <w:rFonts w:ascii="Times New Roman" w:hAnsi="Times New Roman" w:cs="Times New Roman"/>
                <w:color w:val="000000" w:themeColor="text1"/>
                <w:sz w:val="24"/>
                <w:szCs w:val="24"/>
              </w:rPr>
              <w:t xml:space="preserve">āciju </w:t>
            </w:r>
            <w:r>
              <w:rPr>
                <w:rFonts w:ascii="Times New Roman" w:hAnsi="Times New Roman" w:cs="Times New Roman"/>
                <w:color w:val="000000" w:themeColor="text1"/>
                <w:sz w:val="24"/>
                <w:szCs w:val="24"/>
              </w:rPr>
              <w:t xml:space="preserve">(bija paredzēta Radio un Televīzijas likumā) ne tikai segs izdevumus par padziļinātākām pārbaudēm, vai EPL ir programmas īpašnieka atļauja un vai retranslējamās programmas saturs nepārkāpj likumā noteikto, bet arī EPL liks apsvērt, vai nepieciešams retranslēt tik daudz un tieši šādas programmas. MK noteikumos paredzētie izņēmumi stimulēs retranslēt programmas latviešu valodā vai bez Latvijas auditorijai adresētām reklāmām, neizņemot apraides atļauju Latvijā. Tas veicinās arī godīgāku konkurenci EPL starpā, jo </w:t>
            </w:r>
            <w:r w:rsidR="0039607F">
              <w:rPr>
                <w:rFonts w:ascii="Times New Roman" w:hAnsi="Times New Roman" w:cs="Times New Roman"/>
                <w:color w:val="000000" w:themeColor="text1"/>
                <w:sz w:val="24"/>
                <w:szCs w:val="24"/>
              </w:rPr>
              <w:t>NEPLP</w:t>
            </w:r>
            <w:r>
              <w:rPr>
                <w:rFonts w:ascii="Times New Roman" w:hAnsi="Times New Roman" w:cs="Times New Roman"/>
                <w:color w:val="000000" w:themeColor="text1"/>
                <w:sz w:val="24"/>
                <w:szCs w:val="24"/>
              </w:rPr>
              <w:t xml:space="preserve"> varēs efektīvāk nodrošināt, pārliecinoties par retranslācijas tiesīgumu. MK noteikumu tekstā iecerēts noteikt virkni atvieglojumu no valsts nodevas, piemēram, retranslācija notiek likumā noteiktajos gadījumos,  tiek retranslētas izglītības un kultūras programmas vai programmas ar noteiktu latviešu valodas īpatsvaru. MK noteikumos paredzēts noteikt, ka par citu valstu EPL programmu, kurās ietvertas Latvijas auditorijai paredzētas reklāmas, retranslēšanu nodeva būs maksājama divkāršā apmērā. Tas neattiektos uz EPL, kas saņēmuši apraides atļauju Latvijā. </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Treškārt, paredzēts ieviest nodevu par izmaiņu izdarīšanu apraides atļaujas pamatnosacījumos, lai EPL izvērtētu šādu grozījumu skaita un apjoma lietderību, pēc iespējas atturētu no pamatnosacījumu maiņas arī tajā apjomā, ko likums pieļauj. </w:t>
            </w:r>
            <w:r w:rsidRPr="008D25A9">
              <w:rPr>
                <w:rFonts w:ascii="Times New Roman" w:hAnsi="Times New Roman" w:cs="Times New Roman"/>
                <w:color w:val="000000" w:themeColor="text1"/>
                <w:sz w:val="24"/>
                <w:szCs w:val="24"/>
              </w:rPr>
              <w:t xml:space="preserve">Ņemot vērā to, ka daļu no apraides atļaujas pamatnosacījumiem drīkst grozīt, un tas tiek darīts, izstrādātie grozījumi paredz, ka valsts nodeva tiek maksāta ne tikai par apraides atļaujas izsniegšanu, bet arī </w:t>
            </w:r>
            <w:r w:rsidRPr="008D25A9">
              <w:rPr>
                <w:rFonts w:ascii="Times New Roman" w:hAnsi="Times New Roman" w:cs="Times New Roman"/>
                <w:b/>
                <w:color w:val="000000" w:themeColor="text1"/>
                <w:sz w:val="24"/>
                <w:szCs w:val="24"/>
              </w:rPr>
              <w:t>par apraides atļaujas pamatnosacījumu pārskatīšanu</w:t>
            </w:r>
            <w:r w:rsidRPr="008D25A9">
              <w:rPr>
                <w:rFonts w:ascii="Times New Roman" w:hAnsi="Times New Roman" w:cs="Times New Roman"/>
                <w:color w:val="000000" w:themeColor="text1"/>
                <w:sz w:val="24"/>
                <w:szCs w:val="24"/>
              </w:rPr>
              <w:t>. Proti, gadījumā, ja EPL lūdz veikt izmaiņas izsniegtajā atļaujā, tam ir pienākums maksāt valsts nodevu, kas ir tiešā veidā saistīta ar valsts nodevu par atļaujas izsniegšanu.</w:t>
            </w:r>
            <w:r>
              <w:rPr>
                <w:rFonts w:ascii="Times New Roman" w:hAnsi="Times New Roman" w:cs="Times New Roman"/>
                <w:color w:val="000000" w:themeColor="text1"/>
                <w:sz w:val="24"/>
                <w:szCs w:val="24"/>
              </w:rPr>
              <w:t xml:space="preserve"> Līdzīgs regulējums paredzēts arī citās nozarēs.</w:t>
            </w:r>
          </w:p>
          <w:p w:rsidR="001B2481" w:rsidRPr="00A255E8" w:rsidRDefault="001B2481" w:rsidP="00714184">
            <w:pPr>
              <w:spacing w:line="240" w:lineRule="auto"/>
              <w:jc w:val="both"/>
              <w:rPr>
                <w:rFonts w:ascii="Times New Roman" w:hAnsi="Times New Roman" w:cs="Times New Roman"/>
                <w:b/>
                <w:color w:val="000000" w:themeColor="text1"/>
                <w:sz w:val="24"/>
                <w:szCs w:val="24"/>
              </w:rPr>
            </w:pPr>
            <w:r w:rsidRPr="00A255E8">
              <w:rPr>
                <w:rFonts w:ascii="Times New Roman" w:hAnsi="Times New Roman" w:cs="Times New Roman"/>
                <w:b/>
                <w:color w:val="000000" w:themeColor="text1"/>
                <w:sz w:val="24"/>
                <w:szCs w:val="24"/>
              </w:rPr>
              <w:t>Grozījumu būtība</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Izstrādātie grozījumi paredz, ka </w:t>
            </w:r>
            <w:r w:rsidRPr="008D25A9">
              <w:rPr>
                <w:rFonts w:ascii="Times New Roman" w:hAnsi="Times New Roman" w:cs="Times New Roman"/>
                <w:b/>
                <w:color w:val="000000" w:themeColor="text1"/>
                <w:sz w:val="24"/>
                <w:szCs w:val="24"/>
              </w:rPr>
              <w:t xml:space="preserve">par apraides tiesību </w:t>
            </w:r>
            <w:r w:rsidRPr="008D25A9">
              <w:rPr>
                <w:rFonts w:ascii="Times New Roman" w:hAnsi="Times New Roman" w:cs="Times New Roman"/>
                <w:b/>
                <w:color w:val="000000" w:themeColor="text1"/>
                <w:sz w:val="24"/>
                <w:szCs w:val="24"/>
              </w:rPr>
              <w:lastRenderedPageBreak/>
              <w:t>īstenošanas uzraudzību</w:t>
            </w:r>
            <w:r w:rsidRPr="008D25A9">
              <w:rPr>
                <w:rFonts w:ascii="Times New Roman" w:hAnsi="Times New Roman" w:cs="Times New Roman"/>
                <w:color w:val="000000" w:themeColor="text1"/>
                <w:sz w:val="24"/>
                <w:szCs w:val="24"/>
              </w:rPr>
              <w:t xml:space="preserve"> maksā ikgadējo valsts nodevu attiecībā uz komerciālo pārrobežu televīzijas programmu vai komerciālo nacionālo televīzijas programmu. Ikgadējā nodeva, kuras mērķis ir kompetentās institūcijas uzraudzības funkcijas nodrošināšana</w:t>
            </w:r>
            <w:r>
              <w:rPr>
                <w:rFonts w:ascii="Times New Roman" w:hAnsi="Times New Roman" w:cs="Times New Roman"/>
                <w:color w:val="000000" w:themeColor="text1"/>
                <w:sz w:val="24"/>
                <w:szCs w:val="24"/>
              </w:rPr>
              <w:t xml:space="preserve"> un latviešu valodas īpatsvara palielināšana šajās programmās</w:t>
            </w:r>
            <w:r w:rsidRPr="008D25A9">
              <w:rPr>
                <w:rFonts w:ascii="Times New Roman" w:hAnsi="Times New Roman" w:cs="Times New Roman"/>
                <w:color w:val="000000" w:themeColor="text1"/>
                <w:sz w:val="24"/>
                <w:szCs w:val="24"/>
              </w:rPr>
              <w:t xml:space="preserve">, paredzēta ne tikai </w:t>
            </w:r>
            <w:r>
              <w:rPr>
                <w:rFonts w:ascii="Times New Roman" w:hAnsi="Times New Roman" w:cs="Times New Roman"/>
                <w:color w:val="000000" w:themeColor="text1"/>
                <w:sz w:val="24"/>
                <w:szCs w:val="24"/>
              </w:rPr>
              <w:t>turpmāk</w:t>
            </w:r>
            <w:r w:rsidRPr="008D25A9">
              <w:rPr>
                <w:rFonts w:ascii="Times New Roman" w:hAnsi="Times New Roman" w:cs="Times New Roman"/>
                <w:color w:val="000000" w:themeColor="text1"/>
                <w:sz w:val="24"/>
                <w:szCs w:val="24"/>
              </w:rPr>
              <w:t xml:space="preserve"> apskatītajos ārvalstu normatīvajos aktos, bet arī vairākās citās nozarēs Latvijā. </w:t>
            </w:r>
          </w:p>
          <w:p w:rsidR="001B2481" w:rsidRPr="008D25A9" w:rsidRDefault="001B2481" w:rsidP="00714184">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Tā, piemēram, l</w:t>
            </w:r>
            <w:r w:rsidRPr="008D25A9">
              <w:rPr>
                <w:rFonts w:ascii="Times New Roman" w:hAnsi="Times New Roman" w:cs="Times New Roman"/>
                <w:color w:val="000000" w:themeColor="text1"/>
                <w:sz w:val="24"/>
                <w:szCs w:val="24"/>
              </w:rPr>
              <w:t xml:space="preserve">ikuma </w:t>
            </w:r>
            <w:r w:rsidR="00714184">
              <w:rPr>
                <w:rFonts w:ascii="Times New Roman" w:hAnsi="Times New Roman" w:cs="Times New Roman"/>
                <w:color w:val="000000" w:themeColor="text1"/>
                <w:sz w:val="24"/>
                <w:szCs w:val="24"/>
              </w:rPr>
              <w:t>„</w:t>
            </w:r>
            <w:r w:rsidRPr="008D25A9">
              <w:rPr>
                <w:rFonts w:ascii="Times New Roman" w:hAnsi="Times New Roman" w:cs="Times New Roman"/>
                <w:color w:val="000000" w:themeColor="text1"/>
                <w:sz w:val="24"/>
                <w:szCs w:val="24"/>
              </w:rPr>
              <w:t>Par nodokļiem</w:t>
            </w:r>
            <w:r w:rsidR="00714184">
              <w:rPr>
                <w:rFonts w:ascii="Times New Roman" w:hAnsi="Times New Roman" w:cs="Times New Roman"/>
                <w:color w:val="000000" w:themeColor="text1"/>
                <w:sz w:val="24"/>
                <w:szCs w:val="24"/>
              </w:rPr>
              <w:t xml:space="preserve"> un nodevām” 11.</w:t>
            </w:r>
            <w:r w:rsidRPr="008D25A9">
              <w:rPr>
                <w:rFonts w:ascii="Times New Roman" w:hAnsi="Times New Roman" w:cs="Times New Roman"/>
                <w:color w:val="000000" w:themeColor="text1"/>
                <w:sz w:val="24"/>
                <w:szCs w:val="24"/>
              </w:rPr>
              <w:t xml:space="preserve">pants paredz ikgadēju valsts nodevu par valsts sniegto nodrošinājumu šādās jomās: </w:t>
            </w:r>
            <w:r w:rsidRPr="008D25A9">
              <w:rPr>
                <w:rFonts w:ascii="Times New Roman" w:hAnsi="Times New Roman" w:cs="Times New Roman"/>
                <w:color w:val="000000" w:themeColor="text1"/>
                <w:sz w:val="24"/>
                <w:szCs w:val="24"/>
                <w:shd w:val="clear" w:color="auto" w:fill="FFFFFF"/>
              </w:rPr>
              <w:t>par reģistrācijas darbībām būvkomersantu reģistrā; par Elektronisko sakaru likumā noteiktajām numerācijas resursu lietošanas tiesībām;</w:t>
            </w:r>
            <w:r w:rsidRPr="008D25A9">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shd w:val="clear" w:color="auto" w:fill="FFFFFF"/>
              </w:rPr>
              <w:t>par kredītinformācijas biroja darbības uzraudzību; par tādu licencēto kapitālsabiedrību darbības uzraudzību, kuras sniedz patērētāju kreditēšanas pakalpojumus;</w:t>
            </w:r>
            <w:r w:rsidRPr="008D25A9">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shd w:val="clear" w:color="auto" w:fill="FFFFFF"/>
              </w:rPr>
              <w:t>par kredīta starpnieku un kredīta starpnieku pārstāvju uzraudzību.</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Izstrādātie grozījumi </w:t>
            </w:r>
            <w:r>
              <w:rPr>
                <w:rFonts w:ascii="Times New Roman" w:hAnsi="Times New Roman" w:cs="Times New Roman"/>
                <w:color w:val="000000" w:themeColor="text1"/>
                <w:sz w:val="24"/>
                <w:szCs w:val="24"/>
              </w:rPr>
              <w:t xml:space="preserve">MK noteikumos, kas ir saistīti ar likuma grozījumiem, </w:t>
            </w:r>
            <w:r w:rsidRPr="008D25A9">
              <w:rPr>
                <w:rFonts w:ascii="Times New Roman" w:hAnsi="Times New Roman" w:cs="Times New Roman"/>
                <w:color w:val="000000" w:themeColor="text1"/>
                <w:sz w:val="24"/>
                <w:szCs w:val="24"/>
              </w:rPr>
              <w:t>paredz, ka valsts nodevu nav pienākums maksāt, ja attiecīgā programma</w:t>
            </w:r>
            <w:r>
              <w:rPr>
                <w:rFonts w:ascii="Times New Roman" w:hAnsi="Times New Roman" w:cs="Times New Roman"/>
                <w:color w:val="000000" w:themeColor="text1"/>
                <w:sz w:val="24"/>
                <w:szCs w:val="24"/>
              </w:rPr>
              <w:t xml:space="preserve"> izpilda noteiktas prasības attiecībā uz valsts valodas īpatsvaru.</w:t>
            </w:r>
            <w:r w:rsidRPr="008D25A9">
              <w:rPr>
                <w:rFonts w:ascii="Times New Roman" w:hAnsi="Times New Roman" w:cs="Times New Roman"/>
                <w:color w:val="000000" w:themeColor="text1"/>
                <w:sz w:val="24"/>
                <w:szCs w:val="24"/>
              </w:rPr>
              <w:t xml:space="preserve"> Tātad vienlaikus tiek paredzētas satura prasības attiecībā uz valsts valodas lietojumu, kas vienādi attiecas uz nacionālo un pārrobežu </w:t>
            </w:r>
            <w:r>
              <w:rPr>
                <w:rFonts w:ascii="Times New Roman" w:hAnsi="Times New Roman" w:cs="Times New Roman"/>
                <w:color w:val="000000" w:themeColor="text1"/>
                <w:sz w:val="24"/>
                <w:szCs w:val="24"/>
              </w:rPr>
              <w:t>komerciālo EPL.</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Tāpat ir</w:t>
            </w:r>
            <w:r w:rsidRPr="008D25A9">
              <w:rPr>
                <w:rFonts w:ascii="Times New Roman" w:hAnsi="Times New Roman" w:cs="Times New Roman"/>
                <w:color w:val="000000" w:themeColor="text1"/>
                <w:sz w:val="24"/>
                <w:szCs w:val="24"/>
              </w:rPr>
              <w:t xml:space="preserve"> jāparedz, ka </w:t>
            </w:r>
            <w:r w:rsidR="00714184">
              <w:rPr>
                <w:rFonts w:ascii="Times New Roman" w:hAnsi="Times New Roman" w:cs="Times New Roman"/>
                <w:color w:val="000000" w:themeColor="text1"/>
                <w:sz w:val="24"/>
                <w:szCs w:val="24"/>
              </w:rPr>
              <w:t>NEPLP</w:t>
            </w:r>
            <w:r w:rsidRPr="008D25A9">
              <w:rPr>
                <w:rFonts w:ascii="Times New Roman" w:hAnsi="Times New Roman" w:cs="Times New Roman"/>
                <w:color w:val="000000" w:themeColor="text1"/>
                <w:sz w:val="24"/>
                <w:szCs w:val="24"/>
              </w:rPr>
              <w:t xml:space="preserve"> ir tiesības anulēt atļauju, ja </w:t>
            </w:r>
            <w:r w:rsidRPr="00D550B6">
              <w:rPr>
                <w:rFonts w:ascii="Times New Roman" w:hAnsi="Times New Roman" w:cs="Times New Roman"/>
                <w:color w:val="000000" w:themeColor="text1"/>
                <w:sz w:val="24"/>
                <w:szCs w:val="24"/>
              </w:rPr>
              <w:t>EPL nav samaksājis valsts nodevu par retranslācijas atļaujas pārreģistrāciju (papildināma 21</w:t>
            </w:r>
            <w:r w:rsidR="00714184">
              <w:rPr>
                <w:rFonts w:ascii="Times New Roman" w:hAnsi="Times New Roman" w:cs="Times New Roman"/>
                <w:color w:val="000000" w:themeColor="text1"/>
                <w:sz w:val="24"/>
                <w:szCs w:val="24"/>
              </w:rPr>
              <w:t>.</w:t>
            </w:r>
            <w:r w:rsidRPr="00D550B6">
              <w:rPr>
                <w:rFonts w:ascii="Times New Roman" w:hAnsi="Times New Roman" w:cs="Times New Roman"/>
                <w:color w:val="000000" w:themeColor="text1"/>
                <w:sz w:val="24"/>
                <w:szCs w:val="24"/>
              </w:rPr>
              <w:t>panta pirmā daļa).</w:t>
            </w:r>
          </w:p>
          <w:p w:rsidR="001B2481"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EPLL valsts nodevu maksāšanas kārtību un atbrīvojumus deleģē noteikt Ministru kabinetam. </w:t>
            </w:r>
          </w:p>
          <w:p w:rsidR="001B2481" w:rsidRDefault="00714184"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Papildus tam, ka valsts nodevu</w:t>
            </w:r>
            <w:r w:rsidR="001B2481">
              <w:rPr>
                <w:rFonts w:ascii="Times New Roman" w:hAnsi="Times New Roman" w:cs="Times New Roman"/>
                <w:color w:val="000000" w:themeColor="text1"/>
                <w:sz w:val="24"/>
                <w:szCs w:val="24"/>
              </w:rPr>
              <w:t xml:space="preserve"> nemaksā sabiedriskie un nekomerciālie EPL, paredzams, ka no nodevas maksāšanas būtu atbrīvoti EPL, kuru programmā vismaz 51 procents ir valsts valodā un vismaz 20 procenti ir raidījumi valsts valodā bez dublēšanas vai ieskaņošanas, bet valsts nodevu samazinātu par 50 procentiem, ja attiecīgais EPL nodrošinātu vismaz 90 procentu raidlaiku valsts valodā neatkarīgi no dublēšanas vai ieskaņošanas. </w:t>
            </w:r>
          </w:p>
          <w:p w:rsidR="001B2481" w:rsidRPr="008A3B58" w:rsidRDefault="001B2481"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Attiecībā uz izņēmumiem kabeļoperatoriem, tad tie veidoti tādējādi, lai galvenokārt sasniegtu trīs mērķus. Pirmkārt, neuzliktu pārāk lielu slogu mazajiem uzņēmumiem. Otrkārt, nodrošinātu, ka valsts nodeva nav jāmaksā par obligāti izplatāmajām programmām vai programmām valsts valodā, tai skaitā, veicinot programmu subtitrēšanu. Treškārt, paredzot palielinātu valsts nodevu gadījumos, ja konstatēti normatīvo aktu pārkāpumi attiecībā uz programmu izplatīšanas kārtību. Šāds nosacījums nepārkāpj dubultās sodīšanas principu, jo dažādus aizliegumu, ierobežojumu vai papildu uzraudzības </w:t>
            </w:r>
            <w:r>
              <w:rPr>
                <w:rFonts w:ascii="Times New Roman" w:hAnsi="Times New Roman" w:cs="Times New Roman"/>
                <w:color w:val="000000" w:themeColor="text1"/>
                <w:sz w:val="24"/>
                <w:szCs w:val="24"/>
              </w:rPr>
              <w:lastRenderedPageBreak/>
              <w:t xml:space="preserve">pasākumu vai apliecinājumu sniegšanas paredzēšana pēc lēmuma par sodu spēkā stāšanās neveido šā principa pārkāpumu, turklāt valsts nodeva nav uzskatāma par sodu (sankciju). </w:t>
            </w:r>
          </w:p>
          <w:p w:rsidR="001B2481" w:rsidRPr="00D949DF" w:rsidRDefault="001B2481" w:rsidP="00714184">
            <w:pPr>
              <w:spacing w:line="240" w:lineRule="auto"/>
              <w:jc w:val="both"/>
              <w:rPr>
                <w:rFonts w:ascii="Times New Roman" w:hAnsi="Times New Roman" w:cs="Times New Roman"/>
                <w:b/>
                <w:color w:val="000000" w:themeColor="text1"/>
                <w:sz w:val="24"/>
                <w:szCs w:val="24"/>
              </w:rPr>
            </w:pPr>
            <w:r w:rsidRPr="00D949DF">
              <w:rPr>
                <w:rFonts w:ascii="Times New Roman" w:hAnsi="Times New Roman" w:cs="Times New Roman"/>
                <w:b/>
                <w:color w:val="000000" w:themeColor="text1"/>
                <w:sz w:val="24"/>
                <w:szCs w:val="24"/>
              </w:rPr>
              <w:t xml:space="preserve">Citu valstu prakses tendences </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Eiropas valstīs kopumā dominē apraides atļaujas (licences) izsniegšanas prakse, par ko ir jāmaksā nodevas. Tikai dažās valstīs praksē ir ieviesta paziņošanas sistēma, kuras ietvaros EPL ir nepieciešams tikai paziņot uzraudzības institūcijām par plānotajām darbībām. Vairumā Eiropas valstu apraides atļaujas ir terminētas. Atļaujas tiek izsniegtas uz laika periodu no pieciem līdz divpadsmit gadiem. Vairumā valstu apraides atļaujas tiek izmantotas kā instrumenti, lai iesaistītu EPL sabiedrības kopējo interešu sasniegšanā un sociālo uzdevumu pildīšanā.</w:t>
            </w:r>
            <w:r w:rsidRPr="008D25A9">
              <w:rPr>
                <w:rStyle w:val="Vresatsauce"/>
                <w:rFonts w:ascii="Times New Roman" w:hAnsi="Times New Roman" w:cs="Times New Roman"/>
                <w:color w:val="000000" w:themeColor="text1"/>
                <w:sz w:val="24"/>
                <w:szCs w:val="24"/>
              </w:rPr>
              <w:footnoteReference w:id="2"/>
            </w:r>
            <w:r w:rsidRPr="008D25A9">
              <w:rPr>
                <w:rFonts w:ascii="Times New Roman" w:hAnsi="Times New Roman" w:cs="Times New Roman"/>
                <w:color w:val="000000" w:themeColor="text1"/>
                <w:sz w:val="24"/>
                <w:szCs w:val="24"/>
              </w:rPr>
              <w:t xml:space="preserve"> Tāpat ir raksturīgi, ka maksa par atļaujas saņemšanu ir salīdzinoši neliela, bet vairāk tiek maksāts tieši par ikgadēju uzraudzību. Nodevas mēdz būt fiksētas vai samērā bieži atkarīgas no EPL ieņēmumiem (procentos). </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Tā, piemēram, </w:t>
            </w:r>
            <w:r w:rsidRPr="008D25A9">
              <w:rPr>
                <w:rFonts w:ascii="Times New Roman" w:hAnsi="Times New Roman" w:cs="Times New Roman"/>
                <w:b/>
                <w:color w:val="000000" w:themeColor="text1"/>
                <w:sz w:val="24"/>
                <w:szCs w:val="24"/>
              </w:rPr>
              <w:t>Polijā</w:t>
            </w:r>
            <w:r w:rsidRPr="008D25A9">
              <w:rPr>
                <w:rFonts w:ascii="Times New Roman" w:hAnsi="Times New Roman" w:cs="Times New Roman"/>
                <w:color w:val="000000" w:themeColor="text1"/>
                <w:sz w:val="24"/>
                <w:szCs w:val="24"/>
              </w:rPr>
              <w:t xml:space="preserve"> tiek noteikta licences maksa par televīzijas vai radio programmu apraides atļauju izsniegšanu, un tā tiek noteikta atsevišķi no ikgadējiem obligātajiem maksājumiem, kas noteikti par tiesībām izmantot piešķirto frekvenci. Licences maksa tiek iekasēta valsts nodevas formā, un tā jāmaksā ik pa 10 gadiem. To var noformēt kā vienu maksājumu, vai arī, pēc pārraidītāja lūguma, – kā vienādus ikgadējus maksājumus. No licences maksas ir atbrīvoti sabiedriskie un sociālie pārraidītāji (ar dažiem izņēmumiem).</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Atsevišķi ir paredzēta arī maksa par retranslāciju aptuveni 501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ko maksā mediju pakalpojuma sniedzējs (kabeļoperators). Par katru retranslācijas programmas reģistrāciju pakalpojumu sniedzējam ir jāmaksā maksa 25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Tas ir vienreizējs maksājums par to termiņu, kas paredzēts līgumā ar programmas pārraidītāju.</w:t>
            </w:r>
            <w:r>
              <w:rPr>
                <w:rFonts w:ascii="Times New Roman" w:hAnsi="Times New Roman" w:cs="Times New Roman"/>
                <w:color w:val="000000" w:themeColor="text1"/>
                <w:sz w:val="24"/>
                <w:szCs w:val="24"/>
              </w:rPr>
              <w:t xml:space="preserve"> Pēc tam nodeva maksājama atkārtoti. </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b/>
                <w:color w:val="000000" w:themeColor="text1"/>
                <w:sz w:val="24"/>
                <w:szCs w:val="24"/>
              </w:rPr>
              <w:t>Lielbritānijā</w:t>
            </w:r>
            <w:r w:rsidR="00714184">
              <w:rPr>
                <w:rFonts w:ascii="Times New Roman" w:hAnsi="Times New Roman" w:cs="Times New Roman"/>
                <w:color w:val="000000" w:themeColor="text1"/>
                <w:sz w:val="24"/>
                <w:szCs w:val="24"/>
              </w:rPr>
              <w:t xml:space="preserve"> saskaņā ar 2003.</w:t>
            </w:r>
            <w:r w:rsidRPr="008D25A9">
              <w:rPr>
                <w:rFonts w:ascii="Times New Roman" w:hAnsi="Times New Roman" w:cs="Times New Roman"/>
                <w:color w:val="000000" w:themeColor="text1"/>
                <w:sz w:val="24"/>
                <w:szCs w:val="24"/>
              </w:rPr>
              <w:t>gada Komunikāciju likumu (</w:t>
            </w:r>
            <w:r w:rsidRPr="008D25A9">
              <w:rPr>
                <w:rFonts w:ascii="Times New Roman" w:hAnsi="Times New Roman" w:cs="Times New Roman"/>
                <w:i/>
                <w:color w:val="000000" w:themeColor="text1"/>
                <w:sz w:val="24"/>
                <w:szCs w:val="24"/>
              </w:rPr>
              <w:t>Communications Act</w:t>
            </w:r>
            <w:r w:rsidRPr="008D25A9">
              <w:rPr>
                <w:rFonts w:ascii="Times New Roman" w:hAnsi="Times New Roman" w:cs="Times New Roman"/>
                <w:color w:val="000000" w:themeColor="text1"/>
                <w:sz w:val="24"/>
                <w:szCs w:val="24"/>
              </w:rPr>
              <w:t>) par televīzijas licences izsniegšanu, atjaunošanu vai citos gadījumos ir jāmaksā. Arī par radio apraidi ir jāmaksā licences maksa (par licenci, kas saņemta saskaņā ar Apraides likumu (</w:t>
            </w:r>
            <w:r w:rsidRPr="008D25A9">
              <w:rPr>
                <w:rFonts w:ascii="Times New Roman" w:hAnsi="Times New Roman" w:cs="Times New Roman"/>
                <w:i/>
                <w:color w:val="000000" w:themeColor="text1"/>
                <w:sz w:val="24"/>
                <w:szCs w:val="24"/>
              </w:rPr>
              <w:t>Broadcasting Act</w:t>
            </w:r>
            <w:r w:rsidRPr="008D25A9">
              <w:rPr>
                <w:rFonts w:ascii="Times New Roman" w:hAnsi="Times New Roman" w:cs="Times New Roman"/>
                <w:color w:val="000000" w:themeColor="text1"/>
                <w:sz w:val="24"/>
                <w:szCs w:val="24"/>
              </w:rPr>
              <w:t>)).</w:t>
            </w:r>
            <w:r w:rsidRPr="008D25A9">
              <w:rPr>
                <w:rStyle w:val="Vresatsauce"/>
                <w:rFonts w:ascii="Times New Roman" w:hAnsi="Times New Roman" w:cs="Times New Roman"/>
                <w:color w:val="000000" w:themeColor="text1"/>
                <w:sz w:val="24"/>
                <w:szCs w:val="24"/>
              </w:rPr>
              <w:footnoteReference w:id="3"/>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Papildus maksājumam, kas noteikts par licences izsniegšanu, licenciātam ir pienākums maksāt Komunikāciju birojam (</w:t>
            </w:r>
            <w:r w:rsidRPr="008D25A9">
              <w:rPr>
                <w:rFonts w:ascii="Times New Roman" w:hAnsi="Times New Roman" w:cs="Times New Roman"/>
                <w:i/>
                <w:color w:val="000000" w:themeColor="text1"/>
                <w:sz w:val="24"/>
                <w:szCs w:val="24"/>
              </w:rPr>
              <w:t>Ofcom</w:t>
            </w:r>
            <w:r w:rsidRPr="008D25A9">
              <w:rPr>
                <w:rFonts w:ascii="Times New Roman" w:hAnsi="Times New Roman" w:cs="Times New Roman"/>
                <w:color w:val="000000" w:themeColor="text1"/>
                <w:sz w:val="24"/>
                <w:szCs w:val="24"/>
              </w:rPr>
              <w:t xml:space="preserve">) ikgadēju licences </w:t>
            </w:r>
            <w:r w:rsidRPr="008D25A9">
              <w:rPr>
                <w:rFonts w:ascii="Times New Roman" w:hAnsi="Times New Roman" w:cs="Times New Roman"/>
                <w:color w:val="000000" w:themeColor="text1"/>
                <w:sz w:val="24"/>
                <w:szCs w:val="24"/>
              </w:rPr>
              <w:lastRenderedPageBreak/>
              <w:t xml:space="preserve">maksājumu, kura apmērs tiek pārskatīts ik gadu (šobrīd minimālais apmērs ir aptuveni 1 141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w:t>
            </w:r>
            <w:r w:rsidRPr="008D25A9">
              <w:rPr>
                <w:rStyle w:val="Vresatsauce"/>
                <w:rFonts w:ascii="Times New Roman" w:hAnsi="Times New Roman" w:cs="Times New Roman"/>
                <w:color w:val="000000" w:themeColor="text1"/>
                <w:sz w:val="24"/>
                <w:szCs w:val="24"/>
              </w:rPr>
              <w:footnoteReference w:id="4"/>
            </w:r>
            <w:r w:rsidRPr="008D25A9">
              <w:rPr>
                <w:rFonts w:ascii="Times New Roman" w:hAnsi="Times New Roman" w:cs="Times New Roman"/>
                <w:color w:val="000000" w:themeColor="text1"/>
                <w:sz w:val="24"/>
                <w:szCs w:val="24"/>
              </w:rPr>
              <w:t xml:space="preserve"> Ikgadēja maksājuma veikšana ir licences spēkā esamības priekšnoteikums – ja licenciāts nav izpildījis ikgadējās nodevas maksāšanas pienākumu, licence var tikt atsaukta. Ikgadējās nodevas apmērs tiek aprēķināts par pamatu ņemot licences saņēmēja gada apgrozījumu. Piemēram, ja gada apgrozījums ir 10 miljoni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ikgadējā nodeva maksājama 0.03056 % apmērā no ikgadējā apgrozījuma, kas ir vairāk nekā 30 tūkstoši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w:t>
            </w:r>
          </w:p>
          <w:p w:rsidR="001B2481" w:rsidRPr="008D25A9" w:rsidRDefault="001B2481" w:rsidP="00714184">
            <w:pPr>
              <w:spacing w:after="0" w:line="240" w:lineRule="auto"/>
              <w:jc w:val="both"/>
              <w:rPr>
                <w:rFonts w:ascii="Times New Roman" w:hAnsi="Times New Roman" w:cs="Times New Roman"/>
                <w:color w:val="000000" w:themeColor="text1"/>
                <w:sz w:val="24"/>
                <w:szCs w:val="24"/>
              </w:rPr>
            </w:pPr>
            <w:r w:rsidRPr="008D25A9">
              <w:rPr>
                <w:rFonts w:ascii="Times New Roman" w:hAnsi="Times New Roman" w:cs="Times New Roman"/>
                <w:b/>
                <w:color w:val="000000" w:themeColor="text1"/>
                <w:sz w:val="24"/>
                <w:szCs w:val="24"/>
              </w:rPr>
              <w:t xml:space="preserve">Nīderlandē </w:t>
            </w:r>
            <w:r w:rsidRPr="008D25A9">
              <w:rPr>
                <w:rFonts w:ascii="Times New Roman" w:hAnsi="Times New Roman" w:cs="Times New Roman"/>
                <w:color w:val="000000" w:themeColor="text1"/>
                <w:sz w:val="24"/>
                <w:szCs w:val="24"/>
              </w:rPr>
              <w:t>komerciālajiem EPL izsniedz pārraides atļauju uz pieciem gadiem. Par atļaujas saņemšanu nav jāmaksā nodeva, tomēr ir jāmaksā ikgadējā uzraudzības nodeva (</w:t>
            </w:r>
            <w:r w:rsidRPr="008D25A9">
              <w:rPr>
                <w:rFonts w:ascii="Times New Roman" w:hAnsi="Times New Roman" w:cs="Times New Roman"/>
                <w:i/>
                <w:color w:val="000000" w:themeColor="text1"/>
                <w:sz w:val="24"/>
                <w:szCs w:val="24"/>
              </w:rPr>
              <w:t>Media act 2008 Article 3:30; Media Regulations 2008 Appendix Article 1</w:t>
            </w:r>
            <w:r w:rsidRPr="008D25A9">
              <w:rPr>
                <w:rFonts w:ascii="Times New Roman" w:hAnsi="Times New Roman" w:cs="Times New Roman"/>
                <w:color w:val="000000" w:themeColor="text1"/>
                <w:sz w:val="24"/>
                <w:szCs w:val="24"/>
              </w:rPr>
              <w:t xml:space="preserve">). Komerciālie EPL maksā Mediju uzraudzības institūcijai ikgadēju nodevu, lai kompensētu Mediju uzraudzības institūcijas izmaksas, kas saistītas ar uzraudzības funkciju pildīšanu. Maksas noteikumi paredz nodalīt radio un televīzijas programmas. Maksas apmēra aprēķinā ņem vērā pārraides vidējo garumu un Nīderlandes mājsaimniecību skaitu, kas saņem programmas translāciju, kā arī aizņemto tirgus daļu. Maksa ir 1600 </w:t>
            </w:r>
            <w:r w:rsidRPr="008D25A9">
              <w:rPr>
                <w:rFonts w:ascii="Times New Roman" w:hAnsi="Times New Roman" w:cs="Times New Roman"/>
                <w:i/>
                <w:color w:val="000000" w:themeColor="text1"/>
                <w:sz w:val="24"/>
                <w:szCs w:val="24"/>
              </w:rPr>
              <w:t xml:space="preserve">euro </w:t>
            </w:r>
            <w:r w:rsidRPr="008D25A9">
              <w:rPr>
                <w:rFonts w:ascii="Times New Roman" w:hAnsi="Times New Roman" w:cs="Times New Roman"/>
                <w:color w:val="000000" w:themeColor="text1"/>
                <w:sz w:val="24"/>
                <w:szCs w:val="24"/>
              </w:rPr>
              <w:t>gadā. Kanāliem, kuru mērķauditorija ir ārvalstīs, ir paredzētas lielākas nodevas nekā iekšzemes kanāliem.</w:t>
            </w:r>
          </w:p>
          <w:p w:rsidR="001B2481" w:rsidRPr="008D25A9" w:rsidRDefault="001B2481" w:rsidP="00714184">
            <w:pPr>
              <w:spacing w:after="0" w:line="240" w:lineRule="auto"/>
              <w:jc w:val="both"/>
              <w:rPr>
                <w:rFonts w:ascii="Times New Roman" w:hAnsi="Times New Roman" w:cs="Times New Roman"/>
                <w:b/>
                <w:color w:val="000000" w:themeColor="text1"/>
                <w:sz w:val="24"/>
                <w:szCs w:val="24"/>
              </w:rPr>
            </w:pPr>
          </w:p>
          <w:p w:rsidR="001B2481" w:rsidRDefault="001B2481" w:rsidP="00714184">
            <w:pPr>
              <w:spacing w:after="0" w:line="240" w:lineRule="auto"/>
              <w:jc w:val="both"/>
              <w:rPr>
                <w:rFonts w:ascii="Times New Roman" w:hAnsi="Times New Roman" w:cs="Times New Roman"/>
                <w:color w:val="000000" w:themeColor="text1"/>
                <w:sz w:val="24"/>
                <w:szCs w:val="24"/>
              </w:rPr>
            </w:pPr>
            <w:r w:rsidRPr="008D25A9">
              <w:rPr>
                <w:rFonts w:ascii="Times New Roman" w:hAnsi="Times New Roman" w:cs="Times New Roman"/>
                <w:b/>
                <w:color w:val="000000" w:themeColor="text1"/>
                <w:sz w:val="24"/>
                <w:szCs w:val="24"/>
              </w:rPr>
              <w:t>Somijā a</w:t>
            </w:r>
            <w:r w:rsidRPr="008D25A9">
              <w:rPr>
                <w:rFonts w:ascii="Times New Roman" w:hAnsi="Times New Roman" w:cs="Times New Roman"/>
                <w:color w:val="000000" w:themeColor="text1"/>
                <w:sz w:val="24"/>
                <w:szCs w:val="24"/>
              </w:rPr>
              <w:t>praides atļauju izsniedz Somijas Mediju uzraudzības institūcija (</w:t>
            </w:r>
            <w:r w:rsidRPr="008D25A9">
              <w:rPr>
                <w:rFonts w:ascii="Times New Roman" w:hAnsi="Times New Roman" w:cs="Times New Roman"/>
                <w:i/>
                <w:color w:val="000000" w:themeColor="text1"/>
                <w:sz w:val="24"/>
                <w:szCs w:val="24"/>
              </w:rPr>
              <w:t>Information Society Code (917/2014) Chapter 4</w:t>
            </w:r>
            <w:r w:rsidRPr="008D25A9">
              <w:rPr>
                <w:rFonts w:ascii="Times New Roman" w:hAnsi="Times New Roman" w:cs="Times New Roman"/>
                <w:color w:val="000000" w:themeColor="text1"/>
                <w:sz w:val="24"/>
                <w:szCs w:val="24"/>
              </w:rPr>
              <w:t xml:space="preserve">). Apraides atļaujas maksimālais termiņš ir desmit gadi. Par televīzijas apraides atļaujas saņemšanu jāmaksā nodeva 5000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bet radio apraidi –</w:t>
            </w:r>
            <w:r w:rsidR="00714184">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rPr>
              <w:t xml:space="preserve">1500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Papildus tam maksājama ikgadējā uzraudzības nodeva</w:t>
            </w:r>
            <w:r w:rsidRPr="008D25A9">
              <w:rPr>
                <w:rFonts w:ascii="Times New Roman" w:hAnsi="Times New Roman" w:cs="Times New Roman"/>
                <w:b/>
                <w:color w:val="000000" w:themeColor="text1"/>
                <w:sz w:val="24"/>
                <w:szCs w:val="24"/>
              </w:rPr>
              <w:t xml:space="preserve"> </w:t>
            </w:r>
            <w:r w:rsidRPr="008D25A9">
              <w:rPr>
                <w:rFonts w:ascii="Times New Roman" w:hAnsi="Times New Roman" w:cs="Times New Roman"/>
                <w:color w:val="000000" w:themeColor="text1"/>
                <w:sz w:val="24"/>
                <w:szCs w:val="24"/>
              </w:rPr>
              <w:t>(</w:t>
            </w:r>
            <w:r w:rsidRPr="008D25A9">
              <w:rPr>
                <w:rFonts w:ascii="Times New Roman" w:hAnsi="Times New Roman" w:cs="Times New Roman"/>
                <w:i/>
                <w:color w:val="000000" w:themeColor="text1"/>
                <w:sz w:val="24"/>
                <w:szCs w:val="24"/>
              </w:rPr>
              <w:t>Information Society Code (917/2014) Section 293., 294</w:t>
            </w:r>
            <w:r w:rsidRPr="008D25A9">
              <w:rPr>
                <w:rFonts w:ascii="Times New Roman" w:hAnsi="Times New Roman" w:cs="Times New Roman"/>
                <w:color w:val="000000" w:themeColor="text1"/>
                <w:sz w:val="24"/>
                <w:szCs w:val="24"/>
              </w:rPr>
              <w:t xml:space="preserve">). EPL, kuri ir saņēmuši apraides atļauju, ir jāmaksā ikgadēja uzraudzības nodeva. EPL, kas saņēmis reģionālās televīzijas apraides atļauju, maksā ikgadējo uzraudzības nodevu 800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par katru televīzijas programmu. EPL, kas saņēmis televīzijas apraides atļauju, kas nav reģionālā apraides atļauja, katru gadu maksā uzraudzības nodevu 16 000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Somijā nav paredzēta īpaša retranslācijas atļaujas nodeva (</w:t>
            </w:r>
            <w:r w:rsidRPr="008D25A9">
              <w:rPr>
                <w:rFonts w:ascii="Times New Roman" w:hAnsi="Times New Roman" w:cs="Times New Roman"/>
                <w:i/>
                <w:color w:val="000000" w:themeColor="text1"/>
                <w:sz w:val="24"/>
                <w:szCs w:val="24"/>
              </w:rPr>
              <w:t>Information Society Code (917/2014) Section 339</w:t>
            </w:r>
            <w:r w:rsidRPr="008D25A9">
              <w:rPr>
                <w:rFonts w:ascii="Times New Roman" w:hAnsi="Times New Roman" w:cs="Times New Roman"/>
                <w:color w:val="000000" w:themeColor="text1"/>
                <w:sz w:val="24"/>
                <w:szCs w:val="24"/>
              </w:rPr>
              <w:t xml:space="preserve">). </w:t>
            </w:r>
          </w:p>
          <w:p w:rsidR="00CF78EE" w:rsidRPr="008D25A9" w:rsidRDefault="00CF78EE" w:rsidP="00714184">
            <w:pPr>
              <w:spacing w:after="0" w:line="240" w:lineRule="auto"/>
              <w:jc w:val="both"/>
              <w:rPr>
                <w:rFonts w:ascii="Times New Roman" w:hAnsi="Times New Roman" w:cs="Times New Roman"/>
                <w:color w:val="000000" w:themeColor="text1"/>
                <w:sz w:val="24"/>
                <w:szCs w:val="24"/>
              </w:rPr>
            </w:pPr>
          </w:p>
          <w:p w:rsidR="001B2481" w:rsidRDefault="001B2481" w:rsidP="00714184">
            <w:pPr>
              <w:spacing w:after="0" w:line="240" w:lineRule="auto"/>
              <w:jc w:val="both"/>
              <w:rPr>
                <w:rFonts w:ascii="Times New Roman" w:hAnsi="Times New Roman" w:cs="Times New Roman"/>
                <w:color w:val="000000" w:themeColor="text1"/>
                <w:sz w:val="24"/>
                <w:szCs w:val="24"/>
              </w:rPr>
            </w:pPr>
            <w:r w:rsidRPr="008D25A9">
              <w:rPr>
                <w:rFonts w:ascii="Times New Roman" w:hAnsi="Times New Roman" w:cs="Times New Roman"/>
                <w:b/>
                <w:color w:val="000000" w:themeColor="text1"/>
                <w:sz w:val="24"/>
                <w:szCs w:val="24"/>
              </w:rPr>
              <w:t xml:space="preserve">Igaunijā </w:t>
            </w:r>
            <w:r w:rsidRPr="008D25A9">
              <w:rPr>
                <w:rFonts w:ascii="Times New Roman" w:hAnsi="Times New Roman" w:cs="Times New Roman"/>
                <w:color w:val="000000" w:themeColor="text1"/>
                <w:sz w:val="24"/>
                <w:szCs w:val="24"/>
              </w:rPr>
              <w:t>(</w:t>
            </w:r>
            <w:r w:rsidRPr="008D25A9">
              <w:rPr>
                <w:rFonts w:ascii="Times New Roman" w:hAnsi="Times New Roman" w:cs="Times New Roman"/>
                <w:i/>
                <w:color w:val="000000" w:themeColor="text1"/>
                <w:sz w:val="24"/>
                <w:szCs w:val="24"/>
              </w:rPr>
              <w:t>Media Services Act 16.12.2010 Chapter 2, Sate Fees Act Subdivision 8</w:t>
            </w:r>
            <w:r w:rsidRPr="008D25A9">
              <w:rPr>
                <w:rFonts w:ascii="Times New Roman" w:hAnsi="Times New Roman" w:cs="Times New Roman"/>
                <w:color w:val="000000" w:themeColor="text1"/>
                <w:sz w:val="24"/>
                <w:szCs w:val="24"/>
              </w:rPr>
              <w:t xml:space="preserve">) apraides atļauja tiek izsniegta uz laika periodu līdz pieciem vai desmit gadiem, atkarībā no apraides atļaujas veida. Tiek nošķirtas apraides atļaujas brīvās piekļuves televīzijas pakalpojumiem, nosacītas piekļuves televīzijas pakalpojumiem, radio </w:t>
            </w:r>
            <w:r w:rsidRPr="008D25A9">
              <w:rPr>
                <w:rFonts w:ascii="Times New Roman" w:hAnsi="Times New Roman" w:cs="Times New Roman"/>
                <w:color w:val="000000" w:themeColor="text1"/>
                <w:sz w:val="24"/>
                <w:szCs w:val="24"/>
              </w:rPr>
              <w:lastRenderedPageBreak/>
              <w:t xml:space="preserve">pakalpojumiem, satelīttelevīzijas pakalpojumiem un pagaidu radio un televīzijas apraides atļauja, kas tiek izsniegta uz laika periodu līdz vienam mēnesim. Igaunijā nav paredzēta ikgadēja nodeva, bet tiek piemērota vienreizēja valsts nodeva par apraides atļaujas saņemšanas pieteikuma izskatīšanu. Valsts nodevas apmērs atšķiras atbilstoši apraides atļaujas veidam. Par brīvās piekļuves apraides atļauju maksājama valsts nodeva 640 </w:t>
            </w:r>
            <w:r w:rsidRPr="00D949DF">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par satelīttelevīzijas apraides atļauju </w:t>
            </w:r>
            <w:r w:rsidRPr="008D25A9">
              <w:rPr>
                <w:rFonts w:ascii="Times New Roman" w:hAnsi="Times New Roman" w:cs="Times New Roman"/>
                <w:color w:val="000000" w:themeColor="text1"/>
                <w:sz w:val="24"/>
                <w:szCs w:val="24"/>
              </w:rPr>
              <w:sym w:font="Symbol" w:char="F02D"/>
            </w:r>
            <w:r w:rsidRPr="008D25A9">
              <w:rPr>
                <w:rFonts w:ascii="Times New Roman" w:hAnsi="Times New Roman" w:cs="Times New Roman"/>
                <w:color w:val="000000" w:themeColor="text1"/>
                <w:sz w:val="24"/>
                <w:szCs w:val="24"/>
              </w:rPr>
              <w:t xml:space="preserve"> 960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Igaunijā netiek ierobežota radio un televīzijas apraides programmu retranslēšana, izņemot normatīvajos aktos īpaši paredzētus gadījumus. Retranslācijai nav nepieciešama īpaša atļauja un nodevu maksa (</w:t>
            </w:r>
            <w:r w:rsidRPr="008D25A9">
              <w:rPr>
                <w:rFonts w:ascii="Times New Roman" w:hAnsi="Times New Roman" w:cs="Times New Roman"/>
                <w:i/>
                <w:color w:val="000000" w:themeColor="text1"/>
                <w:sz w:val="24"/>
                <w:szCs w:val="24"/>
              </w:rPr>
              <w:t>Media Services Act 16.12.2010 Chapter 6</w:t>
            </w:r>
            <w:r w:rsidRPr="008D25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Pēc NEPLP rīcībā esošās informācijas, Igaunijā ir paredzēta valsts nodevu pārskatīšana. </w:t>
            </w:r>
          </w:p>
          <w:p w:rsidR="001B2481" w:rsidRDefault="001B2481" w:rsidP="00714184">
            <w:pPr>
              <w:spacing w:after="0" w:line="240" w:lineRule="auto"/>
              <w:jc w:val="both"/>
              <w:rPr>
                <w:rFonts w:ascii="Times New Roman" w:hAnsi="Times New Roman" w:cs="Times New Roman"/>
                <w:color w:val="000000" w:themeColor="text1"/>
                <w:sz w:val="24"/>
                <w:szCs w:val="24"/>
              </w:rPr>
            </w:pPr>
          </w:p>
          <w:p w:rsidR="001B2481" w:rsidRPr="008D25A9" w:rsidRDefault="001B2481" w:rsidP="00714184">
            <w:pPr>
              <w:spacing w:after="0" w:line="240" w:lineRule="auto"/>
              <w:jc w:val="both"/>
              <w:rPr>
                <w:rFonts w:ascii="Times New Roman" w:hAnsi="Times New Roman" w:cs="Times New Roman"/>
                <w:color w:val="000000" w:themeColor="text1"/>
                <w:sz w:val="24"/>
                <w:szCs w:val="24"/>
              </w:rPr>
            </w:pPr>
            <w:r w:rsidRPr="00A255E8">
              <w:rPr>
                <w:rFonts w:ascii="Times New Roman" w:hAnsi="Times New Roman" w:cs="Times New Roman"/>
                <w:b/>
                <w:color w:val="000000" w:themeColor="text1"/>
                <w:sz w:val="24"/>
                <w:szCs w:val="24"/>
              </w:rPr>
              <w:t>Lietuvā</w:t>
            </w:r>
            <w:r w:rsidRPr="008D25A9">
              <w:rPr>
                <w:rFonts w:ascii="Times New Roman" w:hAnsi="Times New Roman" w:cs="Times New Roman"/>
                <w:color w:val="000000" w:themeColor="text1"/>
                <w:sz w:val="24"/>
                <w:szCs w:val="24"/>
              </w:rPr>
              <w:t xml:space="preserve"> apraides atļauju izsniedz Lietuvas Radio un televīzijas komisija (</w:t>
            </w:r>
            <w:r w:rsidRPr="008D25A9">
              <w:rPr>
                <w:rFonts w:ascii="Times New Roman" w:hAnsi="Times New Roman" w:cs="Times New Roman"/>
                <w:i/>
                <w:color w:val="000000" w:themeColor="text1"/>
                <w:sz w:val="24"/>
                <w:szCs w:val="24"/>
              </w:rPr>
              <w:t>Law on the Provision of Information to the Public, 2 july 1996 – No I</w:t>
            </w:r>
            <w:r w:rsidRPr="008D25A9">
              <w:rPr>
                <w:rFonts w:ascii="Times New Roman" w:hAnsi="Times New Roman" w:cs="Times New Roman"/>
                <w:i/>
                <w:color w:val="000000" w:themeColor="text1"/>
                <w:sz w:val="24"/>
                <w:szCs w:val="24"/>
              </w:rPr>
              <w:sym w:font="Symbol" w:char="F02D"/>
            </w:r>
            <w:r w:rsidRPr="008D25A9">
              <w:rPr>
                <w:rFonts w:ascii="Times New Roman" w:hAnsi="Times New Roman" w:cs="Times New Roman"/>
                <w:i/>
                <w:color w:val="000000" w:themeColor="text1"/>
                <w:sz w:val="24"/>
                <w:szCs w:val="24"/>
              </w:rPr>
              <w:t>1418, Article 31</w:t>
            </w:r>
            <w:r w:rsidRPr="008D25A9">
              <w:rPr>
                <w:rFonts w:ascii="Times New Roman" w:hAnsi="Times New Roman" w:cs="Times New Roman"/>
                <w:color w:val="000000" w:themeColor="text1"/>
                <w:sz w:val="24"/>
                <w:szCs w:val="24"/>
              </w:rPr>
              <w:t>). Apraides atļaujas izsniedz konkursa kārtībā vai bez konkursa. Apraides atļaujas saņēmējiem ir jāmaksā apraides un retranslācijas pakalpojumu sniegšanas nodeva. Nodeva maksājama Mediju ētikas asociācijai vienreiz gadā. Balstoties uz Lietuvas Radio un televīzijas komisijas rekomendācijām, Lietuvas Kultūras ministrija nodevas apmēru nosaka katram apraides atļaujas saņēmējam individuāli. Nosakot nodevas apmēru tiek ņemti vērā šādi faktori: a) televīzijas vai radio programmas būtība un saturs; b) apraides teritorija un teritorijas iedzīvotāju skaits; c) konkurence apraides vidē; d) apraides programmu nozīmīgums. Nodevas apmērs tiek balstīts uz sociālā pamat pabalsta (</w:t>
            </w:r>
            <w:r w:rsidRPr="008D25A9">
              <w:rPr>
                <w:rFonts w:ascii="Times New Roman" w:hAnsi="Times New Roman" w:cs="Times New Roman"/>
                <w:i/>
                <w:color w:val="000000" w:themeColor="text1"/>
                <w:sz w:val="24"/>
                <w:szCs w:val="24"/>
              </w:rPr>
              <w:t>Basic social benefit</w:t>
            </w:r>
            <w:r w:rsidRPr="008D25A9">
              <w:rPr>
                <w:rFonts w:ascii="Times New Roman" w:hAnsi="Times New Roman" w:cs="Times New Roman"/>
                <w:color w:val="000000" w:themeColor="text1"/>
                <w:sz w:val="24"/>
                <w:szCs w:val="24"/>
              </w:rPr>
              <w:t xml:space="preserve">) apmēru, kas ir 38 </w:t>
            </w:r>
            <w:r w:rsidRPr="008D25A9">
              <w:rPr>
                <w:rFonts w:ascii="Times New Roman" w:hAnsi="Times New Roman" w:cs="Times New Roman"/>
                <w:i/>
                <w:color w:val="000000" w:themeColor="text1"/>
                <w:sz w:val="24"/>
                <w:szCs w:val="24"/>
              </w:rPr>
              <w:t>euro</w:t>
            </w:r>
            <w:r w:rsidRPr="008D25A9">
              <w:rPr>
                <w:rFonts w:ascii="Times New Roman" w:hAnsi="Times New Roman" w:cs="Times New Roman"/>
                <w:color w:val="000000" w:themeColor="text1"/>
                <w:sz w:val="24"/>
                <w:szCs w:val="24"/>
              </w:rPr>
              <w:t xml:space="preserve">. Pēc tam, kad ir izvērtēti katra apraides atļaujas saņēmēja nodevas apmēra faktori, tiek noteikti reizināšanas koeficienti, ar kuriem reizina sociālā pabalsta summu. Praksē reizināmais koeficients var svārstīties no 0,5 </w:t>
            </w:r>
            <w:r w:rsidRPr="008D25A9">
              <w:rPr>
                <w:rFonts w:ascii="Times New Roman" w:hAnsi="Times New Roman" w:cs="Times New Roman"/>
                <w:color w:val="000000" w:themeColor="text1"/>
                <w:sz w:val="24"/>
                <w:szCs w:val="24"/>
              </w:rPr>
              <w:sym w:font="Symbol" w:char="F02D"/>
            </w:r>
            <w:r w:rsidRPr="008D25A9">
              <w:rPr>
                <w:rFonts w:ascii="Times New Roman" w:hAnsi="Times New Roman" w:cs="Times New Roman"/>
                <w:color w:val="000000" w:themeColor="text1"/>
                <w:sz w:val="24"/>
                <w:szCs w:val="24"/>
              </w:rPr>
              <w:t xml:space="preserve"> 100 un vairāk.</w:t>
            </w:r>
            <w:r w:rsidRPr="008D25A9">
              <w:rPr>
                <w:rStyle w:val="Vresatsauce"/>
                <w:rFonts w:ascii="Times New Roman" w:hAnsi="Times New Roman" w:cs="Times New Roman"/>
                <w:color w:val="000000" w:themeColor="text1"/>
                <w:sz w:val="24"/>
                <w:szCs w:val="24"/>
              </w:rPr>
              <w:footnoteReference w:id="5"/>
            </w:r>
          </w:p>
          <w:p w:rsidR="001B2481" w:rsidRPr="008D25A9" w:rsidRDefault="001B2481" w:rsidP="00714184">
            <w:pPr>
              <w:spacing w:after="0" w:line="240" w:lineRule="auto"/>
              <w:jc w:val="both"/>
              <w:rPr>
                <w:rFonts w:ascii="Times New Roman" w:hAnsi="Times New Roman" w:cs="Times New Roman"/>
                <w:color w:val="000000" w:themeColor="text1"/>
                <w:sz w:val="24"/>
                <w:szCs w:val="24"/>
              </w:rPr>
            </w:pPr>
          </w:p>
          <w:p w:rsidR="001B2481" w:rsidRDefault="001B2481" w:rsidP="0057108C">
            <w:pPr>
              <w:spacing w:after="0"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Programmu retranslācijai arī ir nepieciešams saņemt retranslācijas atļauju (</w:t>
            </w:r>
            <w:r w:rsidRPr="008D25A9">
              <w:rPr>
                <w:rFonts w:ascii="Times New Roman" w:hAnsi="Times New Roman" w:cs="Times New Roman"/>
                <w:i/>
                <w:color w:val="000000" w:themeColor="text1"/>
                <w:sz w:val="24"/>
                <w:szCs w:val="24"/>
              </w:rPr>
              <w:t>Law on the Provision of Information to the Public, 2 july 1996 – No I</w:t>
            </w:r>
            <w:r w:rsidRPr="008D25A9">
              <w:rPr>
                <w:rFonts w:ascii="Times New Roman" w:hAnsi="Times New Roman" w:cs="Times New Roman"/>
                <w:i/>
                <w:color w:val="000000" w:themeColor="text1"/>
                <w:sz w:val="24"/>
                <w:szCs w:val="24"/>
              </w:rPr>
              <w:sym w:font="Symbol" w:char="F02D"/>
            </w:r>
            <w:r w:rsidRPr="008D25A9">
              <w:rPr>
                <w:rFonts w:ascii="Times New Roman" w:hAnsi="Times New Roman" w:cs="Times New Roman"/>
                <w:i/>
                <w:color w:val="000000" w:themeColor="text1"/>
                <w:sz w:val="24"/>
                <w:szCs w:val="24"/>
              </w:rPr>
              <w:t>1418, Article 31</w:t>
            </w:r>
            <w:r w:rsidRPr="008D25A9">
              <w:rPr>
                <w:rFonts w:ascii="Times New Roman" w:hAnsi="Times New Roman" w:cs="Times New Roman"/>
                <w:color w:val="000000" w:themeColor="text1"/>
                <w:sz w:val="24"/>
                <w:szCs w:val="24"/>
              </w:rPr>
              <w:t xml:space="preserve">). Retranslācijas atļaujas izsniedz Lietuvas Radio un televīzijas komisija. Retranslācijas atļaujas izsniegšanas un atcelšanas noteikumi ir tādi paši kā apraides atļaujas gadījumā. Par retranslācijas atļauju ir maksājama ikgadējā nodeva. Retranslācijas atļaujas nodevu aprēķina pēc tāda paša principa kā apraides atļaujas nodevu, taču retranslācijas atļaujas nodevas apmēra noteikšanā vienīgais </w:t>
            </w:r>
            <w:r w:rsidRPr="008D25A9">
              <w:rPr>
                <w:rFonts w:ascii="Times New Roman" w:hAnsi="Times New Roman" w:cs="Times New Roman"/>
                <w:color w:val="000000" w:themeColor="text1"/>
                <w:sz w:val="24"/>
                <w:szCs w:val="24"/>
              </w:rPr>
              <w:lastRenderedPageBreak/>
              <w:t>reizināšanas koeficienta noteikšanas faktors ir apraides teritorijas iedzīvotāju skaits. Piemēram, ja teritorijā ar apraidi ir sasniedzami līdz 5000 iedzīvotāji, tad reizināšanas koeficients var būt 0,5 – 1,5. Bet, ja teritorijā ir sasniedzami 3 000 000 vai vairāk iedzīvotāju, tad reizināšanas koeficients var būt 98 – 102.</w:t>
            </w:r>
          </w:p>
          <w:p w:rsidR="001B2481" w:rsidRPr="00FA682A" w:rsidRDefault="001B2481" w:rsidP="0057108C">
            <w:pPr>
              <w:spacing w:after="0" w:line="240" w:lineRule="auto"/>
              <w:jc w:val="both"/>
              <w:rPr>
                <w:rFonts w:ascii="Times New Roman" w:hAnsi="Times New Roman" w:cs="Times New Roman"/>
                <w:b/>
                <w:color w:val="000000" w:themeColor="text1"/>
                <w:sz w:val="24"/>
                <w:szCs w:val="24"/>
              </w:rPr>
            </w:pPr>
          </w:p>
          <w:p w:rsidR="001B2481" w:rsidRDefault="001B2481" w:rsidP="0057108C">
            <w:pPr>
              <w:spacing w:after="0" w:line="240" w:lineRule="auto"/>
              <w:jc w:val="both"/>
              <w:rPr>
                <w:rFonts w:ascii="Times New Roman" w:hAnsi="Times New Roman" w:cs="Times New Roman"/>
                <w:b/>
                <w:color w:val="000000" w:themeColor="text1"/>
                <w:sz w:val="24"/>
                <w:szCs w:val="24"/>
              </w:rPr>
            </w:pPr>
            <w:r w:rsidRPr="00FA682A">
              <w:rPr>
                <w:rFonts w:ascii="Times New Roman" w:hAnsi="Times New Roman" w:cs="Times New Roman"/>
                <w:b/>
                <w:color w:val="000000" w:themeColor="text1"/>
                <w:sz w:val="24"/>
                <w:szCs w:val="24"/>
              </w:rPr>
              <w:t>Tātad valsts nodevu regulējums citās valstīs paredz pieeju, ka pastāv ikgadējas maksas par uzraudzību</w:t>
            </w:r>
            <w:r>
              <w:rPr>
                <w:rFonts w:ascii="Times New Roman" w:hAnsi="Times New Roman" w:cs="Times New Roman"/>
                <w:b/>
                <w:color w:val="000000" w:themeColor="text1"/>
                <w:sz w:val="24"/>
                <w:szCs w:val="24"/>
              </w:rPr>
              <w:t>, un bieži vien, bet ne vienmēr, maksu nosakot atbilstoši pakalpojuma izmantotāju skaitam</w:t>
            </w:r>
            <w:r w:rsidRPr="00FA682A">
              <w:rPr>
                <w:rFonts w:ascii="Times New Roman" w:hAnsi="Times New Roman" w:cs="Times New Roman"/>
                <w:b/>
                <w:color w:val="000000" w:themeColor="text1"/>
                <w:sz w:val="24"/>
                <w:szCs w:val="24"/>
              </w:rPr>
              <w:t xml:space="preserve">. </w:t>
            </w:r>
          </w:p>
          <w:p w:rsidR="00583BC9" w:rsidRDefault="00583BC9" w:rsidP="0057108C">
            <w:pPr>
              <w:spacing w:after="0" w:line="240" w:lineRule="auto"/>
              <w:jc w:val="both"/>
              <w:rPr>
                <w:rFonts w:ascii="Times New Roman" w:hAnsi="Times New Roman" w:cs="Times New Roman"/>
                <w:b/>
                <w:color w:val="000000" w:themeColor="text1"/>
                <w:sz w:val="24"/>
                <w:szCs w:val="24"/>
              </w:rPr>
            </w:pPr>
          </w:p>
          <w:p w:rsidR="00583BC9" w:rsidRDefault="00583BC9" w:rsidP="0057108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Konstitucionalitātes izvērtējums </w:t>
            </w:r>
          </w:p>
          <w:p w:rsidR="00583BC9" w:rsidRDefault="00FC2D08" w:rsidP="0057108C">
            <w:pPr>
              <w:spacing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583BC9">
              <w:rPr>
                <w:rFonts w:ascii="Times New Roman" w:hAnsi="Times New Roman" w:cs="Times New Roman"/>
                <w:sz w:val="24"/>
                <w:szCs w:val="24"/>
              </w:rPr>
              <w:t xml:space="preserve">rojekts paredz ieviest jaunus valsts nodevu objektus nolūkā nodrošināt efektīvāku uzraudzību un vienlaikus sasniegt noteiktus politikas mērķus, paredzot virkni izņēmumu, kas saistīti ar valsts valodas aizsardzību un stiprināšanu. </w:t>
            </w:r>
          </w:p>
          <w:p w:rsidR="00583BC9" w:rsidRDefault="00583BC9" w:rsidP="005710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Jaunu valsts nodevu objektu paredzēšana ierobežo personas tiesības uz īpašumu, no kurām izriet tiesības uz komercdarbības veikšanu. Tomēr šādam ierobežojumam atbilstoši Satversmes 116.pantam ir </w:t>
            </w:r>
            <w:r>
              <w:rPr>
                <w:rFonts w:ascii="Times New Roman" w:hAnsi="Times New Roman" w:cs="Times New Roman"/>
                <w:b/>
                <w:sz w:val="24"/>
                <w:szCs w:val="24"/>
              </w:rPr>
              <w:t>leģitīms mērķis</w:t>
            </w:r>
            <w:r>
              <w:rPr>
                <w:rFonts w:ascii="Times New Roman" w:hAnsi="Times New Roman" w:cs="Times New Roman"/>
                <w:sz w:val="24"/>
                <w:szCs w:val="24"/>
              </w:rPr>
              <w:t xml:space="preserve"> – sabiedrības drošības un labklājības nodrošināšana un citu personu tiesību aizsardzība. Minēto valsts nodevu aprēķināšanas kārtība ļaus stiprināt valsts valodas lietošanu, kas ir valsts konstitucionāls pienākums. Valsts valodas aizsardzības un nodokļu un nodevu jomā likumdevēja rīcības brīvība ir pietiekami plaša. </w:t>
            </w:r>
          </w:p>
          <w:p w:rsidR="00583BC9" w:rsidRDefault="00583BC9" w:rsidP="005710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Izraudzītais līdzeklis – valsts nodevas samaksa par retranslācijas atļaujas pārreģistrāciju, par pamatu ņemot iepriekšējā gadā retranslētās programmas, vai valsts nodeva apraides tiesību īstenošanas uzraudzībai – </w:t>
            </w:r>
            <w:r>
              <w:rPr>
                <w:rFonts w:ascii="Times New Roman" w:hAnsi="Times New Roman" w:cs="Times New Roman"/>
                <w:b/>
                <w:sz w:val="24"/>
                <w:szCs w:val="24"/>
              </w:rPr>
              <w:t>ir piemērots leģitīmā mērķa sasniegšanai</w:t>
            </w:r>
            <w:r>
              <w:rPr>
                <w:rFonts w:ascii="Times New Roman" w:hAnsi="Times New Roman" w:cs="Times New Roman"/>
                <w:sz w:val="24"/>
                <w:szCs w:val="24"/>
              </w:rPr>
              <w:t xml:space="preserve">, jo ļaus iegūt līdzekļus, lai attiecīgi veiktu programmu retranslācijas tiesīguma uzraudzību vai televīzijas programmu satura atbilstības uzraudzību, bet atbrīvojumi no valsts nodevas nomaksas paredzēs virkni izņēmumu, ar kuriem tiks stiprināts valsts valodas lietošana (piemēram, valsts nodeva nav jāmaksā par programmām, kurās ir noteikts valsts valodas īpatsvars). Prasība maksāt valsts nodevu par retranslācijas atļaujas pārreģistrāciju divkāršā apmērā, ko piemērotu konstatēta normatīvo aktu pārkāpuma gadījumā, stimulēs komersantus ievērot normatīvos aktus. Stingrāka retranslējamo programmu tiesīguma kontrole aizsargās programmu īpašnieku intereses, kā arī sabiedrības intereses, nodrošinot godīgāku konkurenci un pasargājot sabiedrību no Latvijā prettiesiski izplatītu programmu iespējamās kaitīgās ietekmes. </w:t>
            </w:r>
          </w:p>
          <w:p w:rsidR="00583BC9" w:rsidRDefault="00583BC9" w:rsidP="0057108C">
            <w:pPr>
              <w:spacing w:line="240" w:lineRule="auto"/>
              <w:jc w:val="both"/>
              <w:rPr>
                <w:rFonts w:ascii="Times New Roman" w:hAnsi="Times New Roman" w:cs="Times New Roman"/>
                <w:sz w:val="24"/>
                <w:szCs w:val="24"/>
              </w:rPr>
            </w:pPr>
            <w:r>
              <w:rPr>
                <w:rFonts w:ascii="Times New Roman" w:hAnsi="Times New Roman" w:cs="Times New Roman"/>
                <w:b/>
                <w:sz w:val="24"/>
                <w:szCs w:val="24"/>
              </w:rPr>
              <w:t>Nepastāv arī saudzējošāki risinājumi</w:t>
            </w:r>
            <w:r>
              <w:rPr>
                <w:rFonts w:ascii="Times New Roman" w:hAnsi="Times New Roman" w:cs="Times New Roman"/>
                <w:sz w:val="24"/>
                <w:szCs w:val="24"/>
              </w:rPr>
              <w:t xml:space="preserve">, ar kuriem sasniegt </w:t>
            </w:r>
            <w:r>
              <w:rPr>
                <w:rFonts w:ascii="Times New Roman" w:hAnsi="Times New Roman" w:cs="Times New Roman"/>
                <w:sz w:val="24"/>
                <w:szCs w:val="24"/>
              </w:rPr>
              <w:lastRenderedPageBreak/>
              <w:t xml:space="preserve">leģitīmo mērķi tikpat efektīvi. Saudzējošāks risinājums nav jebkurš cits risinājums. Pirmkārt, ar sodu piemērošanu mērķi vien nevar sasniegt, turklāt kontroles pasākumi prasa ievērojamus resursus, lai nodrošinātu soda neizbēgamības principu. Otrkārt, nodokļu maksātājiem nebūtu samērīgi segt visus izdevumus, kas saistīti ar atsevišķu komersantu darbības uzraudzību televīzijas programmu izplatīšanā papildus likumā noteiktajiem obligātās televīzijas programmu izplatīšanas noteikumiem, it īpaši pārrobežu televīzijas satura uzraudzībā, kas netiek pat izplatīta Latvijā vai valsts valodā, bet Latvijas institūcijas ir atbildīgas par to saturu. Treškārt, </w:t>
            </w:r>
            <w:r w:rsidR="00315D09">
              <w:rPr>
                <w:rFonts w:ascii="Times New Roman" w:hAnsi="Times New Roman" w:cs="Times New Roman"/>
                <w:sz w:val="24"/>
                <w:szCs w:val="24"/>
              </w:rPr>
              <w:t>Likump</w:t>
            </w:r>
            <w:r>
              <w:rPr>
                <w:rFonts w:ascii="Times New Roman" w:hAnsi="Times New Roman" w:cs="Times New Roman"/>
                <w:sz w:val="24"/>
                <w:szCs w:val="24"/>
              </w:rPr>
              <w:t xml:space="preserve">rojektā paredzētie risinājumi sader arī virknē Eiropas valstu paredzēto kārtību.  </w:t>
            </w:r>
          </w:p>
          <w:p w:rsidR="00FC2D08" w:rsidRDefault="00583BC9" w:rsidP="00FC2D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Izraudzītais līdzeklis </w:t>
            </w:r>
            <w:r>
              <w:rPr>
                <w:rFonts w:ascii="Times New Roman" w:hAnsi="Times New Roman" w:cs="Times New Roman"/>
                <w:b/>
                <w:sz w:val="24"/>
                <w:szCs w:val="24"/>
              </w:rPr>
              <w:t>nav neproporcionāls</w:t>
            </w:r>
            <w:r>
              <w:rPr>
                <w:rFonts w:ascii="Times New Roman" w:hAnsi="Times New Roman" w:cs="Times New Roman"/>
                <w:sz w:val="24"/>
                <w:szCs w:val="24"/>
              </w:rPr>
              <w:t xml:space="preserve"> komersantu tiesību ierobežojums, jo paredz samērīgu valsts nodevas apmēru, izņēmumus attiecībā uz obligāto programmu izplatīšanu un izglītības un kultūras programmām, kā arī programmām ar note</w:t>
            </w:r>
            <w:r w:rsidR="00FC2D08">
              <w:rPr>
                <w:rFonts w:ascii="Times New Roman" w:hAnsi="Times New Roman" w:cs="Times New Roman"/>
                <w:sz w:val="24"/>
                <w:szCs w:val="24"/>
              </w:rPr>
              <w:t xml:space="preserve">iktu valsts valodas īpatsvaru. </w:t>
            </w:r>
            <w:r>
              <w:rPr>
                <w:rFonts w:ascii="Times New Roman" w:hAnsi="Times New Roman" w:cs="Times New Roman"/>
                <w:sz w:val="24"/>
                <w:szCs w:val="24"/>
              </w:rPr>
              <w:t xml:space="preserve">Tāpat attiecībā uz kabeļoperatoriem ar nelielu apgrozījumu noteikta valsts nodevas samazināšana par 50 procentiem. Valsts nodevas neattiecas uz sabiedriskajiem un nekomerciālajiem elektroniskajiem plašsaziņas līdzekļiem. </w:t>
            </w:r>
          </w:p>
          <w:p w:rsidR="00663F01" w:rsidRDefault="00583BC9" w:rsidP="00FC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w:t>
            </w:r>
            <w:r w:rsidR="00FC2D08">
              <w:rPr>
                <w:rFonts w:ascii="Times New Roman" w:hAnsi="Times New Roman" w:cs="Times New Roman"/>
                <w:sz w:val="24"/>
                <w:szCs w:val="24"/>
              </w:rPr>
              <w:t>Likum</w:t>
            </w:r>
            <w:r>
              <w:rPr>
                <w:rFonts w:ascii="Times New Roman" w:hAnsi="Times New Roman" w:cs="Times New Roman"/>
                <w:sz w:val="24"/>
                <w:szCs w:val="24"/>
              </w:rPr>
              <w:t xml:space="preserve">projektā paredzētie risinājumi ir samērīgs Satversmes 105.pantā minēto tiesību ierobežojums. </w:t>
            </w:r>
          </w:p>
        </w:tc>
      </w:tr>
      <w:tr w:rsidR="001B2481" w:rsidRPr="008D25A9" w:rsidTr="00714184">
        <w:trPr>
          <w:trHeight w:val="372"/>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lastRenderedPageBreak/>
              <w:t>3.</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izstrādē iesaistītās institūcijas</w:t>
            </w:r>
          </w:p>
        </w:tc>
        <w:sdt>
          <w:sdtPr>
            <w:rPr>
              <w:rFonts w:ascii="Times New Roman" w:eastAsia="Times New Roman" w:hAnsi="Times New Roman" w:cs="Times New Roman"/>
              <w:color w:val="000000" w:themeColor="text1"/>
              <w:sz w:val="24"/>
              <w:szCs w:val="24"/>
              <w:lang w:eastAsia="lv-LV"/>
            </w:rPr>
            <w:id w:val="281316415"/>
            <w:placeholder>
              <w:docPart w:val="1192ED011A3E47CF9107AF04B1D159EE"/>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Nacionālā elektroni</w:t>
                </w:r>
                <w:r w:rsidR="008F2DC7">
                  <w:rPr>
                    <w:rFonts w:ascii="Times New Roman" w:eastAsia="Times New Roman" w:hAnsi="Times New Roman" w:cs="Times New Roman"/>
                    <w:color w:val="000000" w:themeColor="text1"/>
                    <w:sz w:val="24"/>
                    <w:szCs w:val="24"/>
                    <w:lang w:eastAsia="lv-LV"/>
                  </w:rPr>
                  <w:t>sko plašsaziņas līdzekļu padome.</w:t>
                </w:r>
              </w:p>
            </w:tc>
          </w:sdtContent>
        </w:sdt>
      </w:tr>
      <w:tr w:rsidR="001B2481" w:rsidRPr="008D25A9" w:rsidTr="00714184">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021208832"/>
            <w:placeholder>
              <w:docPart w:val="7401F8EB3F9542B99D127A1AC49F6543"/>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w:t>
                </w:r>
              </w:p>
            </w:tc>
          </w:sdtContent>
        </w:sdt>
      </w:tr>
    </w:tbl>
    <w:p w:rsidR="001B2481" w:rsidRPr="008D25A9"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1B2481" w:rsidRPr="008D25A9" w:rsidTr="0071418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1B2481" w:rsidRPr="008D25A9" w:rsidTr="0071418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8F2DC7" w:rsidP="00714184">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w:t>
            </w:r>
            <w:r w:rsidR="001B2481" w:rsidRPr="008D25A9">
              <w:rPr>
                <w:rFonts w:ascii="Times New Roman" w:eastAsia="Times New Roman" w:hAnsi="Times New Roman" w:cs="Times New Roman"/>
                <w:bCs/>
                <w:color w:val="000000" w:themeColor="text1"/>
                <w:sz w:val="24"/>
                <w:szCs w:val="24"/>
                <w:lang w:eastAsia="lv-LV"/>
              </w:rPr>
              <w:t>rojekts šo jomu neskar</w:t>
            </w:r>
            <w:r>
              <w:rPr>
                <w:rFonts w:ascii="Times New Roman" w:eastAsia="Times New Roman" w:hAnsi="Times New Roman" w:cs="Times New Roman"/>
                <w:bCs/>
                <w:color w:val="000000" w:themeColor="text1"/>
                <w:sz w:val="24"/>
                <w:szCs w:val="24"/>
                <w:lang w:eastAsia="lv-LV"/>
              </w:rPr>
              <w:t>.</w:t>
            </w:r>
          </w:p>
        </w:tc>
      </w:tr>
    </w:tbl>
    <w:p w:rsidR="001B2481"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798"/>
        <w:gridCol w:w="1051"/>
        <w:gridCol w:w="1537"/>
        <w:gridCol w:w="1468"/>
        <w:gridCol w:w="1542"/>
        <w:gridCol w:w="1815"/>
      </w:tblGrid>
      <w:tr w:rsidR="0057108C" w:rsidRPr="00122999" w:rsidTr="0057108C">
        <w:trPr>
          <w:trHeight w:val="360"/>
          <w:tblCellSpacing w:w="15" w:type="dxa"/>
          <w:jc w:val="center"/>
        </w:trPr>
        <w:tc>
          <w:tcPr>
            <w:tcW w:w="4967" w:type="pct"/>
            <w:gridSpan w:val="6"/>
            <w:vAlign w:val="center"/>
            <w:hideMark/>
          </w:tcPr>
          <w:p w:rsidR="0057108C" w:rsidRPr="00122999" w:rsidRDefault="0057108C" w:rsidP="00643E87">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sz w:val="24"/>
                <w:szCs w:val="24"/>
              </w:rPr>
              <w:t> </w:t>
            </w:r>
            <w:r w:rsidRPr="00122999">
              <w:rPr>
                <w:rFonts w:ascii="Times New Roman" w:hAnsi="Times New Roman" w:cs="Times New Roman"/>
                <w:b/>
                <w:bCs/>
                <w:sz w:val="24"/>
                <w:szCs w:val="24"/>
              </w:rPr>
              <w:t>III. Tiesību akta projekta ietekme uz valsts budžetu un pašvaldību budžetiem</w:t>
            </w:r>
          </w:p>
        </w:tc>
      </w:tr>
      <w:tr w:rsidR="0057108C" w:rsidRPr="00122999" w:rsidTr="0057108C">
        <w:trPr>
          <w:tblCellSpacing w:w="15" w:type="dxa"/>
          <w:jc w:val="center"/>
        </w:trPr>
        <w:tc>
          <w:tcPr>
            <w:tcW w:w="968" w:type="pct"/>
            <w:vMerge w:val="restart"/>
            <w:vAlign w:val="center"/>
            <w:hideMark/>
          </w:tcPr>
          <w:p w:rsidR="0057108C" w:rsidRPr="00122999" w:rsidRDefault="0057108C" w:rsidP="00643E87">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b/>
                <w:bCs/>
                <w:sz w:val="24"/>
                <w:szCs w:val="24"/>
              </w:rPr>
              <w:t>Rādītāji</w:t>
            </w:r>
          </w:p>
        </w:tc>
        <w:tc>
          <w:tcPr>
            <w:tcW w:w="1394" w:type="pct"/>
            <w:gridSpan w:val="2"/>
            <w:vMerge w:val="restart"/>
            <w:vAlign w:val="center"/>
            <w:hideMark/>
          </w:tcPr>
          <w:p w:rsidR="0057108C" w:rsidRPr="00122999" w:rsidRDefault="0057108C" w:rsidP="00643E87">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b/>
                <w:bCs/>
                <w:sz w:val="24"/>
                <w:szCs w:val="24"/>
              </w:rPr>
              <w:t>2017.gads</w:t>
            </w:r>
          </w:p>
        </w:tc>
        <w:tc>
          <w:tcPr>
            <w:tcW w:w="2573" w:type="pct"/>
            <w:gridSpan w:val="3"/>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Turpmākie trīs gadi (</w:t>
            </w:r>
            <w:r w:rsidRPr="00122999">
              <w:rPr>
                <w:rFonts w:ascii="Times New Roman" w:hAnsi="Times New Roman" w:cs="Times New Roman"/>
                <w:i/>
                <w:iCs/>
                <w:sz w:val="24"/>
                <w:szCs w:val="24"/>
              </w:rPr>
              <w:t>euro</w:t>
            </w:r>
            <w:r w:rsidRPr="00122999">
              <w:rPr>
                <w:rFonts w:ascii="Times New Roman" w:hAnsi="Times New Roman" w:cs="Times New Roman"/>
                <w:sz w:val="24"/>
                <w:szCs w:val="24"/>
              </w:rPr>
              <w:t>)</w:t>
            </w:r>
          </w:p>
        </w:tc>
      </w:tr>
      <w:tr w:rsidR="0057108C" w:rsidRPr="00122999" w:rsidTr="0057108C">
        <w:trPr>
          <w:tblCellSpacing w:w="15" w:type="dxa"/>
          <w:jc w:val="center"/>
        </w:trPr>
        <w:tc>
          <w:tcPr>
            <w:tcW w:w="968" w:type="pct"/>
            <w:vMerge/>
            <w:vAlign w:val="center"/>
            <w:hideMark/>
          </w:tcPr>
          <w:p w:rsidR="0057108C" w:rsidRPr="00122999" w:rsidRDefault="0057108C" w:rsidP="00643E87">
            <w:pPr>
              <w:rPr>
                <w:rFonts w:ascii="Times New Roman" w:hAnsi="Times New Roman" w:cs="Times New Roman"/>
                <w:b/>
                <w:bCs/>
                <w:sz w:val="24"/>
                <w:szCs w:val="24"/>
              </w:rPr>
            </w:pPr>
          </w:p>
        </w:tc>
        <w:tc>
          <w:tcPr>
            <w:tcW w:w="1394" w:type="pct"/>
            <w:gridSpan w:val="2"/>
            <w:vMerge/>
            <w:vAlign w:val="center"/>
            <w:hideMark/>
          </w:tcPr>
          <w:p w:rsidR="0057108C" w:rsidRPr="00122999" w:rsidRDefault="0057108C" w:rsidP="00643E87">
            <w:pPr>
              <w:rPr>
                <w:rFonts w:ascii="Times New Roman" w:hAnsi="Times New Roman" w:cs="Times New Roman"/>
                <w:b/>
                <w:bCs/>
                <w:sz w:val="24"/>
                <w:szCs w:val="24"/>
              </w:rPr>
            </w:pPr>
          </w:p>
        </w:tc>
        <w:tc>
          <w:tcPr>
            <w:tcW w:w="794" w:type="pct"/>
            <w:vAlign w:val="center"/>
            <w:hideMark/>
          </w:tcPr>
          <w:p w:rsidR="0057108C" w:rsidRPr="00122999" w:rsidRDefault="0057108C" w:rsidP="00643E87">
            <w:pPr>
              <w:jc w:val="center"/>
              <w:rPr>
                <w:rFonts w:ascii="Times New Roman" w:hAnsi="Times New Roman" w:cs="Times New Roman"/>
                <w:b/>
                <w:bCs/>
                <w:sz w:val="24"/>
                <w:szCs w:val="24"/>
              </w:rPr>
            </w:pPr>
            <w:r w:rsidRPr="00122999">
              <w:rPr>
                <w:rFonts w:ascii="Times New Roman" w:hAnsi="Times New Roman" w:cs="Times New Roman"/>
                <w:b/>
                <w:bCs/>
                <w:sz w:val="24"/>
                <w:szCs w:val="24"/>
              </w:rPr>
              <w:t>2018.</w:t>
            </w:r>
          </w:p>
        </w:tc>
        <w:tc>
          <w:tcPr>
            <w:tcW w:w="834" w:type="pct"/>
            <w:vAlign w:val="center"/>
            <w:hideMark/>
          </w:tcPr>
          <w:p w:rsidR="0057108C" w:rsidRPr="00122999" w:rsidRDefault="0057108C" w:rsidP="00643E87">
            <w:pPr>
              <w:jc w:val="center"/>
              <w:rPr>
                <w:rFonts w:ascii="Times New Roman" w:hAnsi="Times New Roman" w:cs="Times New Roman"/>
                <w:b/>
                <w:bCs/>
                <w:sz w:val="24"/>
                <w:szCs w:val="24"/>
              </w:rPr>
            </w:pPr>
            <w:r w:rsidRPr="00122999">
              <w:rPr>
                <w:rFonts w:ascii="Times New Roman" w:hAnsi="Times New Roman" w:cs="Times New Roman"/>
                <w:b/>
                <w:bCs/>
                <w:sz w:val="24"/>
                <w:szCs w:val="24"/>
              </w:rPr>
              <w:t>2019.</w:t>
            </w:r>
          </w:p>
        </w:tc>
        <w:tc>
          <w:tcPr>
            <w:tcW w:w="913" w:type="pct"/>
            <w:vAlign w:val="center"/>
            <w:hideMark/>
          </w:tcPr>
          <w:p w:rsidR="0057108C" w:rsidRPr="00122999" w:rsidRDefault="0057108C" w:rsidP="00643E87">
            <w:pPr>
              <w:jc w:val="center"/>
              <w:rPr>
                <w:rFonts w:ascii="Times New Roman" w:hAnsi="Times New Roman" w:cs="Times New Roman"/>
                <w:b/>
                <w:bCs/>
                <w:sz w:val="24"/>
                <w:szCs w:val="24"/>
              </w:rPr>
            </w:pPr>
            <w:r w:rsidRPr="00122999">
              <w:rPr>
                <w:rFonts w:ascii="Times New Roman" w:hAnsi="Times New Roman" w:cs="Times New Roman"/>
                <w:b/>
                <w:bCs/>
                <w:sz w:val="24"/>
                <w:szCs w:val="24"/>
              </w:rPr>
              <w:t>2020.</w:t>
            </w:r>
          </w:p>
        </w:tc>
      </w:tr>
      <w:tr w:rsidR="0057108C" w:rsidRPr="00122999" w:rsidTr="0057108C">
        <w:trPr>
          <w:tblCellSpacing w:w="15" w:type="dxa"/>
          <w:jc w:val="center"/>
        </w:trPr>
        <w:tc>
          <w:tcPr>
            <w:tcW w:w="968" w:type="pct"/>
            <w:vMerge/>
            <w:vAlign w:val="center"/>
            <w:hideMark/>
          </w:tcPr>
          <w:p w:rsidR="0057108C" w:rsidRPr="00122999" w:rsidRDefault="0057108C" w:rsidP="00643E87">
            <w:pPr>
              <w:rPr>
                <w:rFonts w:ascii="Times New Roman" w:hAnsi="Times New Roman" w:cs="Times New Roman"/>
                <w:b/>
                <w:bCs/>
                <w:sz w:val="24"/>
                <w:szCs w:val="24"/>
              </w:rPr>
            </w:pPr>
          </w:p>
        </w:tc>
        <w:tc>
          <w:tcPr>
            <w:tcW w:w="563"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saskaņā ar valsts budžetu kārtējam gadam</w:t>
            </w:r>
          </w:p>
        </w:tc>
        <w:tc>
          <w:tcPr>
            <w:tcW w:w="815"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kārtējā gadā, salīdzinot ar valsts budžetu kārtējam gadam</w:t>
            </w:r>
          </w:p>
        </w:tc>
        <w:tc>
          <w:tcPr>
            <w:tcW w:w="794"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c>
          <w:tcPr>
            <w:tcW w:w="834"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c>
          <w:tcPr>
            <w:tcW w:w="913"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r>
      <w:tr w:rsidR="0057108C" w:rsidRPr="00122999" w:rsidTr="0057108C">
        <w:trPr>
          <w:tblCellSpacing w:w="15" w:type="dxa"/>
          <w:jc w:val="center"/>
        </w:trPr>
        <w:tc>
          <w:tcPr>
            <w:tcW w:w="968"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1</w:t>
            </w:r>
          </w:p>
        </w:tc>
        <w:tc>
          <w:tcPr>
            <w:tcW w:w="563"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2</w:t>
            </w:r>
          </w:p>
        </w:tc>
        <w:tc>
          <w:tcPr>
            <w:tcW w:w="815"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3</w:t>
            </w:r>
          </w:p>
        </w:tc>
        <w:tc>
          <w:tcPr>
            <w:tcW w:w="794"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4</w:t>
            </w:r>
          </w:p>
        </w:tc>
        <w:tc>
          <w:tcPr>
            <w:tcW w:w="834"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5</w:t>
            </w:r>
          </w:p>
        </w:tc>
        <w:tc>
          <w:tcPr>
            <w:tcW w:w="913" w:type="pct"/>
            <w:vAlign w:val="center"/>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6</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lastRenderedPageBreak/>
              <w:t>1. Budžeta ieņēmumi:</w:t>
            </w:r>
          </w:p>
        </w:tc>
        <w:tc>
          <w:tcPr>
            <w:tcW w:w="563" w:type="pct"/>
            <w:hideMark/>
          </w:tcPr>
          <w:p w:rsidR="0057108C" w:rsidRPr="00122999" w:rsidRDefault="003B31E2" w:rsidP="00643E87">
            <w:pPr>
              <w:jc w:val="center"/>
              <w:rPr>
                <w:rFonts w:ascii="Times New Roman" w:hAnsi="Times New Roman" w:cs="Times New Roman"/>
                <w:sz w:val="24"/>
                <w:szCs w:val="24"/>
              </w:rPr>
            </w:pPr>
            <w:r>
              <w:rPr>
                <w:rFonts w:ascii="Times New Roman" w:hAnsi="Times New Roman" w:cs="Times New Roman"/>
                <w:sz w:val="24"/>
                <w:szCs w:val="24"/>
              </w:rPr>
              <w:t>13 000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B13D7B" w:rsidP="00B13D7B">
            <w:pPr>
              <w:jc w:val="center"/>
              <w:rPr>
                <w:rFonts w:ascii="Times New Roman" w:hAnsi="Times New Roman" w:cs="Times New Roman"/>
                <w:sz w:val="24"/>
                <w:szCs w:val="24"/>
              </w:rPr>
            </w:pPr>
            <w:r>
              <w:rPr>
                <w:rFonts w:ascii="Times New Roman" w:hAnsi="Times New Roman" w:cs="Times New Roman"/>
                <w:sz w:val="24"/>
                <w:szCs w:val="24"/>
              </w:rPr>
              <w:t>78</w:t>
            </w:r>
            <w:r w:rsidR="0057108C">
              <w:rPr>
                <w:rFonts w:ascii="Times New Roman" w:hAnsi="Times New Roman" w:cs="Times New Roman"/>
                <w:sz w:val="24"/>
                <w:szCs w:val="24"/>
              </w:rPr>
              <w:t> </w:t>
            </w:r>
            <w:r>
              <w:rPr>
                <w:rFonts w:ascii="Times New Roman" w:hAnsi="Times New Roman" w:cs="Times New Roman"/>
                <w:sz w:val="24"/>
                <w:szCs w:val="24"/>
              </w:rPr>
              <w:t>585</w:t>
            </w:r>
          </w:p>
        </w:tc>
        <w:tc>
          <w:tcPr>
            <w:tcW w:w="834" w:type="pct"/>
            <w:hideMark/>
          </w:tcPr>
          <w:p w:rsidR="0057108C" w:rsidRPr="00122999" w:rsidRDefault="00B13D7B" w:rsidP="00B13D7B">
            <w:pPr>
              <w:jc w:val="center"/>
              <w:rPr>
                <w:rFonts w:ascii="Times New Roman" w:hAnsi="Times New Roman" w:cs="Times New Roman"/>
                <w:sz w:val="24"/>
                <w:szCs w:val="24"/>
              </w:rPr>
            </w:pPr>
            <w:r>
              <w:rPr>
                <w:rFonts w:ascii="Times New Roman" w:hAnsi="Times New Roman" w:cs="Times New Roman"/>
                <w:sz w:val="24"/>
                <w:szCs w:val="24"/>
              </w:rPr>
              <w:t>98</w:t>
            </w:r>
            <w:r w:rsidR="0057108C" w:rsidRPr="00DF0428">
              <w:rPr>
                <w:rFonts w:ascii="Times New Roman" w:hAnsi="Times New Roman" w:cs="Times New Roman"/>
                <w:sz w:val="24"/>
                <w:szCs w:val="24"/>
              </w:rPr>
              <w:t> </w:t>
            </w:r>
            <w:r>
              <w:rPr>
                <w:rFonts w:ascii="Times New Roman" w:hAnsi="Times New Roman" w:cs="Times New Roman"/>
                <w:sz w:val="24"/>
                <w:szCs w:val="24"/>
              </w:rPr>
              <w:t>085</w:t>
            </w:r>
          </w:p>
        </w:tc>
        <w:tc>
          <w:tcPr>
            <w:tcW w:w="913" w:type="pct"/>
            <w:hideMark/>
          </w:tcPr>
          <w:p w:rsidR="0057108C" w:rsidRPr="00122999" w:rsidRDefault="00B13D7B" w:rsidP="00B13D7B">
            <w:pPr>
              <w:jc w:val="center"/>
              <w:rPr>
                <w:rFonts w:ascii="Times New Roman" w:hAnsi="Times New Roman" w:cs="Times New Roman"/>
                <w:sz w:val="24"/>
                <w:szCs w:val="24"/>
              </w:rPr>
            </w:pPr>
            <w:r>
              <w:rPr>
                <w:rFonts w:ascii="Times New Roman" w:hAnsi="Times New Roman" w:cs="Times New Roman"/>
                <w:sz w:val="24"/>
                <w:szCs w:val="24"/>
              </w:rPr>
              <w:t>98</w:t>
            </w:r>
            <w:r w:rsidR="0057108C" w:rsidRPr="00DF0428">
              <w:rPr>
                <w:rFonts w:ascii="Times New Roman" w:hAnsi="Times New Roman" w:cs="Times New Roman"/>
                <w:sz w:val="24"/>
                <w:szCs w:val="24"/>
              </w:rPr>
              <w:t> 0</w:t>
            </w:r>
            <w:r>
              <w:rPr>
                <w:rFonts w:ascii="Times New Roman" w:hAnsi="Times New Roman" w:cs="Times New Roman"/>
                <w:sz w:val="24"/>
                <w:szCs w:val="24"/>
              </w:rPr>
              <w:t>85</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1.1. valsts pamatbudžets, tai skaitā ieņēmumi no maksas pakalpojumiem un citi pašu ieņēmumi</w:t>
            </w:r>
          </w:p>
        </w:tc>
        <w:tc>
          <w:tcPr>
            <w:tcW w:w="563" w:type="pct"/>
            <w:hideMark/>
          </w:tcPr>
          <w:p w:rsidR="0057108C" w:rsidRPr="00122999" w:rsidRDefault="003B31E2" w:rsidP="00643E87">
            <w:pPr>
              <w:jc w:val="center"/>
              <w:rPr>
                <w:rFonts w:ascii="Times New Roman" w:hAnsi="Times New Roman" w:cs="Times New Roman"/>
                <w:b/>
                <w:sz w:val="24"/>
                <w:szCs w:val="24"/>
              </w:rPr>
            </w:pPr>
            <w:r>
              <w:rPr>
                <w:rFonts w:ascii="Times New Roman" w:hAnsi="Times New Roman" w:cs="Times New Roman"/>
                <w:sz w:val="24"/>
                <w:szCs w:val="24"/>
              </w:rPr>
              <w:t>13 000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B13D7B" w:rsidP="00B13D7B">
            <w:pPr>
              <w:jc w:val="center"/>
              <w:rPr>
                <w:rFonts w:ascii="Times New Roman" w:hAnsi="Times New Roman" w:cs="Times New Roman"/>
                <w:sz w:val="24"/>
                <w:szCs w:val="24"/>
              </w:rPr>
            </w:pPr>
            <w:r>
              <w:rPr>
                <w:rFonts w:ascii="Times New Roman" w:hAnsi="Times New Roman" w:cs="Times New Roman"/>
                <w:sz w:val="24"/>
                <w:szCs w:val="24"/>
              </w:rPr>
              <w:t>78</w:t>
            </w:r>
            <w:r w:rsidR="0057108C">
              <w:rPr>
                <w:rFonts w:ascii="Times New Roman" w:hAnsi="Times New Roman" w:cs="Times New Roman"/>
                <w:sz w:val="24"/>
                <w:szCs w:val="24"/>
              </w:rPr>
              <w:t> 5</w:t>
            </w:r>
            <w:r>
              <w:rPr>
                <w:rFonts w:ascii="Times New Roman" w:hAnsi="Times New Roman" w:cs="Times New Roman"/>
                <w:sz w:val="24"/>
                <w:szCs w:val="24"/>
              </w:rPr>
              <w:t>85</w:t>
            </w:r>
          </w:p>
        </w:tc>
        <w:tc>
          <w:tcPr>
            <w:tcW w:w="834" w:type="pct"/>
            <w:hideMark/>
          </w:tcPr>
          <w:p w:rsidR="0057108C" w:rsidRDefault="00B13D7B" w:rsidP="00643E87">
            <w:pPr>
              <w:jc w:val="center"/>
              <w:rPr>
                <w:rFonts w:ascii="Times New Roman" w:hAnsi="Times New Roman" w:cs="Times New Roman"/>
                <w:sz w:val="24"/>
                <w:szCs w:val="24"/>
              </w:rPr>
            </w:pPr>
            <w:r>
              <w:rPr>
                <w:rFonts w:ascii="Times New Roman" w:hAnsi="Times New Roman" w:cs="Times New Roman"/>
                <w:sz w:val="24"/>
                <w:szCs w:val="24"/>
              </w:rPr>
              <w:t>98 085</w:t>
            </w:r>
          </w:p>
          <w:p w:rsidR="00B13D7B" w:rsidRPr="00122999" w:rsidRDefault="00B13D7B" w:rsidP="00643E87">
            <w:pPr>
              <w:jc w:val="center"/>
              <w:rPr>
                <w:rFonts w:ascii="Times New Roman" w:hAnsi="Times New Roman" w:cs="Times New Roman"/>
                <w:sz w:val="24"/>
                <w:szCs w:val="24"/>
              </w:rPr>
            </w:pPr>
          </w:p>
        </w:tc>
        <w:tc>
          <w:tcPr>
            <w:tcW w:w="913" w:type="pct"/>
            <w:hideMark/>
          </w:tcPr>
          <w:p w:rsidR="0057108C" w:rsidRPr="00122999" w:rsidRDefault="00B13D7B" w:rsidP="00643E87">
            <w:pPr>
              <w:jc w:val="center"/>
              <w:rPr>
                <w:rFonts w:ascii="Times New Roman" w:hAnsi="Times New Roman" w:cs="Times New Roman"/>
                <w:sz w:val="24"/>
                <w:szCs w:val="24"/>
              </w:rPr>
            </w:pPr>
            <w:r>
              <w:rPr>
                <w:rFonts w:ascii="Times New Roman" w:hAnsi="Times New Roman" w:cs="Times New Roman"/>
                <w:sz w:val="24"/>
                <w:szCs w:val="24"/>
              </w:rPr>
              <w:t>98 085</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1.2. valsts speciālais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1.3. pašvaldību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2. Budžeta izdevumi:</w:t>
            </w:r>
          </w:p>
        </w:tc>
        <w:tc>
          <w:tcPr>
            <w:tcW w:w="563" w:type="pct"/>
            <w:hideMark/>
          </w:tcPr>
          <w:p w:rsidR="0057108C" w:rsidRPr="00122999" w:rsidRDefault="003B31E2" w:rsidP="00643E87">
            <w:pPr>
              <w:jc w:val="center"/>
              <w:rPr>
                <w:rFonts w:ascii="Times New Roman" w:hAnsi="Times New Roman" w:cs="Times New Roman"/>
                <w:sz w:val="24"/>
                <w:szCs w:val="24"/>
              </w:rPr>
            </w:pPr>
            <w:r>
              <w:rPr>
                <w:rFonts w:ascii="Times New Roman" w:hAnsi="Times New Roman" w:cs="Times New Roman"/>
                <w:sz w:val="24"/>
                <w:szCs w:val="24"/>
              </w:rPr>
              <w:t>13 000</w:t>
            </w:r>
          </w:p>
        </w:tc>
        <w:tc>
          <w:tcPr>
            <w:tcW w:w="815" w:type="pct"/>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437C80" w:rsidP="00437C80">
            <w:pPr>
              <w:jc w:val="center"/>
              <w:rPr>
                <w:rFonts w:ascii="Times New Roman" w:hAnsi="Times New Roman" w:cs="Times New Roman"/>
                <w:sz w:val="24"/>
                <w:szCs w:val="24"/>
              </w:rPr>
            </w:pPr>
            <w:r>
              <w:rPr>
                <w:rFonts w:ascii="Times New Roman" w:hAnsi="Times New Roman" w:cs="Times New Roman"/>
                <w:sz w:val="24"/>
                <w:szCs w:val="24"/>
              </w:rPr>
              <w:t>78 585</w:t>
            </w:r>
          </w:p>
        </w:tc>
        <w:tc>
          <w:tcPr>
            <w:tcW w:w="834" w:type="pct"/>
            <w:hideMark/>
          </w:tcPr>
          <w:p w:rsidR="00437C80" w:rsidRPr="00122999" w:rsidRDefault="00437C80" w:rsidP="00437C80">
            <w:pPr>
              <w:jc w:val="center"/>
              <w:rPr>
                <w:rFonts w:ascii="Times New Roman" w:hAnsi="Times New Roman" w:cs="Times New Roman"/>
                <w:sz w:val="24"/>
                <w:szCs w:val="24"/>
              </w:rPr>
            </w:pPr>
            <w:r>
              <w:rPr>
                <w:rFonts w:ascii="Times New Roman" w:hAnsi="Times New Roman" w:cs="Times New Roman"/>
                <w:sz w:val="24"/>
                <w:szCs w:val="24"/>
              </w:rPr>
              <w:t>98 085</w:t>
            </w:r>
          </w:p>
        </w:tc>
        <w:tc>
          <w:tcPr>
            <w:tcW w:w="913"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98 085</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2.1. valsts pamatbudžets</w:t>
            </w:r>
          </w:p>
        </w:tc>
        <w:tc>
          <w:tcPr>
            <w:tcW w:w="563" w:type="pct"/>
            <w:hideMark/>
          </w:tcPr>
          <w:p w:rsidR="0057108C" w:rsidRPr="00122999" w:rsidRDefault="003B31E2" w:rsidP="00643E87">
            <w:pPr>
              <w:jc w:val="center"/>
              <w:rPr>
                <w:rFonts w:ascii="Times New Roman" w:hAnsi="Times New Roman" w:cs="Times New Roman"/>
                <w:sz w:val="24"/>
                <w:szCs w:val="24"/>
              </w:rPr>
            </w:pPr>
            <w:r>
              <w:rPr>
                <w:rFonts w:ascii="Times New Roman" w:hAnsi="Times New Roman" w:cs="Times New Roman"/>
                <w:sz w:val="24"/>
                <w:szCs w:val="24"/>
              </w:rPr>
              <w:t>13 000</w:t>
            </w:r>
          </w:p>
        </w:tc>
        <w:tc>
          <w:tcPr>
            <w:tcW w:w="815" w:type="pct"/>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78 585</w:t>
            </w:r>
          </w:p>
        </w:tc>
        <w:tc>
          <w:tcPr>
            <w:tcW w:w="83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98 085</w:t>
            </w:r>
          </w:p>
        </w:tc>
        <w:tc>
          <w:tcPr>
            <w:tcW w:w="913"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98 085</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2.2. valsts speciālais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2.3. pašvaldību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3. Finansiālā ietekme:</w:t>
            </w:r>
          </w:p>
        </w:tc>
        <w:tc>
          <w:tcPr>
            <w:tcW w:w="563" w:type="pct"/>
            <w:vAlign w:val="center"/>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c>
          <w:tcPr>
            <w:tcW w:w="83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c>
          <w:tcPr>
            <w:tcW w:w="913"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3.1. valsts pamatbudžets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c>
          <w:tcPr>
            <w:tcW w:w="834"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c>
          <w:tcPr>
            <w:tcW w:w="913" w:type="pct"/>
            <w:hideMark/>
          </w:tcPr>
          <w:p w:rsidR="0057108C" w:rsidRPr="00122999" w:rsidRDefault="00437C80" w:rsidP="00643E87">
            <w:pPr>
              <w:jc w:val="center"/>
              <w:rPr>
                <w:rFonts w:ascii="Times New Roman" w:hAnsi="Times New Roman" w:cs="Times New Roman"/>
                <w:sz w:val="24"/>
                <w:szCs w:val="24"/>
              </w:rPr>
            </w:pPr>
            <w:r>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3.2. speciālais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3.3. pašvaldību budžets</w:t>
            </w:r>
          </w:p>
        </w:tc>
        <w:tc>
          <w:tcPr>
            <w:tcW w:w="56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vMerge w:val="restar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 xml:space="preserve">4. Finanšu līdzekļi papildu izdevumu finansēšanai </w:t>
            </w:r>
            <w:r w:rsidRPr="00122999">
              <w:rPr>
                <w:rFonts w:ascii="Times New Roman" w:hAnsi="Times New Roman" w:cs="Times New Roman"/>
                <w:sz w:val="24"/>
                <w:szCs w:val="24"/>
              </w:rPr>
              <w:lastRenderedPageBreak/>
              <w:t>(kompensējošu izdevumu samazinājumu norāda ar "+" zīmi)</w:t>
            </w:r>
          </w:p>
        </w:tc>
        <w:tc>
          <w:tcPr>
            <w:tcW w:w="563" w:type="pct"/>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lastRenderedPageBreak/>
              <w:t>X</w:t>
            </w: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vMerge/>
            <w:vAlign w:val="center"/>
            <w:hideMark/>
          </w:tcPr>
          <w:p w:rsidR="0057108C" w:rsidRPr="00122999" w:rsidRDefault="0057108C" w:rsidP="00643E87">
            <w:pPr>
              <w:rPr>
                <w:rFonts w:ascii="Times New Roman" w:hAnsi="Times New Roman" w:cs="Times New Roman"/>
                <w:sz w:val="24"/>
                <w:szCs w:val="24"/>
              </w:rPr>
            </w:pPr>
          </w:p>
        </w:tc>
        <w:tc>
          <w:tcPr>
            <w:tcW w:w="563" w:type="pct"/>
            <w:vAlign w:val="center"/>
            <w:hideMark/>
          </w:tcPr>
          <w:p w:rsidR="0057108C" w:rsidRPr="00122999" w:rsidRDefault="0057108C" w:rsidP="00643E87">
            <w:pPr>
              <w:jc w:val="center"/>
              <w:rPr>
                <w:rFonts w:ascii="Times New Roman" w:hAnsi="Times New Roman" w:cs="Times New Roman"/>
                <w:sz w:val="24"/>
                <w:szCs w:val="24"/>
              </w:rPr>
            </w:pPr>
          </w:p>
        </w:tc>
        <w:tc>
          <w:tcPr>
            <w:tcW w:w="815" w:type="pct"/>
            <w:hideMark/>
          </w:tcPr>
          <w:p w:rsidR="0057108C" w:rsidRPr="00122999" w:rsidRDefault="0057108C" w:rsidP="00643E87">
            <w:pPr>
              <w:ind w:left="-50"/>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lastRenderedPageBreak/>
              <w:t>5. Precizēta finansiālā ietekme:</w:t>
            </w:r>
          </w:p>
        </w:tc>
        <w:tc>
          <w:tcPr>
            <w:tcW w:w="563" w:type="pct"/>
            <w:hideMark/>
          </w:tcPr>
          <w:p w:rsidR="0057108C" w:rsidRPr="00122999" w:rsidRDefault="0057108C" w:rsidP="00643E87">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X</w:t>
            </w:r>
          </w:p>
        </w:tc>
        <w:tc>
          <w:tcPr>
            <w:tcW w:w="815" w:type="pct"/>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5.1. valsts pamatbudžets</w:t>
            </w:r>
          </w:p>
        </w:tc>
        <w:tc>
          <w:tcPr>
            <w:tcW w:w="563" w:type="pct"/>
            <w:vMerge w:val="restart"/>
            <w:vAlign w:val="center"/>
            <w:hideMark/>
          </w:tcPr>
          <w:p w:rsidR="0057108C" w:rsidRPr="00122999" w:rsidRDefault="0057108C" w:rsidP="00643E87">
            <w:pPr>
              <w:jc w:val="center"/>
              <w:rPr>
                <w:rFonts w:ascii="Times New Roman" w:hAnsi="Times New Roman" w:cs="Times New Roman"/>
                <w:sz w:val="24"/>
                <w:szCs w:val="24"/>
              </w:rPr>
            </w:pPr>
          </w:p>
        </w:tc>
        <w:tc>
          <w:tcPr>
            <w:tcW w:w="815" w:type="pct"/>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5.2. speciālais budžets</w:t>
            </w:r>
          </w:p>
        </w:tc>
        <w:tc>
          <w:tcPr>
            <w:tcW w:w="563" w:type="pct"/>
            <w:vMerge/>
            <w:vAlign w:val="center"/>
            <w:hideMark/>
          </w:tcPr>
          <w:p w:rsidR="0057108C" w:rsidRPr="00122999" w:rsidRDefault="0057108C" w:rsidP="00643E87">
            <w:pPr>
              <w:jc w:val="center"/>
              <w:rPr>
                <w:rFonts w:ascii="Times New Roman" w:hAnsi="Times New Roman" w:cs="Times New Roman"/>
                <w:sz w:val="24"/>
                <w:szCs w:val="24"/>
              </w:rPr>
            </w:pP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5.3. pašvaldību budžets</w:t>
            </w:r>
          </w:p>
        </w:tc>
        <w:tc>
          <w:tcPr>
            <w:tcW w:w="563" w:type="pct"/>
            <w:vMerge/>
            <w:vAlign w:val="center"/>
            <w:hideMark/>
          </w:tcPr>
          <w:p w:rsidR="0057108C" w:rsidRPr="00122999" w:rsidRDefault="0057108C" w:rsidP="00643E87">
            <w:pPr>
              <w:jc w:val="center"/>
              <w:rPr>
                <w:rFonts w:ascii="Times New Roman" w:hAnsi="Times New Roman" w:cs="Times New Roman"/>
                <w:sz w:val="24"/>
                <w:szCs w:val="24"/>
              </w:rPr>
            </w:pPr>
          </w:p>
        </w:tc>
        <w:tc>
          <w:tcPr>
            <w:tcW w:w="815"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9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834"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913" w:type="pct"/>
            <w:hideMark/>
          </w:tcPr>
          <w:p w:rsidR="0057108C" w:rsidRPr="00122999" w:rsidRDefault="0057108C" w:rsidP="00643E87">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57108C" w:rsidRPr="00122999" w:rsidTr="0057108C">
        <w:trPr>
          <w:trHeight w:val="504"/>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983" w:type="pct"/>
            <w:gridSpan w:val="5"/>
            <w:hideMark/>
          </w:tcPr>
          <w:p w:rsidR="0057108C" w:rsidRPr="00122999" w:rsidRDefault="0057108C" w:rsidP="00643E87">
            <w:pPr>
              <w:ind w:firstLine="581"/>
              <w:jc w:val="both"/>
              <w:rPr>
                <w:rFonts w:ascii="Times New Roman" w:hAnsi="Times New Roman" w:cs="Times New Roman"/>
                <w:sz w:val="24"/>
                <w:szCs w:val="24"/>
              </w:rPr>
            </w:pPr>
          </w:p>
        </w:tc>
      </w:tr>
      <w:tr w:rsidR="0057108C" w:rsidRPr="008B0344" w:rsidTr="0057108C">
        <w:trPr>
          <w:tblCellSpacing w:w="15" w:type="dxa"/>
          <w:jc w:val="center"/>
        </w:trPr>
        <w:tc>
          <w:tcPr>
            <w:tcW w:w="968" w:type="pct"/>
            <w:hideMark/>
          </w:tcPr>
          <w:p w:rsidR="0057108C" w:rsidRPr="00122999" w:rsidRDefault="0057108C" w:rsidP="00643E87">
            <w:pPr>
              <w:spacing w:line="240" w:lineRule="auto"/>
              <w:rPr>
                <w:rFonts w:ascii="Times New Roman" w:hAnsi="Times New Roman" w:cs="Times New Roman"/>
                <w:sz w:val="24"/>
                <w:szCs w:val="24"/>
              </w:rPr>
            </w:pPr>
            <w:r w:rsidRPr="00122999">
              <w:rPr>
                <w:rFonts w:ascii="Times New Roman" w:hAnsi="Times New Roman" w:cs="Times New Roman"/>
                <w:sz w:val="24"/>
                <w:szCs w:val="24"/>
              </w:rPr>
              <w:t>6.1. detalizēts ieņēmumu aprēķins</w:t>
            </w:r>
          </w:p>
        </w:tc>
        <w:tc>
          <w:tcPr>
            <w:tcW w:w="3983" w:type="pct"/>
            <w:gridSpan w:val="5"/>
            <w:vAlign w:val="center"/>
            <w:hideMark/>
          </w:tcPr>
          <w:p w:rsidR="0057108C" w:rsidRPr="00122999" w:rsidRDefault="009E40C8" w:rsidP="00643E87">
            <w:pPr>
              <w:spacing w:line="240" w:lineRule="auto"/>
              <w:jc w:val="both"/>
              <w:rPr>
                <w:rFonts w:ascii="Times New Roman" w:hAnsi="Times New Roman" w:cs="Times New Roman"/>
                <w:sz w:val="24"/>
                <w:szCs w:val="24"/>
              </w:rPr>
            </w:pPr>
            <w:r>
              <w:rPr>
                <w:rFonts w:ascii="Times New Roman" w:hAnsi="Times New Roman" w:cs="Times New Roman"/>
                <w:sz w:val="24"/>
                <w:szCs w:val="24"/>
              </w:rPr>
              <w:t>Š</w:t>
            </w:r>
            <w:r w:rsidR="0057108C" w:rsidRPr="00122999">
              <w:rPr>
                <w:rFonts w:ascii="Times New Roman" w:hAnsi="Times New Roman" w:cs="Times New Roman"/>
                <w:sz w:val="24"/>
                <w:szCs w:val="24"/>
              </w:rPr>
              <w:t xml:space="preserve">obrīd Latvijas jurisdikcijā ir </w:t>
            </w:r>
            <w:r w:rsidR="0057108C">
              <w:rPr>
                <w:rFonts w:ascii="Times New Roman" w:hAnsi="Times New Roman" w:cs="Times New Roman"/>
                <w:sz w:val="24"/>
                <w:szCs w:val="24"/>
              </w:rPr>
              <w:t>21</w:t>
            </w:r>
            <w:r w:rsidR="0057108C" w:rsidRPr="00122999">
              <w:rPr>
                <w:rFonts w:ascii="Times New Roman" w:hAnsi="Times New Roman" w:cs="Times New Roman"/>
                <w:sz w:val="24"/>
                <w:szCs w:val="24"/>
              </w:rPr>
              <w:t xml:space="preserve"> pārrobežu programmas</w:t>
            </w:r>
            <w:r w:rsidR="0057108C">
              <w:rPr>
                <w:rFonts w:ascii="Times New Roman" w:hAnsi="Times New Roman" w:cs="Times New Roman"/>
                <w:sz w:val="24"/>
                <w:szCs w:val="24"/>
              </w:rPr>
              <w:t xml:space="preserve"> un 4 nacionālo EPL programmas</w:t>
            </w:r>
            <w:r w:rsidR="0057108C" w:rsidRPr="00122999">
              <w:rPr>
                <w:rFonts w:ascii="Times New Roman" w:hAnsi="Times New Roman" w:cs="Times New Roman"/>
                <w:sz w:val="24"/>
                <w:szCs w:val="24"/>
              </w:rPr>
              <w:t>,</w:t>
            </w:r>
            <w:r w:rsidR="0057108C">
              <w:rPr>
                <w:rFonts w:ascii="Times New Roman" w:hAnsi="Times New Roman" w:cs="Times New Roman"/>
                <w:sz w:val="24"/>
                <w:szCs w:val="24"/>
              </w:rPr>
              <w:t xml:space="preserve"> no kurām attiecīgi 13 EPL maksātu valsts nodevu pilnā apmērā un viens maksātu valsts nodevu 50 procentu apmērā.</w:t>
            </w:r>
            <w:r w:rsidR="0057108C" w:rsidRPr="00122999">
              <w:rPr>
                <w:rFonts w:ascii="Times New Roman" w:hAnsi="Times New Roman" w:cs="Times New Roman"/>
                <w:sz w:val="24"/>
                <w:szCs w:val="24"/>
              </w:rPr>
              <w:t xml:space="preserve"> </w:t>
            </w:r>
            <w:r w:rsidR="0057108C">
              <w:rPr>
                <w:rFonts w:ascii="Times New Roman" w:hAnsi="Times New Roman" w:cs="Times New Roman"/>
                <w:sz w:val="24"/>
                <w:szCs w:val="24"/>
              </w:rPr>
              <w:t>T</w:t>
            </w:r>
            <w:r w:rsidR="0057108C" w:rsidRPr="00122999">
              <w:rPr>
                <w:rFonts w:ascii="Times New Roman" w:hAnsi="Times New Roman" w:cs="Times New Roman"/>
                <w:sz w:val="24"/>
                <w:szCs w:val="24"/>
              </w:rPr>
              <w:t xml:space="preserve">ādējādi </w:t>
            </w:r>
            <w:r w:rsidR="0057108C">
              <w:rPr>
                <w:rFonts w:ascii="Times New Roman" w:hAnsi="Times New Roman" w:cs="Times New Roman"/>
                <w:sz w:val="24"/>
                <w:szCs w:val="24"/>
              </w:rPr>
              <w:t>ieņēmumi</w:t>
            </w:r>
            <w:r w:rsidR="0057108C" w:rsidRPr="00122999">
              <w:rPr>
                <w:rFonts w:ascii="Times New Roman" w:hAnsi="Times New Roman" w:cs="Times New Roman"/>
                <w:sz w:val="24"/>
                <w:szCs w:val="24"/>
              </w:rPr>
              <w:t xml:space="preserve"> valsts budžet</w:t>
            </w:r>
            <w:r w:rsidR="0057108C">
              <w:rPr>
                <w:rFonts w:ascii="Times New Roman" w:hAnsi="Times New Roman" w:cs="Times New Roman"/>
                <w:sz w:val="24"/>
                <w:szCs w:val="24"/>
              </w:rPr>
              <w:t xml:space="preserve">ā par uzraudzību </w:t>
            </w:r>
            <w:r w:rsidR="0057108C" w:rsidRPr="00DA4EE8">
              <w:rPr>
                <w:rFonts w:ascii="Times New Roman" w:hAnsi="Times New Roman" w:cs="Times New Roman"/>
                <w:sz w:val="24"/>
                <w:szCs w:val="24"/>
              </w:rPr>
              <w:t xml:space="preserve">veidotu </w:t>
            </w:r>
            <w:r w:rsidR="0057108C" w:rsidRPr="006E69FA">
              <w:rPr>
                <w:rFonts w:ascii="Times New Roman" w:hAnsi="Times New Roman" w:cs="Times New Roman"/>
                <w:b/>
                <w:sz w:val="24"/>
                <w:szCs w:val="24"/>
              </w:rPr>
              <w:t>76</w:t>
            </w:r>
            <w:r w:rsidR="0057108C" w:rsidRPr="0070354E">
              <w:rPr>
                <w:rFonts w:ascii="Times New Roman" w:hAnsi="Times New Roman" w:cs="Times New Roman"/>
                <w:b/>
                <w:sz w:val="24"/>
                <w:szCs w:val="24"/>
              </w:rPr>
              <w:t xml:space="preserve"> </w:t>
            </w:r>
            <w:r w:rsidR="0057108C" w:rsidRPr="006E69FA">
              <w:rPr>
                <w:rFonts w:ascii="Times New Roman" w:hAnsi="Times New Roman" w:cs="Times New Roman"/>
                <w:b/>
                <w:sz w:val="24"/>
                <w:szCs w:val="24"/>
              </w:rPr>
              <w:t>83</w:t>
            </w:r>
            <w:r w:rsidR="00437C80">
              <w:rPr>
                <w:rFonts w:ascii="Times New Roman" w:hAnsi="Times New Roman" w:cs="Times New Roman"/>
                <w:b/>
                <w:sz w:val="24"/>
                <w:szCs w:val="24"/>
              </w:rPr>
              <w:t>5</w:t>
            </w:r>
            <w:r w:rsidR="0057108C" w:rsidRPr="00DA4EE8">
              <w:rPr>
                <w:rFonts w:ascii="Times New Roman" w:hAnsi="Times New Roman" w:cs="Times New Roman"/>
                <w:sz w:val="24"/>
                <w:szCs w:val="24"/>
              </w:rPr>
              <w:t xml:space="preserve"> </w:t>
            </w:r>
            <w:r w:rsidR="0057108C" w:rsidRPr="00DA4EE8">
              <w:rPr>
                <w:rFonts w:ascii="Times New Roman" w:hAnsi="Times New Roman" w:cs="Times New Roman"/>
                <w:i/>
                <w:sz w:val="24"/>
                <w:szCs w:val="24"/>
              </w:rPr>
              <w:t>euro</w:t>
            </w:r>
            <w:r w:rsidR="0057108C" w:rsidRPr="00DA4EE8">
              <w:rPr>
                <w:rFonts w:ascii="Times New Roman" w:hAnsi="Times New Roman" w:cs="Times New Roman"/>
                <w:sz w:val="24"/>
                <w:szCs w:val="24"/>
              </w:rPr>
              <w:t xml:space="preserve"> gadā</w:t>
            </w:r>
            <w:r w:rsidR="0057108C">
              <w:rPr>
                <w:rFonts w:ascii="Times New Roman" w:hAnsi="Times New Roman" w:cs="Times New Roman"/>
                <w:sz w:val="24"/>
                <w:szCs w:val="24"/>
              </w:rPr>
              <w:t>.</w:t>
            </w:r>
          </w:p>
          <w:p w:rsidR="00437C80" w:rsidRDefault="009E40C8" w:rsidP="00437C80">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57108C" w:rsidRPr="00122999">
              <w:rPr>
                <w:rFonts w:ascii="Times New Roman" w:hAnsi="Times New Roman" w:cs="Times New Roman"/>
                <w:sz w:val="24"/>
                <w:szCs w:val="24"/>
              </w:rPr>
              <w:t xml:space="preserve">ada laikā tiek izskatīti aptuveni 50 iesniegumi par grozījumu izdarīšanu apraides atļaujās. </w:t>
            </w:r>
            <w:r w:rsidR="0057108C">
              <w:rPr>
                <w:rFonts w:ascii="Times New Roman" w:hAnsi="Times New Roman" w:cs="Times New Roman"/>
                <w:sz w:val="24"/>
                <w:szCs w:val="24"/>
              </w:rPr>
              <w:t xml:space="preserve">To reizinot ar 50 iesniegumiem gadā, tiek iegūti </w:t>
            </w:r>
            <w:r w:rsidR="0057108C" w:rsidRPr="0070354E">
              <w:rPr>
                <w:rFonts w:ascii="Times New Roman" w:hAnsi="Times New Roman" w:cs="Times New Roman"/>
                <w:b/>
                <w:sz w:val="24"/>
                <w:szCs w:val="24"/>
              </w:rPr>
              <w:t>1</w:t>
            </w:r>
            <w:r>
              <w:rPr>
                <w:rFonts w:ascii="Times New Roman" w:hAnsi="Times New Roman" w:cs="Times New Roman"/>
                <w:b/>
                <w:sz w:val="24"/>
                <w:szCs w:val="24"/>
              </w:rPr>
              <w:t> </w:t>
            </w:r>
            <w:r w:rsidR="0057108C">
              <w:rPr>
                <w:rFonts w:ascii="Times New Roman" w:hAnsi="Times New Roman" w:cs="Times New Roman"/>
                <w:b/>
                <w:sz w:val="24"/>
                <w:szCs w:val="24"/>
              </w:rPr>
              <w:t>7</w:t>
            </w:r>
            <w:r w:rsidR="0057108C" w:rsidRPr="0070354E">
              <w:rPr>
                <w:rFonts w:ascii="Times New Roman" w:hAnsi="Times New Roman" w:cs="Times New Roman"/>
                <w:b/>
                <w:sz w:val="24"/>
                <w:szCs w:val="24"/>
              </w:rPr>
              <w:t>50</w:t>
            </w:r>
            <w:r>
              <w:rPr>
                <w:rFonts w:ascii="Times New Roman" w:hAnsi="Times New Roman" w:cs="Times New Roman"/>
                <w:sz w:val="24"/>
                <w:szCs w:val="24"/>
              </w:rPr>
              <w:t> </w:t>
            </w:r>
            <w:r w:rsidR="0057108C" w:rsidRPr="00613572">
              <w:rPr>
                <w:rFonts w:ascii="Times New Roman" w:hAnsi="Times New Roman" w:cs="Times New Roman"/>
                <w:i/>
                <w:sz w:val="24"/>
                <w:szCs w:val="24"/>
              </w:rPr>
              <w:t>euro</w:t>
            </w:r>
            <w:r w:rsidR="0057108C">
              <w:rPr>
                <w:rFonts w:ascii="Times New Roman" w:hAnsi="Times New Roman" w:cs="Times New Roman"/>
                <w:sz w:val="24"/>
                <w:szCs w:val="24"/>
              </w:rPr>
              <w:t xml:space="preserve"> gadā.</w:t>
            </w:r>
            <w:r w:rsidR="00437C80">
              <w:rPr>
                <w:rFonts w:ascii="Times New Roman" w:hAnsi="Times New Roman" w:cs="Times New Roman"/>
                <w:sz w:val="24"/>
                <w:szCs w:val="24"/>
              </w:rPr>
              <w:t xml:space="preserve"> </w:t>
            </w:r>
          </w:p>
          <w:p w:rsidR="0057108C" w:rsidRPr="00122999" w:rsidRDefault="00437C80" w:rsidP="00643E87">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122999">
              <w:rPr>
                <w:rFonts w:ascii="Times New Roman" w:hAnsi="Times New Roman" w:cs="Times New Roman"/>
                <w:sz w:val="24"/>
                <w:szCs w:val="24"/>
              </w:rPr>
              <w:t xml:space="preserve">idēji (programmu skaits katram kabeļoperatoram ir svārstīgs, tāpēc ņemam aptuveno skaitu) varētu būt 50 programmas no kabeļoperatora (Latvijā ir 39 kabeļoperatori), kas veidotu </w:t>
            </w:r>
            <w:r w:rsidRPr="0070354E">
              <w:rPr>
                <w:rFonts w:ascii="Times New Roman" w:hAnsi="Times New Roman" w:cs="Times New Roman"/>
                <w:b/>
                <w:sz w:val="24"/>
                <w:szCs w:val="24"/>
              </w:rPr>
              <w:t>19 500</w:t>
            </w:r>
            <w:r>
              <w:rPr>
                <w:rFonts w:ascii="Times New Roman" w:hAnsi="Times New Roman" w:cs="Times New Roman"/>
                <w:sz w:val="24"/>
                <w:szCs w:val="24"/>
              </w:rPr>
              <w:t xml:space="preserve"> </w:t>
            </w:r>
            <w:r w:rsidRPr="00613572">
              <w:rPr>
                <w:rFonts w:ascii="Times New Roman" w:hAnsi="Times New Roman" w:cs="Times New Roman"/>
                <w:i/>
                <w:sz w:val="24"/>
                <w:szCs w:val="24"/>
              </w:rPr>
              <w:t>euro</w:t>
            </w:r>
            <w:r>
              <w:rPr>
                <w:rFonts w:ascii="Times New Roman" w:hAnsi="Times New Roman" w:cs="Times New Roman"/>
                <w:sz w:val="24"/>
                <w:szCs w:val="24"/>
              </w:rPr>
              <w:t xml:space="preserve"> gadā no 2019.gada. Šis aprēķins ietver arī paredzētos izņēmumus, jo parasti kabeļoperatoriem ir vairāk nekā tikai 50 izplatāmo programmu.</w:t>
            </w:r>
          </w:p>
        </w:tc>
      </w:tr>
      <w:tr w:rsidR="0057108C" w:rsidRPr="008B0344" w:rsidTr="00FC2D08">
        <w:trPr>
          <w:trHeight w:val="223"/>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t xml:space="preserve">6.2. detalizēts </w:t>
            </w:r>
            <w:r>
              <w:rPr>
                <w:rFonts w:ascii="Times New Roman" w:hAnsi="Times New Roman" w:cs="Times New Roman"/>
                <w:sz w:val="24"/>
                <w:szCs w:val="24"/>
              </w:rPr>
              <w:t>i</w:t>
            </w:r>
            <w:r w:rsidRPr="00122999">
              <w:rPr>
                <w:rFonts w:ascii="Times New Roman" w:hAnsi="Times New Roman" w:cs="Times New Roman"/>
                <w:sz w:val="24"/>
                <w:szCs w:val="24"/>
              </w:rPr>
              <w:t xml:space="preserve">zdevumu </w:t>
            </w:r>
            <w:r w:rsidRPr="00122999">
              <w:rPr>
                <w:rFonts w:ascii="Times New Roman" w:hAnsi="Times New Roman" w:cs="Times New Roman"/>
                <w:sz w:val="24"/>
                <w:szCs w:val="24"/>
              </w:rPr>
              <w:lastRenderedPageBreak/>
              <w:t>aprēķins</w:t>
            </w:r>
          </w:p>
        </w:tc>
        <w:tc>
          <w:tcPr>
            <w:tcW w:w="3983" w:type="pct"/>
            <w:gridSpan w:val="5"/>
            <w:vAlign w:val="center"/>
            <w:hideMark/>
          </w:tcPr>
          <w:p w:rsidR="0057108C" w:rsidRDefault="0057108C" w:rsidP="00643E8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NEPLP 2013.gadā ir izsniegusi vienu pārrobežu apraides atļauju, 2014.gadā – piecas pārrobežu apraides atļaujas, 2015.gadā – sešas pārrobežu apraides atļaujas, 2016.gadā – trīs pārrobežu apraides atļaujas, </w:t>
            </w:r>
            <w:r>
              <w:rPr>
                <w:rFonts w:ascii="Times New Roman" w:hAnsi="Times New Roman" w:cs="Times New Roman"/>
                <w:sz w:val="24"/>
                <w:szCs w:val="24"/>
              </w:rPr>
              <w:lastRenderedPageBreak/>
              <w:t xml:space="preserve">savukārt 2017.gada pirmajā pusgadā NEPLP ir saņēmusi septiņus iesniegumus pārrobežu apraides atļauju saņemšanai, kam pastarpināti tiek apstrādāti arī tādi privātpersonu iesniegumi, kuros tiek vaicāta kārtība un iesniedzamie dokumenti, lai saņemtu pārrobežu apraides atļaujas. </w:t>
            </w:r>
          </w:p>
          <w:p w:rsidR="0057108C" w:rsidRDefault="0057108C" w:rsidP="00643E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2016.gada nogalē NEPLP ir izveidojusi un uztur elektronisko plašsaziņas līdzekļu, kuri retranslē audio un audiovizuālās programmas, elektronisko reģistrācijas sistēmu, kas sastāv no divām daļām – no elektroniskajiem plašsaziņas līdzekļiem, kuri retranslē audio un audiovizuālās programmas, reģistra un no Latvijā retranslējamo audio un audiovizuālo programmu saraksta. Līdz 2017.gadam nebija izstrādāta vienota, pārskatāma sistēma, kurā būtu vienkopus redzami kabeļoperatori un to pārraidītās programmas. Šobrīd kabeļoperatori var uzticēties programmu sarakstā esošajām programmām un tās iekļaut savā piedāvājumā, tādējādi NEPLP ļaujot realizēt efektīvāku programmu uzraudzību. Līdz šim NEPLP ir ieguldījusi 3557,40 </w:t>
            </w:r>
            <w:r w:rsidRPr="00613572">
              <w:rPr>
                <w:rFonts w:ascii="Times New Roman" w:hAnsi="Times New Roman" w:cs="Times New Roman"/>
                <w:i/>
                <w:sz w:val="24"/>
                <w:szCs w:val="24"/>
              </w:rPr>
              <w:t>euro</w:t>
            </w:r>
            <w:r>
              <w:rPr>
                <w:rFonts w:ascii="Times New Roman" w:hAnsi="Times New Roman" w:cs="Times New Roman"/>
                <w:sz w:val="24"/>
                <w:szCs w:val="24"/>
              </w:rPr>
              <w:t xml:space="preserve"> (ar PVN) minētā reģistra izveidei, kam papildus tiek plānota reģistrācijas sistēmas uzlabošana (izveidojot papildus funkcijas). Reģistrā esošās informācijas aktualizāciju un atbilstību izdotajām apraides atļaujām (ne tikai Latvijā izdotajām, bet arī citu valstu izdotajām apraides atļaujām) uzrauga juriskonsults, savukārt par tehnisko uzraudzību (piemēram, kabeļoperatora piekļuves tiesību nodrošināšana elektroniskajai reģistrācijas sistēmai) īsteno Informācijas centra vadītāja. </w:t>
            </w:r>
          </w:p>
          <w:p w:rsidR="0057108C" w:rsidRDefault="0057108C" w:rsidP="00643E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2016.gada 10.decembra grozījumiem EPLL tika papildināta 60.panta pirmā daļa ar </w:t>
            </w:r>
            <w:r>
              <w:rPr>
                <w:rFonts w:ascii="Times New Roman" w:hAnsi="Times New Roman" w:cs="Times New Roman"/>
                <w:sz w:val="24"/>
                <w:szCs w:val="24"/>
                <w:lang w:eastAsia="lv-LV"/>
              </w:rPr>
              <w:t>8.</w:t>
            </w:r>
            <w:r w:rsidRPr="004F12B1">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 </w:t>
            </w:r>
            <w:r>
              <w:rPr>
                <w:rFonts w:ascii="Times New Roman" w:hAnsi="Times New Roman" w:cs="Times New Roman"/>
                <w:sz w:val="24"/>
                <w:szCs w:val="24"/>
              </w:rPr>
              <w:t xml:space="preserve">punktu, nosakot, ka NEPLP atbilstoši kompetencei īsteno uzraudzības iestādes funkcijas Informācijas sabiedrības pakalpojuma likuma izpratnē. Minētā funkcija nozīmētu internetā ievietotā nelegālā satura (attiecībā uz televīziju) uzraudzību – NEPLP monitoringa centra darbinieks, konstatējot kādā no mājas lapām ievietotu tādu saturu, kam nav izsniegta NEPLP apraides atļauja, paziņotu mājas lapas uzturētājam par nelegāla satura esamību. Līdz ar paziņošanas brīdi, aicinot nelegālo saturu no mājas lapas izņemt, mājas lapas uzturētājs ir atbildīgs par nelegālā satura atrašanos mājas lapā. </w:t>
            </w:r>
          </w:p>
          <w:p w:rsidR="0057108C" w:rsidRDefault="0057108C" w:rsidP="002F53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Lai pēc iespējas efektīvi realizētu NEPLP noteikto uzraudzības funkciju (gan EPLL, gan Informācijas sabiedrības pakalpojuma likuma izpratnē), nepieciešams veikt apjomīgus nozares pētījumus – tie parādītu problēmpunktus, kuru uzraudzība ir jāpilnveido vai jāievieš no jauna. Izvērtējot iegūtos pētījumu rezultātus un aptverot funkciju izpildes pilnveidi vai jaunradi, kā arī ņemot vērā jau NEPLP uzsāktās uzraudzības stiprināšanas darbības, kas prasa gan cilvēkresursu, gan tehnisko nodrošinājumu, NEPLP būs nepieciešama vai nu pastāvīga darbaspēka piesaiste, vai arī jāizmanto ārpakalpojuma funkcija. </w:t>
            </w:r>
            <w:r w:rsidR="00FC2D08">
              <w:rPr>
                <w:rFonts w:ascii="Times New Roman" w:hAnsi="Times New Roman" w:cs="Times New Roman"/>
                <w:sz w:val="24"/>
                <w:szCs w:val="24"/>
              </w:rPr>
              <w:t xml:space="preserve">NEPLP ir paredzējusi plānotos līdzekļus izlietot nozares pētījumiem un uzraudzības funkciju stiprināšanai, palielinot darbavietu skaitu Monitoringa nodaļā un piesaistot ārpakalpojuma funkciju. </w:t>
            </w:r>
          </w:p>
          <w:p w:rsidR="0035251D" w:rsidRDefault="00750831" w:rsidP="0035251D">
            <w:pPr>
              <w:spacing w:line="240" w:lineRule="auto"/>
              <w:jc w:val="both"/>
              <w:rPr>
                <w:rFonts w:ascii="Times New Roman" w:hAnsi="Times New Roman" w:cs="Times New Roman"/>
                <w:sz w:val="24"/>
                <w:szCs w:val="24"/>
              </w:rPr>
            </w:pPr>
            <w:r>
              <w:rPr>
                <w:rFonts w:ascii="Times New Roman" w:hAnsi="Times New Roman" w:cs="Times New Roman"/>
                <w:sz w:val="24"/>
                <w:szCs w:val="24"/>
              </w:rPr>
              <w:t>Pētījumi tiks izmantoti e</w:t>
            </w:r>
            <w:r w:rsidR="0035251D">
              <w:rPr>
                <w:rFonts w:ascii="Times New Roman" w:hAnsi="Times New Roman" w:cs="Times New Roman"/>
                <w:sz w:val="24"/>
                <w:szCs w:val="24"/>
              </w:rPr>
              <w:t>lektronisko plašsaziņas līdzekļu nozares uzraudzības veikšanai. Pētījumu izmaksas ir aprēķinātas provizoriski, saskaņā ar līdzīgu pētījumu izmaksām iepriekšējos periodos:</w:t>
            </w:r>
          </w:p>
          <w:p w:rsidR="0035251D" w:rsidRDefault="0035251D" w:rsidP="0035251D">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2018.gadā raidorganizāciju pētījums (radio, TV, PPP) – 30</w:t>
            </w:r>
            <w:r w:rsidR="00750831">
              <w:rPr>
                <w:rFonts w:ascii="Times New Roman" w:hAnsi="Times New Roman" w:cs="Times New Roman"/>
                <w:sz w:val="24"/>
                <w:szCs w:val="24"/>
              </w:rPr>
              <w:t> </w:t>
            </w:r>
            <w:r>
              <w:rPr>
                <w:rFonts w:ascii="Times New Roman" w:hAnsi="Times New Roman" w:cs="Times New Roman"/>
                <w:sz w:val="24"/>
                <w:szCs w:val="24"/>
              </w:rPr>
              <w:t>585</w:t>
            </w:r>
            <w:r w:rsidR="00750831">
              <w:rPr>
                <w:rFonts w:ascii="Times New Roman" w:hAnsi="Times New Roman" w:cs="Times New Roman"/>
                <w:sz w:val="24"/>
                <w:szCs w:val="24"/>
              </w:rPr>
              <w:t> </w:t>
            </w:r>
            <w:r>
              <w:rPr>
                <w:rFonts w:ascii="Times New Roman" w:hAnsi="Times New Roman" w:cs="Times New Roman"/>
                <w:i/>
                <w:sz w:val="24"/>
                <w:szCs w:val="24"/>
              </w:rPr>
              <w:t>euro</w:t>
            </w:r>
            <w:r>
              <w:rPr>
                <w:rFonts w:ascii="Times New Roman" w:hAnsi="Times New Roman" w:cs="Times New Roman"/>
                <w:sz w:val="24"/>
                <w:szCs w:val="24"/>
              </w:rPr>
              <w:t>;</w:t>
            </w:r>
          </w:p>
          <w:p w:rsidR="0035251D" w:rsidRDefault="0035251D" w:rsidP="0035251D">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2019.gadā auditorijas un sabiedriskā pasūtījuma izvērtējums – 50 085 </w:t>
            </w:r>
            <w:r>
              <w:rPr>
                <w:rFonts w:ascii="Times New Roman" w:hAnsi="Times New Roman" w:cs="Times New Roman"/>
                <w:i/>
                <w:sz w:val="24"/>
                <w:szCs w:val="24"/>
              </w:rPr>
              <w:t>euro</w:t>
            </w:r>
            <w:r>
              <w:rPr>
                <w:rFonts w:ascii="Times New Roman" w:hAnsi="Times New Roman" w:cs="Times New Roman"/>
                <w:sz w:val="24"/>
                <w:szCs w:val="24"/>
              </w:rPr>
              <w:t>;</w:t>
            </w:r>
          </w:p>
          <w:p w:rsidR="0035251D" w:rsidRPr="00597726" w:rsidRDefault="00750831" w:rsidP="0035251D">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2020.gadā e</w:t>
            </w:r>
            <w:r w:rsidR="0035251D">
              <w:rPr>
                <w:rFonts w:ascii="Times New Roman" w:hAnsi="Times New Roman" w:cs="Times New Roman"/>
                <w:sz w:val="24"/>
                <w:szCs w:val="24"/>
              </w:rPr>
              <w:t>lektronisko plašsaziņas līdzekļu tirgus analīze (ieskaitot nelegālo pakalpojumu tirgu) – 77 085</w:t>
            </w:r>
            <w:r w:rsidR="0035251D" w:rsidRPr="00597726">
              <w:rPr>
                <w:rFonts w:ascii="Times New Roman" w:hAnsi="Times New Roman" w:cs="Times New Roman"/>
                <w:sz w:val="24"/>
                <w:szCs w:val="24"/>
              </w:rPr>
              <w:t xml:space="preserve"> </w:t>
            </w:r>
            <w:r w:rsidR="0035251D" w:rsidRPr="00597726">
              <w:rPr>
                <w:rFonts w:ascii="Times New Roman" w:hAnsi="Times New Roman" w:cs="Times New Roman"/>
                <w:i/>
                <w:sz w:val="24"/>
                <w:szCs w:val="24"/>
              </w:rPr>
              <w:t>euro</w:t>
            </w:r>
            <w:r w:rsidR="0035251D" w:rsidRPr="00597726">
              <w:rPr>
                <w:rFonts w:ascii="Times New Roman" w:hAnsi="Times New Roman" w:cs="Times New Roman"/>
                <w:sz w:val="24"/>
                <w:szCs w:val="24"/>
              </w:rPr>
              <w:t>.</w:t>
            </w:r>
          </w:p>
          <w:p w:rsidR="0035251D" w:rsidRDefault="0035251D" w:rsidP="0035251D">
            <w:pPr>
              <w:spacing w:line="240" w:lineRule="auto"/>
              <w:jc w:val="both"/>
              <w:rPr>
                <w:rFonts w:ascii="Times New Roman" w:hAnsi="Times New Roman" w:cs="Times New Roman"/>
                <w:sz w:val="24"/>
                <w:szCs w:val="24"/>
              </w:rPr>
            </w:pPr>
            <w:r>
              <w:rPr>
                <w:rFonts w:ascii="Times New Roman" w:hAnsi="Times New Roman" w:cs="Times New Roman"/>
                <w:sz w:val="24"/>
                <w:szCs w:val="24"/>
              </w:rPr>
              <w:t>Uzraudzības funkcijas nodrošināšanai NEPLP plāno piesaistīt speciālistu/ekspertu ārpakalpojumus, kuru provizoriskās izmaksas varētu būt šādas:</w:t>
            </w:r>
          </w:p>
          <w:p w:rsidR="0035251D" w:rsidRDefault="0035251D" w:rsidP="0035251D">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2018.gadā – 90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dienā, 2 000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mēnesī *12 mēn.= 24</w:t>
            </w:r>
            <w:r w:rsidR="00750831">
              <w:rPr>
                <w:rFonts w:ascii="Times New Roman" w:hAnsi="Times New Roman" w:cs="Times New Roman"/>
                <w:sz w:val="24"/>
                <w:szCs w:val="24"/>
              </w:rPr>
              <w:t> </w:t>
            </w:r>
            <w:r>
              <w:rPr>
                <w:rFonts w:ascii="Times New Roman" w:hAnsi="Times New Roman" w:cs="Times New Roman"/>
                <w:sz w:val="24"/>
                <w:szCs w:val="24"/>
              </w:rPr>
              <w:t>000</w:t>
            </w:r>
            <w:r w:rsidR="00750831">
              <w:rPr>
                <w:rFonts w:ascii="Times New Roman" w:hAnsi="Times New Roman" w:cs="Times New Roman"/>
                <w:sz w:val="24"/>
                <w:szCs w:val="24"/>
              </w:rPr>
              <w:t>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 2018.gadā plānots piesaistīt divus ārpakalpojumu sniedzējus, tādējādi veidojot 48 000 </w:t>
            </w:r>
            <w:r w:rsidR="00750831" w:rsidRPr="00597726">
              <w:rPr>
                <w:rFonts w:ascii="Times New Roman" w:hAnsi="Times New Roman" w:cs="Times New Roman"/>
                <w:i/>
                <w:sz w:val="24"/>
                <w:szCs w:val="24"/>
              </w:rPr>
              <w:t>euro</w:t>
            </w:r>
            <w:r w:rsidR="00750831">
              <w:rPr>
                <w:rFonts w:ascii="Times New Roman" w:hAnsi="Times New Roman" w:cs="Times New Roman"/>
                <w:sz w:val="24"/>
                <w:szCs w:val="24"/>
              </w:rPr>
              <w:t xml:space="preserve"> gadā (24 000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*2=48 000 </w:t>
            </w:r>
            <w:r w:rsidR="00750831" w:rsidRPr="00597726">
              <w:rPr>
                <w:rFonts w:ascii="Times New Roman" w:hAnsi="Times New Roman" w:cs="Times New Roman"/>
                <w:i/>
                <w:sz w:val="24"/>
                <w:szCs w:val="24"/>
              </w:rPr>
              <w:t>euro</w:t>
            </w:r>
            <w:r>
              <w:rPr>
                <w:rFonts w:ascii="Times New Roman" w:hAnsi="Times New Roman" w:cs="Times New Roman"/>
                <w:sz w:val="24"/>
                <w:szCs w:val="24"/>
              </w:rPr>
              <w:t>);</w:t>
            </w:r>
          </w:p>
          <w:p w:rsidR="0035251D" w:rsidRDefault="0035251D" w:rsidP="0035251D">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2019.gadā </w:t>
            </w:r>
            <w:r w:rsidR="00750831">
              <w:rPr>
                <w:rFonts w:ascii="Times New Roman" w:hAnsi="Times New Roman" w:cs="Times New Roman"/>
                <w:sz w:val="24"/>
                <w:szCs w:val="24"/>
              </w:rPr>
              <w:t>–</w:t>
            </w:r>
            <w:r>
              <w:rPr>
                <w:rFonts w:ascii="Times New Roman" w:hAnsi="Times New Roman" w:cs="Times New Roman"/>
                <w:sz w:val="24"/>
                <w:szCs w:val="24"/>
              </w:rPr>
              <w:t xml:space="preserve"> 90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dienā, 2 000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mēnesī *12 mēn.= 24</w:t>
            </w:r>
            <w:r w:rsidR="00750831">
              <w:rPr>
                <w:rFonts w:ascii="Times New Roman" w:hAnsi="Times New Roman" w:cs="Times New Roman"/>
                <w:sz w:val="24"/>
                <w:szCs w:val="24"/>
              </w:rPr>
              <w:t> </w:t>
            </w:r>
            <w:r>
              <w:rPr>
                <w:rFonts w:ascii="Times New Roman" w:hAnsi="Times New Roman" w:cs="Times New Roman"/>
                <w:sz w:val="24"/>
                <w:szCs w:val="24"/>
              </w:rPr>
              <w:t>000</w:t>
            </w:r>
            <w:r w:rsidR="00750831">
              <w:rPr>
                <w:rFonts w:ascii="Times New Roman" w:hAnsi="Times New Roman" w:cs="Times New Roman"/>
                <w:sz w:val="24"/>
                <w:szCs w:val="24"/>
              </w:rPr>
              <w:t>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 2019.gadā plānots piesaistīt divus ārpakalpojumu sniedzējus, tādējādi veidojot 48 000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gadā (24 000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*2=48 000 </w:t>
            </w:r>
            <w:r w:rsidR="00750831" w:rsidRPr="00597726">
              <w:rPr>
                <w:rFonts w:ascii="Times New Roman" w:hAnsi="Times New Roman" w:cs="Times New Roman"/>
                <w:i/>
                <w:sz w:val="24"/>
                <w:szCs w:val="24"/>
              </w:rPr>
              <w:t>euro</w:t>
            </w:r>
            <w:r>
              <w:rPr>
                <w:rFonts w:ascii="Times New Roman" w:hAnsi="Times New Roman" w:cs="Times New Roman"/>
                <w:sz w:val="24"/>
                <w:szCs w:val="24"/>
              </w:rPr>
              <w:t>);</w:t>
            </w:r>
          </w:p>
          <w:p w:rsidR="0035251D" w:rsidRDefault="0035251D" w:rsidP="0035251D">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2020.gadā – 80 </w:t>
            </w:r>
            <w:r w:rsidR="00750831" w:rsidRPr="00597726">
              <w:rPr>
                <w:rFonts w:ascii="Times New Roman" w:hAnsi="Times New Roman" w:cs="Times New Roman"/>
                <w:i/>
                <w:sz w:val="24"/>
                <w:szCs w:val="24"/>
              </w:rPr>
              <w:t>euro</w:t>
            </w:r>
            <w:r w:rsidR="00750831">
              <w:rPr>
                <w:rFonts w:ascii="Times New Roman" w:hAnsi="Times New Roman" w:cs="Times New Roman"/>
                <w:sz w:val="24"/>
                <w:szCs w:val="24"/>
              </w:rPr>
              <w:t xml:space="preserve"> </w:t>
            </w:r>
            <w:r>
              <w:rPr>
                <w:rFonts w:ascii="Times New Roman" w:hAnsi="Times New Roman" w:cs="Times New Roman"/>
                <w:sz w:val="24"/>
                <w:szCs w:val="24"/>
              </w:rPr>
              <w:t xml:space="preserve">dienā, 1 700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mēnesī *12 mēn.= 21</w:t>
            </w:r>
            <w:r w:rsidR="00750831">
              <w:rPr>
                <w:rFonts w:ascii="Times New Roman" w:hAnsi="Times New Roman" w:cs="Times New Roman"/>
                <w:sz w:val="24"/>
                <w:szCs w:val="24"/>
              </w:rPr>
              <w:t> </w:t>
            </w:r>
            <w:r>
              <w:rPr>
                <w:rFonts w:ascii="Times New Roman" w:hAnsi="Times New Roman" w:cs="Times New Roman"/>
                <w:sz w:val="24"/>
                <w:szCs w:val="24"/>
              </w:rPr>
              <w:t>000</w:t>
            </w:r>
            <w:r w:rsidR="00750831">
              <w:rPr>
                <w:rFonts w:ascii="Times New Roman" w:hAnsi="Times New Roman" w:cs="Times New Roman"/>
                <w:sz w:val="24"/>
                <w:szCs w:val="24"/>
              </w:rPr>
              <w:t> </w:t>
            </w:r>
            <w:r w:rsidR="00750831" w:rsidRPr="00597726">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w:t>
            </w:r>
          </w:p>
          <w:p w:rsidR="002F5371" w:rsidRPr="00657F5E" w:rsidRDefault="0035251D" w:rsidP="0035251D">
            <w:pPr>
              <w:spacing w:line="240" w:lineRule="auto"/>
              <w:jc w:val="both"/>
              <w:rPr>
                <w:rFonts w:ascii="Times New Roman" w:hAnsi="Times New Roman" w:cs="Times New Roman"/>
                <w:sz w:val="24"/>
                <w:szCs w:val="24"/>
              </w:rPr>
            </w:pPr>
            <w:r>
              <w:rPr>
                <w:rFonts w:ascii="Times New Roman" w:hAnsi="Times New Roman" w:cs="Times New Roman"/>
                <w:sz w:val="24"/>
                <w:szCs w:val="24"/>
              </w:rPr>
              <w:t>Ekspertu/speciālistu ārpakalpojuma pi</w:t>
            </w:r>
            <w:r w:rsidR="00750831">
              <w:rPr>
                <w:rFonts w:ascii="Times New Roman" w:hAnsi="Times New Roman" w:cs="Times New Roman"/>
                <w:sz w:val="24"/>
                <w:szCs w:val="24"/>
              </w:rPr>
              <w:t>esaiste ir pamatojama ar jauno e</w:t>
            </w:r>
            <w:r>
              <w:rPr>
                <w:rFonts w:ascii="Times New Roman" w:hAnsi="Times New Roman" w:cs="Times New Roman"/>
                <w:sz w:val="24"/>
                <w:szCs w:val="24"/>
              </w:rPr>
              <w:t>lektronisko plašsaziņas līdzekļu normu ievietošanu, paredzot NEPLP papildus funkciju – īstenot uzraudzības iestādes funkcijas Informācijas sabiedrības pakalpojumu likuma izpratnē. Tāpat NEPLP ir nācis klāt jauns uzraudzības subjekts – elektroniskie plašsaziņas līdzekļi, kas sniedz pakalpojumus pēc pieprasījuma.</w:t>
            </w:r>
          </w:p>
        </w:tc>
      </w:tr>
      <w:tr w:rsidR="0057108C" w:rsidRPr="008B0344" w:rsidTr="0057108C">
        <w:trPr>
          <w:trHeight w:val="15"/>
          <w:tblCellSpacing w:w="15" w:type="dxa"/>
          <w:jc w:val="center"/>
        </w:trPr>
        <w:tc>
          <w:tcPr>
            <w:tcW w:w="968" w:type="pct"/>
            <w:hideMark/>
          </w:tcPr>
          <w:p w:rsidR="0057108C" w:rsidRPr="00122999" w:rsidRDefault="0057108C" w:rsidP="00643E87">
            <w:pPr>
              <w:rPr>
                <w:rFonts w:ascii="Times New Roman" w:hAnsi="Times New Roman" w:cs="Times New Roman"/>
                <w:sz w:val="24"/>
                <w:szCs w:val="24"/>
              </w:rPr>
            </w:pPr>
            <w:r w:rsidRPr="00122999">
              <w:rPr>
                <w:rFonts w:ascii="Times New Roman" w:hAnsi="Times New Roman" w:cs="Times New Roman"/>
                <w:sz w:val="24"/>
                <w:szCs w:val="24"/>
              </w:rPr>
              <w:lastRenderedPageBreak/>
              <w:t>7. Cita informācija</w:t>
            </w:r>
          </w:p>
        </w:tc>
        <w:tc>
          <w:tcPr>
            <w:tcW w:w="3983" w:type="pct"/>
            <w:gridSpan w:val="5"/>
            <w:hideMark/>
          </w:tcPr>
          <w:p w:rsidR="0057108C" w:rsidRPr="00122999" w:rsidRDefault="0057108C" w:rsidP="00643E8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Nav. </w:t>
            </w:r>
          </w:p>
        </w:tc>
      </w:tr>
    </w:tbl>
    <w:p w:rsidR="001B2481"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92"/>
        <w:gridCol w:w="2721"/>
        <w:gridCol w:w="6006"/>
      </w:tblGrid>
      <w:tr w:rsidR="0057108C" w:rsidRPr="008D25A9" w:rsidTr="00643E87">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108C" w:rsidRPr="008D25A9" w:rsidRDefault="0057108C" w:rsidP="00643E8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57108C" w:rsidRPr="008D25A9" w:rsidTr="00FC2D08">
        <w:trPr>
          <w:jc w:val="center"/>
        </w:trPr>
        <w:tc>
          <w:tcPr>
            <w:tcW w:w="215"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Nepieciešamie saistītie tiesību aktu projekti</w:t>
            </w:r>
          </w:p>
        </w:tc>
        <w:tc>
          <w:tcPr>
            <w:tcW w:w="3293" w:type="pct"/>
            <w:tcBorders>
              <w:top w:val="outset" w:sz="6" w:space="0" w:color="414142"/>
              <w:left w:val="outset" w:sz="6" w:space="0" w:color="414142"/>
              <w:bottom w:val="outset" w:sz="6" w:space="0" w:color="414142"/>
              <w:right w:val="outset" w:sz="6" w:space="0" w:color="414142"/>
            </w:tcBorders>
            <w:hideMark/>
          </w:tcPr>
          <w:p w:rsidR="0057108C" w:rsidRDefault="0057108C" w:rsidP="00643E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Veicami g</w:t>
            </w:r>
            <w:r w:rsidRPr="00697DB4">
              <w:rPr>
                <w:rFonts w:ascii="Times New Roman" w:hAnsi="Times New Roman" w:cs="Times New Roman"/>
                <w:color w:val="000000" w:themeColor="text1"/>
                <w:sz w:val="24"/>
                <w:szCs w:val="24"/>
              </w:rPr>
              <w:t xml:space="preserve">rozījumi likumā </w:t>
            </w:r>
            <w:r>
              <w:rPr>
                <w:rFonts w:ascii="Times New Roman" w:hAnsi="Times New Roman" w:cs="Times New Roman"/>
                <w:color w:val="000000" w:themeColor="text1"/>
                <w:sz w:val="24"/>
                <w:szCs w:val="24"/>
              </w:rPr>
              <w:t>„</w:t>
            </w:r>
            <w:r w:rsidRPr="00697DB4">
              <w:rPr>
                <w:rFonts w:ascii="Times New Roman" w:hAnsi="Times New Roman" w:cs="Times New Roman"/>
                <w:color w:val="000000" w:themeColor="text1"/>
                <w:sz w:val="24"/>
                <w:szCs w:val="24"/>
              </w:rPr>
              <w:t>Par nodokļiem un nodevām”</w:t>
            </w:r>
            <w:r>
              <w:rPr>
                <w:rFonts w:ascii="Times New Roman" w:hAnsi="Times New Roman" w:cs="Times New Roman"/>
                <w:color w:val="000000" w:themeColor="text1"/>
                <w:sz w:val="24"/>
                <w:szCs w:val="24"/>
              </w:rPr>
              <w:t>, jo tiek paredzēti jauni valsts nodevu objekti.</w:t>
            </w:r>
          </w:p>
          <w:p w:rsidR="0057108C" w:rsidRDefault="0057108C" w:rsidP="00643E87">
            <w:pPr>
              <w:spacing w:after="0" w:line="240" w:lineRule="auto"/>
              <w:jc w:val="both"/>
              <w:rPr>
                <w:rFonts w:ascii="Times New Roman" w:hAnsi="Times New Roman" w:cs="Times New Roman"/>
                <w:color w:val="000000" w:themeColor="text1"/>
                <w:sz w:val="24"/>
                <w:szCs w:val="24"/>
              </w:rPr>
            </w:pPr>
          </w:p>
          <w:p w:rsidR="0057108C" w:rsidRDefault="0057108C" w:rsidP="00643E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Izdodami jauni Ministru kabineta noteikumi, kas aizvietos Ministru kabineta 2010.gada 28.</w:t>
            </w:r>
            <w:r w:rsidRPr="00651A71">
              <w:rPr>
                <w:rFonts w:ascii="Times New Roman" w:hAnsi="Times New Roman" w:cs="Times New Roman"/>
                <w:color w:val="000000" w:themeColor="text1"/>
                <w:sz w:val="24"/>
                <w:szCs w:val="24"/>
              </w:rPr>
              <w:t>decembra noteikum</w:t>
            </w:r>
            <w:r>
              <w:rPr>
                <w:rFonts w:ascii="Times New Roman" w:hAnsi="Times New Roman" w:cs="Times New Roman"/>
                <w:color w:val="000000" w:themeColor="text1"/>
                <w:sz w:val="24"/>
                <w:szCs w:val="24"/>
              </w:rPr>
              <w:t>us</w:t>
            </w:r>
            <w:r w:rsidRPr="00651A71">
              <w:rPr>
                <w:rFonts w:ascii="Times New Roman" w:hAnsi="Times New Roman" w:cs="Times New Roman"/>
                <w:color w:val="000000" w:themeColor="text1"/>
                <w:sz w:val="24"/>
                <w:szCs w:val="24"/>
              </w:rPr>
              <w:t xml:space="preserve"> Nr. 1238 </w:t>
            </w:r>
            <w:r>
              <w:rPr>
                <w:rFonts w:ascii="Times New Roman" w:hAnsi="Times New Roman" w:cs="Times New Roman"/>
                <w:color w:val="000000" w:themeColor="text1"/>
                <w:sz w:val="24"/>
                <w:szCs w:val="24"/>
              </w:rPr>
              <w:t>„</w:t>
            </w:r>
            <w:r w:rsidRPr="00651A71">
              <w:rPr>
                <w:rFonts w:ascii="Times New Roman" w:hAnsi="Times New Roman" w:cs="Times New Roman"/>
                <w:color w:val="000000" w:themeColor="text1"/>
                <w:sz w:val="24"/>
                <w:szCs w:val="24"/>
              </w:rPr>
              <w:t>Noteikumi par valsts nodevu par apraides atļaujas izsniegšanu, retranslācijas atļaujas izsniegšanu un tāda pakalpojumu sniedzēja reģistrāciju, kas sniedz elektronisko plašsaziņas līdzekļu pakalpojumus pēc pieprasījuma</w:t>
            </w:r>
            <w:r>
              <w:rPr>
                <w:rFonts w:ascii="Times New Roman" w:hAnsi="Times New Roman" w:cs="Times New Roman"/>
                <w:color w:val="000000" w:themeColor="text1"/>
                <w:sz w:val="24"/>
                <w:szCs w:val="24"/>
              </w:rPr>
              <w:t xml:space="preserve">”. </w:t>
            </w:r>
          </w:p>
          <w:p w:rsidR="0057108C" w:rsidRDefault="0057108C" w:rsidP="00643E87">
            <w:pPr>
              <w:spacing w:after="0" w:line="240" w:lineRule="auto"/>
              <w:jc w:val="both"/>
              <w:rPr>
                <w:rFonts w:ascii="Times New Roman" w:hAnsi="Times New Roman" w:cs="Times New Roman"/>
                <w:color w:val="000000" w:themeColor="text1"/>
                <w:sz w:val="24"/>
                <w:szCs w:val="24"/>
              </w:rPr>
            </w:pPr>
          </w:p>
          <w:p w:rsidR="0057108C" w:rsidRPr="008D25A9" w:rsidRDefault="0057108C" w:rsidP="00643E8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Veicami precizējumi </w:t>
            </w:r>
            <w:r w:rsidRPr="008D25A9">
              <w:rPr>
                <w:rFonts w:ascii="Times New Roman" w:hAnsi="Times New Roman" w:cs="Times New Roman"/>
                <w:color w:val="000000" w:themeColor="text1"/>
                <w:sz w:val="24"/>
                <w:szCs w:val="24"/>
              </w:rPr>
              <w:t>Elektronisko plašsaziņas līdzekļu nozares attīstības nacionālās stratēģijas 20</w:t>
            </w:r>
            <w:r>
              <w:rPr>
                <w:rFonts w:ascii="Times New Roman" w:hAnsi="Times New Roman" w:cs="Times New Roman"/>
                <w:color w:val="000000" w:themeColor="text1"/>
                <w:sz w:val="24"/>
                <w:szCs w:val="24"/>
              </w:rPr>
              <w:t>12. – 2017.gadam pielikumā Nr.</w:t>
            </w:r>
            <w:r w:rsidRPr="008D25A9">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w:t>
            </w:r>
            <w:r w:rsidRPr="008D25A9">
              <w:rPr>
                <w:rFonts w:ascii="Times New Roman" w:hAnsi="Times New Roman" w:cs="Times New Roman"/>
                <w:color w:val="000000" w:themeColor="text1"/>
                <w:sz w:val="24"/>
                <w:szCs w:val="24"/>
              </w:rPr>
              <w:t>Kārtība, kādā izsniedz retranslācijas atļaujas un elektroniskajiem plašsaziņas līdzekļiem piešķir tiesības retranslēt audio un audiovizuālās programmas”.</w:t>
            </w:r>
          </w:p>
        </w:tc>
      </w:tr>
      <w:tr w:rsidR="0057108C" w:rsidRPr="008D25A9" w:rsidTr="00FC2D08">
        <w:trPr>
          <w:jc w:val="center"/>
        </w:trPr>
        <w:tc>
          <w:tcPr>
            <w:tcW w:w="215"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Atbildīgā institūcija</w:t>
            </w:r>
          </w:p>
        </w:tc>
        <w:sdt>
          <w:sdtPr>
            <w:rPr>
              <w:rFonts w:ascii="Times New Roman" w:eastAsia="Times New Roman" w:hAnsi="Times New Roman" w:cs="Times New Roman"/>
              <w:color w:val="000000" w:themeColor="text1"/>
              <w:sz w:val="24"/>
              <w:szCs w:val="24"/>
              <w:lang w:eastAsia="lv-LV"/>
            </w:rPr>
            <w:id w:val="-1911233947"/>
            <w:placeholder>
              <w:docPart w:val="75F903AFFF044CD4B0CB536C3B056BFF"/>
            </w:placeholder>
            <w:text/>
          </w:sdtPr>
          <w:sdtContent>
            <w:tc>
              <w:tcPr>
                <w:tcW w:w="3293"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Nacionālā elektronisko plašsaziņas līdzekļu padome, </w:t>
                </w:r>
                <w:r>
                  <w:rPr>
                    <w:rFonts w:ascii="Times New Roman" w:eastAsia="Times New Roman" w:hAnsi="Times New Roman" w:cs="Times New Roman"/>
                    <w:color w:val="000000" w:themeColor="text1"/>
                    <w:sz w:val="24"/>
                    <w:szCs w:val="24"/>
                    <w:lang w:eastAsia="lv-LV"/>
                  </w:rPr>
                  <w:lastRenderedPageBreak/>
                  <w:t xml:space="preserve">Kultūras ministrija. </w:t>
                </w:r>
              </w:p>
            </w:tc>
          </w:sdtContent>
        </w:sdt>
      </w:tr>
      <w:tr w:rsidR="0057108C" w:rsidRPr="008D25A9" w:rsidTr="00FC2D08">
        <w:trPr>
          <w:jc w:val="center"/>
        </w:trPr>
        <w:tc>
          <w:tcPr>
            <w:tcW w:w="215"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lastRenderedPageBreak/>
              <w:t>3.</w:t>
            </w:r>
          </w:p>
        </w:tc>
        <w:tc>
          <w:tcPr>
            <w:tcW w:w="1492"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016684222"/>
            <w:placeholder>
              <w:docPart w:val="790DE6295B1C490FAFF1D0B7664CA39E"/>
            </w:placeholder>
            <w:text/>
          </w:sdtPr>
          <w:sdtContent>
            <w:tc>
              <w:tcPr>
                <w:tcW w:w="3293" w:type="pct"/>
                <w:tcBorders>
                  <w:top w:val="outset" w:sz="6" w:space="0" w:color="414142"/>
                  <w:left w:val="outset" w:sz="6" w:space="0" w:color="414142"/>
                  <w:bottom w:val="outset" w:sz="6" w:space="0" w:color="414142"/>
                  <w:right w:val="outset" w:sz="6" w:space="0" w:color="414142"/>
                </w:tcBorders>
                <w:hideMark/>
              </w:tcPr>
              <w:p w:rsidR="0057108C" w:rsidRPr="008D25A9" w:rsidRDefault="0057108C" w:rsidP="00643E8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sdtContent>
        </w:sdt>
      </w:tr>
    </w:tbl>
    <w:p w:rsidR="0057108C" w:rsidRPr="008D25A9" w:rsidRDefault="0057108C"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1B2481" w:rsidRPr="008D25A9" w:rsidTr="00714184">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1B2481" w:rsidRPr="008D25A9" w:rsidTr="00714184">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Starptautisko tiesību ietvarā </w:t>
            </w:r>
            <w:r w:rsidR="00714184">
              <w:rPr>
                <w:rFonts w:ascii="Times New Roman" w:hAnsi="Times New Roman" w:cs="Times New Roman"/>
                <w:color w:val="000000" w:themeColor="text1"/>
                <w:sz w:val="24"/>
                <w:szCs w:val="24"/>
              </w:rPr>
              <w:t>nozīme ir Eiropas Padomes 1989.</w:t>
            </w:r>
            <w:r w:rsidRPr="008D25A9">
              <w:rPr>
                <w:rFonts w:ascii="Times New Roman" w:hAnsi="Times New Roman" w:cs="Times New Roman"/>
                <w:color w:val="000000" w:themeColor="text1"/>
                <w:sz w:val="24"/>
                <w:szCs w:val="24"/>
              </w:rPr>
              <w:t>gada Eiropas konvencijai par pārrobežu televīziju</w:t>
            </w:r>
            <w:r>
              <w:rPr>
                <w:rFonts w:ascii="Times New Roman" w:hAnsi="Times New Roman" w:cs="Times New Roman"/>
                <w:color w:val="000000" w:themeColor="text1"/>
                <w:sz w:val="24"/>
                <w:szCs w:val="24"/>
              </w:rPr>
              <w:t xml:space="preserve"> (turpmāk – Konvencija)</w:t>
            </w:r>
            <w:r w:rsidRPr="008D25A9">
              <w:rPr>
                <w:rFonts w:ascii="Times New Roman" w:hAnsi="Times New Roman" w:cs="Times New Roman"/>
                <w:color w:val="000000" w:themeColor="text1"/>
                <w:sz w:val="24"/>
                <w:szCs w:val="24"/>
              </w:rPr>
              <w:t xml:space="preserve">. Konvencijas mērķis ir veicināt pārrobežu pārraides un televīzijas programmu pakalpojumu retranslēšanu starp konvencijas dalībvalstīm. </w:t>
            </w:r>
          </w:p>
          <w:p w:rsidR="001B2481" w:rsidRPr="00214EDD" w:rsidRDefault="001B2481" w:rsidP="00714184">
            <w:pPr>
              <w:spacing w:line="240" w:lineRule="auto"/>
              <w:jc w:val="both"/>
              <w:rPr>
                <w:rFonts w:ascii="Times New Roman" w:hAnsi="Times New Roman" w:cs="Times New Roman"/>
                <w:sz w:val="24"/>
                <w:szCs w:val="24"/>
              </w:rPr>
            </w:pPr>
            <w:r w:rsidRPr="00031558">
              <w:rPr>
                <w:rFonts w:ascii="Times New Roman" w:hAnsi="Times New Roman" w:cs="Times New Roman"/>
                <w:sz w:val="24"/>
                <w:szCs w:val="24"/>
              </w:rPr>
              <w:t>Savukārt</w:t>
            </w:r>
            <w:r w:rsidRPr="00214EDD">
              <w:rPr>
                <w:rFonts w:ascii="Times New Roman" w:hAnsi="Times New Roman" w:cs="Times New Roman"/>
                <w:b/>
                <w:sz w:val="24"/>
                <w:szCs w:val="24"/>
              </w:rPr>
              <w:t xml:space="preserve"> </w:t>
            </w:r>
            <w:r w:rsidRPr="00214EDD">
              <w:rPr>
                <w:rStyle w:val="Izteiksmgs"/>
                <w:rFonts w:ascii="Times New Roman" w:hAnsi="Times New Roman" w:cs="Times New Roman"/>
                <w:sz w:val="24"/>
                <w:szCs w:val="24"/>
                <w:bdr w:val="none" w:sz="0" w:space="0" w:color="auto" w:frame="1"/>
                <w:shd w:val="clear" w:color="auto" w:fill="FFFFFF"/>
              </w:rPr>
              <w:t>Eiropas Parlamenta un Padomes Direktīva 201</w:t>
            </w:r>
            <w:r w:rsidR="00714184">
              <w:rPr>
                <w:rStyle w:val="Izteiksmgs"/>
                <w:rFonts w:ascii="Times New Roman" w:hAnsi="Times New Roman" w:cs="Times New Roman"/>
                <w:sz w:val="24"/>
                <w:szCs w:val="24"/>
                <w:bdr w:val="none" w:sz="0" w:space="0" w:color="auto" w:frame="1"/>
                <w:shd w:val="clear" w:color="auto" w:fill="FFFFFF"/>
              </w:rPr>
              <w:t>0/13/ES (2010.</w:t>
            </w:r>
            <w:r w:rsidRPr="00214EDD">
              <w:rPr>
                <w:rStyle w:val="Izteiksmgs"/>
                <w:rFonts w:ascii="Times New Roman" w:hAnsi="Times New Roman" w:cs="Times New Roman"/>
                <w:sz w:val="24"/>
                <w:szCs w:val="24"/>
                <w:bdr w:val="none" w:sz="0" w:space="0" w:color="auto" w:frame="1"/>
                <w:shd w:val="clear" w:color="auto" w:fill="FFFFFF"/>
              </w:rPr>
              <w:t>gada 10.marts), par to, lai koordinētu dažus dalībvalstu normatīvajos un administratīvajos aktos paredzētus noteikumus par audiovizuālo mediju pakalpojumu sniegšanu (Audiovizuālo mediju pakalpojumu direktīva) (turpmāk – Direktīva) preambulas</w:t>
            </w:r>
            <w:r w:rsidR="00714184">
              <w:rPr>
                <w:rStyle w:val="Izteiksmgs"/>
                <w:rFonts w:ascii="Times New Roman" w:hAnsi="Times New Roman" w:cs="Times New Roman"/>
                <w:sz w:val="24"/>
                <w:szCs w:val="24"/>
                <w:bdr w:val="none" w:sz="0" w:space="0" w:color="auto" w:frame="1"/>
                <w:shd w:val="clear" w:color="auto" w:fill="FFFFFF"/>
              </w:rPr>
              <w:t xml:space="preserve"> 19.</w:t>
            </w:r>
            <w:r w:rsidRPr="00214EDD">
              <w:rPr>
                <w:rStyle w:val="Izteiksmgs"/>
                <w:rFonts w:ascii="Times New Roman" w:hAnsi="Times New Roman" w:cs="Times New Roman"/>
                <w:sz w:val="24"/>
                <w:szCs w:val="24"/>
                <w:bdr w:val="none" w:sz="0" w:space="0" w:color="auto" w:frame="1"/>
                <w:shd w:val="clear" w:color="auto" w:fill="FFFFFF"/>
              </w:rPr>
              <w:t>apsvērums norāda, ka</w:t>
            </w:r>
            <w:r w:rsidRPr="00214EDD">
              <w:rPr>
                <w:rFonts w:ascii="Times New Roman" w:hAnsi="Times New Roman" w:cs="Times New Roman"/>
                <w:b/>
                <w:sz w:val="24"/>
                <w:szCs w:val="24"/>
                <w:shd w:val="clear" w:color="auto" w:fill="FFFFFF"/>
              </w:rPr>
              <w:t xml:space="preserve"> </w:t>
            </w:r>
            <w:r w:rsidRPr="00214EDD">
              <w:rPr>
                <w:rFonts w:ascii="Times New Roman" w:hAnsi="Times New Roman" w:cs="Times New Roman"/>
                <w:sz w:val="24"/>
                <w:szCs w:val="24"/>
                <w:shd w:val="clear" w:color="auto" w:fill="FFFFFF"/>
              </w:rPr>
              <w:t>direktīva neietekmē dalībvalstu un to iestāžu atbildību par organizatoriskiem pasākumiem – tostarp licencēšanas, administratīvu atļauju vai nodokļu sistēmu</w:t>
            </w:r>
            <w:r>
              <w:rPr>
                <w:rFonts w:ascii="Times New Roman" w:hAnsi="Times New Roman" w:cs="Times New Roman"/>
                <w:sz w:val="24"/>
                <w:szCs w:val="24"/>
                <w:shd w:val="clear" w:color="auto" w:fill="FFFFFF"/>
              </w:rPr>
              <w:t>,</w:t>
            </w:r>
            <w:r w:rsidRPr="00214EDD">
              <w:rPr>
                <w:rFonts w:ascii="Times New Roman" w:hAnsi="Times New Roman" w:cs="Times New Roman"/>
                <w:sz w:val="24"/>
                <w:szCs w:val="24"/>
                <w:shd w:val="clear" w:color="auto" w:fill="FFFFFF"/>
              </w:rPr>
              <w:t xml:space="preserve">– finansēšanu un raidījumu saturu. </w:t>
            </w:r>
            <w:r w:rsidRPr="00214EDD">
              <w:rPr>
                <w:rFonts w:ascii="Times New Roman" w:hAnsi="Times New Roman" w:cs="Times New Roman"/>
                <w:sz w:val="24"/>
                <w:szCs w:val="24"/>
              </w:rPr>
              <w:t>Tādējādi paliek neskarta dalībvalstu neatkarība Savienības kultūras attīstībā un kultūras daudzveidības saglabāšanā.</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Direktīvas pamatā ir izcelsmes valsts princips – audiovizuālo mediju pakalpojumu sniedzējiem jāievēro tās dalībvalsts noteikumi, kurā tie ir reģistrēti un kurā tiek pieņemti svarīgākie redakcionālie lēmumi.</w:t>
            </w:r>
            <w:r>
              <w:rPr>
                <w:rFonts w:ascii="Times New Roman" w:hAnsi="Times New Roman" w:cs="Times New Roman"/>
                <w:color w:val="000000" w:themeColor="text1"/>
                <w:sz w:val="24"/>
                <w:szCs w:val="24"/>
              </w:rPr>
              <w:t xml:space="preserve"> </w:t>
            </w:r>
            <w:r w:rsidR="00714184">
              <w:rPr>
                <w:rFonts w:ascii="Times New Roman" w:hAnsi="Times New Roman" w:cs="Times New Roman"/>
                <w:color w:val="000000" w:themeColor="text1"/>
                <w:sz w:val="24"/>
                <w:szCs w:val="24"/>
              </w:rPr>
              <w:t>Saskaņā ar Direktīvas 3.</w:t>
            </w:r>
            <w:r w:rsidRPr="008D25A9">
              <w:rPr>
                <w:rFonts w:ascii="Times New Roman" w:hAnsi="Times New Roman" w:cs="Times New Roman"/>
                <w:color w:val="000000" w:themeColor="text1"/>
                <w:sz w:val="24"/>
                <w:szCs w:val="24"/>
              </w:rPr>
              <w:t>pantu dalībvalstīm jānodrošina uztveršanas brīvība un tās savā teritorijā nedrīkst ierobežot retranslāciju no citām dalībvalstīm, izņemot, ja ar retranslāciju tiek pieļauti būtiski pārkāpumi.</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Taču Dir</w:t>
            </w:r>
            <w:r w:rsidR="00714184">
              <w:rPr>
                <w:rFonts w:ascii="Times New Roman" w:hAnsi="Times New Roman" w:cs="Times New Roman"/>
                <w:color w:val="000000" w:themeColor="text1"/>
                <w:sz w:val="24"/>
                <w:szCs w:val="24"/>
              </w:rPr>
              <w:t>ektīvas preambulas 94.</w:t>
            </w:r>
            <w:r w:rsidRPr="008D25A9">
              <w:rPr>
                <w:rFonts w:ascii="Times New Roman" w:hAnsi="Times New Roman" w:cs="Times New Roman"/>
                <w:color w:val="000000" w:themeColor="text1"/>
                <w:sz w:val="24"/>
                <w:szCs w:val="24"/>
              </w:rPr>
              <w:t>apsvērums paredz, ka dalībvalstis var brīvi izvēlēties atbilstīgus instrumentus saskaņā ar savām tiesiskajām tradīcijām un izveidotajām struktūrām un jo īpaši izvēlēties kompetento neatkarīgo regulatīvo struktūru formu, lai tās varētu veikt savu darbu neatkarīgi un caurskatāmi. Īpaši svarīga ir dalībvalstu un to regulatīvo struktūru sadarbība saistībā ar ietekmi, ko raidorganizācijas, kas veic uzņēmējdarbību vienā dalībvalstī, varētu radīt citā dalībvalstī. Ja valsts tiesību aktos ir paredzētas licencēšanas procedūras un ja ir iesaistīta vairāk nekā viena dalībvalsts, ir vēlams, lai attiecīgās struktūras savā starpā sazinātos, pirms tās izsniedz šādu licenci.</w:t>
            </w:r>
          </w:p>
          <w:p w:rsidR="001B2481" w:rsidRPr="008D25A9"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Direktīvā paredzēti atsevišķi nosacījumi attiecībā uz pārraižu saturu (piemēram, raidlaiku). Dalībvalstis var noteikt satura prasības kā nosacījumu atļaujas izsniegšanai, ņemot vērā Direktīvā noteiktos vispārīgos principus.</w:t>
            </w:r>
          </w:p>
          <w:p w:rsidR="001B2481" w:rsidRPr="008D25A9" w:rsidRDefault="00714184" w:rsidP="0071418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Direktīvas preambulas 78.</w:t>
            </w:r>
            <w:r w:rsidR="001B2481" w:rsidRPr="008D25A9">
              <w:rPr>
                <w:rFonts w:ascii="Times New Roman" w:hAnsi="Times New Roman" w:cs="Times New Roman"/>
                <w:color w:val="000000" w:themeColor="text1"/>
                <w:sz w:val="24"/>
                <w:szCs w:val="24"/>
              </w:rPr>
              <w:t xml:space="preserve">punkts citastarp paredz iespēju dalībvalstīm brīvi noteikt sīkāk izstrādātus vai stingrākus noteikumus atkarībā no valodas kritērijiem, ja vien šie noteikumi ir saderīgi ar ES tiesību aktiem un jo īpaši nav piemērojami tādas apraides retranslācijai, kuras izcelsme ir citās dalībvalstīs. </w:t>
            </w:r>
          </w:p>
          <w:p w:rsidR="001B2481" w:rsidRPr="00651A71" w:rsidRDefault="001B2481" w:rsidP="00714184">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Tātad nedz Konvencija, nedz Direktīva nenosaka ierobežojumus dalībvalstīm attiecībā uz kompetento uzraudzības iestāžu tiesībām noteikt maksu par atļauju izsniegšanu, grozījumu veikšanu, atļaujas nosacījumu pārskatīšanu vai par uzraudzības veikšanu. Turklāt nepastāv nekādi nosacījumi nedz par retranslācijas testa vai pagaidu režīmu, nedz arī par retranslācijas atļauju termiņiem. Dalībvalstis var izvēlēties, ciktāl tās nosaka ierobežojumus attiecībā uz pārraižu saturu (piemēram, kā nosacījumu atļaujas izsniegšanai vai pārreģistrācijai), ņemot vērā Direktīvā noteiktos principus.</w:t>
            </w:r>
          </w:p>
        </w:tc>
      </w:tr>
    </w:tbl>
    <w:p w:rsidR="001B2481" w:rsidRPr="008D25A9" w:rsidRDefault="001B2481" w:rsidP="001B2481">
      <w:pPr>
        <w:spacing w:after="0" w:line="240" w:lineRule="auto"/>
        <w:rPr>
          <w:rFonts w:ascii="Times New Roman" w:hAnsi="Times New Roman" w:cs="Times New Roman"/>
          <w:color w:val="000000" w:themeColor="text1"/>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1B2481" w:rsidRPr="008D25A9" w:rsidTr="00714184">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1B2481" w:rsidRPr="008D25A9" w:rsidTr="0071418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 xml:space="preserve">Plānotās sabiedrības </w:t>
            </w:r>
            <w:r w:rsidRPr="008D25A9">
              <w:rPr>
                <w:rFonts w:ascii="Times New Roman" w:eastAsia="Times New Roman" w:hAnsi="Times New Roman" w:cs="Times New Roman"/>
                <w:color w:val="000000" w:themeColor="text1"/>
                <w:sz w:val="24"/>
                <w:szCs w:val="24"/>
                <w:lang w:eastAsia="lv-LV"/>
              </w:rPr>
              <w:lastRenderedPageBreak/>
              <w:t>līdzdalības un komunikācijas aktivitātes saistībā ar projektu</w:t>
            </w:r>
          </w:p>
        </w:tc>
        <w:sdt>
          <w:sdtPr>
            <w:rPr>
              <w:rFonts w:ascii="Times New Roman" w:hAnsi="Times New Roman" w:cs="Times New Roman"/>
              <w:sz w:val="24"/>
              <w:szCs w:val="24"/>
            </w:rPr>
            <w:id w:val="-1156844014"/>
            <w:placeholder>
              <w:docPart w:val="C2A0386D0E834A2890CA572DAED84FC8"/>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jc w:val="both"/>
                  <w:rPr>
                    <w:rFonts w:ascii="Times New Roman" w:eastAsia="Times New Roman" w:hAnsi="Times New Roman" w:cs="Times New Roman"/>
                    <w:color w:val="000000" w:themeColor="text1"/>
                    <w:sz w:val="24"/>
                    <w:szCs w:val="24"/>
                    <w:lang w:eastAsia="lv-LV"/>
                  </w:rPr>
                </w:pPr>
                <w:r w:rsidRPr="00542333">
                  <w:rPr>
                    <w:rFonts w:ascii="Times New Roman" w:hAnsi="Times New Roman" w:cs="Times New Roman"/>
                    <w:sz w:val="24"/>
                    <w:szCs w:val="24"/>
                  </w:rPr>
                  <w:t xml:space="preserve">Notikušas konsultācijas ar Latvijas Raidorganizāciju </w:t>
                </w:r>
                <w:r w:rsidRPr="00542333">
                  <w:rPr>
                    <w:rFonts w:ascii="Times New Roman" w:hAnsi="Times New Roman" w:cs="Times New Roman"/>
                    <w:sz w:val="24"/>
                    <w:szCs w:val="24"/>
                  </w:rPr>
                  <w:lastRenderedPageBreak/>
                  <w:t>asociāciju un Latvijas Elektronisko komunikāciju Asoc</w:t>
                </w:r>
                <w:r>
                  <w:rPr>
                    <w:rFonts w:ascii="Times New Roman" w:hAnsi="Times New Roman" w:cs="Times New Roman"/>
                    <w:sz w:val="24"/>
                    <w:szCs w:val="24"/>
                  </w:rPr>
                  <w:t>iāciju (turpmāk – asociācijas).</w:t>
                </w:r>
              </w:p>
            </w:tc>
          </w:sdtContent>
        </w:sdt>
      </w:tr>
      <w:tr w:rsidR="001B2481" w:rsidRPr="008D25A9" w:rsidTr="007E4ED4">
        <w:trPr>
          <w:trHeight w:val="239"/>
          <w:jc w:val="center"/>
        </w:trPr>
        <w:tc>
          <w:tcPr>
            <w:tcW w:w="250" w:type="pct"/>
            <w:tcBorders>
              <w:top w:val="outset" w:sz="6" w:space="0" w:color="414142"/>
              <w:left w:val="outset" w:sz="6" w:space="0" w:color="414142"/>
              <w:bottom w:val="outset" w:sz="6" w:space="0" w:color="414142"/>
              <w:right w:val="outset" w:sz="6" w:space="0" w:color="414142"/>
            </w:tcBorders>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tcPr>
          <w:p w:rsidR="001B2481"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Sabiedrības līdzdalība projekta izstrādē</w:t>
            </w:r>
          </w:p>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p>
        </w:tc>
        <w:tc>
          <w:tcPr>
            <w:tcW w:w="3250" w:type="pct"/>
            <w:tcBorders>
              <w:top w:val="outset" w:sz="6" w:space="0" w:color="414142"/>
              <w:left w:val="outset" w:sz="6" w:space="0" w:color="414142"/>
              <w:bottom w:val="outset" w:sz="6" w:space="0" w:color="414142"/>
              <w:right w:val="outset" w:sz="6" w:space="0" w:color="414142"/>
            </w:tcBorders>
          </w:tcPr>
          <w:p w:rsidR="001B2481" w:rsidRDefault="001B2481" w:rsidP="00714184">
            <w:pPr>
              <w:spacing w:line="240" w:lineRule="auto"/>
              <w:jc w:val="both"/>
              <w:rPr>
                <w:rFonts w:ascii="Times New Roman" w:eastAsia="Times New Roman" w:hAnsi="Times New Roman" w:cs="Times New Roman"/>
                <w:color w:val="000000" w:themeColor="text1"/>
                <w:sz w:val="24"/>
                <w:szCs w:val="24"/>
                <w:lang w:eastAsia="lv-LV"/>
              </w:rPr>
            </w:pPr>
            <w:r w:rsidRPr="001362AE">
              <w:rPr>
                <w:rFonts w:ascii="Times New Roman" w:eastAsia="Times New Roman" w:hAnsi="Times New Roman" w:cs="Times New Roman"/>
                <w:color w:val="000000" w:themeColor="text1"/>
                <w:sz w:val="24"/>
                <w:szCs w:val="24"/>
                <w:lang w:eastAsia="lv-LV"/>
              </w:rPr>
              <w:t>Asociācijas atbalsta to, ka var tikt ieviesti uzraudzības maksājumi, tomēr izte</w:t>
            </w:r>
            <w:r>
              <w:rPr>
                <w:rFonts w:ascii="Times New Roman" w:eastAsia="Times New Roman" w:hAnsi="Times New Roman" w:cs="Times New Roman"/>
                <w:color w:val="000000" w:themeColor="text1"/>
                <w:sz w:val="24"/>
                <w:szCs w:val="24"/>
                <w:lang w:eastAsia="lv-LV"/>
              </w:rPr>
              <w:t>ica vairākas piebildes, proti:</w:t>
            </w:r>
          </w:p>
          <w:p w:rsidR="001B2481" w:rsidRDefault="001B2481" w:rsidP="008F2DC7">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Retranslācijas definīcija un regulējums spēkā esošajā likumā neesot konsekvents, kam var piekrist, un tādēļ anotācija papildināta ar papildu skaidrojumu;</w:t>
            </w:r>
          </w:p>
          <w:p w:rsidR="001B2481" w:rsidRPr="00D00808" w:rsidRDefault="001B2481" w:rsidP="008F2DC7">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sidRPr="00D00808">
              <w:rPr>
                <w:rFonts w:ascii="Times New Roman" w:eastAsia="Times New Roman" w:hAnsi="Times New Roman" w:cs="Times New Roman"/>
                <w:color w:val="000000" w:themeColor="text1"/>
                <w:sz w:val="24"/>
                <w:szCs w:val="24"/>
                <w:lang w:eastAsia="lv-LV"/>
              </w:rPr>
              <w:t>Uzraudzības maksājumu par kabeļoperatoru izplatī</w:t>
            </w:r>
            <w:r>
              <w:rPr>
                <w:rFonts w:ascii="Times New Roman" w:eastAsia="Times New Roman" w:hAnsi="Times New Roman" w:cs="Times New Roman"/>
                <w:color w:val="000000" w:themeColor="text1"/>
                <w:sz w:val="24"/>
                <w:szCs w:val="24"/>
                <w:lang w:eastAsia="lv-LV"/>
              </w:rPr>
              <w:t>tajām programmām</w:t>
            </w:r>
            <w:r w:rsidRPr="00D00808">
              <w:rPr>
                <w:rFonts w:ascii="Times New Roman" w:eastAsia="Times New Roman" w:hAnsi="Times New Roman" w:cs="Times New Roman"/>
                <w:color w:val="000000" w:themeColor="text1"/>
                <w:sz w:val="24"/>
                <w:szCs w:val="24"/>
                <w:lang w:eastAsia="lv-LV"/>
              </w:rPr>
              <w:t xml:space="preserve"> varētu veidot kā procentu no apgrozījuma. </w:t>
            </w:r>
            <w:r>
              <w:rPr>
                <w:rFonts w:ascii="Times New Roman" w:eastAsia="Times New Roman" w:hAnsi="Times New Roman" w:cs="Times New Roman"/>
                <w:color w:val="000000" w:themeColor="text1"/>
                <w:sz w:val="24"/>
                <w:szCs w:val="24"/>
                <w:lang w:eastAsia="lv-LV"/>
              </w:rPr>
              <w:t xml:space="preserve">Pēc NEPLP ieskatiem, </w:t>
            </w:r>
            <w:r w:rsidRPr="00D00808">
              <w:rPr>
                <w:rFonts w:ascii="Times New Roman" w:hAnsi="Times New Roman" w:cs="Times New Roman"/>
                <w:sz w:val="24"/>
                <w:szCs w:val="24"/>
                <w:lang w:eastAsia="lv-LV"/>
              </w:rPr>
              <w:t xml:space="preserve">noteikt nodevu procentuāli no apgrozījuma ir iespējams, tomēr tas būs neizdevīgāk lielajiem komersantiem, ņemot vērā to, ka uzraudzības darbības neatšķiras liela vai maza komersanta gadījumā. Turklāt daudziem komersantiem šis apgrozījums ir grūti pārbaudāms, jo viņi veic arī citu saimniecisko darbību. </w:t>
            </w:r>
            <w:r>
              <w:rPr>
                <w:rFonts w:ascii="Times New Roman" w:hAnsi="Times New Roman" w:cs="Times New Roman"/>
                <w:sz w:val="24"/>
                <w:szCs w:val="24"/>
                <w:lang w:eastAsia="lv-LV"/>
              </w:rPr>
              <w:t xml:space="preserve">NEPLP piekrīt izmantot apgrozījuma rādītāju tikai, lai nošķirtu komersantus ar mazu apgrozījumu. </w:t>
            </w:r>
            <w:r w:rsidRPr="00D00808">
              <w:rPr>
                <w:rFonts w:ascii="Times New Roman" w:hAnsi="Times New Roman" w:cs="Times New Roman"/>
                <w:sz w:val="24"/>
                <w:szCs w:val="24"/>
                <w:lang w:eastAsia="lv-LV"/>
              </w:rPr>
              <w:t xml:space="preserve">Paredzētais nodevas maksājums gadā ir salīdzinoši neliels, turklāt komersantiem ar neto apgrozījumu līdz 500 000 </w:t>
            </w:r>
            <w:r w:rsidRPr="00D00808">
              <w:rPr>
                <w:rFonts w:ascii="Times New Roman" w:hAnsi="Times New Roman" w:cs="Times New Roman"/>
                <w:i/>
                <w:sz w:val="24"/>
                <w:szCs w:val="24"/>
                <w:lang w:eastAsia="lv-LV"/>
              </w:rPr>
              <w:t>euro</w:t>
            </w:r>
            <w:r w:rsidRPr="00D00808">
              <w:rPr>
                <w:rFonts w:ascii="Times New Roman" w:hAnsi="Times New Roman" w:cs="Times New Roman"/>
                <w:sz w:val="24"/>
                <w:szCs w:val="24"/>
                <w:lang w:eastAsia="lv-LV"/>
              </w:rPr>
              <w:t xml:space="preserve"> gadā, paredzēts maksas samazinājums par 50 procentiem</w:t>
            </w:r>
            <w:r>
              <w:rPr>
                <w:rFonts w:ascii="Times New Roman" w:hAnsi="Times New Roman" w:cs="Times New Roman"/>
                <w:sz w:val="24"/>
                <w:szCs w:val="24"/>
                <w:lang w:eastAsia="lv-LV"/>
              </w:rPr>
              <w:t>;</w:t>
            </w:r>
          </w:p>
          <w:p w:rsidR="001B2481" w:rsidRDefault="001B2481" w:rsidP="008F2DC7">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Paredzēt papildu atvieglojumus no uzraudzības maksājuma tiem televīzijas kanāliem, kuri nodrošina vairāk vietējo saturu. Pēc NEPLP ieskatiem, to nevar tieši nodrošināt ar valsts nodevu palīdzību, jo tas varētu pārkāpt ES brīvā tirgus principus;</w:t>
            </w:r>
          </w:p>
          <w:p w:rsidR="001B2481" w:rsidRDefault="001B2481" w:rsidP="008F2DC7">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nodevu par apraides atļaujas grozījumiem noteikt fiksētā apmērā, kas tika ņemts vērā, atsakoties no procentuāla aprēķina kārtības. Fiksētais apmērs 35</w:t>
            </w:r>
            <w:r w:rsidR="004C5E2B">
              <w:rPr>
                <w:rFonts w:ascii="Times New Roman" w:eastAsia="Times New Roman" w:hAnsi="Times New Roman" w:cs="Times New Roman"/>
                <w:color w:val="000000" w:themeColor="text1"/>
                <w:sz w:val="24"/>
                <w:szCs w:val="24"/>
                <w:lang w:eastAsia="lv-LV"/>
              </w:rPr>
              <w:t> </w:t>
            </w:r>
            <w:r w:rsidRPr="008F2DC7">
              <w:rPr>
                <w:rFonts w:ascii="Times New Roman" w:eastAsia="Times New Roman" w:hAnsi="Times New Roman" w:cs="Times New Roman"/>
                <w:i/>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izraudzīts tādējādi, ka tā ir puse no valsts nodevas par apraides atļauju, kurai noteikumos paredzēta vismazākā valsts nodeva;</w:t>
            </w:r>
          </w:p>
          <w:p w:rsidR="001B2481" w:rsidRDefault="001B2481" w:rsidP="008F2DC7">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Gada uzraudzības maksu celt vēl vairāk, bet paredzēt plašāku izņēmumu sarakstu, ņemot vērā arī iespējamo pārrobežu TV skaita pieaugumu  sakarā ar Lielbritānijas paredzamo izstāšanos no Eiropas Savienības. Pēc NEPLP ieskatiem, šobrīd  šāds risinājums vēl ir pāragrs un vēl iegūstama pieredze administrēt vienkārši konstatējamus kritērijus, ņemot vērā arī apraides atļauju formulējumus, kas būtu jāpieskaņo izvērstam izņēmuma kritēriju kopumam.</w:t>
            </w:r>
          </w:p>
          <w:p w:rsidR="001B2481" w:rsidRPr="007E4ED4" w:rsidRDefault="001B2481" w:rsidP="007E4ED4">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sidRPr="007E4ED4">
              <w:rPr>
                <w:rFonts w:ascii="Times New Roman" w:eastAsia="Times New Roman" w:hAnsi="Times New Roman" w:cs="Times New Roman"/>
                <w:color w:val="000000" w:themeColor="text1"/>
                <w:sz w:val="24"/>
                <w:szCs w:val="24"/>
                <w:lang w:eastAsia="lv-LV"/>
              </w:rPr>
              <w:t>Asociācijas norādīja, ka ir būtiski, ka līdzekļi, kas iegūti jauno nodevu piemērošanas rezultātā, tiek piešķirti NEPLP uzraudzības funkciju veikšanai.</w:t>
            </w:r>
          </w:p>
        </w:tc>
      </w:tr>
      <w:tr w:rsidR="001B2481" w:rsidRPr="008D25A9" w:rsidTr="0071418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Sabiedrības līdzdalības rezultāti</w:t>
            </w:r>
          </w:p>
        </w:tc>
        <w:sdt>
          <w:sdtPr>
            <w:rPr>
              <w:rFonts w:ascii="Times New Roman" w:eastAsia="Times New Roman" w:hAnsi="Times New Roman" w:cs="Times New Roman"/>
              <w:color w:val="000000" w:themeColor="text1"/>
              <w:sz w:val="24"/>
              <w:szCs w:val="24"/>
              <w:lang w:eastAsia="lv-LV"/>
            </w:rPr>
            <w:id w:val="-658998965"/>
            <w:placeholder>
              <w:docPart w:val="676C73FE85F04FAE8AFB3F1C7A313C0E"/>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8F2DC7" w:rsidP="008F2DC7">
                <w:pPr>
                  <w:spacing w:after="0" w:line="240" w:lineRule="auto"/>
                  <w:jc w:val="both"/>
                  <w:rPr>
                    <w:rFonts w:ascii="Times New Roman" w:eastAsia="Times New Roman" w:hAnsi="Times New Roman" w:cs="Times New Roman"/>
                    <w:color w:val="000000" w:themeColor="text1"/>
                    <w:sz w:val="24"/>
                    <w:szCs w:val="24"/>
                    <w:lang w:eastAsia="lv-LV"/>
                  </w:rPr>
                </w:pPr>
                <w:r w:rsidRPr="001C348A">
                  <w:rPr>
                    <w:rFonts w:ascii="Times New Roman" w:eastAsia="Times New Roman" w:hAnsi="Times New Roman" w:cs="Times New Roman"/>
                    <w:color w:val="000000" w:themeColor="text1"/>
                    <w:sz w:val="24"/>
                    <w:szCs w:val="24"/>
                    <w:lang w:eastAsia="lv-LV"/>
                  </w:rPr>
                  <w:t xml:space="preserve">Asociācijas </w:t>
                </w:r>
                <w:r>
                  <w:rPr>
                    <w:rFonts w:ascii="Times New Roman" w:eastAsia="Times New Roman" w:hAnsi="Times New Roman" w:cs="Times New Roman"/>
                    <w:color w:val="000000" w:themeColor="text1"/>
                    <w:sz w:val="24"/>
                    <w:szCs w:val="24"/>
                    <w:lang w:eastAsia="lv-LV"/>
                  </w:rPr>
                  <w:t xml:space="preserve">konceptuāli </w:t>
                </w:r>
                <w:r w:rsidRPr="001C348A">
                  <w:rPr>
                    <w:rFonts w:ascii="Times New Roman" w:eastAsia="Times New Roman" w:hAnsi="Times New Roman" w:cs="Times New Roman"/>
                    <w:color w:val="000000" w:themeColor="text1"/>
                    <w:sz w:val="24"/>
                    <w:szCs w:val="24"/>
                    <w:lang w:eastAsia="lv-LV"/>
                  </w:rPr>
                  <w:t xml:space="preserve">atbalsta </w:t>
                </w:r>
                <w:r>
                  <w:rPr>
                    <w:rFonts w:ascii="Times New Roman" w:eastAsia="Times New Roman" w:hAnsi="Times New Roman" w:cs="Times New Roman"/>
                    <w:color w:val="000000" w:themeColor="text1"/>
                    <w:sz w:val="24"/>
                    <w:szCs w:val="24"/>
                    <w:lang w:eastAsia="lv-LV"/>
                  </w:rPr>
                  <w:t>Likumprojekta turpmāku virzību.</w:t>
                </w:r>
              </w:p>
            </w:tc>
          </w:sdtContent>
        </w:sdt>
      </w:tr>
      <w:tr w:rsidR="001B2481" w:rsidRPr="008D25A9" w:rsidTr="0071418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429309444"/>
            <w:placeholder>
              <w:docPart w:val="B418502BCE004512B0AF999B5D173449"/>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sdtContent>
        </w:sdt>
      </w:tr>
    </w:tbl>
    <w:p w:rsidR="001B2481" w:rsidRPr="008D25A9"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1B2481" w:rsidRPr="008D25A9" w:rsidTr="0071418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714184">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lastRenderedPageBreak/>
              <w:t>VII. Tiesību akta projekta izpildes nodrošināšana un tās ietekme uz institūcijām</w:t>
            </w:r>
          </w:p>
        </w:tc>
      </w:tr>
      <w:tr w:rsidR="001B2481" w:rsidRPr="008D25A9" w:rsidTr="0071418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E1725F">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izpildē iesaistītās institūcijas</w:t>
            </w:r>
          </w:p>
        </w:tc>
        <w:sdt>
          <w:sdtPr>
            <w:rPr>
              <w:rFonts w:ascii="Times New Roman" w:eastAsia="Times New Roman" w:hAnsi="Times New Roman" w:cs="Times New Roman"/>
              <w:color w:val="000000" w:themeColor="text1"/>
              <w:sz w:val="24"/>
              <w:szCs w:val="24"/>
              <w:lang w:eastAsia="lv-LV"/>
            </w:rPr>
            <w:id w:val="236444182"/>
            <w:placeholder>
              <w:docPart w:val="0A7875A5BA61416CBE4092DD0EFB68BA"/>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Nacionālā elektronisko plašsaziņas līdzekļu padome</w:t>
                </w:r>
                <w:r w:rsidR="008F2DC7">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tc>
          </w:sdtContent>
        </w:sdt>
      </w:tr>
      <w:tr w:rsidR="001B2481" w:rsidRPr="008D25A9" w:rsidTr="0071418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Default="001B2481" w:rsidP="00E1725F">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E1725F" w:rsidRPr="008D25A9" w:rsidRDefault="00E1725F" w:rsidP="00E1725F">
            <w:pPr>
              <w:spacing w:after="0" w:line="240" w:lineRule="auto"/>
              <w:rPr>
                <w:rFonts w:ascii="Times New Roman" w:eastAsia="Times New Roman" w:hAnsi="Times New Roman" w:cs="Times New Roman"/>
                <w:color w:val="000000" w:themeColor="text1"/>
                <w:sz w:val="24"/>
                <w:szCs w:val="24"/>
                <w:lang w:eastAsia="lv-LV"/>
              </w:rPr>
            </w:pPr>
          </w:p>
          <w:p w:rsidR="001B2481" w:rsidRPr="008D25A9" w:rsidRDefault="001B2481" w:rsidP="00E1725F">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1A4F1D" w:rsidP="008F2DC7">
            <w:pPr>
              <w:spacing w:after="0" w:line="240" w:lineRule="auto"/>
              <w:jc w:val="both"/>
              <w:rPr>
                <w:rFonts w:ascii="Times New Roman" w:eastAsia="Times New Roman" w:hAnsi="Times New Roman" w:cs="Times New Roman"/>
                <w:color w:val="000000" w:themeColor="text1"/>
                <w:sz w:val="24"/>
                <w:szCs w:val="24"/>
                <w:lang w:eastAsia="lv-LV"/>
              </w:rPr>
            </w:pPr>
            <w:sdt>
              <w:sdtPr>
                <w:rPr>
                  <w:rFonts w:ascii="Times New Roman" w:eastAsia="Times New Roman" w:hAnsi="Times New Roman" w:cs="Times New Roman"/>
                  <w:color w:val="000000" w:themeColor="text1"/>
                  <w:sz w:val="24"/>
                  <w:szCs w:val="24"/>
                  <w:lang w:eastAsia="lv-LV"/>
                </w:rPr>
                <w:id w:val="2104843284"/>
                <w:placeholder>
                  <w:docPart w:val="ECD01D8819C44DE1BEBFB7A875ACC2BD"/>
                </w:placeholder>
                <w:text/>
              </w:sdtPr>
              <w:sdtContent>
                <w:r w:rsidR="001B2481" w:rsidRPr="00CD37F0">
                  <w:rPr>
                    <w:rFonts w:ascii="Times New Roman" w:eastAsia="Times New Roman" w:hAnsi="Times New Roman" w:cs="Times New Roman"/>
                    <w:color w:val="000000" w:themeColor="text1"/>
                    <w:sz w:val="24"/>
                    <w:szCs w:val="24"/>
                    <w:lang w:eastAsia="lv-LV"/>
                  </w:rPr>
                  <w:t>Jaunas institūcijas netiek veidotas. Viens no grozījumu mērķiem ir nodrošināt, ka uzraudzības funkcijas tiek izmantotas sistemātiski un visaptveroši</w:t>
                </w:r>
                <w:r w:rsidR="001B2481">
                  <w:rPr>
                    <w:rFonts w:ascii="Times New Roman" w:eastAsia="Times New Roman" w:hAnsi="Times New Roman" w:cs="Times New Roman"/>
                    <w:color w:val="000000" w:themeColor="text1"/>
                    <w:sz w:val="24"/>
                    <w:szCs w:val="24"/>
                    <w:lang w:eastAsia="lv-LV"/>
                  </w:rPr>
                  <w:t xml:space="preserve">. </w:t>
                </w:r>
              </w:sdtContent>
            </w:sdt>
          </w:p>
        </w:tc>
      </w:tr>
      <w:tr w:rsidR="001B2481" w:rsidRPr="008D25A9" w:rsidTr="0071418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57108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94525907"/>
            <w:placeholder>
              <w:docPart w:val="3786C32CB21F40E4ABE8AD3BC8E865A8"/>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71418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w:t>
                </w:r>
              </w:p>
            </w:tc>
          </w:sdtContent>
        </w:sdt>
      </w:tr>
    </w:tbl>
    <w:p w:rsidR="001B2481" w:rsidRDefault="001B2481" w:rsidP="001B2481">
      <w:pPr>
        <w:spacing w:after="0" w:line="240" w:lineRule="auto"/>
        <w:rPr>
          <w:rFonts w:ascii="Times New Roman" w:hAnsi="Times New Roman" w:cs="Times New Roman"/>
          <w:color w:val="000000" w:themeColor="text1"/>
          <w:sz w:val="24"/>
          <w:szCs w:val="24"/>
        </w:rPr>
      </w:pPr>
    </w:p>
    <w:p w:rsidR="00750831" w:rsidRPr="008D25A9" w:rsidRDefault="00750831" w:rsidP="001B2481">
      <w:pPr>
        <w:spacing w:after="0" w:line="240" w:lineRule="auto"/>
        <w:rPr>
          <w:rFonts w:ascii="Times New Roman" w:hAnsi="Times New Roman" w:cs="Times New Roman"/>
          <w:color w:val="000000" w:themeColor="text1"/>
          <w:sz w:val="24"/>
          <w:szCs w:val="24"/>
        </w:rPr>
      </w:pPr>
    </w:p>
    <w:p w:rsidR="00E07096" w:rsidRPr="00E07096" w:rsidRDefault="00E07096" w:rsidP="00E07096">
      <w:pPr>
        <w:spacing w:after="0" w:line="240" w:lineRule="auto"/>
        <w:ind w:left="142"/>
        <w:jc w:val="both"/>
        <w:rPr>
          <w:rFonts w:ascii="Times New Roman" w:eastAsia="Calibri" w:hAnsi="Times New Roman" w:cs="Times New Roman"/>
          <w:sz w:val="24"/>
          <w:szCs w:val="24"/>
        </w:rPr>
      </w:pPr>
      <w:r w:rsidRPr="00E07096">
        <w:rPr>
          <w:rFonts w:ascii="Times New Roman" w:eastAsia="Calibri" w:hAnsi="Times New Roman" w:cs="Times New Roman"/>
          <w:sz w:val="24"/>
          <w:szCs w:val="24"/>
        </w:rPr>
        <w:t>Kultūras ministre</w:t>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r>
      <w:r w:rsidRPr="00E07096">
        <w:rPr>
          <w:rFonts w:ascii="Times New Roman" w:eastAsia="Calibri" w:hAnsi="Times New Roman" w:cs="Times New Roman"/>
          <w:sz w:val="24"/>
          <w:szCs w:val="24"/>
        </w:rPr>
        <w:tab/>
        <w:t>D.Melbārde</w:t>
      </w:r>
    </w:p>
    <w:p w:rsidR="008F2DC7" w:rsidRPr="008F2DC7" w:rsidRDefault="008F2DC7" w:rsidP="008F2DC7">
      <w:pPr>
        <w:spacing w:after="0" w:line="240" w:lineRule="auto"/>
        <w:ind w:left="142"/>
        <w:jc w:val="both"/>
        <w:rPr>
          <w:rFonts w:ascii="Times New Roman" w:eastAsia="Calibri" w:hAnsi="Times New Roman" w:cs="Times New Roman"/>
          <w:sz w:val="24"/>
          <w:szCs w:val="24"/>
        </w:rPr>
      </w:pPr>
    </w:p>
    <w:p w:rsidR="008F2DC7" w:rsidRPr="008F2DC7" w:rsidRDefault="008F2DC7" w:rsidP="008F2DC7">
      <w:pPr>
        <w:spacing w:after="0" w:line="240" w:lineRule="auto"/>
        <w:ind w:left="142"/>
        <w:jc w:val="both"/>
        <w:rPr>
          <w:rFonts w:ascii="Times New Roman" w:eastAsia="Times New Roman" w:hAnsi="Times New Roman" w:cs="Times New Roman"/>
          <w:sz w:val="24"/>
          <w:szCs w:val="24"/>
          <w:lang w:eastAsia="lv-LV"/>
        </w:rPr>
      </w:pPr>
      <w:r w:rsidRPr="008F2DC7">
        <w:rPr>
          <w:rFonts w:ascii="Times New Roman" w:eastAsia="Times New Roman" w:hAnsi="Times New Roman" w:cs="Times New Roman"/>
          <w:sz w:val="24"/>
          <w:szCs w:val="24"/>
          <w:lang w:eastAsia="lv-LV"/>
        </w:rPr>
        <w:t xml:space="preserve">Vīza: </w:t>
      </w:r>
      <w:r>
        <w:rPr>
          <w:rFonts w:ascii="Times New Roman" w:eastAsia="Times New Roman" w:hAnsi="Times New Roman" w:cs="Times New Roman"/>
          <w:sz w:val="24"/>
          <w:szCs w:val="24"/>
          <w:lang w:eastAsia="lv-LV"/>
        </w:rPr>
        <w:t>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50831">
        <w:rPr>
          <w:rFonts w:ascii="Times New Roman" w:eastAsia="Times New Roman" w:hAnsi="Times New Roman" w:cs="Times New Roman"/>
          <w:sz w:val="24"/>
          <w:szCs w:val="24"/>
          <w:lang w:eastAsia="lv-LV"/>
        </w:rPr>
        <w:tab/>
      </w:r>
      <w:r w:rsidRPr="008F2DC7">
        <w:rPr>
          <w:rFonts w:ascii="Times New Roman" w:eastAsia="Times New Roman" w:hAnsi="Times New Roman" w:cs="Times New Roman"/>
          <w:sz w:val="24"/>
          <w:szCs w:val="24"/>
          <w:lang w:eastAsia="lv-LV"/>
        </w:rPr>
        <w:t>S.Voldiņš</w:t>
      </w:r>
    </w:p>
    <w:p w:rsidR="008F2DC7" w:rsidRDefault="008F2DC7" w:rsidP="008F2DC7">
      <w:pPr>
        <w:rPr>
          <w:rFonts w:ascii="Times New Roman" w:eastAsia="Calibri" w:hAnsi="Times New Roman" w:cs="Times New Roman"/>
          <w:color w:val="000000"/>
          <w:sz w:val="24"/>
          <w:szCs w:val="24"/>
        </w:rPr>
      </w:pPr>
    </w:p>
    <w:p w:rsidR="008F2DC7" w:rsidRDefault="008F2DC7" w:rsidP="008F2DC7">
      <w:pPr>
        <w:rPr>
          <w:rFonts w:ascii="Times New Roman" w:eastAsia="Calibri" w:hAnsi="Times New Roman" w:cs="Times New Roman"/>
          <w:color w:val="000000"/>
          <w:sz w:val="24"/>
          <w:szCs w:val="24"/>
        </w:rPr>
      </w:pPr>
    </w:p>
    <w:p w:rsidR="008F2DC7" w:rsidRDefault="008F2DC7" w:rsidP="008F2DC7">
      <w:pPr>
        <w:rPr>
          <w:rFonts w:ascii="Times New Roman" w:eastAsia="Calibri" w:hAnsi="Times New Roman" w:cs="Times New Roman"/>
          <w:color w:val="000000"/>
          <w:sz w:val="24"/>
          <w:szCs w:val="24"/>
        </w:rPr>
      </w:pPr>
    </w:p>
    <w:p w:rsidR="009E40C8" w:rsidRDefault="009E40C8" w:rsidP="008F2DC7">
      <w:pPr>
        <w:widowControl w:val="0"/>
        <w:spacing w:after="0" w:line="240" w:lineRule="auto"/>
        <w:jc w:val="both"/>
        <w:rPr>
          <w:rFonts w:ascii="Times New Roman" w:eastAsia="Calibri" w:hAnsi="Times New Roman" w:cs="Times New Roman"/>
          <w:sz w:val="20"/>
          <w:szCs w:val="20"/>
        </w:rPr>
      </w:pPr>
    </w:p>
    <w:p w:rsidR="00750831" w:rsidRDefault="00750831" w:rsidP="008F2DC7">
      <w:pPr>
        <w:widowControl w:val="0"/>
        <w:spacing w:after="0" w:line="240" w:lineRule="auto"/>
        <w:jc w:val="both"/>
        <w:rPr>
          <w:rFonts w:ascii="Times New Roman" w:eastAsia="Calibri" w:hAnsi="Times New Roman" w:cs="Times New Roman"/>
          <w:sz w:val="20"/>
          <w:szCs w:val="20"/>
        </w:rPr>
      </w:pPr>
    </w:p>
    <w:p w:rsidR="00750831" w:rsidRDefault="00750831" w:rsidP="008F2DC7">
      <w:pPr>
        <w:widowControl w:val="0"/>
        <w:spacing w:after="0" w:line="240" w:lineRule="auto"/>
        <w:jc w:val="both"/>
        <w:rPr>
          <w:rFonts w:ascii="Times New Roman" w:eastAsia="Calibri" w:hAnsi="Times New Roman" w:cs="Times New Roman"/>
          <w:sz w:val="20"/>
          <w:szCs w:val="20"/>
        </w:rPr>
      </w:pPr>
    </w:p>
    <w:p w:rsidR="00750831" w:rsidRDefault="00750831" w:rsidP="008F2DC7">
      <w:pPr>
        <w:widowControl w:val="0"/>
        <w:spacing w:after="0" w:line="240" w:lineRule="auto"/>
        <w:jc w:val="both"/>
        <w:rPr>
          <w:rFonts w:ascii="Times New Roman" w:eastAsia="Calibri" w:hAnsi="Times New Roman" w:cs="Times New Roman"/>
          <w:sz w:val="20"/>
          <w:szCs w:val="20"/>
        </w:rPr>
      </w:pPr>
    </w:p>
    <w:p w:rsidR="009E40C8" w:rsidRDefault="009E40C8" w:rsidP="008F2DC7">
      <w:pPr>
        <w:widowControl w:val="0"/>
        <w:spacing w:after="0" w:line="240" w:lineRule="auto"/>
        <w:jc w:val="both"/>
        <w:rPr>
          <w:rFonts w:ascii="Times New Roman" w:eastAsia="Calibri" w:hAnsi="Times New Roman" w:cs="Times New Roman"/>
          <w:sz w:val="20"/>
          <w:szCs w:val="20"/>
        </w:rPr>
      </w:pPr>
    </w:p>
    <w:p w:rsidR="008F2DC7" w:rsidRPr="008F2DC7" w:rsidRDefault="008F2DC7" w:rsidP="008F2DC7">
      <w:pPr>
        <w:widowControl w:val="0"/>
        <w:spacing w:after="0" w:line="240" w:lineRule="auto"/>
        <w:jc w:val="both"/>
        <w:rPr>
          <w:rFonts w:ascii="Times New Roman" w:eastAsia="Calibri" w:hAnsi="Times New Roman" w:cs="Times New Roman"/>
          <w:sz w:val="20"/>
          <w:szCs w:val="20"/>
        </w:rPr>
      </w:pPr>
      <w:r w:rsidRPr="008F2DC7">
        <w:rPr>
          <w:rFonts w:ascii="Times New Roman" w:eastAsia="Calibri" w:hAnsi="Times New Roman" w:cs="Times New Roman"/>
          <w:sz w:val="20"/>
          <w:szCs w:val="20"/>
        </w:rPr>
        <w:t xml:space="preserve">Irbe </w:t>
      </w:r>
      <w:bookmarkStart w:id="4" w:name="OLE_LINK39"/>
      <w:bookmarkStart w:id="5" w:name="OLE_LINK40"/>
      <w:r w:rsidRPr="008F2DC7">
        <w:rPr>
          <w:rFonts w:ascii="Times New Roman" w:eastAsia="Calibri" w:hAnsi="Times New Roman" w:cs="Times New Roman"/>
          <w:sz w:val="20"/>
          <w:szCs w:val="20"/>
          <w:lang w:val="en-US"/>
        </w:rPr>
        <w:t>67221848</w:t>
      </w:r>
    </w:p>
    <w:p w:rsidR="008F2DC7" w:rsidRPr="008F2DC7" w:rsidRDefault="001A4F1D" w:rsidP="008F2DC7">
      <w:pPr>
        <w:spacing w:after="0" w:line="240" w:lineRule="auto"/>
        <w:rPr>
          <w:rFonts w:ascii="Times New Roman" w:eastAsia="Calibri" w:hAnsi="Times New Roman" w:cs="Times New Roman"/>
          <w:color w:val="000000"/>
          <w:sz w:val="24"/>
          <w:szCs w:val="24"/>
        </w:rPr>
      </w:pPr>
      <w:hyperlink r:id="rId7" w:history="1">
        <w:r w:rsidR="008F2DC7" w:rsidRPr="008F2DC7">
          <w:rPr>
            <w:rFonts w:ascii="Times New Roman" w:eastAsia="Calibri" w:hAnsi="Times New Roman" w:cs="Times New Roman"/>
            <w:color w:val="0000FF"/>
            <w:sz w:val="20"/>
            <w:u w:val="single"/>
            <w:lang w:val="en-US"/>
          </w:rPr>
          <w:t>sanda.irbe@neplpadome.lv</w:t>
        </w:r>
      </w:hyperlink>
    </w:p>
    <w:bookmarkEnd w:id="4"/>
    <w:bookmarkEnd w:id="5"/>
    <w:p w:rsidR="0014102C" w:rsidRDefault="0014102C"/>
    <w:sectPr w:rsidR="0014102C" w:rsidSect="008F2DC7">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5E" w:rsidRDefault="007C3B5E" w:rsidP="001B2481">
      <w:pPr>
        <w:spacing w:after="0" w:line="240" w:lineRule="auto"/>
      </w:pPr>
      <w:r>
        <w:separator/>
      </w:r>
    </w:p>
  </w:endnote>
  <w:endnote w:type="continuationSeparator" w:id="0">
    <w:p w:rsidR="007C3B5E" w:rsidRDefault="007C3B5E" w:rsidP="001B2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235649"/>
      <w:docPartObj>
        <w:docPartGallery w:val="Page Numbers (Bottom of Page)"/>
        <w:docPartUnique/>
      </w:docPartObj>
    </w:sdtPr>
    <w:sdtEndPr>
      <w:rPr>
        <w:rFonts w:ascii="Times New Roman" w:hAnsi="Times New Roman" w:cs="Times New Roman"/>
      </w:rPr>
    </w:sdtEndPr>
    <w:sdtContent>
      <w:p w:rsidR="007E4ED4" w:rsidRPr="008F2DC7" w:rsidRDefault="00480E02" w:rsidP="008F2DC7">
        <w:pPr>
          <w:pStyle w:val="Kjene"/>
          <w:jc w:val="both"/>
          <w:rPr>
            <w:rFonts w:ascii="Times New Roman" w:hAnsi="Times New Roman" w:cs="Times New Roman"/>
          </w:rPr>
        </w:pPr>
        <w:r>
          <w:rPr>
            <w:rFonts w:ascii="Times New Roman" w:hAnsi="Times New Roman" w:cs="Times New Roman"/>
            <w:sz w:val="20"/>
            <w:szCs w:val="20"/>
          </w:rPr>
          <w:t>KMAnot_2</w:t>
        </w:r>
        <w:bookmarkStart w:id="6" w:name="_GoBack"/>
        <w:bookmarkEnd w:id="6"/>
        <w:r w:rsidR="00750831">
          <w:rPr>
            <w:rFonts w:ascii="Times New Roman" w:hAnsi="Times New Roman" w:cs="Times New Roman"/>
            <w:sz w:val="20"/>
            <w:szCs w:val="20"/>
          </w:rPr>
          <w:t>1</w:t>
        </w:r>
        <w:r w:rsidR="007E4ED4" w:rsidRPr="008F2DC7">
          <w:rPr>
            <w:rFonts w:ascii="Times New Roman" w:hAnsi="Times New Roman" w:cs="Times New Roman"/>
            <w:sz w:val="20"/>
            <w:szCs w:val="20"/>
          </w:rPr>
          <w:t>0917_nodeva_EPLL</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68"/>
      <w:docPartObj>
        <w:docPartGallery w:val="Page Numbers (Bottom of Page)"/>
        <w:docPartUnique/>
      </w:docPartObj>
    </w:sdtPr>
    <w:sdtEndPr>
      <w:rPr>
        <w:rFonts w:ascii="Times New Roman" w:hAnsi="Times New Roman" w:cs="Times New Roman"/>
      </w:rPr>
    </w:sdtEndPr>
    <w:sdtContent>
      <w:p w:rsidR="007E4ED4" w:rsidRPr="008F2DC7" w:rsidRDefault="00750831" w:rsidP="008F2DC7">
        <w:pPr>
          <w:pStyle w:val="Kjene"/>
          <w:jc w:val="both"/>
          <w:rPr>
            <w:rFonts w:ascii="Times New Roman" w:hAnsi="Times New Roman" w:cs="Times New Roman"/>
          </w:rPr>
        </w:pPr>
        <w:r>
          <w:rPr>
            <w:rFonts w:ascii="Times New Roman" w:hAnsi="Times New Roman" w:cs="Times New Roman"/>
            <w:sz w:val="20"/>
            <w:szCs w:val="20"/>
          </w:rPr>
          <w:t>KMAnot_21</w:t>
        </w:r>
        <w:r w:rsidR="007E4ED4" w:rsidRPr="008F2DC7">
          <w:rPr>
            <w:rFonts w:ascii="Times New Roman" w:hAnsi="Times New Roman" w:cs="Times New Roman"/>
            <w:sz w:val="20"/>
            <w:szCs w:val="20"/>
          </w:rPr>
          <w:t>0917_nodeva_EPLL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5E" w:rsidRDefault="007C3B5E" w:rsidP="001B2481">
      <w:pPr>
        <w:spacing w:after="0" w:line="240" w:lineRule="auto"/>
      </w:pPr>
      <w:r>
        <w:separator/>
      </w:r>
    </w:p>
  </w:footnote>
  <w:footnote w:type="continuationSeparator" w:id="0">
    <w:p w:rsidR="007C3B5E" w:rsidRDefault="007C3B5E" w:rsidP="001B2481">
      <w:pPr>
        <w:spacing w:after="0" w:line="240" w:lineRule="auto"/>
      </w:pPr>
      <w:r>
        <w:continuationSeparator/>
      </w:r>
    </w:p>
  </w:footnote>
  <w:footnote w:id="1">
    <w:p w:rsidR="007E4ED4" w:rsidRPr="0051663D" w:rsidRDefault="007E4ED4" w:rsidP="001B2481">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Informatīvais ziņojums </w:t>
      </w:r>
      <w:r>
        <w:rPr>
          <w:rFonts w:ascii="Times New Roman" w:hAnsi="Times New Roman" w:cs="Times New Roman"/>
          <w:sz w:val="16"/>
          <w:szCs w:val="16"/>
        </w:rPr>
        <w:t>„</w:t>
      </w:r>
      <w:r w:rsidRPr="0051663D">
        <w:rPr>
          <w:rFonts w:ascii="Times New Roman" w:hAnsi="Times New Roman" w:cs="Times New Roman"/>
          <w:sz w:val="16"/>
          <w:szCs w:val="16"/>
        </w:rPr>
        <w:t>Par valsts nodevu un maksas pakalpojumu nošķiršanu un nodevu sistēmas pilnveidošanu</w:t>
      </w:r>
      <w:r>
        <w:rPr>
          <w:rFonts w:ascii="Times New Roman" w:hAnsi="Times New Roman" w:cs="Times New Roman"/>
          <w:sz w:val="16"/>
          <w:szCs w:val="16"/>
        </w:rPr>
        <w:t>”</w:t>
      </w:r>
      <w:r w:rsidRPr="0051663D">
        <w:rPr>
          <w:rFonts w:ascii="Times New Roman" w:hAnsi="Times New Roman" w:cs="Times New Roman"/>
          <w:sz w:val="16"/>
          <w:szCs w:val="16"/>
        </w:rPr>
        <w:t xml:space="preserve">. Pieejams: </w:t>
      </w:r>
      <w:hyperlink r:id="rId1" w:history="1">
        <w:r w:rsidRPr="0051663D">
          <w:rPr>
            <w:rStyle w:val="Hipersaite"/>
            <w:rFonts w:ascii="Times New Roman" w:hAnsi="Times New Roman" w:cs="Times New Roman"/>
            <w:sz w:val="16"/>
            <w:szCs w:val="16"/>
          </w:rPr>
          <w:t>http://tap.mk.gov.lv/mk/tap/?pid=40231355</w:t>
        </w:r>
      </w:hyperlink>
      <w:r>
        <w:rPr>
          <w:rFonts w:ascii="Times New Roman" w:hAnsi="Times New Roman" w:cs="Times New Roman"/>
          <w:sz w:val="16"/>
          <w:szCs w:val="16"/>
        </w:rPr>
        <w:t xml:space="preserve"> [aplūkots 2017.</w:t>
      </w:r>
      <w:r w:rsidRPr="0051663D">
        <w:rPr>
          <w:rFonts w:ascii="Times New Roman" w:hAnsi="Times New Roman" w:cs="Times New Roman"/>
          <w:sz w:val="16"/>
          <w:szCs w:val="16"/>
        </w:rPr>
        <w:t>gada 5.jūlijā]</w:t>
      </w:r>
    </w:p>
  </w:footnote>
  <w:footnote w:id="2">
    <w:p w:rsidR="007E4ED4" w:rsidRPr="0051663D" w:rsidRDefault="007E4ED4" w:rsidP="001B2481">
      <w:pPr>
        <w:pStyle w:val="Vresteksts"/>
        <w:rPr>
          <w:rFonts w:ascii="Times New Roman" w:hAnsi="Times New Roman" w:cs="Times New Roman"/>
          <w:sz w:val="16"/>
          <w:szCs w:val="16"/>
          <w:lang w:val="en-GB"/>
        </w:rPr>
      </w:pPr>
      <w:r w:rsidRPr="0051663D">
        <w:rPr>
          <w:rStyle w:val="Vresatsauce"/>
          <w:rFonts w:ascii="Times New Roman" w:hAnsi="Times New Roman" w:cs="Times New Roman"/>
          <w:sz w:val="16"/>
          <w:szCs w:val="16"/>
          <w:lang w:val="en-GB"/>
        </w:rPr>
        <w:footnoteRef/>
      </w:r>
      <w:r w:rsidRPr="0051663D">
        <w:rPr>
          <w:rFonts w:ascii="Times New Roman" w:hAnsi="Times New Roman" w:cs="Times New Roman"/>
          <w:sz w:val="16"/>
          <w:szCs w:val="16"/>
          <w:lang w:val="en-GB"/>
        </w:rPr>
        <w:t xml:space="preserve"> </w:t>
      </w:r>
      <w:proofErr w:type="gramStart"/>
      <w:r w:rsidRPr="0051663D">
        <w:rPr>
          <w:rFonts w:ascii="Times New Roman" w:hAnsi="Times New Roman" w:cs="Times New Roman"/>
          <w:sz w:val="16"/>
          <w:szCs w:val="16"/>
          <w:lang w:val="en-GB"/>
        </w:rPr>
        <w:t>Schweizer C., Puppis M., Kunzler M., Studer S. Blast from the Past?</w:t>
      </w:r>
      <w:proofErr w:type="gramEnd"/>
      <w:r w:rsidRPr="0051663D">
        <w:rPr>
          <w:rFonts w:ascii="Times New Roman" w:hAnsi="Times New Roman" w:cs="Times New Roman"/>
          <w:sz w:val="16"/>
          <w:szCs w:val="16"/>
          <w:lang w:val="en-GB"/>
        </w:rPr>
        <w:t xml:space="preserve"> </w:t>
      </w:r>
      <w:proofErr w:type="gramStart"/>
      <w:r w:rsidRPr="0051663D">
        <w:rPr>
          <w:rFonts w:ascii="Times New Roman" w:hAnsi="Times New Roman" w:cs="Times New Roman"/>
          <w:sz w:val="16"/>
          <w:szCs w:val="16"/>
          <w:lang w:val="en-GB"/>
        </w:rPr>
        <w:t>A Comperative Analysis of Broadcast Licensing in the Digital Era.</w:t>
      </w:r>
      <w:proofErr w:type="gramEnd"/>
      <w:r w:rsidRPr="0051663D">
        <w:rPr>
          <w:rFonts w:ascii="Times New Roman" w:hAnsi="Times New Roman" w:cs="Times New Roman"/>
          <w:sz w:val="16"/>
          <w:szCs w:val="16"/>
          <w:lang w:val="en-GB"/>
        </w:rPr>
        <w:t xml:space="preserve"> </w:t>
      </w:r>
      <w:proofErr w:type="gramStart"/>
      <w:r w:rsidRPr="0051663D">
        <w:rPr>
          <w:rFonts w:ascii="Times New Roman" w:hAnsi="Times New Roman" w:cs="Times New Roman"/>
          <w:sz w:val="16"/>
          <w:szCs w:val="16"/>
          <w:lang w:val="en-GB"/>
        </w:rPr>
        <w:t>Journal of Information Policy 4.</w:t>
      </w:r>
      <w:proofErr w:type="gramEnd"/>
      <w:r w:rsidRPr="0051663D">
        <w:rPr>
          <w:rFonts w:ascii="Times New Roman" w:hAnsi="Times New Roman" w:cs="Times New Roman"/>
          <w:sz w:val="16"/>
          <w:szCs w:val="16"/>
          <w:lang w:val="en-GB"/>
        </w:rPr>
        <w:t xml:space="preserve"> </w:t>
      </w:r>
      <w:proofErr w:type="gramStart"/>
      <w:r w:rsidRPr="0051663D">
        <w:rPr>
          <w:rFonts w:ascii="Times New Roman" w:hAnsi="Times New Roman" w:cs="Times New Roman"/>
          <w:sz w:val="16"/>
          <w:szCs w:val="16"/>
          <w:lang w:val="en-GB"/>
        </w:rPr>
        <w:t>Penn State University Press, 2014.</w:t>
      </w:r>
      <w:proofErr w:type="gramEnd"/>
      <w:r w:rsidRPr="0051663D">
        <w:rPr>
          <w:rFonts w:ascii="Times New Roman" w:hAnsi="Times New Roman" w:cs="Times New Roman"/>
          <w:sz w:val="16"/>
          <w:szCs w:val="16"/>
          <w:lang w:val="en-GB"/>
        </w:rPr>
        <w:t xml:space="preserve"> p. 18-19.</w:t>
      </w:r>
    </w:p>
  </w:footnote>
  <w:footnote w:id="3">
    <w:p w:rsidR="007E4ED4" w:rsidRPr="00E66D0A" w:rsidRDefault="007E4ED4" w:rsidP="001B2481">
      <w:pPr>
        <w:pStyle w:val="Vresteksts"/>
        <w:rPr>
          <w:rFonts w:ascii="Arial" w:hAnsi="Arial" w:cs="Arial"/>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Ofcom. Statement of Charging Principles. 8 February 2005. Pieejams: </w:t>
      </w:r>
      <w:hyperlink r:id="rId2" w:history="1">
        <w:r w:rsidRPr="0051663D">
          <w:rPr>
            <w:rStyle w:val="Hipersaite"/>
            <w:rFonts w:ascii="Times New Roman" w:hAnsi="Times New Roman" w:cs="Times New Roman"/>
            <w:sz w:val="16"/>
            <w:szCs w:val="16"/>
          </w:rPr>
          <w:t>https://www.ofcom.org.uk/__data/assets/pdf_file/0019/51058/charging_principles.pdf</w:t>
        </w:r>
      </w:hyperlink>
      <w:r w:rsidRPr="0051663D">
        <w:rPr>
          <w:rFonts w:ascii="Times New Roman" w:hAnsi="Times New Roman" w:cs="Times New Roman"/>
          <w:sz w:val="16"/>
          <w:szCs w:val="16"/>
        </w:rPr>
        <w:t xml:space="preserve"> [aplūko</w:t>
      </w:r>
      <w:r>
        <w:rPr>
          <w:rFonts w:ascii="Times New Roman" w:hAnsi="Times New Roman" w:cs="Times New Roman"/>
          <w:sz w:val="16"/>
          <w:szCs w:val="16"/>
        </w:rPr>
        <w:t>ts 2017.gada 5.</w:t>
      </w:r>
      <w:r w:rsidRPr="0051663D">
        <w:rPr>
          <w:rFonts w:ascii="Times New Roman" w:hAnsi="Times New Roman" w:cs="Times New Roman"/>
          <w:sz w:val="16"/>
          <w:szCs w:val="16"/>
        </w:rPr>
        <w:t>jūlijā]</w:t>
      </w:r>
    </w:p>
  </w:footnote>
  <w:footnote w:id="4">
    <w:p w:rsidR="007E4ED4" w:rsidRPr="0051663D" w:rsidRDefault="007E4ED4" w:rsidP="001B2481">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Ofcom. Television Licensable Content Services. Guidance notes for licencees. 22 November 2016. Pieejams: </w:t>
      </w:r>
      <w:hyperlink r:id="rId3" w:history="1">
        <w:r w:rsidRPr="0051663D">
          <w:rPr>
            <w:rStyle w:val="Hipersaite"/>
            <w:rFonts w:ascii="Times New Roman" w:hAnsi="Times New Roman" w:cs="Times New Roman"/>
            <w:sz w:val="16"/>
            <w:szCs w:val="16"/>
          </w:rPr>
          <w:t>https://www.ofcom.org.uk/__data/assets/pdf_file/0012/36201/tlcs_guidance_notes_for_licensees.pdf</w:t>
        </w:r>
      </w:hyperlink>
      <w:r>
        <w:rPr>
          <w:rFonts w:ascii="Times New Roman" w:hAnsi="Times New Roman" w:cs="Times New Roman"/>
          <w:sz w:val="16"/>
          <w:szCs w:val="16"/>
        </w:rPr>
        <w:t xml:space="preserve"> [aplūkots 2017.</w:t>
      </w:r>
      <w:r w:rsidRPr="0051663D">
        <w:rPr>
          <w:rFonts w:ascii="Times New Roman" w:hAnsi="Times New Roman" w:cs="Times New Roman"/>
          <w:sz w:val="16"/>
          <w:szCs w:val="16"/>
        </w:rPr>
        <w:t>gada 5.jūlijā]</w:t>
      </w:r>
    </w:p>
  </w:footnote>
  <w:footnote w:id="5">
    <w:p w:rsidR="007E4ED4" w:rsidRPr="0051663D" w:rsidRDefault="007E4ED4" w:rsidP="001B2481">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Sk. arī </w:t>
      </w:r>
      <w:r w:rsidRPr="0051663D">
        <w:rPr>
          <w:rFonts w:ascii="Times New Roman" w:hAnsi="Times New Roman" w:cs="Times New Roman"/>
          <w:sz w:val="16"/>
          <w:szCs w:val="16"/>
          <w:lang w:val="en-GB"/>
        </w:rPr>
        <w:t>Radio and Television Commission of Lithuania 2016 Annual Report</w:t>
      </w:r>
      <w:r w:rsidRPr="0051663D">
        <w:rPr>
          <w:rFonts w:ascii="Times New Roman" w:hAnsi="Times New Roman" w:cs="Times New Roman"/>
          <w:sz w:val="16"/>
          <w:szCs w:val="16"/>
        </w:rPr>
        <w:t xml:space="preserve">. Pieejams: </w:t>
      </w:r>
      <w:hyperlink r:id="rId4" w:history="1">
        <w:r w:rsidRPr="0051663D">
          <w:rPr>
            <w:rStyle w:val="Hipersaite"/>
            <w:rFonts w:ascii="Times New Roman" w:hAnsi="Times New Roman" w:cs="Times New Roman"/>
            <w:sz w:val="16"/>
            <w:szCs w:val="16"/>
          </w:rPr>
          <w:t>http://www.rtk.lt/content/uploads/2017/04/ENG-2016-m-LRTK-VEIKLOS-ATASKAITA-be-ataskaitu.pdf</w:t>
        </w:r>
      </w:hyperlink>
      <w:r w:rsidRPr="0051663D">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63"/>
      <w:docPartObj>
        <w:docPartGallery w:val="Page Numbers (Top of Page)"/>
        <w:docPartUnique/>
      </w:docPartObj>
    </w:sdtPr>
    <w:sdtEndPr>
      <w:rPr>
        <w:rFonts w:ascii="Times New Roman" w:hAnsi="Times New Roman" w:cs="Times New Roman"/>
      </w:rPr>
    </w:sdtEndPr>
    <w:sdtContent>
      <w:p w:rsidR="007E4ED4" w:rsidRPr="008F2DC7" w:rsidRDefault="001A4F1D">
        <w:pPr>
          <w:pStyle w:val="Galvene"/>
          <w:jc w:val="center"/>
          <w:rPr>
            <w:rFonts w:ascii="Times New Roman" w:hAnsi="Times New Roman" w:cs="Times New Roman"/>
          </w:rPr>
        </w:pPr>
        <w:r w:rsidRPr="008F2DC7">
          <w:rPr>
            <w:rFonts w:ascii="Times New Roman" w:hAnsi="Times New Roman" w:cs="Times New Roman"/>
          </w:rPr>
          <w:fldChar w:fldCharType="begin"/>
        </w:r>
        <w:r w:rsidR="007E4ED4" w:rsidRPr="008F2DC7">
          <w:rPr>
            <w:rFonts w:ascii="Times New Roman" w:hAnsi="Times New Roman" w:cs="Times New Roman"/>
          </w:rPr>
          <w:instrText xml:space="preserve"> PAGE   \* MERGEFORMAT </w:instrText>
        </w:r>
        <w:r w:rsidRPr="008F2DC7">
          <w:rPr>
            <w:rFonts w:ascii="Times New Roman" w:hAnsi="Times New Roman" w:cs="Times New Roman"/>
          </w:rPr>
          <w:fldChar w:fldCharType="separate"/>
        </w:r>
        <w:r w:rsidR="00A7061E">
          <w:rPr>
            <w:rFonts w:ascii="Times New Roman" w:hAnsi="Times New Roman" w:cs="Times New Roman"/>
            <w:noProof/>
          </w:rPr>
          <w:t>2</w:t>
        </w:r>
        <w:r w:rsidRPr="008F2DC7">
          <w:rPr>
            <w:rFonts w:ascii="Times New Roman" w:hAnsi="Times New Roman" w:cs="Times New Roman"/>
          </w:rPr>
          <w:fldChar w:fldCharType="end"/>
        </w:r>
      </w:p>
    </w:sdtContent>
  </w:sdt>
  <w:p w:rsidR="007E4ED4" w:rsidRDefault="007E4ED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61"/>
      <w:docPartObj>
        <w:docPartGallery w:val="Page Numbers (Top of Page)"/>
        <w:docPartUnique/>
      </w:docPartObj>
    </w:sdtPr>
    <w:sdtContent>
      <w:p w:rsidR="007E4ED4" w:rsidRDefault="001A4F1D">
        <w:pPr>
          <w:pStyle w:val="Galvene"/>
          <w:jc w:val="center"/>
        </w:pPr>
      </w:p>
    </w:sdtContent>
  </w:sdt>
  <w:p w:rsidR="007E4ED4" w:rsidRDefault="007E4ED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1F59"/>
    <w:multiLevelType w:val="hybridMultilevel"/>
    <w:tmpl w:val="B016E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1007AB"/>
    <w:multiLevelType w:val="hybridMultilevel"/>
    <w:tmpl w:val="BE4AC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794D61"/>
    <w:multiLevelType w:val="hybridMultilevel"/>
    <w:tmpl w:val="93BAC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4D1C26"/>
    <w:multiLevelType w:val="hybridMultilevel"/>
    <w:tmpl w:val="77F695B6"/>
    <w:lvl w:ilvl="0" w:tplc="FACAC704">
      <w:start w:val="1"/>
      <w:numFmt w:val="decimal"/>
      <w:lvlText w:val="%1."/>
      <w:lvlJc w:val="left"/>
      <w:pPr>
        <w:ind w:left="1635" w:hanging="360"/>
      </w:pPr>
      <w:rPr>
        <w:rFonts w:hint="default"/>
      </w:rPr>
    </w:lvl>
    <w:lvl w:ilvl="1" w:tplc="04260019">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2481"/>
    <w:rsid w:val="0014102C"/>
    <w:rsid w:val="00192885"/>
    <w:rsid w:val="001A4F1D"/>
    <w:rsid w:val="001B2481"/>
    <w:rsid w:val="001B703F"/>
    <w:rsid w:val="002033D0"/>
    <w:rsid w:val="00206A84"/>
    <w:rsid w:val="002766D1"/>
    <w:rsid w:val="00294B50"/>
    <w:rsid w:val="002C077D"/>
    <w:rsid w:val="002C4704"/>
    <w:rsid w:val="002D4552"/>
    <w:rsid w:val="002E531C"/>
    <w:rsid w:val="002F10CB"/>
    <w:rsid w:val="002F5371"/>
    <w:rsid w:val="00315D09"/>
    <w:rsid w:val="0035251D"/>
    <w:rsid w:val="003559A1"/>
    <w:rsid w:val="0039607F"/>
    <w:rsid w:val="003B31E2"/>
    <w:rsid w:val="003B59C8"/>
    <w:rsid w:val="00437C80"/>
    <w:rsid w:val="004470DA"/>
    <w:rsid w:val="00480E02"/>
    <w:rsid w:val="004C5E2B"/>
    <w:rsid w:val="005118C5"/>
    <w:rsid w:val="0057108C"/>
    <w:rsid w:val="00583BC9"/>
    <w:rsid w:val="00663F01"/>
    <w:rsid w:val="006A3DF7"/>
    <w:rsid w:val="006F7D36"/>
    <w:rsid w:val="0070392E"/>
    <w:rsid w:val="00714184"/>
    <w:rsid w:val="007302FB"/>
    <w:rsid w:val="00750831"/>
    <w:rsid w:val="007829AC"/>
    <w:rsid w:val="00786589"/>
    <w:rsid w:val="007C3B5E"/>
    <w:rsid w:val="007D025F"/>
    <w:rsid w:val="007E4ED4"/>
    <w:rsid w:val="008F2DC7"/>
    <w:rsid w:val="009230CA"/>
    <w:rsid w:val="009B7BB6"/>
    <w:rsid w:val="009E40C8"/>
    <w:rsid w:val="00A06BFF"/>
    <w:rsid w:val="00A27DE5"/>
    <w:rsid w:val="00A7061E"/>
    <w:rsid w:val="00A85D28"/>
    <w:rsid w:val="00B13D7B"/>
    <w:rsid w:val="00B838B0"/>
    <w:rsid w:val="00BA3024"/>
    <w:rsid w:val="00BA361D"/>
    <w:rsid w:val="00BF7669"/>
    <w:rsid w:val="00C55FE4"/>
    <w:rsid w:val="00CB75F7"/>
    <w:rsid w:val="00CF78EE"/>
    <w:rsid w:val="00E07096"/>
    <w:rsid w:val="00E1725F"/>
    <w:rsid w:val="00E424EA"/>
    <w:rsid w:val="00F626A9"/>
    <w:rsid w:val="00FC2D08"/>
    <w:rsid w:val="00FE07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24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B2481"/>
    <w:pPr>
      <w:ind w:left="720"/>
      <w:contextualSpacing/>
    </w:pPr>
  </w:style>
  <w:style w:type="character" w:styleId="Hipersaite">
    <w:name w:val="Hyperlink"/>
    <w:basedOn w:val="Noklusjumarindkopasfonts"/>
    <w:uiPriority w:val="99"/>
    <w:semiHidden/>
    <w:unhideWhenUsed/>
    <w:rsid w:val="001B2481"/>
    <w:rPr>
      <w:color w:val="0000FF"/>
      <w:u w:val="single"/>
    </w:rPr>
  </w:style>
  <w:style w:type="paragraph" w:styleId="Kjene">
    <w:name w:val="footer"/>
    <w:basedOn w:val="Parastais"/>
    <w:link w:val="KjeneRakstz"/>
    <w:uiPriority w:val="99"/>
    <w:unhideWhenUsed/>
    <w:rsid w:val="001B24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2481"/>
  </w:style>
  <w:style w:type="paragraph" w:styleId="Vresteksts">
    <w:name w:val="footnote text"/>
    <w:basedOn w:val="Parastais"/>
    <w:link w:val="VrestekstsRakstz"/>
    <w:uiPriority w:val="99"/>
    <w:semiHidden/>
    <w:unhideWhenUsed/>
    <w:rsid w:val="001B248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B2481"/>
    <w:rPr>
      <w:sz w:val="20"/>
      <w:szCs w:val="20"/>
    </w:rPr>
  </w:style>
  <w:style w:type="character" w:styleId="Vresatsauce">
    <w:name w:val="footnote reference"/>
    <w:basedOn w:val="Noklusjumarindkopasfonts"/>
    <w:uiPriority w:val="99"/>
    <w:semiHidden/>
    <w:unhideWhenUsed/>
    <w:rsid w:val="001B2481"/>
    <w:rPr>
      <w:vertAlign w:val="superscript"/>
    </w:rPr>
  </w:style>
  <w:style w:type="character" w:styleId="Izteiksmgs">
    <w:name w:val="Strong"/>
    <w:basedOn w:val="Noklusjumarindkopasfonts"/>
    <w:uiPriority w:val="22"/>
    <w:qFormat/>
    <w:rsid w:val="001B2481"/>
    <w:rPr>
      <w:b/>
      <w:bCs/>
    </w:rPr>
  </w:style>
  <w:style w:type="paragraph" w:styleId="Balonteksts">
    <w:name w:val="Balloon Text"/>
    <w:basedOn w:val="Parastais"/>
    <w:link w:val="BalontekstsRakstz"/>
    <w:uiPriority w:val="99"/>
    <w:semiHidden/>
    <w:unhideWhenUsed/>
    <w:rsid w:val="00A27D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DE5"/>
    <w:rPr>
      <w:rFonts w:ascii="Tahoma" w:hAnsi="Tahoma" w:cs="Tahoma"/>
      <w:sz w:val="16"/>
      <w:szCs w:val="16"/>
    </w:rPr>
  </w:style>
  <w:style w:type="paragraph" w:styleId="Bezatstarpm">
    <w:name w:val="No Spacing"/>
    <w:uiPriority w:val="1"/>
    <w:qFormat/>
    <w:rsid w:val="002033D0"/>
    <w:pPr>
      <w:spacing w:after="0" w:line="240" w:lineRule="auto"/>
    </w:pPr>
  </w:style>
  <w:style w:type="paragraph" w:styleId="Galvene">
    <w:name w:val="header"/>
    <w:basedOn w:val="Parastais"/>
    <w:link w:val="GalveneRakstz"/>
    <w:uiPriority w:val="99"/>
    <w:unhideWhenUsed/>
    <w:rsid w:val="008F2DC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2DC7"/>
  </w:style>
</w:styles>
</file>

<file path=word/webSettings.xml><?xml version="1.0" encoding="utf-8"?>
<w:webSettings xmlns:r="http://schemas.openxmlformats.org/officeDocument/2006/relationships" xmlns:w="http://schemas.openxmlformats.org/wordprocessingml/2006/main">
  <w:divs>
    <w:div w:id="95755960">
      <w:bodyDiv w:val="1"/>
      <w:marLeft w:val="0"/>
      <w:marRight w:val="0"/>
      <w:marTop w:val="0"/>
      <w:marBottom w:val="0"/>
      <w:divBdr>
        <w:top w:val="none" w:sz="0" w:space="0" w:color="auto"/>
        <w:left w:val="none" w:sz="0" w:space="0" w:color="auto"/>
        <w:bottom w:val="none" w:sz="0" w:space="0" w:color="auto"/>
        <w:right w:val="none" w:sz="0" w:space="0" w:color="auto"/>
      </w:divBdr>
    </w:div>
    <w:div w:id="1471946553">
      <w:bodyDiv w:val="1"/>
      <w:marLeft w:val="0"/>
      <w:marRight w:val="0"/>
      <w:marTop w:val="0"/>
      <w:marBottom w:val="0"/>
      <w:divBdr>
        <w:top w:val="none" w:sz="0" w:space="0" w:color="auto"/>
        <w:left w:val="none" w:sz="0" w:space="0" w:color="auto"/>
        <w:bottom w:val="none" w:sz="0" w:space="0" w:color="auto"/>
        <w:right w:val="none" w:sz="0" w:space="0" w:color="auto"/>
      </w:divBdr>
    </w:div>
    <w:div w:id="16186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nda.irbe@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__data/assets/pdf_file/0012/36201/tlcs_guidance_notes_for_licensees.pdf" TargetMode="External"/><Relationship Id="rId2" Type="http://schemas.openxmlformats.org/officeDocument/2006/relationships/hyperlink" Target="https://www.ofcom.org.uk/__data/assets/pdf_file/0019/51058/charging_principles.pdf" TargetMode="External"/><Relationship Id="rId1" Type="http://schemas.openxmlformats.org/officeDocument/2006/relationships/hyperlink" Target="http://tap.mk.gov.lv/mk/tap/?pid=40231355" TargetMode="External"/><Relationship Id="rId4" Type="http://schemas.openxmlformats.org/officeDocument/2006/relationships/hyperlink" Target="http://www.rtk.lt/content/uploads/2017/04/ENG-2016-m-LRTK-VEIKLOS-ATASKAITA-be-ataskait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8B83F5F32E42FA9F50CA4542C74A7D"/>
        <w:category>
          <w:name w:val="General"/>
          <w:gallery w:val="placeholder"/>
        </w:category>
        <w:types>
          <w:type w:val="bbPlcHdr"/>
        </w:types>
        <w:behaviors>
          <w:behavior w:val="content"/>
        </w:behaviors>
        <w:guid w:val="{F01566E2-33F1-4419-BE95-88F06AC3EE26}"/>
      </w:docPartPr>
      <w:docPartBody>
        <w:p w:rsidR="001C17F9" w:rsidRDefault="006A406A" w:rsidP="006A406A">
          <w:pPr>
            <w:pStyle w:val="E98B83F5F32E42FA9F50CA4542C74A7D"/>
          </w:pPr>
          <w:r>
            <w:rPr>
              <w:rStyle w:val="Vietturateksts"/>
              <w:sz w:val="28"/>
              <w:szCs w:val="28"/>
            </w:rPr>
            <w:t>Tiesību akta</w:t>
          </w:r>
        </w:p>
      </w:docPartBody>
    </w:docPart>
    <w:docPart>
      <w:docPartPr>
        <w:name w:val="1321B85A4E924DB99CC8F26AA10B520B"/>
        <w:category>
          <w:name w:val="General"/>
          <w:gallery w:val="placeholder"/>
        </w:category>
        <w:types>
          <w:type w:val="bbPlcHdr"/>
        </w:types>
        <w:behaviors>
          <w:behavior w:val="content"/>
        </w:behaviors>
        <w:guid w:val="{9A63F313-8089-4527-975E-E006BAE2F5E7}"/>
      </w:docPartPr>
      <w:docPartBody>
        <w:p w:rsidR="001C17F9" w:rsidRDefault="006A406A" w:rsidP="006A406A">
          <w:pPr>
            <w:pStyle w:val="1321B85A4E924DB99CC8F26AA10B520B"/>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
      <w:docPartPr>
        <w:name w:val="1192ED011A3E47CF9107AF04B1D159EE"/>
        <w:category>
          <w:name w:val="General"/>
          <w:gallery w:val="placeholder"/>
        </w:category>
        <w:types>
          <w:type w:val="bbPlcHdr"/>
        </w:types>
        <w:behaviors>
          <w:behavior w:val="content"/>
        </w:behaviors>
        <w:guid w:val="{0C2EF559-9AC0-4C41-AA73-0D6660A01B92}"/>
      </w:docPartPr>
      <w:docPartBody>
        <w:p w:rsidR="001C17F9" w:rsidRDefault="006A406A" w:rsidP="006A406A">
          <w:pPr>
            <w:pStyle w:val="1192ED011A3E47CF9107AF04B1D159EE"/>
          </w:pPr>
          <w:r>
            <w:rPr>
              <w:color w:val="A6A6A6" w:themeColor="background1" w:themeShade="A6"/>
            </w:rPr>
            <w:t>Iekļauj informāciju atbilstoši instrukcijas 17. punktā noteiktajam</w:t>
          </w:r>
        </w:p>
      </w:docPartBody>
    </w:docPart>
    <w:docPart>
      <w:docPartPr>
        <w:name w:val="7401F8EB3F9542B99D127A1AC49F6543"/>
        <w:category>
          <w:name w:val="General"/>
          <w:gallery w:val="placeholder"/>
        </w:category>
        <w:types>
          <w:type w:val="bbPlcHdr"/>
        </w:types>
        <w:behaviors>
          <w:behavior w:val="content"/>
        </w:behaviors>
        <w:guid w:val="{BB71BE15-2935-4A06-8143-F7F6E7C69FCB}"/>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1C17F9" w:rsidRDefault="006A406A" w:rsidP="006A406A">
          <w:pPr>
            <w:pStyle w:val="7401F8EB3F9542B99D127A1AC49F6543"/>
          </w:pPr>
          <w:r>
            <w:rPr>
              <w:color w:val="A6A6A6" w:themeColor="background1" w:themeShade="A6"/>
            </w:rPr>
            <w:t>Ja šādas informācijas nav, ieraksta – "Nav"</w:t>
          </w:r>
        </w:p>
      </w:docPartBody>
    </w:docPart>
    <w:docPart>
      <w:docPartPr>
        <w:name w:val="C2A0386D0E834A2890CA572DAED84FC8"/>
        <w:category>
          <w:name w:val="General"/>
          <w:gallery w:val="placeholder"/>
        </w:category>
        <w:types>
          <w:type w:val="bbPlcHdr"/>
        </w:types>
        <w:behaviors>
          <w:behavior w:val="content"/>
        </w:behaviors>
        <w:guid w:val="{45CA11DE-F5BC-4BD4-A068-76BDEE12900E}"/>
      </w:docPartPr>
      <w:docPartBody>
        <w:p w:rsidR="001C17F9" w:rsidRDefault="006A406A" w:rsidP="006A406A">
          <w:pPr>
            <w:pStyle w:val="C2A0386D0E834A2890CA572DAED84FC8"/>
          </w:pPr>
          <w:r>
            <w:rPr>
              <w:color w:val="A6A6A6" w:themeColor="background1" w:themeShade="A6"/>
            </w:rPr>
            <w:t>Iekļauj informāciju atbilstoši instrukcijas 60. punktā noteiktajam</w:t>
          </w:r>
        </w:p>
      </w:docPartBody>
    </w:docPart>
    <w:docPart>
      <w:docPartPr>
        <w:name w:val="676C73FE85F04FAE8AFB3F1C7A313C0E"/>
        <w:category>
          <w:name w:val="General"/>
          <w:gallery w:val="placeholder"/>
        </w:category>
        <w:types>
          <w:type w:val="bbPlcHdr"/>
        </w:types>
        <w:behaviors>
          <w:behavior w:val="content"/>
        </w:behaviors>
        <w:guid w:val="{5389378F-17A9-4223-A937-058663771EFE}"/>
      </w:docPartPr>
      <w:docPartBody>
        <w:p w:rsidR="001C17F9" w:rsidRDefault="006A406A" w:rsidP="006A406A">
          <w:pPr>
            <w:pStyle w:val="676C73FE85F04FAE8AFB3F1C7A313C0E"/>
          </w:pPr>
          <w:r>
            <w:rPr>
              <w:color w:val="A6A6A6" w:themeColor="background1" w:themeShade="A6"/>
            </w:rPr>
            <w:t>Iekļauj informāciju atbilstoši instrukcijas 62. punktā noteiktajam</w:t>
          </w:r>
        </w:p>
      </w:docPartBody>
    </w:docPart>
    <w:docPart>
      <w:docPartPr>
        <w:name w:val="B418502BCE004512B0AF999B5D173449"/>
        <w:category>
          <w:name w:val="General"/>
          <w:gallery w:val="placeholder"/>
        </w:category>
        <w:types>
          <w:type w:val="bbPlcHdr"/>
        </w:types>
        <w:behaviors>
          <w:behavior w:val="content"/>
        </w:behaviors>
        <w:guid w:val="{D26BAE27-4B2B-4EAD-86B1-DD07651E69D3}"/>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1C17F9" w:rsidRDefault="006A406A" w:rsidP="006A406A">
          <w:pPr>
            <w:pStyle w:val="B418502BCE004512B0AF999B5D173449"/>
          </w:pPr>
          <w:r>
            <w:rPr>
              <w:color w:val="A6A6A6" w:themeColor="background1" w:themeShade="A6"/>
            </w:rPr>
            <w:t>Ja šādas informācijas nav, ieraksta – "Nav"</w:t>
          </w:r>
        </w:p>
      </w:docPartBody>
    </w:docPart>
    <w:docPart>
      <w:docPartPr>
        <w:name w:val="0A7875A5BA61416CBE4092DD0EFB68BA"/>
        <w:category>
          <w:name w:val="General"/>
          <w:gallery w:val="placeholder"/>
        </w:category>
        <w:types>
          <w:type w:val="bbPlcHdr"/>
        </w:types>
        <w:behaviors>
          <w:behavior w:val="content"/>
        </w:behaviors>
        <w:guid w:val="{3DA2449C-6329-452A-9329-10D36E783C1A}"/>
      </w:docPartPr>
      <w:docPartBody>
        <w:p w:rsidR="001C17F9" w:rsidRDefault="006A406A" w:rsidP="006A406A">
          <w:pPr>
            <w:pStyle w:val="0A7875A5BA61416CBE4092DD0EFB68BA"/>
          </w:pPr>
          <w:r>
            <w:rPr>
              <w:color w:val="A6A6A6" w:themeColor="background1" w:themeShade="A6"/>
            </w:rPr>
            <w:t>Iekļauj informāciju atbilstoši instrukcijas 65. punktā noteiktajam</w:t>
          </w:r>
        </w:p>
      </w:docPartBody>
    </w:docPart>
    <w:docPart>
      <w:docPartPr>
        <w:name w:val="ECD01D8819C44DE1BEBFB7A875ACC2BD"/>
        <w:category>
          <w:name w:val="General"/>
          <w:gallery w:val="placeholder"/>
        </w:category>
        <w:types>
          <w:type w:val="bbPlcHdr"/>
        </w:types>
        <w:behaviors>
          <w:behavior w:val="content"/>
        </w:behaviors>
        <w:guid w:val="{A2B1C6D9-CBE1-4061-9DF1-CE97875BF13A}"/>
      </w:docPartPr>
      <w:docPartBody>
        <w:p w:rsidR="001C17F9" w:rsidRDefault="006A406A" w:rsidP="006A406A">
          <w:pPr>
            <w:pStyle w:val="ECD01D8819C44DE1BEBFB7A875ACC2BD"/>
          </w:pPr>
          <w:r>
            <w:rPr>
              <w:color w:val="A6A6A6" w:themeColor="background1" w:themeShade="A6"/>
            </w:rPr>
            <w:t>Iekļauj informāciju atbilstoši instrukcijas 66., 67., 68, 69. punktā noteiktajam</w:t>
          </w:r>
        </w:p>
      </w:docPartBody>
    </w:docPart>
    <w:docPart>
      <w:docPartPr>
        <w:name w:val="3786C32CB21F40E4ABE8AD3BC8E865A8"/>
        <w:category>
          <w:name w:val="General"/>
          <w:gallery w:val="placeholder"/>
        </w:category>
        <w:types>
          <w:type w:val="bbPlcHdr"/>
        </w:types>
        <w:behaviors>
          <w:behavior w:val="content"/>
        </w:behaviors>
        <w:guid w:val="{DCC8B16A-1F95-47B3-8917-F9AF42E83386}"/>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1C17F9" w:rsidRDefault="006A406A" w:rsidP="006A406A">
          <w:pPr>
            <w:pStyle w:val="3786C32CB21F40E4ABE8AD3BC8E865A8"/>
          </w:pPr>
          <w:r>
            <w:rPr>
              <w:color w:val="A6A6A6" w:themeColor="background1" w:themeShade="A6"/>
            </w:rPr>
            <w:t>Ja šādas informācijas nav, ieraksta – "Nav"</w:t>
          </w:r>
        </w:p>
      </w:docPartBody>
    </w:docPart>
    <w:docPart>
      <w:docPartPr>
        <w:name w:val="75F903AFFF044CD4B0CB536C3B056BFF"/>
        <w:category>
          <w:name w:val="Vispārīgi"/>
          <w:gallery w:val="placeholder"/>
        </w:category>
        <w:types>
          <w:type w:val="bbPlcHdr"/>
        </w:types>
        <w:behaviors>
          <w:behavior w:val="content"/>
        </w:behaviors>
        <w:guid w:val="{4C279361-ECDD-4B8E-AC85-E0740EC09054}"/>
      </w:docPartPr>
      <w:docPartBody>
        <w:p w:rsidR="00FC66D9" w:rsidRDefault="00CA5C20" w:rsidP="00CA5C20">
          <w:pPr>
            <w:pStyle w:val="75F903AFFF044CD4B0CB536C3B056BFF"/>
          </w:pPr>
          <w:r>
            <w:rPr>
              <w:color w:val="A6A6A6" w:themeColor="background1" w:themeShade="A6"/>
            </w:rPr>
            <w:t>Iekļauj informāciju atbilstoši instrukcijas 54.</w:t>
          </w:r>
          <w:r>
            <w:rPr>
              <w:color w:val="A6A6A6" w:themeColor="background1" w:themeShade="A6"/>
              <w:vertAlign w:val="superscript"/>
            </w:rPr>
            <w:t>1 </w:t>
          </w:r>
          <w:r>
            <w:rPr>
              <w:color w:val="A6A6A6" w:themeColor="background1" w:themeShade="A6"/>
            </w:rPr>
            <w:t>punktā noteiktajam</w:t>
          </w:r>
        </w:p>
      </w:docPartBody>
    </w:docPart>
    <w:docPart>
      <w:docPartPr>
        <w:name w:val="790DE6295B1C490FAFF1D0B7664CA39E"/>
        <w:category>
          <w:name w:val="Vispārīgi"/>
          <w:gallery w:val="placeholder"/>
        </w:category>
        <w:types>
          <w:type w:val="bbPlcHdr"/>
        </w:types>
        <w:behaviors>
          <w:behavior w:val="content"/>
        </w:behaviors>
        <w:guid w:val="{D8209FDE-CD61-4961-BF9A-196C232AE7D4}"/>
      </w:docPartPr>
      <w:docPartBody>
        <w:p w:rsidR="00CA5C20" w:rsidRDefault="00CA5C20">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FC66D9" w:rsidRDefault="00CA5C20" w:rsidP="00CA5C20">
          <w:pPr>
            <w:pStyle w:val="790DE6295B1C490FAFF1D0B7664CA39E"/>
          </w:pPr>
          <w:r>
            <w:rPr>
              <w:color w:val="A6A6A6" w:themeColor="background1" w:themeShade="A6"/>
            </w:rPr>
            <w:t>Ja šādas informācijas nav, ieraksta – "Nav"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A406A"/>
    <w:rsid w:val="00050177"/>
    <w:rsid w:val="001A255B"/>
    <w:rsid w:val="001C17F9"/>
    <w:rsid w:val="006146A9"/>
    <w:rsid w:val="00695129"/>
    <w:rsid w:val="006A406A"/>
    <w:rsid w:val="006C5383"/>
    <w:rsid w:val="0077537F"/>
    <w:rsid w:val="009B5A78"/>
    <w:rsid w:val="00A71490"/>
    <w:rsid w:val="00A83E29"/>
    <w:rsid w:val="00B007F8"/>
    <w:rsid w:val="00CA5C20"/>
    <w:rsid w:val="00D650BD"/>
    <w:rsid w:val="00FC66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1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406A"/>
  </w:style>
  <w:style w:type="paragraph" w:customStyle="1" w:styleId="E98B83F5F32E42FA9F50CA4542C74A7D">
    <w:name w:val="E98B83F5F32E42FA9F50CA4542C74A7D"/>
    <w:rsid w:val="006A406A"/>
  </w:style>
  <w:style w:type="paragraph" w:customStyle="1" w:styleId="1321B85A4E924DB99CC8F26AA10B520B">
    <w:name w:val="1321B85A4E924DB99CC8F26AA10B520B"/>
    <w:rsid w:val="006A406A"/>
  </w:style>
  <w:style w:type="paragraph" w:customStyle="1" w:styleId="1192ED011A3E47CF9107AF04B1D159EE">
    <w:name w:val="1192ED011A3E47CF9107AF04B1D159EE"/>
    <w:rsid w:val="006A406A"/>
  </w:style>
  <w:style w:type="paragraph" w:customStyle="1" w:styleId="7401F8EB3F9542B99D127A1AC49F6543">
    <w:name w:val="7401F8EB3F9542B99D127A1AC49F6543"/>
    <w:rsid w:val="006A406A"/>
  </w:style>
  <w:style w:type="paragraph" w:customStyle="1" w:styleId="62D87D2F1BED481B9B644098A36959CC">
    <w:name w:val="62D87D2F1BED481B9B644098A36959CC"/>
    <w:rsid w:val="006A406A"/>
  </w:style>
  <w:style w:type="paragraph" w:customStyle="1" w:styleId="BBA777A425B742689B1E294EA2FB314A">
    <w:name w:val="BBA777A425B742689B1E294EA2FB314A"/>
    <w:rsid w:val="006A406A"/>
  </w:style>
  <w:style w:type="paragraph" w:customStyle="1" w:styleId="C2A0386D0E834A2890CA572DAED84FC8">
    <w:name w:val="C2A0386D0E834A2890CA572DAED84FC8"/>
    <w:rsid w:val="006A406A"/>
  </w:style>
  <w:style w:type="paragraph" w:customStyle="1" w:styleId="676C73FE85F04FAE8AFB3F1C7A313C0E">
    <w:name w:val="676C73FE85F04FAE8AFB3F1C7A313C0E"/>
    <w:rsid w:val="006A406A"/>
  </w:style>
  <w:style w:type="paragraph" w:customStyle="1" w:styleId="B418502BCE004512B0AF999B5D173449">
    <w:name w:val="B418502BCE004512B0AF999B5D173449"/>
    <w:rsid w:val="006A406A"/>
  </w:style>
  <w:style w:type="paragraph" w:customStyle="1" w:styleId="0A7875A5BA61416CBE4092DD0EFB68BA">
    <w:name w:val="0A7875A5BA61416CBE4092DD0EFB68BA"/>
    <w:rsid w:val="006A406A"/>
  </w:style>
  <w:style w:type="paragraph" w:customStyle="1" w:styleId="ECD01D8819C44DE1BEBFB7A875ACC2BD">
    <w:name w:val="ECD01D8819C44DE1BEBFB7A875ACC2BD"/>
    <w:rsid w:val="006A406A"/>
  </w:style>
  <w:style w:type="paragraph" w:customStyle="1" w:styleId="3786C32CB21F40E4ABE8AD3BC8E865A8">
    <w:name w:val="3786C32CB21F40E4ABE8AD3BC8E865A8"/>
    <w:rsid w:val="006A406A"/>
  </w:style>
  <w:style w:type="paragraph" w:customStyle="1" w:styleId="75F903AFFF044CD4B0CB536C3B056BFF">
    <w:name w:val="75F903AFFF044CD4B0CB536C3B056BFF"/>
    <w:rsid w:val="00CA5C20"/>
    <w:pPr>
      <w:spacing w:after="200" w:line="276" w:lineRule="auto"/>
    </w:pPr>
  </w:style>
  <w:style w:type="paragraph" w:customStyle="1" w:styleId="790DE6295B1C490FAFF1D0B7664CA39E">
    <w:name w:val="790DE6295B1C490FAFF1D0B7664CA39E"/>
    <w:rsid w:val="00CA5C2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26078</Words>
  <Characters>14866</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sākotnējās ietekmes novērtējuma ziņojums (anotācija)</dc:title>
  <dc:subject>Sākotnējās ietekmes novērtējuma ziņojums (anotācija)</dc:subject>
  <dc:creator>Sanda Irbe</dc:creator>
  <cp:keywords>KMAnot_210917_nodeva_EPLL</cp:keywords>
  <dc:description>67221848
sanda.irbe@neplpadome.lv</dc:description>
  <cp:lastModifiedBy>Dzintra Rozīte</cp:lastModifiedBy>
  <cp:revision>30</cp:revision>
  <dcterms:created xsi:type="dcterms:W3CDTF">2017-09-15T13:44:00Z</dcterms:created>
  <dcterms:modified xsi:type="dcterms:W3CDTF">2017-09-26T13:06:00Z</dcterms:modified>
</cp:coreProperties>
</file>