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FC423D" w:rsidR="006A46DD" w:rsidP="006A46DD" w:rsidRDefault="006A46DD">
      <w:pPr>
        <w:spacing w:after="0" w:line="240" w:lineRule="auto"/>
        <w:jc w:val="center"/>
        <w:rPr>
          <w:rFonts w:eastAsia="Times New Roman"/>
          <w:b/>
          <w:sz w:val="28"/>
          <w:szCs w:val="28"/>
          <w:lang w:eastAsia="lv-LV"/>
        </w:rPr>
      </w:pPr>
      <w:r w:rsidRPr="00FC423D">
        <w:rPr>
          <w:rFonts w:eastAsia="Times New Roman"/>
          <w:b/>
          <w:bCs/>
          <w:sz w:val="28"/>
          <w:szCs w:val="28"/>
          <w:lang w:eastAsia="lv-LV"/>
        </w:rPr>
        <w:t>Ministru kabineta rīkojuma projekta</w:t>
      </w:r>
    </w:p>
    <w:p w:rsidR="00B10C76" w:rsidP="006A46DD" w:rsidRDefault="006A46DD">
      <w:pPr>
        <w:spacing w:after="0" w:line="240" w:lineRule="auto"/>
        <w:jc w:val="center"/>
        <w:rPr>
          <w:b/>
          <w:sz w:val="28"/>
          <w:szCs w:val="28"/>
        </w:rPr>
      </w:pPr>
      <w:r w:rsidRPr="006A46DD">
        <w:rPr>
          <w:b/>
          <w:sz w:val="28"/>
          <w:szCs w:val="28"/>
        </w:rPr>
        <w:t>„</w:t>
      </w:r>
      <w:r w:rsidRPr="006A46DD">
        <w:rPr>
          <w:b/>
          <w:bCs/>
          <w:sz w:val="28"/>
          <w:szCs w:val="28"/>
          <w:lang w:eastAsia="lv-LV"/>
        </w:rPr>
        <w:t>Par valstij dividendēs izmaksājamo v</w:t>
      </w:r>
      <w:r w:rsidR="002A2785">
        <w:rPr>
          <w:b/>
          <w:bCs/>
          <w:sz w:val="28"/>
          <w:szCs w:val="28"/>
          <w:lang w:eastAsia="lv-LV"/>
        </w:rPr>
        <w:t xml:space="preserve">alsts sabiedrības ar ierobežotu </w:t>
      </w:r>
      <w:r w:rsidRPr="006A46DD">
        <w:rPr>
          <w:b/>
          <w:bCs/>
          <w:sz w:val="28"/>
          <w:szCs w:val="28"/>
          <w:lang w:eastAsia="lv-LV"/>
        </w:rPr>
        <w:t>atbildību „</w:t>
      </w:r>
      <w:r w:rsidRPr="006A46DD">
        <w:rPr>
          <w:b/>
          <w:sz w:val="28"/>
          <w:szCs w:val="28"/>
        </w:rPr>
        <w:t>Latvijas Naci</w:t>
      </w:r>
      <w:r w:rsidR="003254A8">
        <w:rPr>
          <w:b/>
          <w:sz w:val="28"/>
          <w:szCs w:val="28"/>
        </w:rPr>
        <w:t>onālais simfoniskais orķestris”</w:t>
      </w:r>
      <w:r w:rsidRPr="006A46DD">
        <w:rPr>
          <w:b/>
          <w:sz w:val="28"/>
          <w:szCs w:val="28"/>
        </w:rPr>
        <w:t xml:space="preserve"> </w:t>
      </w:r>
      <w:r w:rsidRPr="006A46DD">
        <w:rPr>
          <w:b/>
          <w:bCs/>
          <w:sz w:val="28"/>
          <w:szCs w:val="28"/>
          <w:lang w:eastAsia="lv-LV"/>
        </w:rPr>
        <w:t>peļņas daļu</w:t>
      </w:r>
      <w:r w:rsidRPr="006A46DD">
        <w:rPr>
          <w:b/>
          <w:sz w:val="28"/>
          <w:szCs w:val="28"/>
        </w:rPr>
        <w:t xml:space="preserve">” sākotnējās ietekmes novērtējuma </w:t>
      </w:r>
    </w:p>
    <w:p w:rsidRPr="006A46DD" w:rsidR="006A46DD" w:rsidP="006A46DD" w:rsidRDefault="006A46DD">
      <w:pPr>
        <w:spacing w:after="0" w:line="240" w:lineRule="auto"/>
        <w:jc w:val="center"/>
        <w:rPr>
          <w:b/>
          <w:sz w:val="28"/>
          <w:szCs w:val="28"/>
        </w:rPr>
      </w:pPr>
      <w:r w:rsidRPr="006A46DD">
        <w:rPr>
          <w:b/>
          <w:sz w:val="28"/>
          <w:szCs w:val="28"/>
        </w:rPr>
        <w:t>ziņojums (anotācija)</w:t>
      </w:r>
    </w:p>
    <w:p w:rsidRPr="006A46DD" w:rsidR="006A46DD" w:rsidP="006A46DD" w:rsidRDefault="006A46DD">
      <w:pPr>
        <w:spacing w:after="0" w:line="240" w:lineRule="auto"/>
        <w:rPr>
          <w:b/>
          <w:sz w:val="28"/>
          <w:szCs w:val="28"/>
        </w:rPr>
      </w:pPr>
    </w:p>
    <w:tbl>
      <w:tblPr>
        <w:tblW w:w="4994"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left w:w="0" w:type="dxa"/>
          <w:right w:w="0" w:type="dxa"/>
        </w:tblCellMar>
        <w:tblLook w:val="0000"/>
      </w:tblPr>
      <w:tblGrid>
        <w:gridCol w:w="630"/>
        <w:gridCol w:w="2997"/>
        <w:gridCol w:w="5543"/>
      </w:tblGrid>
      <w:tr w:rsidRPr="007B30B4" w:rsidR="006A46DD" w:rsidTr="003F2F99">
        <w:trPr>
          <w:trHeight w:val="483"/>
          <w:tblCellSpacing w:w="20" w:type="dxa"/>
        </w:trPr>
        <w:tc>
          <w:tcPr>
            <w:tcW w:w="5000" w:type="pct"/>
            <w:gridSpan w:val="3"/>
            <w:vAlign w:val="center"/>
          </w:tcPr>
          <w:p w:rsidRPr="007B30B4" w:rsidR="006A46DD" w:rsidP="003254A8" w:rsidRDefault="006A46DD">
            <w:pPr>
              <w:spacing w:after="0" w:line="240" w:lineRule="auto"/>
              <w:jc w:val="center"/>
              <w:rPr>
                <w:rFonts w:eastAsia="Times New Roman"/>
                <w:sz w:val="28"/>
                <w:szCs w:val="28"/>
                <w:lang w:eastAsia="lv-LV"/>
              </w:rPr>
            </w:pPr>
            <w:r w:rsidRPr="007B30B4">
              <w:rPr>
                <w:rFonts w:eastAsia="Times New Roman"/>
                <w:sz w:val="28"/>
                <w:szCs w:val="28"/>
                <w:lang w:eastAsia="lv-LV"/>
              </w:rPr>
              <w:t> </w:t>
            </w:r>
            <w:r w:rsidRPr="007B30B4">
              <w:rPr>
                <w:rFonts w:eastAsia="Times New Roman"/>
                <w:b/>
                <w:bCs/>
                <w:sz w:val="28"/>
                <w:szCs w:val="28"/>
                <w:lang w:eastAsia="lv-LV"/>
              </w:rPr>
              <w:t> I. Tiesību akta projekta izstrādes nepieciešamība</w:t>
            </w:r>
          </w:p>
        </w:tc>
      </w:tr>
      <w:tr w:rsidRPr="007B30B4" w:rsidR="006A46DD" w:rsidTr="003F2F99">
        <w:trPr>
          <w:trHeight w:val="7635"/>
          <w:tblCellSpacing w:w="20" w:type="dxa"/>
        </w:trPr>
        <w:tc>
          <w:tcPr>
            <w:tcW w:w="316" w:type="pct"/>
          </w:tcPr>
          <w:p w:rsidRPr="007B30B4" w:rsidR="006A46DD" w:rsidP="003254A8" w:rsidRDefault="006A46DD">
            <w:pPr>
              <w:spacing w:after="0" w:line="240" w:lineRule="auto"/>
              <w:jc w:val="center"/>
              <w:rPr>
                <w:rFonts w:eastAsia="Times New Roman"/>
                <w:sz w:val="28"/>
                <w:szCs w:val="28"/>
                <w:lang w:eastAsia="lv-LV"/>
              </w:rPr>
            </w:pPr>
            <w:r w:rsidRPr="007B30B4">
              <w:rPr>
                <w:rFonts w:eastAsia="Times New Roman"/>
                <w:sz w:val="28"/>
                <w:szCs w:val="28"/>
                <w:lang w:eastAsia="lv-LV"/>
              </w:rPr>
              <w:t>1.</w:t>
            </w:r>
          </w:p>
        </w:tc>
        <w:tc>
          <w:tcPr>
            <w:tcW w:w="1641" w:type="pct"/>
          </w:tcPr>
          <w:p w:rsidRPr="007B30B4" w:rsidR="006A46DD" w:rsidP="003254A8" w:rsidRDefault="006A46DD">
            <w:pPr>
              <w:spacing w:after="0" w:line="240" w:lineRule="auto"/>
              <w:ind w:left="127"/>
              <w:rPr>
                <w:rFonts w:eastAsia="Times New Roman"/>
                <w:sz w:val="28"/>
                <w:szCs w:val="28"/>
                <w:lang w:eastAsia="lv-LV"/>
              </w:rPr>
            </w:pPr>
            <w:r w:rsidRPr="007B30B4">
              <w:rPr>
                <w:rFonts w:eastAsia="Times New Roman"/>
                <w:sz w:val="28"/>
                <w:szCs w:val="28"/>
                <w:lang w:eastAsia="lv-LV"/>
              </w:rPr>
              <w:t>Pamatojums</w:t>
            </w:r>
          </w:p>
        </w:tc>
        <w:tc>
          <w:tcPr>
            <w:tcW w:w="3043" w:type="pct"/>
          </w:tcPr>
          <w:p w:rsidRPr="007B30B4" w:rsidR="006A46DD" w:rsidP="00B10C76" w:rsidRDefault="006A46DD">
            <w:pPr>
              <w:spacing w:after="0" w:line="240" w:lineRule="auto"/>
              <w:ind w:left="127"/>
              <w:jc w:val="both"/>
              <w:rPr>
                <w:rFonts w:eastAsia="Times New Roman"/>
                <w:bCs/>
                <w:sz w:val="28"/>
                <w:szCs w:val="28"/>
                <w:lang w:eastAsia="lv-LV"/>
              </w:rPr>
            </w:pPr>
            <w:r w:rsidRPr="007B30B4">
              <w:rPr>
                <w:sz w:val="28"/>
                <w:szCs w:val="28"/>
              </w:rPr>
              <w:t xml:space="preserve">Ministru kabineta rīkojuma projekts </w:t>
            </w:r>
            <w:r w:rsidRPr="006A46DD">
              <w:rPr>
                <w:sz w:val="28"/>
                <w:szCs w:val="28"/>
              </w:rPr>
              <w:t>„</w:t>
            </w:r>
            <w:r w:rsidRPr="006A46DD">
              <w:rPr>
                <w:bCs/>
                <w:sz w:val="28"/>
                <w:szCs w:val="28"/>
                <w:lang w:eastAsia="lv-LV"/>
              </w:rPr>
              <w:t>Par valstij dividendēs izmaksājamo valsts sabiedrības ar ierobežotu atbildību „</w:t>
            </w:r>
            <w:r w:rsidRPr="006A46DD">
              <w:rPr>
                <w:sz w:val="28"/>
                <w:szCs w:val="28"/>
              </w:rPr>
              <w:t>Latvijas Nacio</w:t>
            </w:r>
            <w:r w:rsidR="003254A8">
              <w:rPr>
                <w:sz w:val="28"/>
                <w:szCs w:val="28"/>
              </w:rPr>
              <w:t xml:space="preserve">nālais simfoniskais orķestris” </w:t>
            </w:r>
            <w:r w:rsidRPr="006A46DD">
              <w:rPr>
                <w:bCs/>
                <w:sz w:val="28"/>
                <w:szCs w:val="28"/>
                <w:lang w:eastAsia="lv-LV"/>
              </w:rPr>
              <w:t>peļņas daļu</w:t>
            </w:r>
            <w:r w:rsidRPr="006A46DD">
              <w:rPr>
                <w:sz w:val="28"/>
                <w:szCs w:val="28"/>
              </w:rPr>
              <w:t>”</w:t>
            </w:r>
            <w:r w:rsidRPr="007B30B4">
              <w:rPr>
                <w:sz w:val="28"/>
                <w:szCs w:val="28"/>
              </w:rPr>
              <w:t xml:space="preserve"> (turpmāk – Projekts) sagatavots saskaņā ar Likuma par budžetu un finanšu vadību 5.panta otro daļu, </w:t>
            </w:r>
            <w:hyperlink w:tgtFrame="_blank" w:history="1" r:id="rId7">
              <w:r w:rsidRPr="007B30B4">
                <w:rPr>
                  <w:rFonts w:eastAsia="Times New Roman"/>
                  <w:iCs/>
                  <w:sz w:val="28"/>
                  <w:szCs w:val="28"/>
                  <w:lang w:eastAsia="lv-LV"/>
                </w:rPr>
                <w:t>Publiskas personas kapitāla</w:t>
              </w:r>
              <w:r w:rsidR="003254A8">
                <w:rPr>
                  <w:rFonts w:eastAsia="Times New Roman"/>
                  <w:iCs/>
                  <w:sz w:val="28"/>
                  <w:szCs w:val="28"/>
                  <w:lang w:eastAsia="lv-LV"/>
                </w:rPr>
                <w:t xml:space="preserve"> daļu un </w:t>
              </w:r>
              <w:r w:rsidRPr="007B30B4">
                <w:rPr>
                  <w:rFonts w:eastAsia="Times New Roman"/>
                  <w:iCs/>
                  <w:sz w:val="28"/>
                  <w:szCs w:val="28"/>
                  <w:lang w:eastAsia="lv-LV"/>
                </w:rPr>
                <w:t>kapitālsabiedrību pārvaldības likuma</w:t>
              </w:r>
            </w:hyperlink>
            <w:r w:rsidRPr="007B30B4">
              <w:rPr>
                <w:rFonts w:eastAsia="Times New Roman"/>
                <w:iCs/>
                <w:sz w:val="28"/>
                <w:szCs w:val="28"/>
                <w:lang w:eastAsia="lv-LV"/>
              </w:rPr>
              <w:t xml:space="preserve"> </w:t>
            </w:r>
            <w:hyperlink w:tgtFrame="_blank" w:history="1" w:anchor="p28" r:id="rId8">
              <w:r w:rsidRPr="007B30B4">
                <w:rPr>
                  <w:rFonts w:eastAsia="Times New Roman"/>
                  <w:iCs/>
                  <w:sz w:val="28"/>
                  <w:szCs w:val="28"/>
                  <w:lang w:eastAsia="lv-LV"/>
                </w:rPr>
                <w:t>28.panta</w:t>
              </w:r>
            </w:hyperlink>
            <w:r w:rsidRPr="007B30B4">
              <w:rPr>
                <w:rFonts w:eastAsia="Times New Roman"/>
                <w:iCs/>
                <w:sz w:val="28"/>
                <w:szCs w:val="28"/>
                <w:lang w:eastAsia="lv-LV"/>
              </w:rPr>
              <w:t xml:space="preserve"> </w:t>
            </w:r>
            <w:r w:rsidR="008F132B">
              <w:rPr>
                <w:rFonts w:eastAsia="Times New Roman"/>
                <w:iCs/>
                <w:sz w:val="28"/>
                <w:szCs w:val="28"/>
                <w:lang w:eastAsia="lv-LV"/>
              </w:rPr>
              <w:t xml:space="preserve">trešo </w:t>
            </w:r>
            <w:r w:rsidRPr="007B30B4">
              <w:rPr>
                <w:rFonts w:eastAsia="Times New Roman"/>
                <w:iCs/>
                <w:sz w:val="28"/>
                <w:szCs w:val="28"/>
                <w:lang w:eastAsia="lv-LV"/>
              </w:rPr>
              <w:t>daļu</w:t>
            </w:r>
            <w:r w:rsidRPr="007B30B4">
              <w:rPr>
                <w:sz w:val="28"/>
                <w:szCs w:val="28"/>
              </w:rPr>
              <w:t xml:space="preserve"> un Ministru kabineta 2015.gada 22.decembra noteikumu Nr.806 „</w:t>
            </w:r>
            <w:r w:rsidRPr="007B30B4">
              <w:rPr>
                <w:rFonts w:eastAsia="Times New Roman"/>
                <w:bCs/>
                <w:sz w:val="28"/>
                <w:szCs w:val="28"/>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7B30B4">
              <w:rPr>
                <w:sz w:val="28"/>
                <w:szCs w:val="28"/>
              </w:rPr>
              <w:t xml:space="preserve">” (turpmāk – Noteikumi Nr.806) </w:t>
            </w:r>
            <w:r w:rsidR="008F132B">
              <w:rPr>
                <w:sz w:val="28"/>
                <w:szCs w:val="28"/>
              </w:rPr>
              <w:t>10</w:t>
            </w:r>
            <w:r w:rsidRPr="00FC423D" w:rsidR="008F132B">
              <w:rPr>
                <w:sz w:val="28"/>
                <w:szCs w:val="28"/>
              </w:rPr>
              <w:t xml:space="preserve">.punktu, </w:t>
            </w:r>
            <w:r w:rsidRPr="00C42819" w:rsidR="008F132B">
              <w:rPr>
                <w:sz w:val="28"/>
                <w:szCs w:val="28"/>
              </w:rPr>
              <w:t xml:space="preserve">kas nosaka, ka </w:t>
            </w:r>
            <w:r w:rsidRPr="00C42819" w:rsidR="008F132B">
              <w:rPr>
                <w:color w:val="000000" w:themeColor="text1"/>
                <w:sz w:val="28"/>
                <w:szCs w:val="28"/>
              </w:rPr>
              <w:t xml:space="preserve">valsts kapitāla daļu turētājs priekšlikumu par dividendēs izmaksājamo peļņas daļu (procentos </w:t>
            </w:r>
            <w:r w:rsidRPr="00C42819" w:rsidR="008F132B">
              <w:rPr>
                <w:sz w:val="28"/>
                <w:szCs w:val="28"/>
              </w:rPr>
              <w:t>no kapitālsabiedrības tīrās peļņas), kas atšķiras no kapitālsabiedrības stratēģijā noteiktā, piecu darbdienu laikā pēc kapitālsabiedrības gada pārskata apstiprināšanas iesniedz Finanšu ministrijai un koordinācijas institūcijai.</w:t>
            </w:r>
          </w:p>
        </w:tc>
      </w:tr>
      <w:tr w:rsidRPr="008C10AF" w:rsidR="006A46DD" w:rsidTr="003F2F99">
        <w:trPr>
          <w:trHeight w:val="263"/>
          <w:tblCellSpacing w:w="20" w:type="dxa"/>
        </w:trPr>
        <w:tc>
          <w:tcPr>
            <w:tcW w:w="316" w:type="pct"/>
          </w:tcPr>
          <w:p w:rsidRPr="008C10AF" w:rsidR="006A46DD" w:rsidP="003254A8" w:rsidRDefault="006A46DD">
            <w:pPr>
              <w:spacing w:after="0" w:line="240" w:lineRule="auto"/>
              <w:jc w:val="center"/>
              <w:rPr>
                <w:rFonts w:eastAsia="Times New Roman"/>
                <w:sz w:val="28"/>
                <w:szCs w:val="28"/>
                <w:lang w:eastAsia="lv-LV"/>
              </w:rPr>
            </w:pPr>
            <w:r w:rsidRPr="008C10AF">
              <w:rPr>
                <w:rFonts w:eastAsia="Times New Roman"/>
                <w:sz w:val="28"/>
                <w:szCs w:val="28"/>
                <w:lang w:eastAsia="lv-LV"/>
              </w:rPr>
              <w:t>2.</w:t>
            </w:r>
          </w:p>
        </w:tc>
        <w:tc>
          <w:tcPr>
            <w:tcW w:w="1641" w:type="pct"/>
          </w:tcPr>
          <w:p w:rsidRPr="008C10AF" w:rsidR="006A46DD" w:rsidP="003254A8" w:rsidRDefault="006A46DD">
            <w:pPr>
              <w:spacing w:after="0" w:line="240" w:lineRule="auto"/>
              <w:ind w:left="127"/>
              <w:rPr>
                <w:rFonts w:eastAsia="Times New Roman"/>
                <w:sz w:val="28"/>
                <w:szCs w:val="28"/>
                <w:lang w:eastAsia="lv-LV"/>
              </w:rPr>
            </w:pPr>
            <w:r w:rsidRPr="008C10AF">
              <w:rPr>
                <w:sz w:val="28"/>
                <w:szCs w:val="28"/>
              </w:rPr>
              <w:t>Pašreizējā situācija un problēmas, kuru risināšanai tiesību akta projekts izstrādāts, tiesiskā regulējuma mērķis un būtība</w:t>
            </w:r>
          </w:p>
        </w:tc>
        <w:tc>
          <w:tcPr>
            <w:tcW w:w="3043" w:type="pct"/>
          </w:tcPr>
          <w:p w:rsidR="008F132B" w:rsidP="00B10C76" w:rsidRDefault="008F132B">
            <w:pPr>
              <w:spacing w:after="0" w:line="240" w:lineRule="auto"/>
              <w:ind w:left="125"/>
              <w:jc w:val="both"/>
              <w:rPr>
                <w:sz w:val="28"/>
                <w:szCs w:val="28"/>
              </w:rPr>
            </w:pPr>
            <w:r w:rsidRPr="008C10AF">
              <w:rPr>
                <w:sz w:val="28"/>
                <w:szCs w:val="28"/>
              </w:rPr>
              <w:t>Valsts sabiedrība ar ierobežotu atbildību „Latvijas Nacionālais simfoniskais orķestris” (turpmāk – kapitālsabiedrība) ir valsts kapitālsabiedrība, kurā 100</w:t>
            </w:r>
            <w:r w:rsidR="009F45EF">
              <w:rPr>
                <w:sz w:val="28"/>
                <w:szCs w:val="28"/>
              </w:rPr>
              <w:t xml:space="preserve"> </w:t>
            </w:r>
            <w:r w:rsidRPr="008C10AF">
              <w:rPr>
                <w:sz w:val="28"/>
                <w:szCs w:val="28"/>
              </w:rPr>
              <w:t>% kapitāla daļu turētāja ir Kultūras ministrija.</w:t>
            </w:r>
            <w:r w:rsidR="00D25E9D">
              <w:rPr>
                <w:sz w:val="28"/>
                <w:szCs w:val="28"/>
              </w:rPr>
              <w:t xml:space="preserve"> </w:t>
            </w:r>
            <w:r w:rsidRPr="008C10AF">
              <w:rPr>
                <w:sz w:val="28"/>
                <w:szCs w:val="28"/>
              </w:rPr>
              <w:t>Kapitālsabiedrība 2016.gadu ir noslēgusi ar 29</w:t>
            </w:r>
            <w:r w:rsidR="00D25E9D">
              <w:rPr>
                <w:sz w:val="28"/>
                <w:szCs w:val="28"/>
              </w:rPr>
              <w:t> </w:t>
            </w:r>
            <w:r w:rsidRPr="008C10AF">
              <w:rPr>
                <w:sz w:val="28"/>
                <w:szCs w:val="28"/>
              </w:rPr>
              <w:t xml:space="preserve">144 </w:t>
            </w:r>
            <w:r w:rsidRPr="008C10AF">
              <w:rPr>
                <w:i/>
                <w:sz w:val="28"/>
                <w:szCs w:val="28"/>
              </w:rPr>
              <w:t xml:space="preserve">euro </w:t>
            </w:r>
            <w:r w:rsidRPr="008C10AF">
              <w:rPr>
                <w:sz w:val="28"/>
                <w:szCs w:val="28"/>
              </w:rPr>
              <w:t xml:space="preserve">peļņu. </w:t>
            </w:r>
            <w:r w:rsidRPr="008C10AF" w:rsidR="007C227D">
              <w:rPr>
                <w:sz w:val="28"/>
                <w:szCs w:val="28"/>
              </w:rPr>
              <w:t xml:space="preserve">Saskaņā ar likuma „Par vidēja termiņa budžeta ietvaru 2017., 2018. un 2019.gadam” </w:t>
            </w:r>
            <w:r w:rsidRPr="008C10AF" w:rsidR="007C227D">
              <w:rPr>
                <w:bCs/>
                <w:sz w:val="28"/>
                <w:szCs w:val="28"/>
              </w:rPr>
              <w:t xml:space="preserve">19.panta pirmo daļu </w:t>
            </w:r>
            <w:r w:rsidRPr="008C10AF" w:rsidR="003254A8">
              <w:rPr>
                <w:sz w:val="28"/>
                <w:szCs w:val="28"/>
              </w:rPr>
              <w:t>minimālo dividendēs izmaksājamo peļņas daļu</w:t>
            </w:r>
            <w:r w:rsidRPr="008C10AF" w:rsidR="007C227D">
              <w:rPr>
                <w:sz w:val="28"/>
                <w:szCs w:val="28"/>
              </w:rPr>
              <w:t xml:space="preserve"> par 2016., 2017. un 2018. pārskata gadu kapitālsabiedrībām, kurās visas kapitāla daļas tieši vai pastarpināti pieder valstij, 2017.gadā (par 2016. pārskata gadu) nosaka</w:t>
            </w:r>
            <w:r w:rsidR="00D25E9D">
              <w:rPr>
                <w:sz w:val="28"/>
                <w:szCs w:val="28"/>
              </w:rPr>
              <w:t xml:space="preserve"> un aprēķina 85 </w:t>
            </w:r>
            <w:r w:rsidRPr="008C10AF" w:rsidR="003254A8">
              <w:rPr>
                <w:sz w:val="28"/>
                <w:szCs w:val="28"/>
              </w:rPr>
              <w:t>procentu apmērā.</w:t>
            </w:r>
            <w:r w:rsidRPr="008C10AF" w:rsidR="007C227D">
              <w:rPr>
                <w:sz w:val="28"/>
                <w:szCs w:val="28"/>
              </w:rPr>
              <w:t xml:space="preserve"> </w:t>
            </w:r>
            <w:r w:rsidRPr="008C10AF" w:rsidR="003254A8">
              <w:rPr>
                <w:sz w:val="28"/>
                <w:szCs w:val="28"/>
              </w:rPr>
              <w:t>Līdz ar to k</w:t>
            </w:r>
            <w:r w:rsidRPr="008C10AF" w:rsidR="00196F69">
              <w:rPr>
                <w:sz w:val="28"/>
                <w:szCs w:val="28"/>
              </w:rPr>
              <w:t>api</w:t>
            </w:r>
            <w:r w:rsidRPr="008C10AF" w:rsidR="003254A8">
              <w:rPr>
                <w:sz w:val="28"/>
                <w:szCs w:val="28"/>
              </w:rPr>
              <w:t>tālsabiedrībai par 201</w:t>
            </w:r>
            <w:r w:rsidRPr="008C10AF" w:rsidR="00196F69">
              <w:rPr>
                <w:sz w:val="28"/>
                <w:szCs w:val="28"/>
              </w:rPr>
              <w:t>6</w:t>
            </w:r>
            <w:r w:rsidRPr="008C10AF" w:rsidR="003254A8">
              <w:rPr>
                <w:sz w:val="28"/>
                <w:szCs w:val="28"/>
              </w:rPr>
              <w:t xml:space="preserve">.pārskata gadu būtu jāieskaita valsts budžetā dividendes </w:t>
            </w:r>
            <w:r w:rsidRPr="008C10AF">
              <w:rPr>
                <w:sz w:val="28"/>
                <w:szCs w:val="28"/>
              </w:rPr>
              <w:t>24</w:t>
            </w:r>
            <w:r w:rsidR="00D25E9D">
              <w:rPr>
                <w:sz w:val="28"/>
                <w:szCs w:val="28"/>
              </w:rPr>
              <w:t> </w:t>
            </w:r>
            <w:r w:rsidRPr="008C10AF">
              <w:rPr>
                <w:sz w:val="28"/>
                <w:szCs w:val="28"/>
              </w:rPr>
              <w:t>772,40</w:t>
            </w:r>
            <w:r w:rsidR="00D25E9D">
              <w:rPr>
                <w:sz w:val="28"/>
                <w:szCs w:val="28"/>
              </w:rPr>
              <w:t> </w:t>
            </w:r>
            <w:r w:rsidRPr="008C10AF" w:rsidR="003254A8">
              <w:rPr>
                <w:i/>
                <w:sz w:val="28"/>
                <w:szCs w:val="28"/>
              </w:rPr>
              <w:t xml:space="preserve">euro </w:t>
            </w:r>
            <w:r w:rsidRPr="008C10AF" w:rsidR="003254A8">
              <w:rPr>
                <w:sz w:val="28"/>
                <w:szCs w:val="28"/>
              </w:rPr>
              <w:t>apmērā</w:t>
            </w:r>
            <w:r w:rsidRPr="008C10AF">
              <w:rPr>
                <w:sz w:val="28"/>
                <w:szCs w:val="28"/>
              </w:rPr>
              <w:t>.</w:t>
            </w:r>
          </w:p>
          <w:p w:rsidRPr="008C10AF" w:rsidR="00D25E9D" w:rsidP="00D25E9D" w:rsidRDefault="00D25E9D">
            <w:pPr>
              <w:spacing w:after="0" w:line="240" w:lineRule="auto"/>
              <w:ind w:left="125" w:right="136"/>
              <w:jc w:val="both"/>
              <w:rPr>
                <w:sz w:val="28"/>
                <w:szCs w:val="28"/>
              </w:rPr>
            </w:pPr>
          </w:p>
          <w:p w:rsidR="00005B74" w:rsidP="00B10C76" w:rsidRDefault="008F132B">
            <w:pPr>
              <w:spacing w:after="0" w:line="240" w:lineRule="auto"/>
              <w:ind w:left="125"/>
              <w:jc w:val="both"/>
              <w:rPr>
                <w:sz w:val="28"/>
                <w:szCs w:val="28"/>
              </w:rPr>
            </w:pPr>
            <w:r w:rsidRPr="008C10AF">
              <w:rPr>
                <w:sz w:val="28"/>
                <w:szCs w:val="28"/>
              </w:rPr>
              <w:t>Saskaņā ar kapitālsabiedrības dalībnieku sapulces 201</w:t>
            </w:r>
            <w:r w:rsidRPr="008C10AF" w:rsidR="00005B74">
              <w:rPr>
                <w:sz w:val="28"/>
                <w:szCs w:val="28"/>
              </w:rPr>
              <w:t>7</w:t>
            </w:r>
            <w:r w:rsidRPr="008C10AF">
              <w:rPr>
                <w:sz w:val="28"/>
                <w:szCs w:val="28"/>
              </w:rPr>
              <w:t xml:space="preserve">.gada </w:t>
            </w:r>
            <w:r w:rsidRPr="008C10AF" w:rsidR="00005B74">
              <w:rPr>
                <w:sz w:val="28"/>
                <w:szCs w:val="28"/>
              </w:rPr>
              <w:t>12.aprīļa</w:t>
            </w:r>
            <w:r w:rsidRPr="008C10AF">
              <w:rPr>
                <w:sz w:val="28"/>
                <w:szCs w:val="28"/>
              </w:rPr>
              <w:t xml:space="preserve"> protokolu</w:t>
            </w:r>
            <w:r w:rsidRPr="008C10AF" w:rsidR="00005B74">
              <w:rPr>
                <w:sz w:val="28"/>
                <w:szCs w:val="28"/>
              </w:rPr>
              <w:t xml:space="preserve"> un </w:t>
            </w:r>
            <w:r w:rsidRPr="008C10AF" w:rsidR="007C4B48">
              <w:rPr>
                <w:sz w:val="28"/>
                <w:szCs w:val="28"/>
              </w:rPr>
              <w:t xml:space="preserve">kapitāla daļu turētāja </w:t>
            </w:r>
            <w:r w:rsidRPr="008C10AF" w:rsidR="00005B74">
              <w:rPr>
                <w:sz w:val="28"/>
                <w:szCs w:val="28"/>
              </w:rPr>
              <w:t>2017</w:t>
            </w:r>
            <w:r w:rsidRPr="008C10AF">
              <w:rPr>
                <w:sz w:val="28"/>
                <w:szCs w:val="28"/>
              </w:rPr>
              <w:t xml:space="preserve">.gada </w:t>
            </w:r>
            <w:r w:rsidRPr="008C10AF" w:rsidR="00005B74">
              <w:rPr>
                <w:sz w:val="28"/>
                <w:szCs w:val="28"/>
              </w:rPr>
              <w:t xml:space="preserve">12.aprīļa </w:t>
            </w:r>
            <w:r w:rsidRPr="008C10AF">
              <w:rPr>
                <w:sz w:val="28"/>
                <w:szCs w:val="28"/>
              </w:rPr>
              <w:t>lēmumu Nr.2.5.-3-3</w:t>
            </w:r>
            <w:r w:rsidRPr="008C10AF" w:rsidR="00005B74">
              <w:rPr>
                <w:sz w:val="28"/>
                <w:szCs w:val="28"/>
              </w:rPr>
              <w:t>2</w:t>
            </w:r>
            <w:r w:rsidRPr="008C10AF">
              <w:rPr>
                <w:sz w:val="28"/>
                <w:szCs w:val="28"/>
              </w:rPr>
              <w:t>, izskatot jautājumu par kapitālsabiedrības gada pārskata apstiprināšanu, ir pieņemts lēmums priekšlikumu par atšķirīgas dividendēs izmaksājamās peļņas daļu virzīt izskatīšanai Ministru kabinetā. Līdz ar to šobrīd lē</w:t>
            </w:r>
            <w:r w:rsidRPr="008C10AF" w:rsidR="00005B74">
              <w:rPr>
                <w:sz w:val="28"/>
                <w:szCs w:val="28"/>
              </w:rPr>
              <w:t>mums par kapitālsabiedrības 2016</w:t>
            </w:r>
            <w:r w:rsidRPr="008C10AF">
              <w:rPr>
                <w:sz w:val="28"/>
                <w:szCs w:val="28"/>
              </w:rPr>
              <w:t>.gada peļņas sadali nav pieņ</w:t>
            </w:r>
            <w:r w:rsidRPr="008C10AF" w:rsidR="00005B74">
              <w:rPr>
                <w:sz w:val="28"/>
                <w:szCs w:val="28"/>
              </w:rPr>
              <w:t>emts un peļņa nav sadalīta. 2016</w:t>
            </w:r>
            <w:r w:rsidRPr="008C10AF">
              <w:rPr>
                <w:sz w:val="28"/>
                <w:szCs w:val="28"/>
              </w:rPr>
              <w:t xml:space="preserve">.gada nesadalītā peļņa atbilstoši </w:t>
            </w:r>
            <w:r w:rsidRPr="002A2785" w:rsidR="002A2785">
              <w:rPr>
                <w:bCs/>
                <w:sz w:val="28"/>
                <w:szCs w:val="28"/>
              </w:rPr>
              <w:t xml:space="preserve">Gada pārskatu un konsolidēto gada pārskatu </w:t>
            </w:r>
            <w:r w:rsidRPr="002A2785">
              <w:rPr>
                <w:bCs/>
                <w:sz w:val="28"/>
                <w:szCs w:val="28"/>
              </w:rPr>
              <w:t>likum</w:t>
            </w:r>
            <w:r w:rsidRPr="008C10AF">
              <w:rPr>
                <w:sz w:val="28"/>
                <w:szCs w:val="28"/>
              </w:rPr>
              <w:t>a 20.pantam ir ietverta attiecīgā pārskata gada bilances postenī „Pārskata gada nesadalītā peļņa”.</w:t>
            </w:r>
          </w:p>
          <w:p w:rsidRPr="008C10AF" w:rsidR="00D25E9D" w:rsidP="00001F65" w:rsidRDefault="00D25E9D">
            <w:pPr>
              <w:tabs>
                <w:tab w:val="left" w:pos="5246"/>
              </w:tabs>
              <w:spacing w:after="0" w:line="240" w:lineRule="auto"/>
              <w:ind w:left="125" w:right="136"/>
              <w:jc w:val="both"/>
              <w:rPr>
                <w:sz w:val="28"/>
                <w:szCs w:val="28"/>
              </w:rPr>
            </w:pPr>
          </w:p>
          <w:p w:rsidR="00B61FB8" w:rsidP="00B10C76" w:rsidRDefault="00005B74">
            <w:pPr>
              <w:spacing w:after="0" w:line="240" w:lineRule="auto"/>
              <w:ind w:left="143"/>
              <w:jc w:val="both"/>
              <w:rPr>
                <w:sz w:val="28"/>
                <w:szCs w:val="28"/>
              </w:rPr>
            </w:pPr>
            <w:r w:rsidRPr="00F30703">
              <w:rPr>
                <w:sz w:val="28"/>
                <w:szCs w:val="28"/>
              </w:rPr>
              <w:t xml:space="preserve">Likuma „Par vidēja termiņa budžeta ietvaru 2017., 2018. un 2019.gadam” </w:t>
            </w:r>
            <w:r w:rsidRPr="00F30703">
              <w:rPr>
                <w:bCs/>
                <w:sz w:val="28"/>
                <w:szCs w:val="28"/>
              </w:rPr>
              <w:t xml:space="preserve">19.panta otrā daļa nosaka, ka </w:t>
            </w:r>
            <w:r w:rsidRPr="00F30703">
              <w:rPr>
                <w:sz w:val="28"/>
                <w:szCs w:val="28"/>
              </w:rPr>
              <w:t>Ministru kabinets normatīvajos aktos noteiktajos gadījumos un kārtībā var pieņemt lēmumu par atšķirīgu dividendēs izmaksājamo minimālo peļņas daļu.</w:t>
            </w:r>
            <w:r w:rsidRPr="00F30703" w:rsidR="00D25E9D">
              <w:rPr>
                <w:sz w:val="28"/>
                <w:szCs w:val="28"/>
              </w:rPr>
              <w:t> </w:t>
            </w:r>
            <w:r w:rsidRPr="00F30703">
              <w:rPr>
                <w:sz w:val="28"/>
                <w:szCs w:val="28"/>
              </w:rPr>
              <w:t xml:space="preserve">Noteikumu Nr.806 11.2.3.punkts nosaka, ka valsts kapitāla daļu turētājs iesniedz Finanšu ministrijai un koordinācijas institūcijai Noteikumu Nr.806 </w:t>
            </w:r>
            <w:hyperlink w:tgtFrame="_blank" w:history="1" w:anchor="p10" r:id="rId9">
              <w:r w:rsidRPr="00FF1993" w:rsidR="00FF1993">
                <w:rPr>
                  <w:sz w:val="28"/>
                  <w:szCs w:val="28"/>
                </w:rPr>
                <w:t>10.punktā</w:t>
              </w:r>
            </w:hyperlink>
            <w:r w:rsidRPr="00F30703">
              <w:rPr>
                <w:sz w:val="28"/>
                <w:szCs w:val="28"/>
              </w:rPr>
              <w:t xml:space="preserve"> minēto priekšlikumu un attiecīgu Ministru kabineta rīkojuma projektu un anotāciju, ja dividenžu izmaksa prognozētajā apmērā var radīt draudus kapitālsabiedrības finanšu stabilitātei.</w:t>
            </w:r>
            <w:r w:rsidRPr="00F30703" w:rsidR="00D25E9D">
              <w:rPr>
                <w:sz w:val="28"/>
                <w:szCs w:val="28"/>
              </w:rPr>
              <w:t xml:space="preserve"> </w:t>
            </w:r>
            <w:r w:rsidRPr="00F30703" w:rsidR="00196F69">
              <w:rPr>
                <w:sz w:val="28"/>
                <w:szCs w:val="28"/>
              </w:rPr>
              <w:t>Saskaņā ar</w:t>
            </w:r>
            <w:r w:rsidRPr="00F30703" w:rsidR="007C227D">
              <w:rPr>
                <w:sz w:val="28"/>
                <w:szCs w:val="28"/>
              </w:rPr>
              <w:t xml:space="preserve"> Komerclikum</w:t>
            </w:r>
            <w:r w:rsidRPr="00F30703">
              <w:rPr>
                <w:sz w:val="28"/>
                <w:szCs w:val="28"/>
              </w:rPr>
              <w:t>a</w:t>
            </w:r>
            <w:r w:rsidRPr="00F30703" w:rsidR="007C227D">
              <w:rPr>
                <w:sz w:val="28"/>
                <w:szCs w:val="28"/>
              </w:rPr>
              <w:t xml:space="preserve"> 161.panta ceturt</w:t>
            </w:r>
            <w:r w:rsidRPr="00F30703" w:rsidR="00196F69">
              <w:rPr>
                <w:sz w:val="28"/>
                <w:szCs w:val="28"/>
              </w:rPr>
              <w:t>o daļu</w:t>
            </w:r>
            <w:r w:rsidRPr="00F30703" w:rsidR="007C227D">
              <w:rPr>
                <w:sz w:val="28"/>
                <w:szCs w:val="28"/>
              </w:rPr>
              <w:t xml:space="preserve"> dividendes nedrīkst noteikt, aprēķināt un izmaksāt, ja no gada pārskata izriet, ka sabiedrības pašu kapitāls ir mazāks par pamatkapitālu. </w:t>
            </w:r>
            <w:r w:rsidRPr="006241BF" w:rsidR="006241BF">
              <w:rPr>
                <w:sz w:val="28"/>
                <w:szCs w:val="28"/>
              </w:rPr>
              <w:t xml:space="preserve">Samaksājot dividendes 24 772,40 </w:t>
            </w:r>
            <w:r w:rsidRPr="00560B12" w:rsidR="00560B12">
              <w:rPr>
                <w:i/>
                <w:sz w:val="28"/>
                <w:szCs w:val="28"/>
              </w:rPr>
              <w:t>euro</w:t>
            </w:r>
            <w:r w:rsidRPr="00560B12" w:rsidR="00560B12">
              <w:rPr>
                <w:sz w:val="28"/>
                <w:szCs w:val="28"/>
              </w:rPr>
              <w:t>, var tikt apdraudēta kapitālsabiedrības finanšu stabilitāte, jo kapitālsabiedrības pašu kapitā</w:t>
            </w:r>
            <w:r w:rsidRPr="00FF1993" w:rsidR="00FF1993">
              <w:rPr>
                <w:sz w:val="28"/>
                <w:szCs w:val="28"/>
              </w:rPr>
              <w:t xml:space="preserve">ls veidosies 42 381,60 </w:t>
            </w:r>
            <w:r w:rsidRPr="00FF1993" w:rsidR="00FF1993">
              <w:rPr>
                <w:i/>
                <w:sz w:val="28"/>
                <w:szCs w:val="28"/>
              </w:rPr>
              <w:t>euro</w:t>
            </w:r>
            <w:r w:rsidRPr="00FF1993" w:rsidR="00FF1993">
              <w:rPr>
                <w:sz w:val="28"/>
                <w:szCs w:val="28"/>
              </w:rPr>
              <w:t>, līdz ar to tas būs</w:t>
            </w:r>
            <w:r w:rsidR="002A2785">
              <w:rPr>
                <w:sz w:val="28"/>
                <w:szCs w:val="28"/>
              </w:rPr>
              <w:t xml:space="preserve"> mazāks nekā pamatkapitāls – 52 </w:t>
            </w:r>
            <w:r w:rsidRPr="00FF1993" w:rsidR="00FF1993">
              <w:rPr>
                <w:sz w:val="28"/>
                <w:szCs w:val="28"/>
              </w:rPr>
              <w:t xml:space="preserve">845 </w:t>
            </w:r>
            <w:proofErr w:type="spellStart"/>
            <w:r w:rsidRPr="00FF1993" w:rsidR="00FF1993">
              <w:rPr>
                <w:i/>
                <w:sz w:val="28"/>
                <w:szCs w:val="28"/>
              </w:rPr>
              <w:t>euro</w:t>
            </w:r>
            <w:proofErr w:type="spellEnd"/>
            <w:r w:rsidRPr="00FF1993" w:rsidR="00FF1993">
              <w:rPr>
                <w:sz w:val="28"/>
                <w:szCs w:val="28"/>
              </w:rPr>
              <w:t xml:space="preserve">. Arī kapitālsabiedrības likviditātes koeficients liecina, ka var tikt apdraudēta kapitālsabiedrības spēja sekmīgi </w:t>
            </w:r>
            <w:r w:rsidR="00CA1AD3">
              <w:rPr>
                <w:sz w:val="28"/>
                <w:szCs w:val="28"/>
              </w:rPr>
              <w:t xml:space="preserve">īstenot </w:t>
            </w:r>
            <w:r w:rsidRPr="00FF1993" w:rsidR="00FF1993">
              <w:rPr>
                <w:sz w:val="28"/>
                <w:szCs w:val="28"/>
              </w:rPr>
              <w:t>īstermiņa saistības.</w:t>
            </w:r>
            <w:r w:rsidR="00F30703">
              <w:rPr>
                <w:sz w:val="28"/>
                <w:szCs w:val="28"/>
              </w:rPr>
              <w:t xml:space="preserve"> Turklāt 2015.</w:t>
            </w:r>
            <w:r w:rsidR="00001F65">
              <w:rPr>
                <w:sz w:val="28"/>
                <w:szCs w:val="28"/>
              </w:rPr>
              <w:t xml:space="preserve">gadu kapitālsabiedrība bija noslēgusi ar zaudējumiem 65 888 </w:t>
            </w:r>
            <w:r w:rsidRPr="00FF1993" w:rsidR="00FF1993">
              <w:rPr>
                <w:i/>
                <w:sz w:val="28"/>
                <w:szCs w:val="28"/>
              </w:rPr>
              <w:t>euro</w:t>
            </w:r>
            <w:r w:rsidR="00001F65">
              <w:rPr>
                <w:sz w:val="28"/>
                <w:szCs w:val="28"/>
              </w:rPr>
              <w:t xml:space="preserve"> apmērā, un saskaņā ar </w:t>
            </w:r>
            <w:r w:rsidR="00001F65">
              <w:rPr>
                <w:rFonts w:eastAsia="Times New Roman"/>
                <w:sz w:val="28"/>
                <w:szCs w:val="28"/>
                <w:lang w:eastAsia="lv-LV"/>
              </w:rPr>
              <w:t xml:space="preserve">kapitālsabiedrības </w:t>
            </w:r>
            <w:r w:rsidRPr="008C10AF" w:rsidR="00001F65">
              <w:rPr>
                <w:sz w:val="28"/>
                <w:szCs w:val="28"/>
              </w:rPr>
              <w:t>dalībnieku sapulces 201</w:t>
            </w:r>
            <w:r w:rsidR="00001F65">
              <w:rPr>
                <w:sz w:val="28"/>
                <w:szCs w:val="28"/>
              </w:rPr>
              <w:t>6</w:t>
            </w:r>
            <w:r w:rsidRPr="008C10AF" w:rsidR="00001F65">
              <w:rPr>
                <w:sz w:val="28"/>
                <w:szCs w:val="28"/>
              </w:rPr>
              <w:t xml:space="preserve">.gada </w:t>
            </w:r>
            <w:r w:rsidR="00001F65">
              <w:rPr>
                <w:sz w:val="28"/>
                <w:szCs w:val="28"/>
              </w:rPr>
              <w:t>18.aprīļa protokolu</w:t>
            </w:r>
            <w:r w:rsidRPr="008C10AF" w:rsidR="00001F65">
              <w:rPr>
                <w:sz w:val="28"/>
                <w:szCs w:val="28"/>
              </w:rPr>
              <w:t xml:space="preserve"> un </w:t>
            </w:r>
            <w:r w:rsidR="00001F65">
              <w:rPr>
                <w:rFonts w:eastAsia="Times New Roman"/>
                <w:sz w:val="28"/>
                <w:szCs w:val="28"/>
                <w:lang w:eastAsia="lv-LV"/>
              </w:rPr>
              <w:t>kapitāla daļu turētāja 2016.gada 18.aprīļa lēmumu Nr.2.5.-3-21</w:t>
            </w:r>
            <w:r w:rsidR="00001F65">
              <w:rPr>
                <w:sz w:val="28"/>
                <w:szCs w:val="28"/>
              </w:rPr>
              <w:t xml:space="preserve"> tās valdei tika uzdots zaudējumus segt no 2016., 2017. un 2018.gada peļņas.</w:t>
            </w:r>
          </w:p>
          <w:p w:rsidR="00B10C76" w:rsidRDefault="00B10C76">
            <w:pPr>
              <w:spacing w:after="0" w:line="240" w:lineRule="auto"/>
              <w:ind w:left="143" w:right="136"/>
              <w:jc w:val="both"/>
              <w:rPr>
                <w:sz w:val="28"/>
                <w:szCs w:val="28"/>
              </w:rPr>
            </w:pPr>
          </w:p>
          <w:p w:rsidR="00B61FB8" w:rsidP="00B10C76" w:rsidRDefault="008C10AF">
            <w:pPr>
              <w:spacing w:after="0" w:line="240" w:lineRule="auto"/>
              <w:ind w:left="143" w:right="-12"/>
              <w:jc w:val="both"/>
              <w:rPr>
                <w:sz w:val="28"/>
                <w:szCs w:val="28"/>
              </w:rPr>
            </w:pPr>
            <w:r w:rsidRPr="00BC4020">
              <w:rPr>
                <w:sz w:val="28"/>
                <w:szCs w:val="28"/>
              </w:rPr>
              <w:t>Kapitālsabiedrības 2016.gada darbību raksturojošie rādītāji:</w:t>
            </w:r>
          </w:p>
          <w:p w:rsidR="00D25E9D" w:rsidP="009B0360" w:rsidRDefault="00D25E9D">
            <w:pPr>
              <w:spacing w:after="0" w:line="240" w:lineRule="auto"/>
              <w:ind w:left="125"/>
              <w:jc w:val="both"/>
              <w:rPr>
                <w:sz w:val="28"/>
                <w:szCs w:val="28"/>
              </w:rPr>
            </w:pPr>
          </w:p>
          <w:tbl>
            <w:tblPr>
              <w:tblW w:w="48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tblPr>
            <w:tblGrid>
              <w:gridCol w:w="1450"/>
              <w:gridCol w:w="1213"/>
              <w:gridCol w:w="1270"/>
              <w:gridCol w:w="1398"/>
            </w:tblGrid>
            <w:tr w:rsidRPr="00D25E9D" w:rsidR="00BC4020" w:rsidTr="00CA1AD3">
              <w:trPr>
                <w:jc w:val="center"/>
              </w:trPr>
              <w:tc>
                <w:tcPr>
                  <w:tcW w:w="1322" w:type="pct"/>
                  <w:vAlign w:val="center"/>
                  <w:hideMark/>
                </w:tcPr>
                <w:p w:rsidR="004F351E" w:rsidRDefault="00D833E0">
                  <w:pPr>
                    <w:spacing w:before="100" w:beforeAutospacing="1" w:after="100" w:afterAutospacing="1" w:line="360" w:lineRule="auto"/>
                    <w:ind w:firstLine="300"/>
                    <w:rPr>
                      <w:rFonts w:eastAsia="Times New Roman"/>
                      <w:b/>
                      <w:color w:val="000000" w:themeColor="text1"/>
                      <w:sz w:val="20"/>
                      <w:szCs w:val="20"/>
                    </w:rPr>
                  </w:pPr>
                  <w:r w:rsidRPr="00D25E9D">
                    <w:rPr>
                      <w:rFonts w:eastAsia="Times New Roman"/>
                      <w:b/>
                      <w:color w:val="000000" w:themeColor="text1"/>
                      <w:sz w:val="20"/>
                      <w:szCs w:val="20"/>
                    </w:rPr>
                    <w:t>Rādītāji</w:t>
                  </w:r>
                </w:p>
              </w:tc>
              <w:tc>
                <w:tcPr>
                  <w:tcW w:w="1106" w:type="pct"/>
                  <w:vAlign w:val="center"/>
                  <w:hideMark/>
                </w:tcPr>
                <w:p w:rsidRPr="00D25E9D" w:rsidR="00BC4020" w:rsidP="00D25E9D" w:rsidRDefault="00D833E0">
                  <w:pPr>
                    <w:spacing w:after="0" w:line="240" w:lineRule="auto"/>
                    <w:jc w:val="center"/>
                    <w:rPr>
                      <w:rFonts w:eastAsia="Times New Roman"/>
                      <w:b/>
                      <w:color w:val="000000" w:themeColor="text1"/>
                      <w:sz w:val="20"/>
                      <w:szCs w:val="20"/>
                    </w:rPr>
                  </w:pPr>
                  <w:r w:rsidRPr="00D25E9D">
                    <w:rPr>
                      <w:rFonts w:eastAsia="Times New Roman"/>
                      <w:b/>
                      <w:color w:val="000000" w:themeColor="text1"/>
                      <w:sz w:val="20"/>
                      <w:szCs w:val="20"/>
                    </w:rPr>
                    <w:t>Plānotais pārskata gadā 2016</w:t>
                  </w:r>
                </w:p>
              </w:tc>
              <w:tc>
                <w:tcPr>
                  <w:tcW w:w="1158" w:type="pct"/>
                  <w:vAlign w:val="center"/>
                  <w:hideMark/>
                </w:tcPr>
                <w:p w:rsidRPr="00D25E9D" w:rsidR="00BC4020" w:rsidP="00D25E9D" w:rsidRDefault="00D833E0">
                  <w:pPr>
                    <w:spacing w:before="100" w:beforeAutospacing="1" w:after="100" w:afterAutospacing="1" w:line="240" w:lineRule="auto"/>
                    <w:jc w:val="center"/>
                    <w:rPr>
                      <w:rFonts w:eastAsia="Times New Roman"/>
                      <w:b/>
                      <w:color w:val="000000" w:themeColor="text1"/>
                      <w:sz w:val="20"/>
                      <w:szCs w:val="20"/>
                    </w:rPr>
                  </w:pPr>
                  <w:r w:rsidRPr="00D25E9D">
                    <w:rPr>
                      <w:rFonts w:eastAsia="Times New Roman"/>
                      <w:b/>
                      <w:color w:val="000000" w:themeColor="text1"/>
                      <w:sz w:val="20"/>
                      <w:szCs w:val="20"/>
                    </w:rPr>
                    <w:t>Fakts pārskata gadā 2016</w:t>
                  </w:r>
                </w:p>
              </w:tc>
              <w:tc>
                <w:tcPr>
                  <w:tcW w:w="1275" w:type="pct"/>
                  <w:vAlign w:val="center"/>
                  <w:hideMark/>
                </w:tcPr>
                <w:p w:rsidRPr="00D25E9D" w:rsidR="00BC4020" w:rsidP="00D25E9D" w:rsidRDefault="00D833E0">
                  <w:pPr>
                    <w:spacing w:before="100" w:beforeAutospacing="1" w:after="100" w:afterAutospacing="1" w:line="240" w:lineRule="auto"/>
                    <w:jc w:val="center"/>
                    <w:rPr>
                      <w:rFonts w:eastAsia="Times New Roman"/>
                      <w:b/>
                      <w:color w:val="000000" w:themeColor="text1"/>
                      <w:sz w:val="20"/>
                      <w:szCs w:val="20"/>
                    </w:rPr>
                  </w:pPr>
                  <w:r w:rsidRPr="00D25E9D">
                    <w:rPr>
                      <w:rFonts w:eastAsia="Times New Roman"/>
                      <w:b/>
                      <w:color w:val="000000" w:themeColor="text1"/>
                      <w:sz w:val="20"/>
                      <w:szCs w:val="20"/>
                    </w:rPr>
                    <w:t>Novirze no plānotā</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Biļešu realizācija</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180 000</w:t>
                  </w:r>
                </w:p>
              </w:tc>
              <w:tc>
                <w:tcPr>
                  <w:tcW w:w="1158" w:type="pct"/>
                  <w:vAlign w:val="center"/>
                  <w:hideMark/>
                </w:tcPr>
                <w:p w:rsidRPr="00D25E9D" w:rsidR="00BC4020" w:rsidP="00BC4020" w:rsidRDefault="00BC4020">
                  <w:pPr>
                    <w:spacing w:after="0" w:line="240" w:lineRule="auto"/>
                    <w:rPr>
                      <w:rFonts w:eastAsia="Times New Roman"/>
                      <w:color w:val="000000" w:themeColor="text1"/>
                      <w:sz w:val="20"/>
                      <w:szCs w:val="20"/>
                    </w:rPr>
                  </w:pPr>
                </w:p>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329 081</w:t>
                  </w:r>
                </w:p>
                <w:p w:rsidRPr="00D25E9D" w:rsidR="00BC4020" w:rsidP="00BC4020" w:rsidRDefault="00BC4020">
                  <w:pPr>
                    <w:spacing w:after="0" w:line="240" w:lineRule="auto"/>
                    <w:rPr>
                      <w:rFonts w:eastAsia="Times New Roman"/>
                      <w:color w:val="000000" w:themeColor="text1"/>
                      <w:sz w:val="20"/>
                      <w:szCs w:val="20"/>
                    </w:rPr>
                  </w:pP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+149 081</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b/>
                      <w:bCs/>
                      <w:color w:val="000000" w:themeColor="text1"/>
                      <w:sz w:val="20"/>
                      <w:szCs w:val="20"/>
                    </w:rPr>
                  </w:pPr>
                  <w:r w:rsidRPr="00D25E9D">
                    <w:rPr>
                      <w:rFonts w:eastAsia="Times New Roman"/>
                      <w:bCs/>
                      <w:color w:val="000000" w:themeColor="text1"/>
                      <w:sz w:val="20"/>
                      <w:szCs w:val="20"/>
                    </w:rPr>
                    <w:t>Pārējie pašu ieņēmumi</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230 000</w:t>
                  </w:r>
                </w:p>
              </w:tc>
              <w:tc>
                <w:tcPr>
                  <w:tcW w:w="1158" w:type="pct"/>
                  <w:vAlign w:val="center"/>
                  <w:hideMark/>
                </w:tcPr>
                <w:p w:rsidRPr="00D25E9D" w:rsidR="00BC4020" w:rsidP="00BC4020" w:rsidRDefault="00BC4020">
                  <w:pPr>
                    <w:spacing w:after="0" w:line="240" w:lineRule="auto"/>
                    <w:rPr>
                      <w:rFonts w:eastAsia="Times New Roman"/>
                      <w:color w:val="000000" w:themeColor="text1"/>
                      <w:sz w:val="20"/>
                      <w:szCs w:val="20"/>
                    </w:rPr>
                  </w:pPr>
                </w:p>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296 878</w:t>
                  </w:r>
                </w:p>
                <w:p w:rsidRPr="00D25E9D" w:rsidR="00BC4020" w:rsidP="00BC4020" w:rsidRDefault="00BC4020">
                  <w:pPr>
                    <w:spacing w:after="0" w:line="240" w:lineRule="auto"/>
                    <w:rPr>
                      <w:rFonts w:eastAsia="Times New Roman"/>
                      <w:color w:val="000000" w:themeColor="text1"/>
                      <w:sz w:val="20"/>
                      <w:szCs w:val="20"/>
                    </w:rPr>
                  </w:pP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 xml:space="preserve">+66 878 </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Neto apgrozījums, EUR</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410 000</w:t>
                  </w:r>
                </w:p>
              </w:tc>
              <w:tc>
                <w:tcPr>
                  <w:tcW w:w="1158"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625 959</w:t>
                  </w: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 xml:space="preserve">+215 959 </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Peļņa, EUR</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22 000</w:t>
                  </w:r>
                </w:p>
              </w:tc>
              <w:tc>
                <w:tcPr>
                  <w:tcW w:w="1158"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29 144</w:t>
                  </w: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+7 144</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Peļņa pirms procentu maksājumiem un nodokļiem (EBIT), EUR</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22 000</w:t>
                  </w:r>
                </w:p>
              </w:tc>
              <w:tc>
                <w:tcPr>
                  <w:tcW w:w="1158"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29 144</w:t>
                  </w: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 xml:space="preserve">+7 144 </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Peļņa pirms procentu maksājumiem, nodokļiem, nolietojuma un amortizācijas atskaitījumiem (EBITDA), EUR</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67 213</w:t>
                  </w:r>
                </w:p>
              </w:tc>
              <w:tc>
                <w:tcPr>
                  <w:tcW w:w="1158"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74 357</w:t>
                  </w: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+7 144</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Bilances kopsumma, EUR</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720 870</w:t>
                  </w:r>
                </w:p>
              </w:tc>
              <w:tc>
                <w:tcPr>
                  <w:tcW w:w="1158"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728 014</w:t>
                  </w: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+7 144</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Pašu kapitāls, EUR</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60 010</w:t>
                  </w:r>
                </w:p>
              </w:tc>
              <w:tc>
                <w:tcPr>
                  <w:tcW w:w="1158"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67 154</w:t>
                  </w: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+7 144</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Pašu kapitāla atdeve (ROE), %</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48.56%</w:t>
                  </w:r>
                </w:p>
              </w:tc>
              <w:tc>
                <w:tcPr>
                  <w:tcW w:w="1158"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43.40%</w:t>
                  </w: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-5.16</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Aktīvu atdeve (ROA), %</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3.02%</w:t>
                  </w:r>
                </w:p>
              </w:tc>
              <w:tc>
                <w:tcPr>
                  <w:tcW w:w="1158"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4.00%</w:t>
                  </w: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+0.98</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Kopējais likviditātes rādītājs</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0.63</w:t>
                  </w:r>
                </w:p>
              </w:tc>
              <w:tc>
                <w:tcPr>
                  <w:tcW w:w="1158"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0.65</w:t>
                  </w: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+0.02</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Saistības pret pašu kapitālu, %</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11.01</w:t>
                  </w:r>
                </w:p>
              </w:tc>
              <w:tc>
                <w:tcPr>
                  <w:tcW w:w="1158"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9.84</w:t>
                  </w: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-1.17</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Plānotās pamatdarbības naudas plūsmas izpilde, EUR</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175 000</w:t>
                  </w:r>
                </w:p>
              </w:tc>
              <w:tc>
                <w:tcPr>
                  <w:tcW w:w="1158"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180 470</w:t>
                  </w: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+5 470</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Ieguldījumu pamatlīdzekļos un nemateriālo ieguldījumu plāna izpilde, %</w:t>
                  </w:r>
                </w:p>
              </w:tc>
              <w:tc>
                <w:tcPr>
                  <w:tcW w:w="1106"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100%</w:t>
                  </w:r>
                </w:p>
              </w:tc>
              <w:tc>
                <w:tcPr>
                  <w:tcW w:w="1158"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100%</w:t>
                  </w:r>
                </w:p>
              </w:tc>
              <w:tc>
                <w:tcPr>
                  <w:tcW w:w="1275" w:type="pct"/>
                  <w:vAlign w:val="center"/>
                  <w:hideMark/>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0</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Sadalītās dividendes, EUR</w:t>
                  </w:r>
                </w:p>
              </w:tc>
              <w:tc>
                <w:tcPr>
                  <w:tcW w:w="1106" w:type="pct"/>
                  <w:vAlign w:val="center"/>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0</w:t>
                  </w:r>
                </w:p>
              </w:tc>
              <w:tc>
                <w:tcPr>
                  <w:tcW w:w="1158" w:type="pct"/>
                  <w:vAlign w:val="center"/>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0</w:t>
                  </w:r>
                </w:p>
              </w:tc>
              <w:tc>
                <w:tcPr>
                  <w:tcW w:w="1275" w:type="pct"/>
                  <w:vAlign w:val="center"/>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0</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Vidējā bruto atlīdzība (neieskaitot darba devēja veiktās valsts sociālās apdrošināšanas obligātās iemaksas) uz vienu nodarbināto gadā, EUR</w:t>
                  </w:r>
                </w:p>
              </w:tc>
              <w:tc>
                <w:tcPr>
                  <w:tcW w:w="1106" w:type="pct"/>
                  <w:vAlign w:val="center"/>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9 239</w:t>
                  </w:r>
                </w:p>
              </w:tc>
              <w:tc>
                <w:tcPr>
                  <w:tcW w:w="1158" w:type="pct"/>
                  <w:vAlign w:val="center"/>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9 239</w:t>
                  </w:r>
                </w:p>
              </w:tc>
              <w:tc>
                <w:tcPr>
                  <w:tcW w:w="1275" w:type="pct"/>
                  <w:vAlign w:val="center"/>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0</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Neto apgrozījums uz vienu nodarbināto, EUR</w:t>
                  </w:r>
                </w:p>
              </w:tc>
              <w:tc>
                <w:tcPr>
                  <w:tcW w:w="1106" w:type="pct"/>
                  <w:vAlign w:val="center"/>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2 908</w:t>
                  </w:r>
                </w:p>
              </w:tc>
              <w:tc>
                <w:tcPr>
                  <w:tcW w:w="1158" w:type="pct"/>
                  <w:vAlign w:val="center"/>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4 439</w:t>
                  </w:r>
                </w:p>
              </w:tc>
              <w:tc>
                <w:tcPr>
                  <w:tcW w:w="1275" w:type="pct"/>
                  <w:vAlign w:val="center"/>
                </w:tcPr>
                <w:p w:rsidRPr="00D25E9D" w:rsidR="00BC4020" w:rsidP="00BC4020"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+1 531</w:t>
                  </w:r>
                </w:p>
              </w:tc>
            </w:tr>
            <w:tr w:rsidRPr="00D25E9D" w:rsidR="00BC4020" w:rsidTr="00CA1AD3">
              <w:trPr>
                <w:jc w:val="center"/>
              </w:trPr>
              <w:tc>
                <w:tcPr>
                  <w:tcW w:w="1322" w:type="pct"/>
                  <w:vAlign w:val="center"/>
                  <w:hideMark/>
                </w:tcPr>
                <w:p w:rsidRPr="00D25E9D" w:rsidR="00BC4020" w:rsidP="00CA1AD3" w:rsidRDefault="00D833E0">
                  <w:pPr>
                    <w:spacing w:after="0" w:line="240" w:lineRule="auto"/>
                    <w:rPr>
                      <w:rFonts w:eastAsia="Times New Roman"/>
                      <w:color w:val="000000" w:themeColor="text1"/>
                      <w:sz w:val="20"/>
                      <w:szCs w:val="20"/>
                    </w:rPr>
                  </w:pPr>
                  <w:r w:rsidRPr="00D25E9D">
                    <w:rPr>
                      <w:rFonts w:eastAsia="Times New Roman"/>
                      <w:color w:val="000000" w:themeColor="text1"/>
                      <w:sz w:val="20"/>
                      <w:szCs w:val="20"/>
                    </w:rPr>
                    <w:t>Valsts budžeta dotācija EUR</w:t>
                  </w:r>
                </w:p>
              </w:tc>
              <w:tc>
                <w:tcPr>
                  <w:tcW w:w="1106" w:type="pct"/>
                  <w:vAlign w:val="center"/>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1 836 802</w:t>
                  </w:r>
                </w:p>
              </w:tc>
              <w:tc>
                <w:tcPr>
                  <w:tcW w:w="1158" w:type="pct"/>
                  <w:vAlign w:val="center"/>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1 935 587</w:t>
                  </w:r>
                </w:p>
              </w:tc>
              <w:tc>
                <w:tcPr>
                  <w:tcW w:w="1275" w:type="pct"/>
                  <w:vAlign w:val="center"/>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+98 785</w:t>
                  </w:r>
                </w:p>
              </w:tc>
            </w:tr>
            <w:tr w:rsidRPr="00D25E9D" w:rsidR="00BC4020" w:rsidTr="00CA1AD3">
              <w:trPr>
                <w:jc w:val="center"/>
              </w:trPr>
              <w:tc>
                <w:tcPr>
                  <w:tcW w:w="1322" w:type="pct"/>
                  <w:vAlign w:val="center"/>
                  <w:hideMark/>
                </w:tcPr>
                <w:p w:rsidRPr="00D25E9D" w:rsidR="00BC4020" w:rsidP="00CA1AD3"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Apmeklējumu skaits gadā</w:t>
                  </w:r>
                </w:p>
              </w:tc>
              <w:tc>
                <w:tcPr>
                  <w:tcW w:w="1106" w:type="pct"/>
                  <w:vAlign w:val="center"/>
                  <w:hideMark/>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45 000</w:t>
                  </w:r>
                </w:p>
              </w:tc>
              <w:tc>
                <w:tcPr>
                  <w:tcW w:w="1158" w:type="pct"/>
                  <w:vAlign w:val="center"/>
                  <w:hideMark/>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45 114</w:t>
                  </w:r>
                </w:p>
              </w:tc>
              <w:tc>
                <w:tcPr>
                  <w:tcW w:w="1275" w:type="pct"/>
                  <w:vAlign w:val="center"/>
                  <w:hideMark/>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+114</w:t>
                  </w:r>
                </w:p>
              </w:tc>
            </w:tr>
            <w:tr w:rsidRPr="00D25E9D" w:rsidR="00BC4020" w:rsidTr="00CA1AD3">
              <w:trPr>
                <w:jc w:val="center"/>
              </w:trPr>
              <w:tc>
                <w:tcPr>
                  <w:tcW w:w="1322" w:type="pct"/>
                  <w:vAlign w:val="center"/>
                  <w:hideMark/>
                </w:tcPr>
                <w:p w:rsidRPr="00D25E9D" w:rsidR="00BC4020" w:rsidP="00CA1AD3"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Kopējais koncertu skaits gadā</w:t>
                  </w:r>
                </w:p>
              </w:tc>
              <w:tc>
                <w:tcPr>
                  <w:tcW w:w="1106" w:type="pct"/>
                  <w:vAlign w:val="center"/>
                  <w:hideMark/>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55</w:t>
                  </w:r>
                </w:p>
              </w:tc>
              <w:tc>
                <w:tcPr>
                  <w:tcW w:w="1158" w:type="pct"/>
                  <w:vAlign w:val="center"/>
                  <w:hideMark/>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82</w:t>
                  </w:r>
                </w:p>
              </w:tc>
              <w:tc>
                <w:tcPr>
                  <w:tcW w:w="1275" w:type="pct"/>
                  <w:vAlign w:val="center"/>
                  <w:hideMark/>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+27</w:t>
                  </w:r>
                </w:p>
              </w:tc>
            </w:tr>
            <w:tr w:rsidRPr="00D25E9D" w:rsidR="00BC4020" w:rsidTr="00CA1AD3">
              <w:trPr>
                <w:trHeight w:val="468"/>
                <w:jc w:val="center"/>
              </w:trPr>
              <w:tc>
                <w:tcPr>
                  <w:tcW w:w="1322" w:type="pct"/>
                  <w:vAlign w:val="center"/>
                  <w:hideMark/>
                </w:tcPr>
                <w:p w:rsidRPr="00D25E9D" w:rsidR="00BC4020" w:rsidP="00CA1AD3" w:rsidRDefault="00D833E0">
                  <w:pPr>
                    <w:tabs>
                      <w:tab w:val="center" w:pos="4153"/>
                      <w:tab w:val="right" w:pos="8306"/>
                    </w:tabs>
                    <w:spacing w:after="0" w:line="240" w:lineRule="auto"/>
                    <w:rPr>
                      <w:rFonts w:eastAsia="Times New Roman"/>
                      <w:bCs/>
                      <w:color w:val="000000" w:themeColor="text1"/>
                      <w:sz w:val="20"/>
                      <w:szCs w:val="20"/>
                    </w:rPr>
                  </w:pPr>
                  <w:r w:rsidRPr="00D25E9D">
                    <w:rPr>
                      <w:color w:val="000000" w:themeColor="text1"/>
                      <w:sz w:val="20"/>
                      <w:szCs w:val="20"/>
                    </w:rPr>
                    <w:t>Koncertu, kuros iekļauta latviešu mūzika, skaits gadā</w:t>
                  </w:r>
                </w:p>
              </w:tc>
              <w:tc>
                <w:tcPr>
                  <w:tcW w:w="1106" w:type="pct"/>
                  <w:vAlign w:val="center"/>
                  <w:hideMark/>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10</w:t>
                  </w:r>
                </w:p>
              </w:tc>
              <w:tc>
                <w:tcPr>
                  <w:tcW w:w="1158" w:type="pct"/>
                  <w:vAlign w:val="center"/>
                  <w:hideMark/>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41</w:t>
                  </w:r>
                </w:p>
              </w:tc>
              <w:tc>
                <w:tcPr>
                  <w:tcW w:w="1275" w:type="pct"/>
                  <w:vAlign w:val="center"/>
                  <w:hideMark/>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+31</w:t>
                  </w:r>
                </w:p>
              </w:tc>
            </w:tr>
            <w:tr w:rsidRPr="00D25E9D" w:rsidR="00BC4020" w:rsidTr="00CA1AD3">
              <w:trPr>
                <w:trHeight w:val="468"/>
                <w:jc w:val="center"/>
              </w:trPr>
              <w:tc>
                <w:tcPr>
                  <w:tcW w:w="1322" w:type="pct"/>
                  <w:vAlign w:val="center"/>
                  <w:hideMark/>
                </w:tcPr>
                <w:p w:rsidRPr="00D25E9D" w:rsidR="00BC4020" w:rsidP="00CA1AD3" w:rsidRDefault="00D833E0">
                  <w:pPr>
                    <w:tabs>
                      <w:tab w:val="center" w:pos="4153"/>
                      <w:tab w:val="right" w:pos="8306"/>
                    </w:tabs>
                    <w:spacing w:after="0" w:line="240" w:lineRule="auto"/>
                    <w:rPr>
                      <w:rFonts w:eastAsia="Times New Roman"/>
                      <w:b/>
                      <w:bCs/>
                      <w:color w:val="000000" w:themeColor="text1"/>
                      <w:sz w:val="20"/>
                      <w:szCs w:val="20"/>
                    </w:rPr>
                  </w:pPr>
                  <w:r w:rsidRPr="00D25E9D">
                    <w:rPr>
                      <w:color w:val="000000" w:themeColor="text1"/>
                      <w:sz w:val="20"/>
                      <w:szCs w:val="20"/>
                    </w:rPr>
                    <w:t>Apmeklētība koncertzāles telpās (skatītāju kopskaits uz kopējo vietu skaitu %)</w:t>
                  </w:r>
                </w:p>
              </w:tc>
              <w:tc>
                <w:tcPr>
                  <w:tcW w:w="1106" w:type="pct"/>
                  <w:vAlign w:val="center"/>
                  <w:hideMark/>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70</w:t>
                  </w:r>
                </w:p>
              </w:tc>
              <w:tc>
                <w:tcPr>
                  <w:tcW w:w="1158" w:type="pct"/>
                  <w:vAlign w:val="center"/>
                  <w:hideMark/>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78</w:t>
                  </w:r>
                </w:p>
              </w:tc>
              <w:tc>
                <w:tcPr>
                  <w:tcW w:w="1275" w:type="pct"/>
                  <w:vAlign w:val="center"/>
                  <w:hideMark/>
                </w:tcPr>
                <w:p w:rsidRPr="00D25E9D" w:rsidR="00BC4020" w:rsidP="00BC4020" w:rsidRDefault="00D833E0">
                  <w:pPr>
                    <w:tabs>
                      <w:tab w:val="center" w:pos="4153"/>
                      <w:tab w:val="right" w:pos="8306"/>
                    </w:tabs>
                    <w:spacing w:after="0" w:line="240" w:lineRule="auto"/>
                    <w:rPr>
                      <w:rFonts w:eastAsia="Times New Roman"/>
                      <w:color w:val="000000" w:themeColor="text1"/>
                      <w:sz w:val="20"/>
                      <w:szCs w:val="20"/>
                    </w:rPr>
                  </w:pPr>
                  <w:r w:rsidRPr="00D25E9D">
                    <w:rPr>
                      <w:rFonts w:eastAsia="Times New Roman"/>
                      <w:color w:val="000000" w:themeColor="text1"/>
                      <w:sz w:val="20"/>
                      <w:szCs w:val="20"/>
                    </w:rPr>
                    <w:t>+8</w:t>
                  </w:r>
                </w:p>
              </w:tc>
            </w:tr>
          </w:tbl>
          <w:p w:rsidR="00BC4020" w:rsidP="00AA49AA" w:rsidRDefault="00BC4020">
            <w:pPr>
              <w:spacing w:after="0" w:line="240" w:lineRule="auto"/>
              <w:jc w:val="both"/>
              <w:rPr>
                <w:sz w:val="28"/>
                <w:szCs w:val="28"/>
              </w:rPr>
            </w:pPr>
          </w:p>
          <w:p w:rsidRPr="008C10AF" w:rsidR="00B10C76" w:rsidP="00AA49AA" w:rsidRDefault="00B10C76">
            <w:pPr>
              <w:spacing w:after="0" w:line="240" w:lineRule="auto"/>
              <w:jc w:val="both"/>
              <w:rPr>
                <w:sz w:val="28"/>
                <w:szCs w:val="28"/>
              </w:rPr>
            </w:pPr>
          </w:p>
          <w:p w:rsidR="006A46DD" w:rsidP="00B10C76" w:rsidRDefault="006A46DD">
            <w:pPr>
              <w:spacing w:after="0" w:line="240" w:lineRule="auto"/>
              <w:ind w:left="127"/>
              <w:jc w:val="both"/>
              <w:rPr>
                <w:sz w:val="28"/>
                <w:szCs w:val="28"/>
              </w:rPr>
            </w:pPr>
            <w:r w:rsidRPr="008C10AF">
              <w:rPr>
                <w:sz w:val="28"/>
                <w:szCs w:val="28"/>
              </w:rPr>
              <w:t xml:space="preserve">Ar kapitālsabiedrību, pamatojoties uz Kultūras institūciju likuma 23.panta otro daļu, </w:t>
            </w:r>
            <w:r w:rsidRPr="008C10AF">
              <w:rPr>
                <w:rFonts w:eastAsia="Arial Unicode MS"/>
                <w:sz w:val="28"/>
                <w:szCs w:val="28"/>
              </w:rPr>
              <w:t xml:space="preserve">2015.gada </w:t>
            </w:r>
            <w:r w:rsidRPr="008C10AF" w:rsidR="00AA49AA">
              <w:rPr>
                <w:rFonts w:eastAsia="Arial Unicode MS"/>
                <w:sz w:val="28"/>
                <w:szCs w:val="28"/>
              </w:rPr>
              <w:t>14</w:t>
            </w:r>
            <w:r w:rsidRPr="008C10AF">
              <w:rPr>
                <w:rFonts w:eastAsia="Arial Unicode MS"/>
                <w:sz w:val="28"/>
                <w:szCs w:val="28"/>
              </w:rPr>
              <w:t>.janvārī noslēgts līdzdarbības līgums Nr.5.1.-8-</w:t>
            </w:r>
            <w:r w:rsidRPr="008C10AF" w:rsidR="00AA49AA">
              <w:rPr>
                <w:rFonts w:eastAsia="Arial Unicode MS"/>
                <w:sz w:val="28"/>
                <w:szCs w:val="28"/>
              </w:rPr>
              <w:t>12</w:t>
            </w:r>
            <w:r w:rsidRPr="008C10AF">
              <w:rPr>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sabiedrības vajadzībām nodrošināt un padarīt pieejamus profesionālās mākslas produktus – </w:t>
            </w:r>
            <w:r w:rsidRPr="008C10AF" w:rsidR="00AA49AA">
              <w:rPr>
                <w:sz w:val="28"/>
                <w:szCs w:val="28"/>
              </w:rPr>
              <w:t>koncertus</w:t>
            </w:r>
            <w:r w:rsidRPr="008C10AF">
              <w:rPr>
                <w:sz w:val="28"/>
                <w:szCs w:val="28"/>
              </w:rPr>
              <w:t xml:space="preserve">. </w:t>
            </w:r>
          </w:p>
          <w:p w:rsidRPr="008C10AF" w:rsidR="008100A7" w:rsidP="008100A7" w:rsidRDefault="008100A7">
            <w:pPr>
              <w:spacing w:after="0" w:line="240" w:lineRule="auto"/>
              <w:ind w:left="127" w:right="140"/>
              <w:jc w:val="both"/>
              <w:rPr>
                <w:sz w:val="28"/>
                <w:szCs w:val="28"/>
              </w:rPr>
            </w:pPr>
          </w:p>
          <w:p w:rsidR="008100A7" w:rsidP="00B10C76" w:rsidRDefault="008100A7">
            <w:pPr>
              <w:spacing w:after="0" w:line="240" w:lineRule="auto"/>
              <w:ind w:left="127"/>
              <w:jc w:val="both"/>
              <w:rPr>
                <w:sz w:val="28"/>
                <w:szCs w:val="28"/>
              </w:rPr>
            </w:pPr>
            <w:r w:rsidRPr="008C10AF">
              <w:rPr>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8C10AF">
              <w:rPr>
                <w:bCs/>
                <w:sz w:val="28"/>
                <w:szCs w:val="28"/>
              </w:rPr>
              <w:t>izņēmums, kas paredzēts gan Līgumā par Eiropas Savienības darbību, gan tiek plaši piemērots Eiropas Savienības dalībvalstu praksē.</w:t>
            </w:r>
            <w:r w:rsidRPr="008C10AF">
              <w:rPr>
                <w:b/>
                <w:bCs/>
                <w:sz w:val="28"/>
                <w:szCs w:val="28"/>
              </w:rPr>
              <w:t xml:space="preserve"> </w:t>
            </w:r>
            <w:r w:rsidRPr="008C10AF">
              <w:rPr>
                <w:sz w:val="28"/>
                <w:szCs w:val="28"/>
              </w:rPr>
              <w:t>Līguma par Eiropas Savienības darbību 167.pants paredz, ka „Savienība veicina dalībvalstu kultūru uzplaukumu, respektējot to nacionālās un reģionālās atšķirības un vienlaikus pievēršot uzmanību</w:t>
            </w:r>
            <w:r>
              <w:rPr>
                <w:sz w:val="28"/>
                <w:szCs w:val="28"/>
              </w:rPr>
              <w:t xml:space="preserve"> kopīgajam kultūras mantojumam. </w:t>
            </w:r>
            <w:r w:rsidRPr="008C10AF">
              <w:rPr>
                <w:sz w:val="28"/>
                <w:szCs w:val="28"/>
              </w:rPr>
              <w:t>(..)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8C10AF">
              <w:rPr>
                <w:i/>
                <w:sz w:val="28"/>
                <w:szCs w:val="28"/>
              </w:rPr>
              <w:t xml:space="preserve"> </w:t>
            </w:r>
            <w:r w:rsidRPr="008C10AF">
              <w:rPr>
                <w:sz w:val="28"/>
                <w:szCs w:val="28"/>
              </w:rPr>
              <w:t>(2016/c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8C10AF">
              <w:rPr>
                <w:i/>
                <w:sz w:val="28"/>
                <w:szCs w:val="28"/>
              </w:rPr>
              <w:t>daļa no faktiskajām izmaksām</w:t>
            </w:r>
            <w:r>
              <w:rPr>
                <w:sz w:val="28"/>
                <w:szCs w:val="28"/>
              </w:rPr>
              <w:t>” ir ne vairāk kā 50 </w:t>
            </w:r>
            <w:r w:rsidRPr="008C10AF">
              <w:rPr>
                <w:sz w:val="28"/>
                <w:szCs w:val="28"/>
              </w:rPr>
              <w:t>procentus no kopējiem kultūras iestādes izdevumiem (biļešu ieņēmumi, maksas pakalpojumu u.c. pašu ieņēmumi</w:t>
            </w:r>
          </w:p>
          <w:p w:rsidRPr="008C10AF" w:rsidR="008100A7" w:rsidP="009B0360" w:rsidRDefault="008100A7">
            <w:pPr>
              <w:spacing w:after="0" w:line="240" w:lineRule="auto"/>
              <w:ind w:left="127" w:right="140"/>
              <w:jc w:val="both"/>
              <w:rPr>
                <w:sz w:val="28"/>
                <w:szCs w:val="28"/>
              </w:rPr>
            </w:pPr>
          </w:p>
          <w:p w:rsidRPr="008100A7" w:rsidR="006A46DD" w:rsidP="00B10C76" w:rsidRDefault="006A46DD">
            <w:pPr>
              <w:pStyle w:val="Default"/>
              <w:ind w:left="127"/>
              <w:jc w:val="both"/>
              <w:rPr>
                <w:rFonts w:eastAsia="Calibri"/>
                <w:color w:val="auto"/>
                <w:sz w:val="28"/>
                <w:szCs w:val="28"/>
              </w:rPr>
            </w:pPr>
            <w:r w:rsidRPr="008C10AF">
              <w:rPr>
                <w:color w:val="auto"/>
                <w:sz w:val="28"/>
                <w:szCs w:val="28"/>
              </w:rPr>
              <w:t xml:space="preserve">Saskaņā ar 2016.gada darbības rādītājiem kapitālsabiedrības pašu ieņēmumi no saimnieciskās darbības, tai skaitā no biļešu tirdzniecības, </w:t>
            </w:r>
            <w:r w:rsidRPr="00D25E9D">
              <w:rPr>
                <w:color w:val="auto"/>
                <w:sz w:val="28"/>
                <w:szCs w:val="28"/>
              </w:rPr>
              <w:t xml:space="preserve">2016.gadā bija </w:t>
            </w:r>
            <w:r w:rsidRPr="00D25E9D" w:rsidR="00AA49AA">
              <w:rPr>
                <w:color w:val="auto"/>
                <w:sz w:val="28"/>
                <w:szCs w:val="28"/>
              </w:rPr>
              <w:t>625 959</w:t>
            </w:r>
            <w:r w:rsidRPr="00D25E9D" w:rsidR="00AA49AA">
              <w:rPr>
                <w:color w:val="auto"/>
              </w:rPr>
              <w:t xml:space="preserve"> </w:t>
            </w:r>
            <w:r w:rsidRPr="00D25E9D">
              <w:rPr>
                <w:i/>
                <w:color w:val="auto"/>
                <w:sz w:val="28"/>
                <w:szCs w:val="28"/>
              </w:rPr>
              <w:t>euro</w:t>
            </w:r>
            <w:r w:rsidRPr="00D25E9D">
              <w:rPr>
                <w:color w:val="auto"/>
                <w:sz w:val="28"/>
                <w:szCs w:val="28"/>
              </w:rPr>
              <w:t xml:space="preserve">, kas veidoja </w:t>
            </w:r>
            <w:r w:rsidRPr="00D25E9D" w:rsidR="006B1575">
              <w:rPr>
                <w:color w:val="auto"/>
                <w:sz w:val="28"/>
                <w:szCs w:val="28"/>
              </w:rPr>
              <w:t>24,0%</w:t>
            </w:r>
            <w:r w:rsidRPr="00D25E9D">
              <w:rPr>
                <w:color w:val="auto"/>
                <w:sz w:val="28"/>
                <w:szCs w:val="28"/>
              </w:rPr>
              <w:t xml:space="preserve"> no kopējiem kapitālsabiedrības izdevumiem kultūras pakalpojumu pieejamības nodrošināšanā. Savukārt dotācija no valsts pamatbudžeta bija </w:t>
            </w:r>
            <w:r w:rsidRPr="00D25E9D" w:rsidR="00AA49AA">
              <w:rPr>
                <w:color w:val="auto"/>
                <w:sz w:val="28"/>
                <w:szCs w:val="28"/>
              </w:rPr>
              <w:t>1 935 587</w:t>
            </w:r>
            <w:r w:rsidRPr="00D25E9D" w:rsidR="00AA49AA">
              <w:rPr>
                <w:color w:val="auto"/>
              </w:rPr>
              <w:t xml:space="preserve"> </w:t>
            </w:r>
            <w:r w:rsidRPr="00D25E9D">
              <w:rPr>
                <w:i/>
                <w:color w:val="auto"/>
                <w:sz w:val="28"/>
                <w:szCs w:val="28"/>
              </w:rPr>
              <w:t>euro</w:t>
            </w:r>
            <w:r w:rsidRPr="00D25E9D" w:rsidR="008C10AF">
              <w:rPr>
                <w:color w:val="auto"/>
                <w:sz w:val="28"/>
                <w:szCs w:val="28"/>
              </w:rPr>
              <w:t xml:space="preserve"> </w:t>
            </w:r>
            <w:r w:rsidRPr="00D25E9D">
              <w:rPr>
                <w:color w:val="auto"/>
                <w:sz w:val="28"/>
                <w:szCs w:val="28"/>
              </w:rPr>
              <w:t xml:space="preserve">jeb </w:t>
            </w:r>
            <w:r w:rsidRPr="00D25E9D" w:rsidR="002C58FC">
              <w:rPr>
                <w:color w:val="auto"/>
                <w:sz w:val="28"/>
                <w:szCs w:val="28"/>
              </w:rPr>
              <w:t>74</w:t>
            </w:r>
            <w:r w:rsidR="002C58FC">
              <w:rPr>
                <w:color w:val="auto"/>
                <w:sz w:val="28"/>
                <w:szCs w:val="28"/>
              </w:rPr>
              <w:t>,4%</w:t>
            </w:r>
            <w:r w:rsidRPr="008C10AF">
              <w:rPr>
                <w:color w:val="auto"/>
                <w:sz w:val="28"/>
                <w:szCs w:val="28"/>
              </w:rPr>
              <w:t xml:space="preserve"> no kopējiem kapitālsabiedrības izdevumiem kultūras pakalpojumu pieejamības nodrošināšanā.</w:t>
            </w:r>
            <w:r w:rsidR="00FF6E7D">
              <w:rPr>
                <w:color w:val="1F497D"/>
              </w:rPr>
              <w:t xml:space="preserve"> </w:t>
            </w:r>
            <w:r w:rsidRPr="008100A7" w:rsidR="00FF1993">
              <w:rPr>
                <w:color w:val="auto"/>
                <w:sz w:val="28"/>
                <w:szCs w:val="28"/>
              </w:rPr>
              <w:t>Ņemot vērā iepriekš minēto, kapitālsabiedrība nav uzskatāma par saimnieciskās darbības veicēju, jo tās pašu ieņēmumi nepārsniedz 50% no kopējiem izdevumiem, un tādēļ komercdarbības atbalstu regulējošās tiesību normas nav jāpiemēro.</w:t>
            </w:r>
          </w:p>
          <w:p w:rsidR="00D25E9D" w:rsidP="007B1F52" w:rsidRDefault="00D25E9D">
            <w:pPr>
              <w:spacing w:after="0" w:line="240" w:lineRule="auto"/>
              <w:ind w:left="127" w:right="140"/>
              <w:jc w:val="both"/>
              <w:rPr>
                <w:sz w:val="28"/>
                <w:szCs w:val="28"/>
                <w:highlight w:val="yellow"/>
              </w:rPr>
            </w:pPr>
          </w:p>
          <w:p w:rsidR="004F351E" w:rsidP="00B10C76" w:rsidRDefault="007B1F52">
            <w:pPr>
              <w:pStyle w:val="Kjene"/>
              <w:tabs>
                <w:tab w:val="left" w:pos="851"/>
              </w:tabs>
              <w:spacing w:before="120" w:after="120" w:line="240" w:lineRule="auto"/>
              <w:ind w:left="142"/>
              <w:jc w:val="both"/>
              <w:rPr>
                <w:szCs w:val="24"/>
              </w:rPr>
            </w:pPr>
            <w:r w:rsidRPr="00D25E9D">
              <w:rPr>
                <w:sz w:val="28"/>
                <w:szCs w:val="28"/>
              </w:rPr>
              <w:t>Sakarā ar to, ka dividenžu izmaksa var radīt draudus kapitālsabiedrības finanšu stabilitātei (pašu kapitāls kļūs mazāks par pamatkapitālu), Kultūras ministrija ierosina Ministru kabinetam pieņemt lēmumu, ka kapitālsabiedrības 201</w:t>
            </w:r>
            <w:r w:rsidRPr="00D25E9D" w:rsidR="009B0360">
              <w:rPr>
                <w:sz w:val="28"/>
                <w:szCs w:val="28"/>
              </w:rPr>
              <w:t>6</w:t>
            </w:r>
            <w:r w:rsidRPr="00D25E9D">
              <w:rPr>
                <w:sz w:val="28"/>
                <w:szCs w:val="28"/>
              </w:rPr>
              <w:t>.pārskata gada peļņa netiek izmaksāta dividendēs, t.i., tiek noteikta atšķirīga dividendēs izmaksājamā peļņas daļa 0</w:t>
            </w:r>
            <w:r w:rsidR="00D25E9D">
              <w:rPr>
                <w:sz w:val="28"/>
                <w:szCs w:val="28"/>
              </w:rPr>
              <w:t xml:space="preserve"> </w:t>
            </w:r>
            <w:r w:rsidRPr="00D25E9D">
              <w:rPr>
                <w:sz w:val="28"/>
                <w:szCs w:val="28"/>
              </w:rPr>
              <w:t>% apmērā</w:t>
            </w:r>
            <w:r w:rsidR="003F2F99">
              <w:rPr>
                <w:sz w:val="28"/>
                <w:szCs w:val="28"/>
              </w:rPr>
              <w:t>.</w:t>
            </w:r>
          </w:p>
        </w:tc>
      </w:tr>
      <w:tr w:rsidRPr="008C10AF" w:rsidR="006A46DD" w:rsidTr="003F2F99">
        <w:trPr>
          <w:trHeight w:val="735"/>
          <w:tblCellSpacing w:w="20" w:type="dxa"/>
        </w:trPr>
        <w:tc>
          <w:tcPr>
            <w:tcW w:w="316" w:type="pct"/>
          </w:tcPr>
          <w:p w:rsidRPr="008C10AF" w:rsidR="006A46DD" w:rsidP="003254A8" w:rsidRDefault="006A46DD">
            <w:pPr>
              <w:spacing w:after="0" w:line="240" w:lineRule="auto"/>
              <w:jc w:val="center"/>
              <w:rPr>
                <w:rFonts w:eastAsia="Times New Roman"/>
                <w:sz w:val="28"/>
                <w:szCs w:val="28"/>
                <w:lang w:eastAsia="lv-LV"/>
              </w:rPr>
            </w:pPr>
            <w:r w:rsidRPr="008C10AF">
              <w:rPr>
                <w:rFonts w:eastAsia="Times New Roman"/>
                <w:sz w:val="28"/>
                <w:szCs w:val="28"/>
                <w:lang w:eastAsia="lv-LV"/>
              </w:rPr>
              <w:t>3.</w:t>
            </w:r>
          </w:p>
        </w:tc>
        <w:tc>
          <w:tcPr>
            <w:tcW w:w="1641" w:type="pct"/>
          </w:tcPr>
          <w:p w:rsidRPr="008C10AF" w:rsidR="006A46DD" w:rsidP="003254A8" w:rsidRDefault="006A46DD">
            <w:pPr>
              <w:spacing w:after="0" w:line="240" w:lineRule="auto"/>
              <w:rPr>
                <w:rFonts w:eastAsia="Times New Roman"/>
                <w:sz w:val="28"/>
                <w:szCs w:val="28"/>
                <w:lang w:eastAsia="lv-LV"/>
              </w:rPr>
            </w:pPr>
            <w:r w:rsidRPr="008C10AF">
              <w:rPr>
                <w:rFonts w:eastAsia="Times New Roman"/>
                <w:sz w:val="28"/>
                <w:szCs w:val="28"/>
                <w:lang w:eastAsia="lv-LV"/>
              </w:rPr>
              <w:t>Projekta izstrādē iesaistītās institūcijas</w:t>
            </w:r>
          </w:p>
        </w:tc>
        <w:tc>
          <w:tcPr>
            <w:tcW w:w="3043" w:type="pct"/>
          </w:tcPr>
          <w:p w:rsidRPr="008C10AF" w:rsidR="006A46DD" w:rsidP="00B10C76" w:rsidRDefault="006A46DD">
            <w:pPr>
              <w:spacing w:after="0" w:line="240" w:lineRule="auto"/>
              <w:ind w:left="127" w:right="-12"/>
              <w:jc w:val="both"/>
              <w:rPr>
                <w:rFonts w:eastAsia="Times New Roman"/>
                <w:sz w:val="28"/>
                <w:szCs w:val="28"/>
                <w:lang w:eastAsia="lv-LV"/>
              </w:rPr>
            </w:pPr>
            <w:r w:rsidRPr="008C10AF">
              <w:rPr>
                <w:rFonts w:eastAsia="Times New Roman"/>
                <w:sz w:val="28"/>
                <w:szCs w:val="28"/>
                <w:lang w:eastAsia="lv-LV"/>
              </w:rPr>
              <w:t xml:space="preserve">Kultūras ministrija, </w:t>
            </w:r>
            <w:r w:rsidRPr="008C10AF" w:rsidR="007C227D">
              <w:rPr>
                <w:bCs/>
                <w:sz w:val="28"/>
                <w:szCs w:val="28"/>
                <w:lang w:eastAsia="lv-LV"/>
              </w:rPr>
              <w:t>valsts sabiedrība ar ierobežotu atbildību „</w:t>
            </w:r>
            <w:r w:rsidRPr="008C10AF" w:rsidR="007C227D">
              <w:rPr>
                <w:sz w:val="28"/>
                <w:szCs w:val="28"/>
              </w:rPr>
              <w:t>Latvijas Nacionālais simfoniskais orķestris</w:t>
            </w:r>
            <w:r w:rsidR="007B1F52">
              <w:rPr>
                <w:sz w:val="28"/>
                <w:szCs w:val="28"/>
              </w:rPr>
              <w:t>”</w:t>
            </w:r>
            <w:r w:rsidRPr="008C10AF">
              <w:rPr>
                <w:rFonts w:eastAsia="Times New Roman"/>
                <w:sz w:val="28"/>
                <w:szCs w:val="28"/>
                <w:lang w:eastAsia="lv-LV"/>
              </w:rPr>
              <w:t>.</w:t>
            </w:r>
          </w:p>
        </w:tc>
      </w:tr>
      <w:tr w:rsidRPr="008C10AF" w:rsidR="006A46DD" w:rsidTr="003F2F99">
        <w:trPr>
          <w:trHeight w:val="242"/>
          <w:tblCellSpacing w:w="20" w:type="dxa"/>
        </w:trPr>
        <w:tc>
          <w:tcPr>
            <w:tcW w:w="316" w:type="pct"/>
          </w:tcPr>
          <w:p w:rsidRPr="008C10AF" w:rsidR="006A46DD" w:rsidP="003254A8" w:rsidRDefault="006A46DD">
            <w:pPr>
              <w:spacing w:after="0" w:line="240" w:lineRule="auto"/>
              <w:jc w:val="center"/>
              <w:rPr>
                <w:rFonts w:eastAsia="Times New Roman"/>
                <w:sz w:val="28"/>
                <w:szCs w:val="28"/>
                <w:lang w:eastAsia="lv-LV"/>
              </w:rPr>
            </w:pPr>
            <w:r w:rsidRPr="008C10AF">
              <w:rPr>
                <w:rFonts w:eastAsia="Times New Roman"/>
                <w:sz w:val="28"/>
                <w:szCs w:val="28"/>
                <w:lang w:eastAsia="lv-LV"/>
              </w:rPr>
              <w:t>4.</w:t>
            </w:r>
          </w:p>
        </w:tc>
        <w:tc>
          <w:tcPr>
            <w:tcW w:w="1641" w:type="pct"/>
          </w:tcPr>
          <w:p w:rsidRPr="008C10AF" w:rsidR="006A46DD" w:rsidP="003254A8" w:rsidRDefault="006A46DD">
            <w:pPr>
              <w:spacing w:after="0" w:line="240" w:lineRule="auto"/>
              <w:rPr>
                <w:rFonts w:eastAsia="Times New Roman"/>
                <w:sz w:val="28"/>
                <w:szCs w:val="28"/>
                <w:lang w:eastAsia="lv-LV"/>
              </w:rPr>
            </w:pPr>
            <w:r w:rsidRPr="008C10AF">
              <w:rPr>
                <w:rFonts w:eastAsia="Times New Roman"/>
                <w:sz w:val="28"/>
                <w:szCs w:val="28"/>
                <w:lang w:eastAsia="lv-LV"/>
              </w:rPr>
              <w:t> Cita informācija</w:t>
            </w:r>
          </w:p>
        </w:tc>
        <w:tc>
          <w:tcPr>
            <w:tcW w:w="3043" w:type="pct"/>
          </w:tcPr>
          <w:p w:rsidRPr="008C10AF" w:rsidR="006A46DD" w:rsidP="003254A8" w:rsidRDefault="006A46DD">
            <w:pPr>
              <w:spacing w:after="0" w:line="240" w:lineRule="auto"/>
              <w:ind w:left="127"/>
              <w:rPr>
                <w:rFonts w:eastAsia="Times New Roman"/>
                <w:sz w:val="28"/>
                <w:szCs w:val="28"/>
                <w:lang w:eastAsia="lv-LV"/>
              </w:rPr>
            </w:pPr>
            <w:r w:rsidRPr="008C10AF">
              <w:rPr>
                <w:rFonts w:eastAsia="Times New Roman"/>
                <w:sz w:val="28"/>
                <w:szCs w:val="28"/>
                <w:lang w:eastAsia="lv-LV"/>
              </w:rPr>
              <w:t>Nav</w:t>
            </w:r>
          </w:p>
        </w:tc>
      </w:tr>
    </w:tbl>
    <w:p w:rsidRPr="008C10AF" w:rsidR="006A46DD" w:rsidP="006A46DD" w:rsidRDefault="006A46DD">
      <w:pPr>
        <w:spacing w:after="0" w:line="240" w:lineRule="auto"/>
        <w:ind w:firstLine="374"/>
        <w:jc w:val="both"/>
        <w:rPr>
          <w:rFonts w:eastAsia="Times New Roman"/>
          <w:sz w:val="28"/>
          <w:szCs w:val="28"/>
          <w:lang w:eastAsia="lv-LV"/>
        </w:rPr>
      </w:pPr>
    </w:p>
    <w:tbl>
      <w:tblPr>
        <w:tblStyle w:val="Reatabula"/>
        <w:tblW w:w="4942" w:type="pct"/>
        <w:tblInd w:w="108" w:type="dxa"/>
        <w:tblLook w:val="04A0"/>
      </w:tblPr>
      <w:tblGrid>
        <w:gridCol w:w="9179"/>
      </w:tblGrid>
      <w:tr w:rsidRPr="00CA2046" w:rsidR="003F2F99" w:rsidTr="003F2F99">
        <w:trPr>
          <w:trHeight w:val="360"/>
        </w:trPr>
        <w:tc>
          <w:tcPr>
            <w:tcW w:w="5000" w:type="pct"/>
            <w:hideMark/>
          </w:tcPr>
          <w:p w:rsidRPr="009778FA" w:rsidR="003F2F99" w:rsidP="00C119D2" w:rsidRDefault="006A46DD">
            <w:pPr>
              <w:ind w:firstLine="301"/>
              <w:jc w:val="center"/>
              <w:rPr>
                <w:b/>
                <w:bCs/>
                <w:sz w:val="28"/>
                <w:szCs w:val="28"/>
              </w:rPr>
            </w:pPr>
            <w:r w:rsidRPr="008C10AF">
              <w:rPr>
                <w:rFonts w:eastAsia="Times New Roman"/>
                <w:sz w:val="28"/>
                <w:szCs w:val="28"/>
                <w:lang w:eastAsia="lv-LV"/>
              </w:rPr>
              <w:t> </w:t>
            </w:r>
            <w:r w:rsidRPr="009778FA" w:rsidR="003F2F99">
              <w:rPr>
                <w:b/>
                <w:bCs/>
                <w:sz w:val="28"/>
                <w:szCs w:val="28"/>
              </w:rPr>
              <w:t>II. Tiesību akta projekta ietekme uz sabiedrību, tautsaimniecības attīstību un administratīvo slogu</w:t>
            </w:r>
          </w:p>
        </w:tc>
      </w:tr>
      <w:tr w:rsidRPr="00CA2046" w:rsidR="003F2F99" w:rsidTr="003F2F99">
        <w:trPr>
          <w:trHeight w:val="419"/>
        </w:trPr>
        <w:tc>
          <w:tcPr>
            <w:tcW w:w="5000" w:type="pct"/>
            <w:vAlign w:val="center"/>
          </w:tcPr>
          <w:p w:rsidRPr="009778FA" w:rsidR="003F2F99" w:rsidP="00C119D2" w:rsidRDefault="003F2F99">
            <w:pPr>
              <w:ind w:firstLine="301"/>
              <w:jc w:val="center"/>
              <w:rPr>
                <w:sz w:val="28"/>
                <w:szCs w:val="28"/>
              </w:rPr>
            </w:pPr>
            <w:r w:rsidRPr="009778FA">
              <w:rPr>
                <w:sz w:val="28"/>
                <w:szCs w:val="28"/>
              </w:rPr>
              <w:t>Projekts šo jomu neskar.</w:t>
            </w:r>
          </w:p>
        </w:tc>
      </w:tr>
    </w:tbl>
    <w:p w:rsidRPr="008C10AF" w:rsidR="006A46DD" w:rsidP="006A46DD" w:rsidRDefault="006A46DD">
      <w:pPr>
        <w:spacing w:after="0" w:line="240" w:lineRule="auto"/>
        <w:ind w:firstLine="374"/>
        <w:jc w:val="both"/>
        <w:rPr>
          <w:rFonts w:eastAsia="Times New Roman"/>
          <w:i/>
          <w:sz w:val="28"/>
          <w:szCs w:val="28"/>
          <w:lang w:eastAsia="lv-LV"/>
        </w:rPr>
      </w:pPr>
    </w:p>
    <w:tbl>
      <w:tblPr>
        <w:tblW w:w="5074" w:type="pct"/>
        <w:tblBorders>
          <w:top w:val="outset" w:color="auto" w:sz="6" w:space="0"/>
          <w:left w:val="outset" w:color="auto" w:sz="6" w:space="0"/>
          <w:bottom w:val="outset" w:color="auto" w:sz="6" w:space="0"/>
          <w:right w:val="outset" w:color="auto" w:sz="6" w:space="0"/>
        </w:tblBorders>
        <w:tblCellMar>
          <w:left w:w="0" w:type="dxa"/>
          <w:right w:w="0" w:type="dxa"/>
        </w:tblCellMar>
        <w:tblLook w:val="0000"/>
      </w:tblPr>
      <w:tblGrid>
        <w:gridCol w:w="1758"/>
        <w:gridCol w:w="1912"/>
        <w:gridCol w:w="1158"/>
        <w:gridCol w:w="1418"/>
        <w:gridCol w:w="1418"/>
        <w:gridCol w:w="1557"/>
      </w:tblGrid>
      <w:tr w:rsidRPr="008C10AF" w:rsidR="006A46DD" w:rsidTr="003F2F99">
        <w:tc>
          <w:tcPr>
            <w:tcW w:w="5000" w:type="pct"/>
            <w:gridSpan w:val="6"/>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150" w:after="150" w:line="240" w:lineRule="auto"/>
              <w:jc w:val="center"/>
              <w:rPr>
                <w:rFonts w:eastAsia="Times New Roman"/>
                <w:b/>
                <w:bCs/>
                <w:sz w:val="28"/>
                <w:szCs w:val="28"/>
                <w:lang w:eastAsia="lv-LV"/>
              </w:rPr>
            </w:pPr>
            <w:r w:rsidRPr="008C10AF">
              <w:rPr>
                <w:rFonts w:eastAsia="Times New Roman"/>
                <w:b/>
                <w:bCs/>
                <w:sz w:val="28"/>
                <w:szCs w:val="28"/>
                <w:lang w:eastAsia="lv-LV"/>
              </w:rPr>
              <w:t>III. Tiesību akta projekta ietekme uz valsts budžetu un pašvaldību budžetiem</w:t>
            </w:r>
          </w:p>
        </w:tc>
      </w:tr>
      <w:tr w:rsidRPr="008C10AF" w:rsidR="006A46DD" w:rsidTr="003F2F99">
        <w:tc>
          <w:tcPr>
            <w:tcW w:w="953" w:type="pct"/>
            <w:vMerge w:val="restart"/>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 </w:t>
            </w:r>
            <w:r w:rsidRPr="008C10AF">
              <w:rPr>
                <w:rFonts w:eastAsia="Times New Roman"/>
                <w:b/>
                <w:bCs/>
                <w:sz w:val="28"/>
                <w:szCs w:val="28"/>
                <w:lang w:eastAsia="lv-LV"/>
              </w:rPr>
              <w:t>Rādītāji</w:t>
            </w:r>
          </w:p>
        </w:tc>
        <w:tc>
          <w:tcPr>
            <w:tcW w:w="1665" w:type="pct"/>
            <w:gridSpan w:val="2"/>
            <w:vMerge w:val="restart"/>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b/>
                <w:sz w:val="28"/>
                <w:szCs w:val="28"/>
                <w:lang w:eastAsia="lv-LV"/>
              </w:rPr>
              <w:t>2017.</w:t>
            </w:r>
            <w:r w:rsidRPr="008C10AF">
              <w:rPr>
                <w:rFonts w:eastAsia="Times New Roman"/>
                <w:b/>
                <w:bCs/>
                <w:sz w:val="28"/>
                <w:szCs w:val="28"/>
                <w:lang w:eastAsia="lv-LV"/>
              </w:rPr>
              <w:t>gads</w:t>
            </w:r>
          </w:p>
        </w:tc>
        <w:tc>
          <w:tcPr>
            <w:tcW w:w="2382" w:type="pct"/>
            <w:gridSpan w:val="3"/>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 Turpmākie trīs gadi (</w:t>
            </w:r>
            <w:r w:rsidRPr="008C10AF">
              <w:rPr>
                <w:rFonts w:eastAsia="Times New Roman"/>
                <w:i/>
                <w:sz w:val="28"/>
                <w:szCs w:val="28"/>
                <w:lang w:eastAsia="lv-LV"/>
              </w:rPr>
              <w:t>euro</w:t>
            </w:r>
            <w:r w:rsidRPr="008C10AF">
              <w:rPr>
                <w:rFonts w:eastAsia="Times New Roman"/>
                <w:sz w:val="28"/>
                <w:szCs w:val="28"/>
                <w:lang w:eastAsia="lv-LV"/>
              </w:rPr>
              <w:t>)</w:t>
            </w:r>
          </w:p>
        </w:tc>
      </w:tr>
      <w:tr w:rsidRPr="008C10AF" w:rsidR="00D25E9D" w:rsidTr="003F2F99">
        <w:tc>
          <w:tcPr>
            <w:tcW w:w="953" w:type="pct"/>
            <w:vMerge/>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after="0" w:line="240" w:lineRule="auto"/>
              <w:rPr>
                <w:rFonts w:eastAsia="Times New Roman"/>
                <w:sz w:val="28"/>
                <w:szCs w:val="28"/>
                <w:lang w:eastAsia="lv-LV"/>
              </w:rPr>
            </w:pPr>
          </w:p>
        </w:tc>
        <w:tc>
          <w:tcPr>
            <w:tcW w:w="1665" w:type="pct"/>
            <w:gridSpan w:val="2"/>
            <w:vMerge/>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after="0" w:line="240" w:lineRule="auto"/>
              <w:rPr>
                <w:rFonts w:eastAsia="Times New Roman"/>
                <w:sz w:val="28"/>
                <w:szCs w:val="28"/>
                <w:lang w:eastAsia="lv-LV"/>
              </w:rPr>
            </w:pPr>
          </w:p>
        </w:tc>
        <w:tc>
          <w:tcPr>
            <w:tcW w:w="769" w:type="pct"/>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150" w:after="150" w:line="240" w:lineRule="auto"/>
              <w:jc w:val="center"/>
              <w:rPr>
                <w:rFonts w:eastAsia="Times New Roman"/>
                <w:b/>
                <w:bCs/>
                <w:sz w:val="28"/>
                <w:szCs w:val="28"/>
                <w:lang w:eastAsia="lv-LV"/>
              </w:rPr>
            </w:pPr>
            <w:r w:rsidRPr="008C10AF">
              <w:rPr>
                <w:rFonts w:eastAsia="Times New Roman"/>
                <w:b/>
                <w:bCs/>
                <w:sz w:val="28"/>
                <w:szCs w:val="28"/>
                <w:lang w:eastAsia="lv-LV"/>
              </w:rPr>
              <w:t>2018.gads</w:t>
            </w:r>
          </w:p>
        </w:tc>
        <w:tc>
          <w:tcPr>
            <w:tcW w:w="769" w:type="pct"/>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150" w:after="150" w:line="240" w:lineRule="auto"/>
              <w:jc w:val="center"/>
              <w:rPr>
                <w:rFonts w:eastAsia="Times New Roman"/>
                <w:b/>
                <w:bCs/>
                <w:sz w:val="28"/>
                <w:szCs w:val="28"/>
                <w:lang w:eastAsia="lv-LV"/>
              </w:rPr>
            </w:pPr>
            <w:r w:rsidRPr="008C10AF">
              <w:rPr>
                <w:rFonts w:eastAsia="Times New Roman"/>
                <w:b/>
                <w:bCs/>
                <w:sz w:val="28"/>
                <w:szCs w:val="28"/>
                <w:lang w:eastAsia="lv-LV"/>
              </w:rPr>
              <w:t>2019.gads</w:t>
            </w:r>
          </w:p>
        </w:tc>
        <w:tc>
          <w:tcPr>
            <w:tcW w:w="844" w:type="pct"/>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150" w:after="150" w:line="240" w:lineRule="auto"/>
              <w:jc w:val="center"/>
              <w:rPr>
                <w:rFonts w:eastAsia="Times New Roman"/>
                <w:b/>
                <w:bCs/>
                <w:sz w:val="28"/>
                <w:szCs w:val="28"/>
                <w:lang w:eastAsia="lv-LV"/>
              </w:rPr>
            </w:pPr>
            <w:r w:rsidRPr="008C10AF">
              <w:rPr>
                <w:rFonts w:eastAsia="Times New Roman"/>
                <w:b/>
                <w:bCs/>
                <w:sz w:val="28"/>
                <w:szCs w:val="28"/>
                <w:lang w:eastAsia="lv-LV"/>
              </w:rPr>
              <w:t>2020.gads</w:t>
            </w:r>
          </w:p>
        </w:tc>
      </w:tr>
      <w:tr w:rsidRPr="008C10AF" w:rsidR="00D25E9D" w:rsidTr="003F2F99">
        <w:tc>
          <w:tcPr>
            <w:tcW w:w="953" w:type="pct"/>
            <w:vMerge/>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after="0" w:line="240" w:lineRule="auto"/>
              <w:rPr>
                <w:rFonts w:eastAsia="Times New Roman"/>
                <w:sz w:val="28"/>
                <w:szCs w:val="28"/>
                <w:lang w:eastAsia="lv-LV"/>
              </w:rPr>
            </w:pPr>
          </w:p>
        </w:tc>
        <w:tc>
          <w:tcPr>
            <w:tcW w:w="1037" w:type="pct"/>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 Saskaņā ar valsts budžetu kārtējam gadam</w:t>
            </w:r>
          </w:p>
        </w:tc>
        <w:tc>
          <w:tcPr>
            <w:tcW w:w="628" w:type="pct"/>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 Izmaiņas kārtējā gadā, salīdzinot ar budžetu kārtējam gadam</w:t>
            </w:r>
          </w:p>
        </w:tc>
        <w:tc>
          <w:tcPr>
            <w:tcW w:w="769" w:type="pct"/>
            <w:tcBorders>
              <w:top w:val="outset" w:color="auto" w:sz="6" w:space="0"/>
              <w:left w:val="outset" w:color="auto" w:sz="6" w:space="0"/>
              <w:bottom w:val="outset" w:color="auto" w:sz="6" w:space="0"/>
              <w:right w:val="outset" w:color="auto" w:sz="6" w:space="0"/>
            </w:tcBorders>
            <w:vAlign w:val="center"/>
          </w:tcPr>
          <w:p w:rsidR="003F2F99" w:rsidP="003F2F99" w:rsidRDefault="006A46DD">
            <w:pPr>
              <w:spacing w:after="0" w:line="240" w:lineRule="auto"/>
              <w:jc w:val="center"/>
              <w:rPr>
                <w:rFonts w:eastAsia="Times New Roman"/>
                <w:sz w:val="28"/>
                <w:szCs w:val="28"/>
                <w:lang w:eastAsia="lv-LV"/>
              </w:rPr>
            </w:pPr>
            <w:r w:rsidRPr="008C10AF">
              <w:rPr>
                <w:rFonts w:eastAsia="Times New Roman"/>
                <w:sz w:val="28"/>
                <w:szCs w:val="28"/>
                <w:lang w:eastAsia="lv-LV"/>
              </w:rPr>
              <w:t xml:space="preserve"> Izmaiņas salīdzinot ar kārtējo (2017) </w:t>
            </w:r>
          </w:p>
          <w:p w:rsidRPr="008C10AF" w:rsidR="006A46DD" w:rsidP="003F2F99" w:rsidRDefault="006A46DD">
            <w:pPr>
              <w:spacing w:after="0" w:line="240" w:lineRule="auto"/>
              <w:jc w:val="center"/>
              <w:rPr>
                <w:rFonts w:eastAsia="Times New Roman"/>
                <w:sz w:val="28"/>
                <w:szCs w:val="28"/>
                <w:lang w:eastAsia="lv-LV"/>
              </w:rPr>
            </w:pPr>
            <w:r w:rsidRPr="008C10AF">
              <w:rPr>
                <w:rFonts w:eastAsia="Times New Roman"/>
                <w:sz w:val="28"/>
                <w:szCs w:val="28"/>
                <w:lang w:eastAsia="lv-LV"/>
              </w:rPr>
              <w:t>gadu</w:t>
            </w:r>
          </w:p>
        </w:tc>
        <w:tc>
          <w:tcPr>
            <w:tcW w:w="769" w:type="pct"/>
            <w:tcBorders>
              <w:top w:val="outset" w:color="auto" w:sz="6" w:space="0"/>
              <w:left w:val="outset" w:color="auto" w:sz="6" w:space="0"/>
              <w:bottom w:val="outset" w:color="auto" w:sz="6" w:space="0"/>
              <w:right w:val="outset" w:color="auto" w:sz="6" w:space="0"/>
            </w:tcBorders>
            <w:vAlign w:val="center"/>
          </w:tcPr>
          <w:p w:rsidR="003F2F99" w:rsidP="003F2F99" w:rsidRDefault="006A46DD">
            <w:pPr>
              <w:spacing w:after="0" w:line="240" w:lineRule="auto"/>
              <w:jc w:val="center"/>
              <w:rPr>
                <w:rFonts w:eastAsia="Times New Roman"/>
                <w:sz w:val="28"/>
                <w:szCs w:val="28"/>
                <w:lang w:eastAsia="lv-LV"/>
              </w:rPr>
            </w:pPr>
            <w:r w:rsidRPr="008C10AF">
              <w:rPr>
                <w:rFonts w:eastAsia="Times New Roman"/>
                <w:sz w:val="28"/>
                <w:szCs w:val="28"/>
                <w:lang w:eastAsia="lv-LV"/>
              </w:rPr>
              <w:t xml:space="preserve"> Izmaiņas, salīdzinot ar kārtējo (2017) </w:t>
            </w:r>
          </w:p>
          <w:p w:rsidRPr="008C10AF" w:rsidR="006A46DD" w:rsidP="003F2F99" w:rsidRDefault="006A46DD">
            <w:pPr>
              <w:spacing w:after="0" w:line="240" w:lineRule="auto"/>
              <w:jc w:val="center"/>
              <w:rPr>
                <w:rFonts w:eastAsia="Times New Roman"/>
                <w:sz w:val="28"/>
                <w:szCs w:val="28"/>
                <w:lang w:eastAsia="lv-LV"/>
              </w:rPr>
            </w:pPr>
            <w:r w:rsidRPr="008C10AF">
              <w:rPr>
                <w:rFonts w:eastAsia="Times New Roman"/>
                <w:sz w:val="28"/>
                <w:szCs w:val="28"/>
                <w:lang w:eastAsia="lv-LV"/>
              </w:rPr>
              <w:t>gadu</w:t>
            </w:r>
          </w:p>
        </w:tc>
        <w:tc>
          <w:tcPr>
            <w:tcW w:w="844" w:type="pct"/>
            <w:tcBorders>
              <w:top w:val="outset" w:color="auto" w:sz="6" w:space="0"/>
              <w:left w:val="outset" w:color="auto" w:sz="6" w:space="0"/>
              <w:bottom w:val="outset" w:color="auto" w:sz="6" w:space="0"/>
              <w:right w:val="outset" w:color="auto" w:sz="6" w:space="0"/>
            </w:tcBorders>
            <w:vAlign w:val="center"/>
          </w:tcPr>
          <w:p w:rsidR="00D25E9D" w:rsidP="003F2F99" w:rsidRDefault="006A46DD">
            <w:pPr>
              <w:spacing w:after="0" w:line="240" w:lineRule="auto"/>
              <w:jc w:val="center"/>
              <w:rPr>
                <w:rFonts w:eastAsia="Times New Roman"/>
                <w:sz w:val="28"/>
                <w:szCs w:val="28"/>
                <w:lang w:eastAsia="lv-LV"/>
              </w:rPr>
            </w:pPr>
            <w:r w:rsidRPr="008C10AF">
              <w:rPr>
                <w:rFonts w:eastAsia="Times New Roman"/>
                <w:sz w:val="28"/>
                <w:szCs w:val="28"/>
                <w:lang w:eastAsia="lv-LV"/>
              </w:rPr>
              <w:t xml:space="preserve"> Izmaiņas, salīdzinot ar kārtējo (2017) </w:t>
            </w:r>
          </w:p>
          <w:p w:rsidRPr="008C10AF" w:rsidR="006A46DD" w:rsidP="003F2F99" w:rsidRDefault="006A46DD">
            <w:pPr>
              <w:spacing w:after="0" w:line="240" w:lineRule="auto"/>
              <w:jc w:val="center"/>
              <w:rPr>
                <w:rFonts w:eastAsia="Times New Roman"/>
                <w:sz w:val="28"/>
                <w:szCs w:val="28"/>
                <w:lang w:eastAsia="lv-LV"/>
              </w:rPr>
            </w:pPr>
            <w:r w:rsidRPr="008C10AF">
              <w:rPr>
                <w:rFonts w:eastAsia="Times New Roman"/>
                <w:sz w:val="28"/>
                <w:szCs w:val="28"/>
                <w:lang w:eastAsia="lv-LV"/>
              </w:rPr>
              <w:t>gadu</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 1</w:t>
            </w:r>
          </w:p>
        </w:tc>
        <w:tc>
          <w:tcPr>
            <w:tcW w:w="1037" w:type="pct"/>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 2</w:t>
            </w:r>
          </w:p>
        </w:tc>
        <w:tc>
          <w:tcPr>
            <w:tcW w:w="628" w:type="pct"/>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 3</w:t>
            </w:r>
          </w:p>
        </w:tc>
        <w:tc>
          <w:tcPr>
            <w:tcW w:w="769" w:type="pct"/>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 4</w:t>
            </w:r>
          </w:p>
        </w:tc>
        <w:tc>
          <w:tcPr>
            <w:tcW w:w="769" w:type="pct"/>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 5</w:t>
            </w:r>
          </w:p>
        </w:tc>
        <w:tc>
          <w:tcPr>
            <w:tcW w:w="844" w:type="pct"/>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 6</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1. Budžeta ieņēmumi:</w:t>
            </w:r>
          </w:p>
        </w:tc>
        <w:tc>
          <w:tcPr>
            <w:tcW w:w="1037"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both"/>
              <w:rPr>
                <w:rFonts w:eastAsia="Times New Roman"/>
                <w:sz w:val="28"/>
                <w:szCs w:val="28"/>
                <w:highlight w:val="yellow"/>
                <w:lang w:eastAsia="lv-LV"/>
              </w:rPr>
            </w:pPr>
            <w:r w:rsidRPr="008C10AF">
              <w:rPr>
                <w:rFonts w:eastAsia="Times New Roman"/>
                <w:sz w:val="28"/>
                <w:szCs w:val="28"/>
                <w:lang w:eastAsia="lv-LV"/>
              </w:rPr>
              <w:t>162 478 303</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383001">
            <w:pPr>
              <w:tabs>
                <w:tab w:val="center" w:pos="4153"/>
                <w:tab w:val="right" w:pos="8306"/>
              </w:tabs>
              <w:spacing w:before="75" w:after="75" w:line="240" w:lineRule="auto"/>
              <w:jc w:val="center"/>
              <w:rPr>
                <w:rFonts w:eastAsia="Times New Roman"/>
                <w:sz w:val="28"/>
                <w:szCs w:val="28"/>
                <w:lang w:eastAsia="lv-LV"/>
              </w:rPr>
            </w:pPr>
            <w:r>
              <w:rPr>
                <w:sz w:val="28"/>
                <w:szCs w:val="28"/>
              </w:rPr>
              <w:t>-</w:t>
            </w:r>
            <w:r w:rsidRPr="008C10AF">
              <w:rPr>
                <w:sz w:val="28"/>
                <w:szCs w:val="28"/>
              </w:rPr>
              <w:t>24 772</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sz w:val="28"/>
                <w:szCs w:val="28"/>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sz w:val="28"/>
                <w:szCs w:val="28"/>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sz w:val="28"/>
                <w:szCs w:val="28"/>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1.1. valsts pamatbudžets, tai skaitā ieņēmumi no maksas pakalpojumiem un citi pašu ieņēmumi</w:t>
            </w:r>
          </w:p>
        </w:tc>
        <w:tc>
          <w:tcPr>
            <w:tcW w:w="1037"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both"/>
              <w:rPr>
                <w:rFonts w:eastAsia="Times New Roman"/>
                <w:sz w:val="28"/>
                <w:szCs w:val="28"/>
                <w:highlight w:val="yellow"/>
                <w:lang w:eastAsia="lv-LV"/>
              </w:rPr>
            </w:pPr>
            <w:r w:rsidRPr="008C10AF">
              <w:rPr>
                <w:rFonts w:eastAsia="Times New Roman"/>
                <w:sz w:val="28"/>
                <w:szCs w:val="28"/>
                <w:lang w:eastAsia="lv-LV"/>
              </w:rPr>
              <w:t>162 478 303</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w:t>
            </w:r>
            <w:r w:rsidRPr="008C10AF" w:rsidR="00383001">
              <w:rPr>
                <w:sz w:val="28"/>
                <w:szCs w:val="28"/>
              </w:rPr>
              <w:t>24 772</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sz w:val="28"/>
                <w:szCs w:val="28"/>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sz w:val="28"/>
                <w:szCs w:val="28"/>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sz w:val="28"/>
                <w:szCs w:val="28"/>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1.2. valsts speciālais budžets</w:t>
            </w:r>
          </w:p>
        </w:tc>
        <w:tc>
          <w:tcPr>
            <w:tcW w:w="1037"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12"/>
              <w:jc w:val="center"/>
              <w:rPr>
                <w:rFonts w:eastAsia="Times New Roman"/>
                <w:sz w:val="28"/>
                <w:szCs w:val="28"/>
                <w:lang w:eastAsia="lv-LV"/>
              </w:rPr>
            </w:pPr>
            <w:r w:rsidRPr="008C10AF">
              <w:rPr>
                <w:rFonts w:eastAsia="Times New Roman"/>
                <w:sz w:val="28"/>
                <w:szCs w:val="28"/>
                <w:lang w:eastAsia="lv-LV"/>
              </w:rPr>
              <w:t>0</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1.3. pašvaldību budžets</w:t>
            </w:r>
          </w:p>
        </w:tc>
        <w:tc>
          <w:tcPr>
            <w:tcW w:w="1037"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0</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2. Budžeta izdevumi:</w:t>
            </w:r>
          </w:p>
        </w:tc>
        <w:tc>
          <w:tcPr>
            <w:tcW w:w="1037"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0</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2.1. valsts pamatbudžets</w:t>
            </w:r>
          </w:p>
        </w:tc>
        <w:tc>
          <w:tcPr>
            <w:tcW w:w="1037"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0</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tabs>
                <w:tab w:val="left" w:pos="510"/>
                <w:tab w:val="center" w:pos="624"/>
              </w:tabs>
              <w:spacing w:before="75" w:after="75" w:line="240" w:lineRule="auto"/>
              <w:jc w:val="center"/>
              <w:rPr>
                <w:rFonts w:eastAsia="Times New Roman"/>
                <w:sz w:val="28"/>
                <w:szCs w:val="28"/>
                <w:lang w:eastAsia="lv-LV"/>
              </w:rP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2.2. valsts speciālais budžets</w:t>
            </w:r>
          </w:p>
        </w:tc>
        <w:tc>
          <w:tcPr>
            <w:tcW w:w="1037" w:type="pct"/>
            <w:tcBorders>
              <w:top w:val="outset" w:color="auto" w:sz="6" w:space="0"/>
              <w:left w:val="outset" w:color="auto" w:sz="6" w:space="0"/>
              <w:bottom w:val="outset" w:color="auto" w:sz="6" w:space="0"/>
              <w:right w:val="outset" w:color="auto" w:sz="6" w:space="0"/>
            </w:tcBorders>
          </w:tcPr>
          <w:p w:rsidR="004F351E"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0</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50"/>
              <w:jc w:val="center"/>
              <w:rPr>
                <w:rFonts w:eastAsia="Times New Roman"/>
                <w:sz w:val="28"/>
                <w:szCs w:val="28"/>
                <w:lang w:eastAsia="lv-LV"/>
              </w:rP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2.3. pašvaldību budžets</w:t>
            </w:r>
          </w:p>
        </w:tc>
        <w:tc>
          <w:tcPr>
            <w:tcW w:w="1037"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12"/>
              <w:jc w:val="center"/>
              <w:rPr>
                <w:rFonts w:eastAsia="Times New Roman"/>
                <w:sz w:val="28"/>
                <w:szCs w:val="28"/>
                <w:lang w:eastAsia="lv-LV"/>
              </w:rPr>
            </w:pPr>
            <w:r w:rsidRPr="008C10AF">
              <w:rPr>
                <w:rFonts w:eastAsia="Times New Roman"/>
                <w:sz w:val="28"/>
                <w:szCs w:val="28"/>
                <w:lang w:eastAsia="lv-LV"/>
              </w:rPr>
              <w:t>0</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50"/>
              <w:jc w:val="center"/>
              <w:rPr>
                <w:rFonts w:eastAsia="Times New Roman"/>
                <w:sz w:val="28"/>
                <w:szCs w:val="28"/>
                <w:lang w:eastAsia="lv-LV"/>
              </w:rP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3. Finansiālā ietekme:</w:t>
            </w:r>
          </w:p>
        </w:tc>
        <w:tc>
          <w:tcPr>
            <w:tcW w:w="1037"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tabs>
                <w:tab w:val="center" w:pos="4153"/>
                <w:tab w:val="right" w:pos="8306"/>
              </w:tabs>
              <w:spacing w:before="75" w:after="75" w:line="240" w:lineRule="auto"/>
              <w:jc w:val="center"/>
              <w:rPr>
                <w:rFonts w:eastAsia="Times New Roman"/>
                <w:sz w:val="28"/>
                <w:szCs w:val="28"/>
                <w:highlight w:val="yellow"/>
                <w:lang w:eastAsia="lv-LV"/>
              </w:rPr>
            </w:pPr>
            <w:r w:rsidRPr="008C10AF">
              <w:rPr>
                <w:rFonts w:eastAsia="Times New Roman"/>
                <w:sz w:val="28"/>
                <w:szCs w:val="28"/>
                <w:lang w:eastAsia="lv-LV"/>
              </w:rPr>
              <w:t>162 478 303</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w:t>
            </w:r>
            <w:r w:rsidRPr="008C10AF" w:rsidR="00383001">
              <w:rPr>
                <w:sz w:val="28"/>
                <w:szCs w:val="28"/>
              </w:rPr>
              <w:t>24 772</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sz w:val="28"/>
                <w:szCs w:val="28"/>
              </w:rPr>
            </w:pPr>
            <w:r w:rsidRPr="008C10AF">
              <w:rPr>
                <w:sz w:val="28"/>
                <w:szCs w:val="28"/>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sz w:val="28"/>
                <w:szCs w:val="28"/>
              </w:rPr>
            </w:pPr>
            <w:r w:rsidRPr="008C10AF">
              <w:rPr>
                <w:sz w:val="28"/>
                <w:szCs w:val="28"/>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sz w:val="28"/>
                <w:szCs w:val="28"/>
              </w:rPr>
            </w:pPr>
            <w:r w:rsidRPr="008C10AF">
              <w:rPr>
                <w:sz w:val="28"/>
                <w:szCs w:val="28"/>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3.1. valsts pamatbudžets</w:t>
            </w:r>
          </w:p>
        </w:tc>
        <w:tc>
          <w:tcPr>
            <w:tcW w:w="1037"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tabs>
                <w:tab w:val="center" w:pos="4153"/>
                <w:tab w:val="right" w:pos="8306"/>
              </w:tabs>
              <w:spacing w:before="75" w:after="75" w:line="240" w:lineRule="auto"/>
              <w:jc w:val="center"/>
              <w:rPr>
                <w:rFonts w:eastAsia="Times New Roman"/>
                <w:sz w:val="28"/>
                <w:szCs w:val="28"/>
                <w:highlight w:val="yellow"/>
                <w:lang w:eastAsia="lv-LV"/>
              </w:rPr>
            </w:pPr>
            <w:r w:rsidRPr="008C10AF">
              <w:rPr>
                <w:rFonts w:eastAsia="Times New Roman"/>
                <w:sz w:val="28"/>
                <w:szCs w:val="28"/>
                <w:lang w:eastAsia="lv-LV"/>
              </w:rPr>
              <w:t>162 478 303</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w:t>
            </w:r>
            <w:r w:rsidRPr="008C10AF" w:rsidR="00383001">
              <w:rPr>
                <w:sz w:val="28"/>
                <w:szCs w:val="28"/>
              </w:rPr>
              <w:t>24 772</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sz w:val="28"/>
                <w:szCs w:val="28"/>
              </w:rPr>
            </w:pPr>
            <w:r w:rsidRPr="008C10AF">
              <w:rPr>
                <w:sz w:val="28"/>
                <w:szCs w:val="28"/>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sz w:val="28"/>
                <w:szCs w:val="28"/>
              </w:rPr>
            </w:pPr>
            <w:r w:rsidRPr="008C10AF">
              <w:rPr>
                <w:sz w:val="28"/>
                <w:szCs w:val="28"/>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sz w:val="28"/>
                <w:szCs w:val="28"/>
              </w:rPr>
            </w:pPr>
            <w:r w:rsidRPr="008C10AF">
              <w:rPr>
                <w:sz w:val="28"/>
                <w:szCs w:val="28"/>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3.2. speciālais budžets</w:t>
            </w:r>
          </w:p>
        </w:tc>
        <w:tc>
          <w:tcPr>
            <w:tcW w:w="1037"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61"/>
              <w:jc w:val="center"/>
              <w:rPr>
                <w:rFonts w:eastAsia="Times New Roman"/>
                <w:sz w:val="28"/>
                <w:szCs w:val="28"/>
                <w:lang w:eastAsia="lv-LV"/>
              </w:rPr>
            </w:pPr>
            <w:r w:rsidRPr="008C10AF">
              <w:rPr>
                <w:rFonts w:eastAsia="Times New Roman"/>
                <w:sz w:val="28"/>
                <w:szCs w:val="28"/>
                <w:lang w:eastAsia="lv-LV"/>
              </w:rPr>
              <w:t>0</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65"/>
              <w:jc w:val="center"/>
              <w:rPr>
                <w:rFonts w:eastAsia="Times New Roman"/>
                <w:sz w:val="28"/>
                <w:szCs w:val="28"/>
                <w:lang w:eastAsia="lv-LV"/>
              </w:rP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3.3. pašvaldību budžets</w:t>
            </w:r>
          </w:p>
        </w:tc>
        <w:tc>
          <w:tcPr>
            <w:tcW w:w="1037"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0</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65"/>
              <w:jc w:val="center"/>
              <w:rPr>
                <w:rFonts w:eastAsia="Times New Roman"/>
                <w:sz w:val="28"/>
                <w:szCs w:val="28"/>
                <w:lang w:eastAsia="lv-LV"/>
              </w:rP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vMerge w:val="restar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4. Finanšu līdzekļi papildu izde</w:t>
            </w:r>
            <w:r w:rsidRPr="008C10AF">
              <w:rPr>
                <w:rFonts w:eastAsia="Times New Roman"/>
                <w:sz w:val="28"/>
                <w:szCs w:val="28"/>
                <w:lang w:eastAsia="lv-LV"/>
              </w:rPr>
              <w:softHyphen/>
              <w:t>vumu finansēšanai (kompensējošu izdevumu samazinājumu norāda ar "+" zīmi)</w:t>
            </w:r>
          </w:p>
        </w:tc>
        <w:tc>
          <w:tcPr>
            <w:tcW w:w="1037" w:type="pct"/>
            <w:vMerge w:val="restar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 X</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375"/>
              <w:jc w:val="both"/>
              <w:rPr>
                <w:rFonts w:eastAsia="Times New Roman"/>
                <w:sz w:val="28"/>
                <w:szCs w:val="28"/>
                <w:lang w:eastAsia="lv-LV"/>
              </w:rPr>
            </w:pPr>
            <w:r w:rsidRPr="008C10AF">
              <w:rPr>
                <w:rFonts w:eastAsia="Times New Roman"/>
                <w:sz w:val="28"/>
                <w:szCs w:val="28"/>
                <w:lang w:eastAsia="lv-LV"/>
              </w:rPr>
              <w:t>  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vMerge/>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after="0" w:line="240" w:lineRule="auto"/>
              <w:rPr>
                <w:rFonts w:eastAsia="Times New Roman"/>
                <w:sz w:val="28"/>
                <w:szCs w:val="28"/>
                <w:lang w:eastAsia="lv-LV"/>
              </w:rPr>
            </w:pPr>
          </w:p>
        </w:tc>
        <w:tc>
          <w:tcPr>
            <w:tcW w:w="1037" w:type="pct"/>
            <w:vMerge/>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after="0" w:line="240" w:lineRule="auto"/>
              <w:rPr>
                <w:rFonts w:eastAsia="Times New Roman"/>
                <w:sz w:val="28"/>
                <w:szCs w:val="28"/>
                <w:lang w:eastAsia="lv-LV"/>
              </w:rPr>
            </w:pP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375"/>
              <w:jc w:val="both"/>
              <w:rPr>
                <w:rFonts w:eastAsia="Times New Roman"/>
                <w:sz w:val="28"/>
                <w:szCs w:val="28"/>
                <w:lang w:eastAsia="lv-LV"/>
              </w:rPr>
            </w:pPr>
            <w:r w:rsidRPr="008C10AF">
              <w:rPr>
                <w:rFonts w:eastAsia="Times New Roman"/>
                <w:sz w:val="28"/>
                <w:szCs w:val="28"/>
                <w:lang w:eastAsia="lv-LV"/>
              </w:rPr>
              <w:t>  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vMerge/>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after="0" w:line="240" w:lineRule="auto"/>
              <w:rPr>
                <w:rFonts w:eastAsia="Times New Roman"/>
                <w:sz w:val="28"/>
                <w:szCs w:val="28"/>
                <w:lang w:eastAsia="lv-LV"/>
              </w:rPr>
            </w:pPr>
          </w:p>
        </w:tc>
        <w:tc>
          <w:tcPr>
            <w:tcW w:w="1037" w:type="pct"/>
            <w:vMerge/>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after="0" w:line="240" w:lineRule="auto"/>
              <w:rPr>
                <w:rFonts w:eastAsia="Times New Roman"/>
                <w:sz w:val="28"/>
                <w:szCs w:val="28"/>
                <w:lang w:eastAsia="lv-LV"/>
              </w:rPr>
            </w:pP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375"/>
              <w:jc w:val="both"/>
              <w:rPr>
                <w:rFonts w:eastAsia="Times New Roman"/>
                <w:sz w:val="28"/>
                <w:szCs w:val="28"/>
                <w:lang w:eastAsia="lv-LV"/>
              </w:rPr>
            </w:pPr>
            <w:r w:rsidRPr="008C10AF">
              <w:rPr>
                <w:rFonts w:eastAsia="Times New Roman"/>
                <w:sz w:val="28"/>
                <w:szCs w:val="28"/>
                <w:lang w:eastAsia="lv-LV"/>
              </w:rPr>
              <w:t>  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5. Precizēta finansiālā ietekme:</w:t>
            </w:r>
          </w:p>
        </w:tc>
        <w:tc>
          <w:tcPr>
            <w:tcW w:w="1037" w:type="pct"/>
            <w:vMerge w:val="restar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center"/>
              <w:rPr>
                <w:rFonts w:eastAsia="Times New Roman"/>
                <w:sz w:val="28"/>
                <w:szCs w:val="28"/>
                <w:lang w:eastAsia="lv-LV"/>
              </w:rPr>
            </w:pPr>
            <w:r w:rsidRPr="008C10AF">
              <w:rPr>
                <w:rFonts w:eastAsia="Times New Roman"/>
                <w:sz w:val="28"/>
                <w:szCs w:val="28"/>
                <w:lang w:eastAsia="lv-LV"/>
              </w:rPr>
              <w:t> X</w:t>
            </w: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375"/>
              <w:jc w:val="both"/>
              <w:rPr>
                <w:rFonts w:eastAsia="Times New Roman"/>
                <w:sz w:val="28"/>
                <w:szCs w:val="28"/>
                <w:lang w:eastAsia="lv-LV"/>
              </w:rPr>
            </w:pPr>
            <w:r w:rsidRPr="008C10AF">
              <w:rPr>
                <w:rFonts w:eastAsia="Times New Roman"/>
                <w:sz w:val="28"/>
                <w:szCs w:val="28"/>
                <w:lang w:eastAsia="lv-LV"/>
              </w:rPr>
              <w:t>  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5.1. valsts pamatbudžets</w:t>
            </w:r>
          </w:p>
        </w:tc>
        <w:tc>
          <w:tcPr>
            <w:tcW w:w="1037" w:type="pct"/>
            <w:vMerge/>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after="0" w:line="240" w:lineRule="auto"/>
              <w:rPr>
                <w:rFonts w:eastAsia="Times New Roman"/>
                <w:sz w:val="28"/>
                <w:szCs w:val="28"/>
                <w:lang w:eastAsia="lv-LV"/>
              </w:rPr>
            </w:pP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375"/>
              <w:jc w:val="both"/>
              <w:rPr>
                <w:rFonts w:eastAsia="Times New Roman"/>
                <w:sz w:val="28"/>
                <w:szCs w:val="28"/>
                <w:lang w:eastAsia="lv-LV"/>
              </w:rPr>
            </w:pPr>
            <w:r w:rsidRPr="008C10AF">
              <w:rPr>
                <w:rFonts w:eastAsia="Times New Roman"/>
                <w:sz w:val="28"/>
                <w:szCs w:val="28"/>
                <w:lang w:eastAsia="lv-LV"/>
              </w:rPr>
              <w:t>  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5.2. speciālais budžets</w:t>
            </w:r>
          </w:p>
        </w:tc>
        <w:tc>
          <w:tcPr>
            <w:tcW w:w="1037" w:type="pct"/>
            <w:vMerge/>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after="0" w:line="240" w:lineRule="auto"/>
              <w:rPr>
                <w:rFonts w:eastAsia="Times New Roman"/>
                <w:sz w:val="28"/>
                <w:szCs w:val="28"/>
                <w:lang w:eastAsia="lv-LV"/>
              </w:rPr>
            </w:pP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375"/>
              <w:jc w:val="both"/>
              <w:rPr>
                <w:rFonts w:eastAsia="Times New Roman"/>
                <w:sz w:val="28"/>
                <w:szCs w:val="28"/>
                <w:lang w:eastAsia="lv-LV"/>
              </w:rPr>
            </w:pPr>
            <w:r w:rsidRPr="008C10AF">
              <w:rPr>
                <w:rFonts w:eastAsia="Times New Roman"/>
                <w:sz w:val="28"/>
                <w:szCs w:val="28"/>
                <w:lang w:eastAsia="lv-LV"/>
              </w:rPr>
              <w:t>  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D25E9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5.3. pašvaldību budžets</w:t>
            </w:r>
          </w:p>
        </w:tc>
        <w:tc>
          <w:tcPr>
            <w:tcW w:w="1037" w:type="pct"/>
            <w:vMerge/>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after="0" w:line="240" w:lineRule="auto"/>
              <w:rPr>
                <w:rFonts w:eastAsia="Times New Roman"/>
                <w:sz w:val="28"/>
                <w:szCs w:val="28"/>
                <w:lang w:eastAsia="lv-LV"/>
              </w:rPr>
            </w:pPr>
          </w:p>
        </w:tc>
        <w:tc>
          <w:tcPr>
            <w:tcW w:w="628"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ind w:firstLine="375"/>
              <w:jc w:val="both"/>
              <w:rPr>
                <w:rFonts w:eastAsia="Times New Roman"/>
                <w:sz w:val="28"/>
                <w:szCs w:val="28"/>
                <w:lang w:eastAsia="lv-LV"/>
              </w:rPr>
            </w:pPr>
            <w:r w:rsidRPr="008C10AF">
              <w:rPr>
                <w:rFonts w:eastAsia="Times New Roman"/>
                <w:sz w:val="28"/>
                <w:szCs w:val="28"/>
                <w:lang w:eastAsia="lv-LV"/>
              </w:rPr>
              <w:t>  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769"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c>
          <w:tcPr>
            <w:tcW w:w="844"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jc w:val="center"/>
            </w:pPr>
            <w:r w:rsidRPr="008C10AF">
              <w:rPr>
                <w:rFonts w:eastAsia="Times New Roman"/>
                <w:sz w:val="28"/>
                <w:szCs w:val="28"/>
                <w:lang w:eastAsia="lv-LV"/>
              </w:rPr>
              <w:t>0</w:t>
            </w:r>
          </w:p>
        </w:tc>
      </w:tr>
      <w:tr w:rsidRPr="008C10AF" w:rsidR="006A46D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6. Detalizēts ieņēmumu un izdevumu aprēķins (ja nepieciešams, detalizētu ieņēmumu un izdevumu aprēķinu var pievienot anotācijas pielikumā):</w:t>
            </w:r>
          </w:p>
        </w:tc>
        <w:tc>
          <w:tcPr>
            <w:tcW w:w="4047" w:type="pct"/>
            <w:gridSpan w:val="5"/>
            <w:vMerge w:val="restar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jc w:val="both"/>
              <w:rPr>
                <w:rFonts w:eastAsia="Times New Roman"/>
                <w:sz w:val="28"/>
                <w:szCs w:val="28"/>
                <w:lang w:eastAsia="lv-LV"/>
              </w:rPr>
            </w:pPr>
            <w:r w:rsidRPr="008C10AF">
              <w:rPr>
                <w:sz w:val="28"/>
                <w:szCs w:val="28"/>
              </w:rPr>
              <w:t xml:space="preserve"> Projekts šo jomu neskar.</w:t>
            </w:r>
          </w:p>
        </w:tc>
      </w:tr>
      <w:tr w:rsidRPr="008C10AF" w:rsidR="006A46D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6.1. detalizēts ieņēmumu aprēķins</w:t>
            </w:r>
          </w:p>
        </w:tc>
        <w:tc>
          <w:tcPr>
            <w:tcW w:w="4047" w:type="pct"/>
            <w:gridSpan w:val="5"/>
            <w:vMerge/>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after="0" w:line="240" w:lineRule="auto"/>
              <w:rPr>
                <w:rFonts w:eastAsia="Times New Roman"/>
                <w:sz w:val="28"/>
                <w:szCs w:val="28"/>
                <w:lang w:eastAsia="lv-LV"/>
              </w:rPr>
            </w:pPr>
          </w:p>
        </w:tc>
      </w:tr>
      <w:tr w:rsidRPr="008C10AF" w:rsidR="006A46D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6.2. detalizēts izdevumu aprēķins</w:t>
            </w:r>
          </w:p>
        </w:tc>
        <w:tc>
          <w:tcPr>
            <w:tcW w:w="4047" w:type="pct"/>
            <w:gridSpan w:val="5"/>
            <w:vMerge/>
            <w:tcBorders>
              <w:top w:val="outset" w:color="auto" w:sz="6" w:space="0"/>
              <w:left w:val="outset" w:color="auto" w:sz="6" w:space="0"/>
              <w:bottom w:val="outset" w:color="auto" w:sz="6" w:space="0"/>
              <w:right w:val="outset" w:color="auto" w:sz="6" w:space="0"/>
            </w:tcBorders>
            <w:vAlign w:val="center"/>
          </w:tcPr>
          <w:p w:rsidRPr="008C10AF" w:rsidR="006A46DD" w:rsidP="003254A8" w:rsidRDefault="006A46DD">
            <w:pPr>
              <w:spacing w:after="0" w:line="240" w:lineRule="auto"/>
              <w:rPr>
                <w:rFonts w:eastAsia="Times New Roman"/>
                <w:sz w:val="28"/>
                <w:szCs w:val="28"/>
                <w:lang w:eastAsia="lv-LV"/>
              </w:rPr>
            </w:pPr>
          </w:p>
        </w:tc>
      </w:tr>
      <w:tr w:rsidRPr="008C10AF" w:rsidR="006A46DD" w:rsidTr="003F2F99">
        <w:tc>
          <w:tcPr>
            <w:tcW w:w="953" w:type="pct"/>
            <w:tcBorders>
              <w:top w:val="outset" w:color="auto" w:sz="6" w:space="0"/>
              <w:left w:val="outset" w:color="auto" w:sz="6" w:space="0"/>
              <w:bottom w:val="outset" w:color="auto" w:sz="6" w:space="0"/>
              <w:right w:val="outset" w:color="auto" w:sz="6" w:space="0"/>
            </w:tcBorders>
          </w:tcPr>
          <w:p w:rsidRPr="008C10AF" w:rsidR="006A46DD" w:rsidP="003254A8" w:rsidRDefault="006A46DD">
            <w:pPr>
              <w:spacing w:before="75" w:after="75" w:line="240" w:lineRule="auto"/>
              <w:rPr>
                <w:rFonts w:eastAsia="Times New Roman"/>
                <w:sz w:val="28"/>
                <w:szCs w:val="28"/>
                <w:lang w:eastAsia="lv-LV"/>
              </w:rPr>
            </w:pPr>
            <w:r w:rsidRPr="008C10AF">
              <w:rPr>
                <w:rFonts w:eastAsia="Times New Roman"/>
                <w:sz w:val="28"/>
                <w:szCs w:val="28"/>
                <w:lang w:eastAsia="lv-LV"/>
              </w:rPr>
              <w:t> 7. Cita informācija</w:t>
            </w:r>
          </w:p>
        </w:tc>
        <w:tc>
          <w:tcPr>
            <w:tcW w:w="4047" w:type="pct"/>
            <w:gridSpan w:val="5"/>
            <w:tcBorders>
              <w:top w:val="outset" w:color="auto" w:sz="6" w:space="0"/>
              <w:left w:val="outset" w:color="auto" w:sz="6" w:space="0"/>
              <w:bottom w:val="outset" w:color="auto" w:sz="6" w:space="0"/>
              <w:right w:val="outset" w:color="auto" w:sz="6" w:space="0"/>
            </w:tcBorders>
          </w:tcPr>
          <w:p w:rsidR="004F351E" w:rsidRDefault="00383001">
            <w:pPr>
              <w:spacing w:after="0" w:line="240" w:lineRule="auto"/>
              <w:ind w:right="147"/>
              <w:jc w:val="both"/>
              <w:rPr>
                <w:rFonts w:eastAsia="Times New Roman"/>
                <w:sz w:val="28"/>
                <w:szCs w:val="28"/>
                <w:lang w:eastAsia="lv-LV"/>
              </w:rPr>
            </w:pPr>
            <w:r w:rsidRPr="004E3FBA">
              <w:rPr>
                <w:rFonts w:eastAsia="Times New Roman"/>
                <w:sz w:val="28"/>
                <w:szCs w:val="28"/>
                <w:lang w:eastAsia="lv-LV"/>
              </w:rPr>
              <w:t xml:space="preserve">Pieņemot lēmumu par atšķirīgu dividendēs izmaksājamo summu (nosakot 0 % likmi), valsts budžetā netiktu pārskaitīta summa </w:t>
            </w:r>
            <w:r>
              <w:rPr>
                <w:sz w:val="28"/>
                <w:szCs w:val="28"/>
              </w:rPr>
              <w:t>24 772,40</w:t>
            </w:r>
            <w:r w:rsidRPr="004E3FBA">
              <w:rPr>
                <w:sz w:val="28"/>
                <w:szCs w:val="28"/>
              </w:rPr>
              <w:t xml:space="preserve"> </w:t>
            </w:r>
            <w:r w:rsidRPr="004E3FBA">
              <w:rPr>
                <w:i/>
                <w:sz w:val="28"/>
                <w:szCs w:val="28"/>
              </w:rPr>
              <w:t>euro</w:t>
            </w:r>
            <w:r w:rsidRPr="004E3FBA">
              <w:rPr>
                <w:rFonts w:eastAsia="Times New Roman"/>
                <w:sz w:val="28"/>
                <w:szCs w:val="28"/>
                <w:lang w:eastAsia="lv-LV"/>
              </w:rPr>
              <w:t xml:space="preserve"> apmērā, bet minētā summa paliktu kapitālsabiedrības rīcībā</w:t>
            </w:r>
            <w:r w:rsidR="007B1F52">
              <w:rPr>
                <w:rFonts w:eastAsia="Times New Roman"/>
                <w:sz w:val="28"/>
                <w:szCs w:val="28"/>
                <w:lang w:eastAsia="lv-LV"/>
              </w:rPr>
              <w:t>, nodrošinot tās finanšu stabilitāti un</w:t>
            </w:r>
            <w:r w:rsidRPr="004E3FBA">
              <w:rPr>
                <w:rFonts w:eastAsia="Times New Roman"/>
                <w:sz w:val="28"/>
                <w:szCs w:val="28"/>
                <w:lang w:eastAsia="lv-LV"/>
              </w:rPr>
              <w:t xml:space="preserve"> nepalielinot</w:t>
            </w:r>
            <w:r w:rsidRPr="00FC423D">
              <w:rPr>
                <w:rFonts w:eastAsia="Times New Roman"/>
                <w:sz w:val="28"/>
                <w:szCs w:val="28"/>
                <w:lang w:eastAsia="lv-LV"/>
              </w:rPr>
              <w:t xml:space="preserve"> kapitālsabiedrībai nepieciešamo valsts budžeta dotāciju 201</w:t>
            </w:r>
            <w:r w:rsidR="007B1F52">
              <w:rPr>
                <w:rFonts w:eastAsia="Times New Roman"/>
                <w:sz w:val="28"/>
                <w:szCs w:val="28"/>
                <w:lang w:eastAsia="lv-LV"/>
              </w:rPr>
              <w:t>7</w:t>
            </w:r>
            <w:r w:rsidRPr="00FC423D">
              <w:rPr>
                <w:rFonts w:eastAsia="Times New Roman"/>
                <w:sz w:val="28"/>
                <w:szCs w:val="28"/>
                <w:lang w:eastAsia="lv-LV"/>
              </w:rPr>
              <w:t xml:space="preserve">.gadā </w:t>
            </w:r>
            <w:r>
              <w:rPr>
                <w:sz w:val="28"/>
                <w:szCs w:val="28"/>
              </w:rPr>
              <w:t>deleģēto</w:t>
            </w:r>
            <w:r w:rsidRPr="006D686E">
              <w:rPr>
                <w:sz w:val="28"/>
                <w:szCs w:val="28"/>
              </w:rPr>
              <w:t xml:space="preserve"> </w:t>
            </w:r>
            <w:r>
              <w:rPr>
                <w:sz w:val="28"/>
                <w:szCs w:val="28"/>
              </w:rPr>
              <w:t>valsts pārvaldes uzdevumu</w:t>
            </w:r>
            <w:r w:rsidRPr="006D686E">
              <w:rPr>
                <w:sz w:val="28"/>
                <w:szCs w:val="28"/>
              </w:rPr>
              <w:t xml:space="preserve"> </w:t>
            </w:r>
            <w:r>
              <w:rPr>
                <w:rFonts w:eastAsia="Times New Roman"/>
                <w:sz w:val="28"/>
                <w:szCs w:val="28"/>
                <w:lang w:eastAsia="lv-LV"/>
              </w:rPr>
              <w:t>kultūras jomā</w:t>
            </w:r>
            <w:r w:rsidRPr="00FC423D">
              <w:rPr>
                <w:rFonts w:eastAsia="Times New Roman"/>
                <w:sz w:val="28"/>
                <w:szCs w:val="28"/>
                <w:lang w:eastAsia="lv-LV"/>
              </w:rPr>
              <w:t xml:space="preserve"> īstenošanai</w:t>
            </w:r>
            <w:r w:rsidR="006058BF">
              <w:rPr>
                <w:rFonts w:eastAsia="Times New Roman"/>
                <w:sz w:val="28"/>
                <w:szCs w:val="28"/>
                <w:lang w:eastAsia="lv-LV"/>
              </w:rPr>
              <w:t xml:space="preserve">. </w:t>
            </w:r>
            <w:r w:rsidR="00F30703">
              <w:rPr>
                <w:rFonts w:eastAsia="Times New Roman"/>
                <w:sz w:val="28"/>
                <w:szCs w:val="28"/>
                <w:lang w:eastAsia="lv-LV"/>
              </w:rPr>
              <w:t>Atbilstoši</w:t>
            </w:r>
            <w:r w:rsidR="007C4B48">
              <w:rPr>
                <w:rFonts w:eastAsia="Times New Roman"/>
                <w:sz w:val="28"/>
                <w:szCs w:val="28"/>
                <w:lang w:eastAsia="lv-LV"/>
              </w:rPr>
              <w:t xml:space="preserve"> kapitālsabiedrības</w:t>
            </w:r>
            <w:r w:rsidR="0012044E">
              <w:rPr>
                <w:rFonts w:eastAsia="Times New Roman"/>
                <w:sz w:val="28"/>
                <w:szCs w:val="28"/>
                <w:lang w:eastAsia="lv-LV"/>
              </w:rPr>
              <w:t xml:space="preserve"> </w:t>
            </w:r>
            <w:r w:rsidRPr="008C10AF" w:rsidR="007C4B48">
              <w:rPr>
                <w:sz w:val="28"/>
                <w:szCs w:val="28"/>
              </w:rPr>
              <w:t>dalībnieku sapulces 201</w:t>
            </w:r>
            <w:r w:rsidR="007C4B48">
              <w:rPr>
                <w:sz w:val="28"/>
                <w:szCs w:val="28"/>
              </w:rPr>
              <w:t>6</w:t>
            </w:r>
            <w:r w:rsidRPr="008C10AF" w:rsidR="007C4B48">
              <w:rPr>
                <w:sz w:val="28"/>
                <w:szCs w:val="28"/>
              </w:rPr>
              <w:t xml:space="preserve">.gada </w:t>
            </w:r>
            <w:r w:rsidR="007C4B48">
              <w:rPr>
                <w:sz w:val="28"/>
                <w:szCs w:val="28"/>
              </w:rPr>
              <w:t>18</w:t>
            </w:r>
            <w:r w:rsidR="00F30703">
              <w:rPr>
                <w:sz w:val="28"/>
                <w:szCs w:val="28"/>
              </w:rPr>
              <w:t>.aprīļa protokolam</w:t>
            </w:r>
            <w:r w:rsidRPr="008C10AF" w:rsidR="007C4B48">
              <w:rPr>
                <w:sz w:val="28"/>
                <w:szCs w:val="28"/>
              </w:rPr>
              <w:t xml:space="preserve"> un </w:t>
            </w:r>
            <w:r w:rsidR="0012044E">
              <w:rPr>
                <w:rFonts w:eastAsia="Times New Roman"/>
                <w:sz w:val="28"/>
                <w:szCs w:val="28"/>
                <w:lang w:eastAsia="lv-LV"/>
              </w:rPr>
              <w:t>kapitāl</w:t>
            </w:r>
            <w:r w:rsidR="007C4B48">
              <w:rPr>
                <w:rFonts w:eastAsia="Times New Roman"/>
                <w:sz w:val="28"/>
                <w:szCs w:val="28"/>
                <w:lang w:eastAsia="lv-LV"/>
              </w:rPr>
              <w:t xml:space="preserve">a </w:t>
            </w:r>
            <w:r w:rsidR="0012044E">
              <w:rPr>
                <w:rFonts w:eastAsia="Times New Roman"/>
                <w:sz w:val="28"/>
                <w:szCs w:val="28"/>
                <w:lang w:eastAsia="lv-LV"/>
              </w:rPr>
              <w:t>daļu turētāja 2016.gada 18.aprīļa lēmum</w:t>
            </w:r>
            <w:r w:rsidR="00F30703">
              <w:rPr>
                <w:rFonts w:eastAsia="Times New Roman"/>
                <w:sz w:val="28"/>
                <w:szCs w:val="28"/>
                <w:lang w:eastAsia="lv-LV"/>
              </w:rPr>
              <w:t>am</w:t>
            </w:r>
            <w:r w:rsidR="0012044E">
              <w:rPr>
                <w:rFonts w:eastAsia="Times New Roman"/>
                <w:sz w:val="28"/>
                <w:szCs w:val="28"/>
                <w:lang w:eastAsia="lv-LV"/>
              </w:rPr>
              <w:t xml:space="preserve"> Nr.2.5.-3-21 </w:t>
            </w:r>
            <w:r w:rsidR="0012044E">
              <w:rPr>
                <w:sz w:val="28"/>
                <w:szCs w:val="28"/>
              </w:rPr>
              <w:t>2016.gadā gūtā peļņa tiks novirzīta iepriekšējo gadu zaudējumu segšanai.</w:t>
            </w:r>
          </w:p>
        </w:tc>
      </w:tr>
    </w:tbl>
    <w:p w:rsidR="006A46DD" w:rsidP="006A46DD" w:rsidRDefault="006A46DD">
      <w:pPr>
        <w:spacing w:after="0" w:line="240" w:lineRule="auto"/>
        <w:rPr>
          <w:i/>
          <w:sz w:val="28"/>
          <w:szCs w:val="28"/>
        </w:rPr>
      </w:pPr>
    </w:p>
    <w:tbl>
      <w:tblPr>
        <w:tblW w:w="5065" w:type="pct"/>
        <w:jc w:val="center"/>
        <w:tblInd w:w="-118"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tblPr>
      <w:tblGrid>
        <w:gridCol w:w="9238"/>
      </w:tblGrid>
      <w:tr w:rsidRPr="003F2F99" w:rsidR="003F2F99" w:rsidTr="00C119D2">
        <w:trPr>
          <w:trHeight w:val="360"/>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3F2F99" w:rsidR="003F2F99" w:rsidP="003F2F99" w:rsidRDefault="003F2F99">
            <w:pPr>
              <w:spacing w:after="0" w:line="240" w:lineRule="auto"/>
              <w:jc w:val="center"/>
              <w:rPr>
                <w:rFonts w:eastAsia="Times New Roman"/>
                <w:b/>
                <w:bCs/>
                <w:color w:val="000000" w:themeColor="text1"/>
                <w:sz w:val="28"/>
                <w:szCs w:val="28"/>
                <w:lang w:eastAsia="lv-LV"/>
              </w:rPr>
            </w:pPr>
            <w:r w:rsidRPr="003F2F99">
              <w:rPr>
                <w:rFonts w:eastAsia="Times New Roman"/>
                <w:b/>
                <w:bCs/>
                <w:color w:val="000000" w:themeColor="text1"/>
                <w:sz w:val="28"/>
                <w:szCs w:val="28"/>
                <w:lang w:eastAsia="lv-LV"/>
              </w:rPr>
              <w:t>IV. Tiesību akta projekta ietekme uz spēkā esošo tiesību normu sistēmu</w:t>
            </w:r>
          </w:p>
        </w:tc>
      </w:tr>
      <w:tr w:rsidRPr="003F2F99" w:rsidR="003F2F99" w:rsidTr="00C119D2">
        <w:trPr>
          <w:trHeight w:val="438"/>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3F2F99" w:rsidR="003F2F99" w:rsidP="003F2F99" w:rsidRDefault="003F2F99">
            <w:pPr>
              <w:spacing w:after="0" w:line="240" w:lineRule="auto"/>
              <w:jc w:val="center"/>
              <w:rPr>
                <w:rFonts w:eastAsia="Times New Roman"/>
                <w:b/>
                <w:bCs/>
                <w:color w:val="000000" w:themeColor="text1"/>
                <w:sz w:val="28"/>
                <w:szCs w:val="28"/>
                <w:lang w:eastAsia="lv-LV"/>
              </w:rPr>
            </w:pPr>
            <w:r w:rsidRPr="003F2F99">
              <w:rPr>
                <w:rFonts w:eastAsia="Times New Roman"/>
                <w:sz w:val="28"/>
                <w:szCs w:val="28"/>
                <w:lang w:eastAsia="lv-LV"/>
              </w:rPr>
              <w:t>Projekts šo jomu neskar.</w:t>
            </w:r>
          </w:p>
        </w:tc>
      </w:tr>
    </w:tbl>
    <w:p w:rsidRPr="003F2F99" w:rsidR="003F2F99" w:rsidP="006A46DD" w:rsidRDefault="003F2F99">
      <w:pPr>
        <w:spacing w:after="0" w:line="240" w:lineRule="auto"/>
        <w:rPr>
          <w:sz w:val="28"/>
          <w:szCs w:val="28"/>
        </w:rPr>
      </w:pPr>
    </w:p>
    <w:tbl>
      <w:tblPr>
        <w:tblStyle w:val="Reatabula"/>
        <w:tblW w:w="5000" w:type="pct"/>
        <w:tblLook w:val="04A0"/>
      </w:tblPr>
      <w:tblGrid>
        <w:gridCol w:w="9287"/>
      </w:tblGrid>
      <w:tr w:rsidRPr="003F2F99" w:rsidR="003F2F99" w:rsidTr="00C119D2">
        <w:tc>
          <w:tcPr>
            <w:tcW w:w="5000" w:type="pct"/>
            <w:hideMark/>
          </w:tcPr>
          <w:p w:rsidRPr="003F2F99" w:rsidR="003F2F99" w:rsidP="003F2F99" w:rsidRDefault="003F2F99">
            <w:pPr>
              <w:ind w:firstLine="300"/>
              <w:jc w:val="center"/>
              <w:rPr>
                <w:rFonts w:eastAsia="Times New Roman"/>
                <w:b/>
                <w:bCs/>
                <w:sz w:val="28"/>
                <w:szCs w:val="28"/>
                <w:lang w:eastAsia="lv-LV"/>
              </w:rPr>
            </w:pPr>
            <w:r w:rsidRPr="003F2F99">
              <w:rPr>
                <w:rFonts w:eastAsia="Times New Roman"/>
                <w:b/>
                <w:bCs/>
                <w:sz w:val="28"/>
                <w:szCs w:val="28"/>
                <w:lang w:eastAsia="lv-LV"/>
              </w:rPr>
              <w:t>V. Tiesību akta projekta atbilstība Latvijas Republikas starptautiskajām saistībām</w:t>
            </w:r>
          </w:p>
        </w:tc>
      </w:tr>
      <w:tr w:rsidRPr="003F2F99" w:rsidR="003F2F99" w:rsidTr="00C119D2">
        <w:trPr>
          <w:trHeight w:val="479"/>
        </w:trPr>
        <w:tc>
          <w:tcPr>
            <w:tcW w:w="5000" w:type="pct"/>
            <w:vAlign w:val="center"/>
          </w:tcPr>
          <w:p w:rsidRPr="003F2F99" w:rsidR="003F2F99" w:rsidP="003F2F99" w:rsidRDefault="003F2F99">
            <w:pPr>
              <w:jc w:val="center"/>
              <w:rPr>
                <w:rFonts w:eastAsia="Times New Roman"/>
                <w:sz w:val="28"/>
                <w:szCs w:val="28"/>
                <w:lang w:eastAsia="lv-LV"/>
              </w:rPr>
            </w:pPr>
            <w:r w:rsidRPr="003F2F99">
              <w:rPr>
                <w:rFonts w:eastAsia="Times New Roman"/>
                <w:sz w:val="28"/>
                <w:szCs w:val="28"/>
                <w:lang w:eastAsia="lv-LV"/>
              </w:rPr>
              <w:t>Projekts šo jomu neskar.</w:t>
            </w:r>
          </w:p>
        </w:tc>
      </w:tr>
    </w:tbl>
    <w:p w:rsidRPr="003F2F99" w:rsidR="003F2F99" w:rsidP="006A46DD" w:rsidRDefault="003F2F99">
      <w:pPr>
        <w:spacing w:after="0" w:line="240" w:lineRule="auto"/>
        <w:rPr>
          <w:sz w:val="28"/>
          <w:szCs w:val="28"/>
        </w:rPr>
      </w:pPr>
    </w:p>
    <w:tbl>
      <w:tblPr>
        <w:tblW w:w="5065" w:type="pct"/>
        <w:jc w:val="center"/>
        <w:tblInd w:w="-118"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tblPr>
      <w:tblGrid>
        <w:gridCol w:w="9238"/>
      </w:tblGrid>
      <w:tr w:rsidRPr="00F06D1D" w:rsidR="003F2F99" w:rsidTr="00C119D2">
        <w:trPr>
          <w:trHeight w:val="336"/>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F06D1D" w:rsidR="003F2F99" w:rsidP="00C119D2" w:rsidRDefault="003F2F99">
            <w:pPr>
              <w:spacing w:before="100" w:beforeAutospacing="1" w:after="100" w:afterAutospacing="1" w:line="293" w:lineRule="atLeast"/>
              <w:jc w:val="center"/>
              <w:rPr>
                <w:b/>
                <w:bCs/>
                <w:sz w:val="28"/>
                <w:szCs w:val="28"/>
              </w:rPr>
            </w:pPr>
            <w:r w:rsidRPr="00F06D1D">
              <w:rPr>
                <w:b/>
                <w:bCs/>
                <w:sz w:val="28"/>
                <w:szCs w:val="28"/>
              </w:rPr>
              <w:t>VI. Sabiedrības līdzdalība un komunikācijas aktivitātes</w:t>
            </w:r>
          </w:p>
        </w:tc>
      </w:tr>
      <w:tr w:rsidRPr="00F06D1D" w:rsidR="003F2F99" w:rsidTr="00C119D2">
        <w:trPr>
          <w:trHeight w:val="495"/>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F06D1D" w:rsidR="003F2F99" w:rsidP="00C119D2" w:rsidRDefault="003F2F99">
            <w:pPr>
              <w:spacing w:before="100" w:beforeAutospacing="1" w:after="100" w:afterAutospacing="1" w:line="293" w:lineRule="atLeast"/>
              <w:jc w:val="center"/>
              <w:rPr>
                <w:b/>
                <w:bCs/>
                <w:sz w:val="28"/>
                <w:szCs w:val="28"/>
              </w:rPr>
            </w:pPr>
            <w:r w:rsidRPr="009778FA">
              <w:rPr>
                <w:sz w:val="28"/>
                <w:szCs w:val="28"/>
              </w:rPr>
              <w:t>Projekts šo jomu neskar.</w:t>
            </w:r>
          </w:p>
        </w:tc>
      </w:tr>
    </w:tbl>
    <w:p w:rsidRPr="00FC423D" w:rsidR="006A46DD" w:rsidP="006A46DD" w:rsidRDefault="006A46DD">
      <w:pPr>
        <w:spacing w:after="90" w:line="240" w:lineRule="auto"/>
        <w:rPr>
          <w:rFonts w:eastAsia="Times New Roman"/>
          <w:vanish/>
          <w:sz w:val="28"/>
          <w:szCs w:val="28"/>
          <w:lang w:eastAsia="lv-LV"/>
        </w:rPr>
      </w:pPr>
    </w:p>
    <w:p w:rsidR="00D25E9D" w:rsidP="006A46DD" w:rsidRDefault="00D25E9D">
      <w:pPr>
        <w:spacing w:after="0" w:line="240" w:lineRule="auto"/>
        <w:ind w:firstLine="284"/>
        <w:rPr>
          <w:sz w:val="28"/>
          <w:szCs w:val="28"/>
        </w:rPr>
      </w:pP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000"/>
      </w:tblPr>
      <w:tblGrid>
        <w:gridCol w:w="573"/>
        <w:gridCol w:w="3264"/>
        <w:gridCol w:w="5250"/>
      </w:tblGrid>
      <w:tr w:rsidRPr="00FC423D" w:rsidR="00D25E9D" w:rsidTr="00D25E9D">
        <w:tc>
          <w:tcPr>
            <w:tcW w:w="5000" w:type="pct"/>
            <w:gridSpan w:val="3"/>
            <w:tcBorders>
              <w:top w:val="outset" w:color="auto" w:sz="6" w:space="0"/>
              <w:left w:val="outset" w:color="auto" w:sz="6" w:space="0"/>
              <w:bottom w:val="outset" w:color="auto" w:sz="6" w:space="0"/>
              <w:right w:val="outset" w:color="auto" w:sz="6" w:space="0"/>
            </w:tcBorders>
          </w:tcPr>
          <w:p w:rsidRPr="00FC423D" w:rsidR="00D25E9D" w:rsidP="00102A16" w:rsidRDefault="00D25E9D">
            <w:pPr>
              <w:spacing w:after="0" w:line="240" w:lineRule="auto"/>
              <w:ind w:right="140"/>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Pr="00FC423D" w:rsidR="00D25E9D" w:rsidTr="00D25E9D">
        <w:trPr>
          <w:trHeight w:val="427"/>
        </w:trPr>
        <w:tc>
          <w:tcPr>
            <w:tcW w:w="315" w:type="pct"/>
            <w:tcBorders>
              <w:top w:val="outset" w:color="auto" w:sz="6" w:space="0"/>
              <w:left w:val="outset" w:color="auto" w:sz="6" w:space="0"/>
              <w:bottom w:val="outset" w:color="auto" w:sz="6" w:space="0"/>
              <w:right w:val="outset" w:color="auto" w:sz="6" w:space="0"/>
            </w:tcBorders>
          </w:tcPr>
          <w:p w:rsidRPr="00FC423D" w:rsidR="00D25E9D" w:rsidP="003F2F99" w:rsidRDefault="00D25E9D">
            <w:pPr>
              <w:spacing w:after="0" w:line="240" w:lineRule="auto"/>
              <w:ind w:right="-2"/>
              <w:jc w:val="center"/>
              <w:rPr>
                <w:rFonts w:eastAsia="Times New Roman"/>
                <w:sz w:val="28"/>
                <w:szCs w:val="28"/>
                <w:lang w:eastAsia="lv-LV"/>
              </w:rPr>
            </w:pPr>
            <w:r w:rsidRPr="00FC423D">
              <w:rPr>
                <w:rFonts w:eastAsia="Times New Roman"/>
                <w:sz w:val="28"/>
                <w:szCs w:val="28"/>
                <w:lang w:eastAsia="lv-LV"/>
              </w:rPr>
              <w:t>1.</w:t>
            </w:r>
          </w:p>
        </w:tc>
        <w:tc>
          <w:tcPr>
            <w:tcW w:w="1796" w:type="pct"/>
            <w:tcBorders>
              <w:top w:val="outset" w:color="auto" w:sz="6" w:space="0"/>
              <w:left w:val="outset" w:color="auto" w:sz="6" w:space="0"/>
              <w:bottom w:val="outset" w:color="auto" w:sz="6" w:space="0"/>
              <w:right w:val="outset" w:color="auto" w:sz="6" w:space="0"/>
            </w:tcBorders>
          </w:tcPr>
          <w:p w:rsidRPr="00FC423D" w:rsidR="00D25E9D" w:rsidP="00102A16" w:rsidRDefault="00D25E9D">
            <w:pPr>
              <w:spacing w:after="0" w:line="240" w:lineRule="auto"/>
              <w:ind w:left="144" w:right="140"/>
              <w:rPr>
                <w:rFonts w:eastAsia="Times New Roman"/>
                <w:sz w:val="28"/>
                <w:szCs w:val="28"/>
                <w:lang w:eastAsia="lv-LV"/>
              </w:rPr>
            </w:pPr>
            <w:r w:rsidRPr="00FC423D">
              <w:rPr>
                <w:rFonts w:eastAsia="Times New Roman"/>
                <w:sz w:val="28"/>
                <w:szCs w:val="28"/>
                <w:lang w:eastAsia="lv-LV"/>
              </w:rPr>
              <w:t>Projekta izpildē iesaistītās institūcijas</w:t>
            </w:r>
          </w:p>
        </w:tc>
        <w:tc>
          <w:tcPr>
            <w:tcW w:w="2889" w:type="pct"/>
            <w:tcBorders>
              <w:top w:val="outset" w:color="auto" w:sz="6" w:space="0"/>
              <w:left w:val="outset" w:color="auto" w:sz="6" w:space="0"/>
              <w:bottom w:val="outset" w:color="auto" w:sz="6" w:space="0"/>
              <w:right w:val="outset" w:color="auto" w:sz="6" w:space="0"/>
            </w:tcBorders>
          </w:tcPr>
          <w:p w:rsidRPr="00FC423D" w:rsidR="00D25E9D" w:rsidP="00102A16" w:rsidRDefault="00D25E9D">
            <w:pPr>
              <w:spacing w:after="0" w:line="240" w:lineRule="auto"/>
              <w:ind w:left="159" w:right="140"/>
              <w:jc w:val="both"/>
              <w:rPr>
                <w:rFonts w:eastAsia="Times New Roman"/>
                <w:sz w:val="28"/>
                <w:szCs w:val="28"/>
                <w:lang w:eastAsia="lv-LV"/>
              </w:rPr>
            </w:pPr>
            <w:r w:rsidRPr="00FC423D">
              <w:rPr>
                <w:rFonts w:eastAsia="Times New Roman"/>
                <w:sz w:val="28"/>
                <w:szCs w:val="28"/>
                <w:lang w:eastAsia="lv-LV"/>
              </w:rPr>
              <w:t>Kultūras ministrija</w:t>
            </w:r>
            <w:r>
              <w:rPr>
                <w:rFonts w:eastAsia="Times New Roman"/>
                <w:sz w:val="28"/>
                <w:szCs w:val="28"/>
                <w:lang w:eastAsia="lv-LV"/>
              </w:rPr>
              <w:t>.</w:t>
            </w:r>
            <w:r w:rsidRPr="00FC423D">
              <w:rPr>
                <w:rFonts w:eastAsia="Times New Roman"/>
                <w:sz w:val="28"/>
                <w:szCs w:val="28"/>
                <w:lang w:eastAsia="lv-LV"/>
              </w:rPr>
              <w:t xml:space="preserve"> </w:t>
            </w:r>
          </w:p>
        </w:tc>
      </w:tr>
      <w:tr w:rsidRPr="00F55AC4" w:rsidR="00D25E9D" w:rsidTr="00D25E9D">
        <w:trPr>
          <w:trHeight w:val="463"/>
        </w:trPr>
        <w:tc>
          <w:tcPr>
            <w:tcW w:w="315" w:type="pct"/>
            <w:tcBorders>
              <w:top w:val="outset" w:color="auto" w:sz="6" w:space="0"/>
              <w:left w:val="outset" w:color="auto" w:sz="6" w:space="0"/>
              <w:bottom w:val="outset" w:color="auto" w:sz="6" w:space="0"/>
              <w:right w:val="outset" w:color="auto" w:sz="6" w:space="0"/>
            </w:tcBorders>
          </w:tcPr>
          <w:p w:rsidRPr="00FC423D" w:rsidR="00D25E9D" w:rsidP="003F2F99" w:rsidRDefault="00D25E9D">
            <w:pPr>
              <w:spacing w:after="0" w:line="240" w:lineRule="auto"/>
              <w:ind w:right="-2"/>
              <w:jc w:val="center"/>
              <w:rPr>
                <w:rFonts w:eastAsia="Times New Roman"/>
                <w:sz w:val="28"/>
                <w:szCs w:val="28"/>
                <w:lang w:eastAsia="lv-LV"/>
              </w:rPr>
            </w:pPr>
            <w:r w:rsidRPr="00FC423D">
              <w:rPr>
                <w:rFonts w:eastAsia="Times New Roman"/>
                <w:sz w:val="28"/>
                <w:szCs w:val="28"/>
                <w:lang w:eastAsia="lv-LV"/>
              </w:rPr>
              <w:t>2.</w:t>
            </w:r>
          </w:p>
        </w:tc>
        <w:tc>
          <w:tcPr>
            <w:tcW w:w="1796" w:type="pct"/>
            <w:tcBorders>
              <w:top w:val="outset" w:color="auto" w:sz="6" w:space="0"/>
              <w:left w:val="outset" w:color="auto" w:sz="6" w:space="0"/>
              <w:bottom w:val="outset" w:color="auto" w:sz="6" w:space="0"/>
              <w:right w:val="outset" w:color="auto" w:sz="6" w:space="0"/>
            </w:tcBorders>
          </w:tcPr>
          <w:p w:rsidR="00D25E9D" w:rsidP="00102A16" w:rsidRDefault="00D25E9D">
            <w:pPr>
              <w:spacing w:after="0" w:line="240" w:lineRule="auto"/>
              <w:ind w:left="144" w:right="140"/>
              <w:rPr>
                <w:rFonts w:eastAsia="Times New Roman"/>
                <w:sz w:val="28"/>
                <w:szCs w:val="28"/>
                <w:lang w:eastAsia="lv-LV"/>
              </w:rPr>
            </w:pPr>
            <w:r w:rsidRPr="00C56255">
              <w:rPr>
                <w:rFonts w:eastAsia="Times New Roman"/>
                <w:sz w:val="28"/>
                <w:szCs w:val="28"/>
                <w:lang w:eastAsia="lv-LV"/>
              </w:rPr>
              <w:t xml:space="preserve">Projekta izpildes ietekme uz pārvaldes funkcijām un institucionālo struktūru. </w:t>
            </w:r>
          </w:p>
          <w:p w:rsidR="00D25E9D" w:rsidP="00102A16" w:rsidRDefault="00D25E9D">
            <w:pPr>
              <w:spacing w:after="0" w:line="240" w:lineRule="auto"/>
              <w:ind w:left="144" w:right="140"/>
              <w:rPr>
                <w:rFonts w:eastAsia="Times New Roman"/>
                <w:sz w:val="28"/>
                <w:szCs w:val="28"/>
                <w:lang w:eastAsia="lv-LV"/>
              </w:rPr>
            </w:pPr>
          </w:p>
          <w:p w:rsidRPr="00FC423D" w:rsidR="00D25E9D" w:rsidP="00102A16" w:rsidRDefault="00D25E9D">
            <w:pPr>
              <w:spacing w:after="0" w:line="240" w:lineRule="auto"/>
              <w:ind w:left="144" w:right="140"/>
              <w:rPr>
                <w:rFonts w:eastAsia="Times New Roman"/>
                <w:sz w:val="28"/>
                <w:szCs w:val="28"/>
                <w:lang w:eastAsia="lv-LV"/>
              </w:rPr>
            </w:pPr>
            <w:r w:rsidRPr="00C56255">
              <w:rPr>
                <w:rFonts w:eastAsia="Times New Roman"/>
                <w:sz w:val="28"/>
                <w:szCs w:val="28"/>
                <w:lang w:eastAsia="lv-LV"/>
              </w:rPr>
              <w:t>Jaunu institūciju izveide, esošu institūciju likvidācija vai reorganizācija, to ietekme uz institūcijas cilvēkresursiem</w:t>
            </w:r>
          </w:p>
        </w:tc>
        <w:tc>
          <w:tcPr>
            <w:tcW w:w="2889" w:type="pct"/>
            <w:tcBorders>
              <w:top w:val="outset" w:color="auto" w:sz="6" w:space="0"/>
              <w:left w:val="outset" w:color="auto" w:sz="6" w:space="0"/>
              <w:bottom w:val="outset" w:color="auto" w:sz="6" w:space="0"/>
              <w:right w:val="outset" w:color="auto" w:sz="6" w:space="0"/>
            </w:tcBorders>
          </w:tcPr>
          <w:p w:rsidRPr="00F55AC4" w:rsidR="00D25E9D" w:rsidP="00102A16" w:rsidRDefault="00D25E9D">
            <w:pPr>
              <w:spacing w:after="0" w:line="240" w:lineRule="auto"/>
              <w:ind w:left="159" w:right="140"/>
              <w:jc w:val="both"/>
              <w:rPr>
                <w:rFonts w:eastAsia="Times New Roman"/>
                <w:sz w:val="28"/>
                <w:szCs w:val="28"/>
                <w:lang w:eastAsia="lv-LV"/>
              </w:rPr>
            </w:pPr>
            <w:r w:rsidRPr="00F55AC4">
              <w:rPr>
                <w:rFonts w:eastAsia="Times New Roman"/>
                <w:sz w:val="28"/>
                <w:szCs w:val="28"/>
                <w:lang w:eastAsia="lv-LV"/>
              </w:rPr>
              <w:t>Projekts šo jomu neskar</w:t>
            </w:r>
            <w:r>
              <w:rPr>
                <w:rFonts w:eastAsia="Times New Roman"/>
                <w:sz w:val="28"/>
                <w:szCs w:val="28"/>
                <w:lang w:eastAsia="lv-LV"/>
              </w:rPr>
              <w:t>.</w:t>
            </w:r>
          </w:p>
        </w:tc>
      </w:tr>
      <w:tr w:rsidRPr="00FC423D" w:rsidR="00D25E9D" w:rsidTr="00D25E9D">
        <w:trPr>
          <w:trHeight w:val="421"/>
        </w:trPr>
        <w:tc>
          <w:tcPr>
            <w:tcW w:w="315" w:type="pct"/>
            <w:tcBorders>
              <w:top w:val="outset" w:color="auto" w:sz="6" w:space="0"/>
              <w:left w:val="outset" w:color="auto" w:sz="6" w:space="0"/>
              <w:bottom w:val="outset" w:color="auto" w:sz="6" w:space="0"/>
              <w:right w:val="outset" w:color="auto" w:sz="6" w:space="0"/>
            </w:tcBorders>
          </w:tcPr>
          <w:p w:rsidRPr="00FC423D" w:rsidR="00D25E9D" w:rsidP="003F2F99" w:rsidRDefault="00D25E9D">
            <w:pPr>
              <w:spacing w:after="0" w:line="240" w:lineRule="auto"/>
              <w:ind w:right="-2"/>
              <w:jc w:val="center"/>
              <w:rPr>
                <w:rFonts w:eastAsia="Times New Roman"/>
                <w:sz w:val="28"/>
                <w:szCs w:val="28"/>
                <w:lang w:eastAsia="lv-LV"/>
              </w:rPr>
            </w:pPr>
            <w:r>
              <w:rPr>
                <w:rFonts w:eastAsia="Times New Roman"/>
                <w:sz w:val="28"/>
                <w:szCs w:val="28"/>
                <w:lang w:eastAsia="lv-LV"/>
              </w:rPr>
              <w:t>3</w:t>
            </w:r>
            <w:r w:rsidRPr="00FC423D">
              <w:rPr>
                <w:rFonts w:eastAsia="Times New Roman"/>
                <w:sz w:val="28"/>
                <w:szCs w:val="28"/>
                <w:lang w:eastAsia="lv-LV"/>
              </w:rPr>
              <w:t>.</w:t>
            </w:r>
          </w:p>
        </w:tc>
        <w:tc>
          <w:tcPr>
            <w:tcW w:w="1796" w:type="pct"/>
            <w:tcBorders>
              <w:top w:val="outset" w:color="auto" w:sz="6" w:space="0"/>
              <w:left w:val="outset" w:color="auto" w:sz="6" w:space="0"/>
              <w:bottom w:val="outset" w:color="auto" w:sz="6" w:space="0"/>
              <w:right w:val="outset" w:color="auto" w:sz="6" w:space="0"/>
            </w:tcBorders>
          </w:tcPr>
          <w:p w:rsidRPr="00FC423D" w:rsidR="00D25E9D" w:rsidP="00102A16" w:rsidRDefault="00D25E9D">
            <w:pPr>
              <w:spacing w:after="0" w:line="240" w:lineRule="auto"/>
              <w:ind w:right="140"/>
              <w:rPr>
                <w:rFonts w:eastAsia="Times New Roman"/>
                <w:sz w:val="28"/>
                <w:szCs w:val="28"/>
                <w:lang w:eastAsia="lv-LV"/>
              </w:rPr>
            </w:pPr>
            <w:r w:rsidRPr="00FC423D">
              <w:rPr>
                <w:rFonts w:eastAsia="Times New Roman"/>
                <w:sz w:val="28"/>
                <w:szCs w:val="28"/>
                <w:lang w:eastAsia="lv-LV"/>
              </w:rPr>
              <w:t> </w:t>
            </w:r>
            <w:r>
              <w:rPr>
                <w:rFonts w:eastAsia="Times New Roman"/>
                <w:sz w:val="28"/>
                <w:szCs w:val="28"/>
                <w:lang w:eastAsia="lv-LV"/>
              </w:rPr>
              <w:t xml:space="preserve"> </w:t>
            </w:r>
            <w:r w:rsidRPr="00FC423D">
              <w:rPr>
                <w:rFonts w:eastAsia="Times New Roman"/>
                <w:sz w:val="28"/>
                <w:szCs w:val="28"/>
                <w:lang w:eastAsia="lv-LV"/>
              </w:rPr>
              <w:t>Cita informācija</w:t>
            </w:r>
          </w:p>
        </w:tc>
        <w:tc>
          <w:tcPr>
            <w:tcW w:w="2889" w:type="pct"/>
            <w:tcBorders>
              <w:top w:val="outset" w:color="auto" w:sz="6" w:space="0"/>
              <w:left w:val="outset" w:color="auto" w:sz="6" w:space="0"/>
              <w:bottom w:val="outset" w:color="auto" w:sz="6" w:space="0"/>
              <w:right w:val="outset" w:color="auto" w:sz="6" w:space="0"/>
            </w:tcBorders>
          </w:tcPr>
          <w:p w:rsidRPr="00FC423D" w:rsidR="00D25E9D" w:rsidP="00102A16" w:rsidRDefault="00D25E9D">
            <w:pPr>
              <w:spacing w:after="0" w:line="240" w:lineRule="auto"/>
              <w:ind w:left="159" w:right="140"/>
              <w:rPr>
                <w:rFonts w:eastAsia="Times New Roman"/>
                <w:sz w:val="28"/>
                <w:szCs w:val="28"/>
                <w:lang w:eastAsia="lv-LV"/>
              </w:rPr>
            </w:pPr>
            <w:r w:rsidRPr="00FC423D">
              <w:rPr>
                <w:rFonts w:eastAsia="Times New Roman"/>
                <w:sz w:val="28"/>
                <w:szCs w:val="28"/>
                <w:lang w:eastAsia="lv-LV"/>
              </w:rPr>
              <w:t>Nav</w:t>
            </w:r>
          </w:p>
        </w:tc>
      </w:tr>
    </w:tbl>
    <w:p w:rsidR="00D25E9D" w:rsidP="006A46DD" w:rsidRDefault="00D25E9D">
      <w:pPr>
        <w:spacing w:after="0" w:line="240" w:lineRule="auto"/>
        <w:ind w:firstLine="284"/>
        <w:rPr>
          <w:sz w:val="28"/>
          <w:szCs w:val="28"/>
        </w:rPr>
      </w:pPr>
    </w:p>
    <w:p w:rsidR="00B10C76" w:rsidP="006A46DD" w:rsidRDefault="00B10C76">
      <w:pPr>
        <w:spacing w:after="0" w:line="240" w:lineRule="auto"/>
        <w:ind w:firstLine="284"/>
        <w:rPr>
          <w:sz w:val="28"/>
          <w:szCs w:val="28"/>
        </w:rPr>
      </w:pPr>
    </w:p>
    <w:p w:rsidR="006A46DD" w:rsidP="006A46DD" w:rsidRDefault="006A46DD">
      <w:pPr>
        <w:spacing w:after="0" w:line="240" w:lineRule="auto"/>
        <w:ind w:firstLine="284"/>
        <w:rPr>
          <w:sz w:val="28"/>
          <w:szCs w:val="28"/>
        </w:rPr>
      </w:pPr>
      <w:r w:rsidRPr="004B33E7">
        <w:rPr>
          <w:sz w:val="28"/>
          <w:szCs w:val="28"/>
        </w:rPr>
        <w:t>Kultūras mi</w:t>
      </w:r>
      <w:r>
        <w:rPr>
          <w:sz w:val="28"/>
          <w:szCs w:val="28"/>
        </w:rPr>
        <w:t>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D.Melbārde </w:t>
      </w:r>
    </w:p>
    <w:p w:rsidRPr="004B33E7" w:rsidR="006A46DD" w:rsidP="006A46DD" w:rsidRDefault="006A46DD">
      <w:pPr>
        <w:spacing w:after="0" w:line="240" w:lineRule="auto"/>
        <w:ind w:firstLine="284"/>
        <w:rPr>
          <w:sz w:val="28"/>
          <w:szCs w:val="28"/>
        </w:rPr>
      </w:pPr>
    </w:p>
    <w:p w:rsidRPr="004B33E7" w:rsidR="006A46DD" w:rsidP="006A46DD" w:rsidRDefault="006A46DD">
      <w:pPr>
        <w:spacing w:after="0" w:line="240" w:lineRule="auto"/>
        <w:ind w:firstLine="284"/>
        <w:rPr>
          <w:sz w:val="28"/>
          <w:szCs w:val="28"/>
        </w:rPr>
      </w:pPr>
      <w:r w:rsidRPr="004B33E7">
        <w:rPr>
          <w:sz w:val="28"/>
          <w:szCs w:val="28"/>
        </w:rPr>
        <w:t>Vīza: Valsts sekret</w:t>
      </w:r>
      <w:r>
        <w:rPr>
          <w:sz w:val="28"/>
          <w:szCs w:val="28"/>
        </w:rPr>
        <w: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S.Voldiņš</w:t>
      </w:r>
    </w:p>
    <w:p w:rsidR="00D25E9D" w:rsidP="006A46DD" w:rsidRDefault="00D25E9D">
      <w:pPr>
        <w:spacing w:after="0" w:line="240" w:lineRule="auto"/>
        <w:rPr>
          <w:sz w:val="20"/>
          <w:szCs w:val="20"/>
        </w:rPr>
      </w:pPr>
    </w:p>
    <w:p w:rsidR="003F2F99" w:rsidP="006A46DD" w:rsidRDefault="003F2F99">
      <w:pPr>
        <w:spacing w:after="0" w:line="240" w:lineRule="auto"/>
        <w:rPr>
          <w:sz w:val="20"/>
          <w:szCs w:val="20"/>
        </w:rPr>
      </w:pPr>
    </w:p>
    <w:p w:rsidR="00B10C76" w:rsidP="006A46DD" w:rsidRDefault="00B10C76">
      <w:pPr>
        <w:spacing w:after="0" w:line="240" w:lineRule="auto"/>
        <w:rPr>
          <w:sz w:val="20"/>
          <w:szCs w:val="20"/>
        </w:rPr>
      </w:pPr>
    </w:p>
    <w:p w:rsidR="00B10C76" w:rsidP="006A46DD" w:rsidRDefault="00B10C76">
      <w:pPr>
        <w:spacing w:after="0" w:line="240" w:lineRule="auto"/>
        <w:rPr>
          <w:sz w:val="20"/>
          <w:szCs w:val="20"/>
        </w:rPr>
      </w:pPr>
    </w:p>
    <w:p w:rsidRPr="003F2F99" w:rsidR="00D25E9D" w:rsidP="00D25E9D" w:rsidRDefault="00FF1993">
      <w:pPr>
        <w:tabs>
          <w:tab w:val="left" w:pos="6804"/>
        </w:tabs>
        <w:spacing w:after="0" w:line="240" w:lineRule="auto"/>
        <w:ind w:right="140"/>
        <w:rPr>
          <w:color w:val="000000"/>
          <w:sz w:val="20"/>
          <w:szCs w:val="20"/>
        </w:rPr>
      </w:pPr>
      <w:r w:rsidRPr="003F2F99">
        <w:rPr>
          <w:sz w:val="20"/>
          <w:szCs w:val="20"/>
        </w:rPr>
        <w:t>Katajs</w:t>
      </w:r>
      <w:r w:rsidRPr="003F2F99" w:rsidR="00D25E9D">
        <w:rPr>
          <w:color w:val="000000"/>
          <w:sz w:val="20"/>
          <w:szCs w:val="20"/>
        </w:rPr>
        <w:t xml:space="preserve"> </w:t>
      </w:r>
      <w:r w:rsidRPr="003F2F99">
        <w:rPr>
          <w:sz w:val="20"/>
          <w:szCs w:val="20"/>
        </w:rPr>
        <w:t>67330327</w:t>
      </w:r>
    </w:p>
    <w:p w:rsidRPr="003F2F99" w:rsidR="009B0360" w:rsidP="003F2F99" w:rsidRDefault="004F351E">
      <w:pPr>
        <w:tabs>
          <w:tab w:val="left" w:pos="6804"/>
        </w:tabs>
        <w:spacing w:after="0" w:line="240" w:lineRule="auto"/>
        <w:ind w:right="140"/>
        <w:rPr>
          <w:sz w:val="20"/>
          <w:szCs w:val="20"/>
        </w:rPr>
      </w:pPr>
      <w:hyperlink w:history="1" r:id="rId10">
        <w:r w:rsidRPr="003F2F99" w:rsidR="00FF1993">
          <w:rPr>
            <w:rStyle w:val="Hipersaite"/>
            <w:sz w:val="20"/>
            <w:szCs w:val="20"/>
          </w:rPr>
          <w:t>Marcis.Katajs@km.gov.lv</w:t>
        </w:r>
      </w:hyperlink>
    </w:p>
    <w:sectPr w:rsidRPr="003F2F99" w:rsidR="009B0360" w:rsidSect="003254A8">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FB8" w:rsidRDefault="00B61FB8" w:rsidP="007C227D">
      <w:pPr>
        <w:spacing w:after="0" w:line="240" w:lineRule="auto"/>
      </w:pPr>
      <w:r>
        <w:separator/>
      </w:r>
    </w:p>
  </w:endnote>
  <w:endnote w:type="continuationSeparator" w:id="0">
    <w:p w:rsidR="00B61FB8" w:rsidRDefault="00B61FB8" w:rsidP="007C2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B8" w:rsidRDefault="004F351E" w:rsidP="003254A8">
    <w:pPr>
      <w:pStyle w:val="Kjene"/>
      <w:framePr w:wrap="around" w:vAnchor="text" w:hAnchor="margin" w:xAlign="right" w:y="1"/>
      <w:rPr>
        <w:rStyle w:val="Lappusesnumurs"/>
      </w:rPr>
    </w:pPr>
    <w:r>
      <w:rPr>
        <w:rStyle w:val="Lappusesnumurs"/>
      </w:rPr>
      <w:fldChar w:fldCharType="begin"/>
    </w:r>
    <w:r w:rsidR="00B61FB8">
      <w:rPr>
        <w:rStyle w:val="Lappusesnumurs"/>
      </w:rPr>
      <w:instrText xml:space="preserve">PAGE  </w:instrText>
    </w:r>
    <w:r>
      <w:rPr>
        <w:rStyle w:val="Lappusesnumurs"/>
      </w:rPr>
      <w:fldChar w:fldCharType="end"/>
    </w:r>
  </w:p>
  <w:p w:rsidR="00B61FB8" w:rsidRDefault="00B61FB8" w:rsidP="003254A8">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B8" w:rsidRPr="00D25E9D" w:rsidRDefault="00B61FB8" w:rsidP="00D25E9D">
    <w:pPr>
      <w:spacing w:after="0" w:line="240" w:lineRule="auto"/>
      <w:jc w:val="both"/>
      <w:rPr>
        <w:sz w:val="20"/>
        <w:szCs w:val="20"/>
      </w:rPr>
    </w:pPr>
    <w:r w:rsidRPr="007B30B4">
      <w:rPr>
        <w:sz w:val="20"/>
        <w:szCs w:val="20"/>
      </w:rPr>
      <w:t>KMAnot_</w:t>
    </w:r>
    <w:r w:rsidR="003F2F99">
      <w:rPr>
        <w:sz w:val="20"/>
        <w:szCs w:val="20"/>
      </w:rPr>
      <w:t>25</w:t>
    </w:r>
    <w:r>
      <w:rPr>
        <w:sz w:val="20"/>
        <w:szCs w:val="20"/>
      </w:rPr>
      <w:t>09</w:t>
    </w:r>
    <w:r w:rsidRPr="007B1F52">
      <w:rPr>
        <w:sz w:val="20"/>
        <w:szCs w:val="20"/>
      </w:rPr>
      <w:t>17</w:t>
    </w:r>
    <w:r w:rsidRPr="007B30B4">
      <w:rPr>
        <w:sz w:val="20"/>
        <w:szCs w:val="20"/>
      </w:rPr>
      <w:t>_</w:t>
    </w:r>
    <w:r>
      <w:rPr>
        <w:sz w:val="20"/>
        <w:szCs w:val="20"/>
      </w:rPr>
      <w:t>LNSO</w:t>
    </w:r>
    <w:r w:rsidRPr="007B30B4">
      <w:rPr>
        <w:sz w:val="20"/>
        <w:szCs w:val="20"/>
      </w:rPr>
      <w:t>_dividendes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B8" w:rsidRPr="007C227D" w:rsidRDefault="00B61FB8" w:rsidP="007C227D">
    <w:pPr>
      <w:spacing w:after="0" w:line="240" w:lineRule="auto"/>
      <w:jc w:val="both"/>
      <w:rPr>
        <w:sz w:val="20"/>
        <w:szCs w:val="20"/>
      </w:rPr>
    </w:pPr>
    <w:r w:rsidRPr="007B30B4">
      <w:rPr>
        <w:sz w:val="20"/>
        <w:szCs w:val="20"/>
      </w:rPr>
      <w:t>KMAnot_</w:t>
    </w:r>
    <w:r w:rsidR="003F2F99">
      <w:rPr>
        <w:sz w:val="20"/>
        <w:szCs w:val="20"/>
      </w:rPr>
      <w:t>25</w:t>
    </w:r>
    <w:r>
      <w:rPr>
        <w:sz w:val="20"/>
        <w:szCs w:val="20"/>
      </w:rPr>
      <w:t>09</w:t>
    </w:r>
    <w:r w:rsidRPr="007B1F52">
      <w:rPr>
        <w:sz w:val="20"/>
        <w:szCs w:val="20"/>
      </w:rPr>
      <w:t>17</w:t>
    </w:r>
    <w:r w:rsidRPr="007B30B4">
      <w:rPr>
        <w:sz w:val="20"/>
        <w:szCs w:val="20"/>
      </w:rPr>
      <w:t>_</w:t>
    </w:r>
    <w:r>
      <w:rPr>
        <w:sz w:val="20"/>
        <w:szCs w:val="20"/>
      </w:rPr>
      <w:t>LNSO</w:t>
    </w:r>
    <w:r w:rsidRPr="007B30B4">
      <w:rPr>
        <w:sz w:val="20"/>
        <w:szCs w:val="20"/>
      </w:rPr>
      <w:t>_dividendes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FB8" w:rsidRDefault="00B61FB8" w:rsidP="007C227D">
      <w:pPr>
        <w:spacing w:after="0" w:line="240" w:lineRule="auto"/>
      </w:pPr>
      <w:r>
        <w:separator/>
      </w:r>
    </w:p>
  </w:footnote>
  <w:footnote w:type="continuationSeparator" w:id="0">
    <w:p w:rsidR="00B61FB8" w:rsidRDefault="00B61FB8" w:rsidP="007C2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Pr="00D25E9D" w:rsidR="00B61FB8" w:rsidRDefault="004F351E">
        <w:pPr>
          <w:pStyle w:val="Galvene"/>
          <w:jc w:val="center"/>
          <w:rPr>
            <w:sz w:val="22"/>
          </w:rPr>
        </w:pPr>
        <w:r w:rsidRPr="00D25E9D">
          <w:rPr>
            <w:sz w:val="22"/>
          </w:rPr>
          <w:fldChar w:fldCharType="begin"/>
        </w:r>
        <w:r w:rsidRPr="00D25E9D" w:rsidR="00B61FB8">
          <w:rPr>
            <w:sz w:val="22"/>
          </w:rPr>
          <w:instrText xml:space="preserve"> PAGE   \* MERGEFORMAT </w:instrText>
        </w:r>
        <w:r w:rsidRPr="00D25E9D">
          <w:rPr>
            <w:sz w:val="22"/>
          </w:rPr>
          <w:fldChar w:fldCharType="separate"/>
        </w:r>
        <w:r w:rsidR="002A2785">
          <w:rPr>
            <w:noProof/>
            <w:sz w:val="22"/>
          </w:rPr>
          <w:t>10</w:t>
        </w:r>
        <w:r w:rsidRPr="00D25E9D">
          <w:rPr>
            <w:sz w:val="22"/>
          </w:rPr>
          <w:fldChar w:fldCharType="end"/>
        </w:r>
      </w:p>
    </w:sdtContent>
  </w:sdt>
  <w:p w:rsidR="00B61FB8" w:rsidRDefault="00B61FB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1B0C"/>
    <w:multiLevelType w:val="hybridMultilevel"/>
    <w:tmpl w:val="463A6AD8"/>
    <w:lvl w:ilvl="0" w:tplc="7F26726A">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46DD"/>
    <w:rsid w:val="00001F65"/>
    <w:rsid w:val="00005B74"/>
    <w:rsid w:val="00026C17"/>
    <w:rsid w:val="00093FB5"/>
    <w:rsid w:val="000B5A40"/>
    <w:rsid w:val="000D3BA1"/>
    <w:rsid w:val="00102A16"/>
    <w:rsid w:val="0012044E"/>
    <w:rsid w:val="001652C2"/>
    <w:rsid w:val="00196F69"/>
    <w:rsid w:val="001E6FF0"/>
    <w:rsid w:val="00297DF7"/>
    <w:rsid w:val="002A2785"/>
    <w:rsid w:val="002C58FC"/>
    <w:rsid w:val="003254A8"/>
    <w:rsid w:val="00383001"/>
    <w:rsid w:val="003F2F99"/>
    <w:rsid w:val="00495139"/>
    <w:rsid w:val="004C395C"/>
    <w:rsid w:val="004F351E"/>
    <w:rsid w:val="00560B12"/>
    <w:rsid w:val="00581A24"/>
    <w:rsid w:val="006058BF"/>
    <w:rsid w:val="006241BF"/>
    <w:rsid w:val="00627CD4"/>
    <w:rsid w:val="00634CB4"/>
    <w:rsid w:val="006716BB"/>
    <w:rsid w:val="006770C2"/>
    <w:rsid w:val="006A46DD"/>
    <w:rsid w:val="006B1575"/>
    <w:rsid w:val="006B63EB"/>
    <w:rsid w:val="00780CA0"/>
    <w:rsid w:val="007B1F52"/>
    <w:rsid w:val="007C227D"/>
    <w:rsid w:val="007C4B48"/>
    <w:rsid w:val="007F7779"/>
    <w:rsid w:val="008100A7"/>
    <w:rsid w:val="00842CF5"/>
    <w:rsid w:val="00870211"/>
    <w:rsid w:val="008C10AF"/>
    <w:rsid w:val="008E694F"/>
    <w:rsid w:val="008F132B"/>
    <w:rsid w:val="009B0360"/>
    <w:rsid w:val="009B6312"/>
    <w:rsid w:val="009F45EF"/>
    <w:rsid w:val="009F494F"/>
    <w:rsid w:val="00A258F4"/>
    <w:rsid w:val="00A335C6"/>
    <w:rsid w:val="00A82C11"/>
    <w:rsid w:val="00AA49AA"/>
    <w:rsid w:val="00AC011B"/>
    <w:rsid w:val="00B10C76"/>
    <w:rsid w:val="00B61FB8"/>
    <w:rsid w:val="00BA7C3E"/>
    <w:rsid w:val="00BC4020"/>
    <w:rsid w:val="00BE722C"/>
    <w:rsid w:val="00CA1AD3"/>
    <w:rsid w:val="00D25E9D"/>
    <w:rsid w:val="00D833E0"/>
    <w:rsid w:val="00DE6A36"/>
    <w:rsid w:val="00E2603E"/>
    <w:rsid w:val="00E51436"/>
    <w:rsid w:val="00E777B7"/>
    <w:rsid w:val="00ED349C"/>
    <w:rsid w:val="00F30703"/>
    <w:rsid w:val="00FE3AD7"/>
    <w:rsid w:val="00FF0C76"/>
    <w:rsid w:val="00FF1993"/>
    <w:rsid w:val="00FF35AB"/>
    <w:rsid w:val="00FF6E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A46DD"/>
    <w:rPr>
      <w:rFonts w:ascii="Times New Roman" w:eastAsia="Calibri" w:hAnsi="Times New Roman" w:cs="Times New Roman"/>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iPriority w:val="99"/>
    <w:rsid w:val="006A46DD"/>
    <w:pPr>
      <w:tabs>
        <w:tab w:val="center" w:pos="4153"/>
        <w:tab w:val="right" w:pos="8306"/>
      </w:tabs>
    </w:pPr>
  </w:style>
  <w:style w:type="character" w:customStyle="1" w:styleId="KjeneRakstz">
    <w:name w:val="Kājene Rakstz."/>
    <w:basedOn w:val="Noklusjumarindkopasfonts"/>
    <w:link w:val="Kjene"/>
    <w:uiPriority w:val="99"/>
    <w:rsid w:val="006A46DD"/>
    <w:rPr>
      <w:rFonts w:ascii="Times New Roman" w:eastAsia="Calibri" w:hAnsi="Times New Roman" w:cs="Times New Roman"/>
      <w:sz w:val="24"/>
    </w:rPr>
  </w:style>
  <w:style w:type="character" w:styleId="Lappusesnumurs">
    <w:name w:val="page number"/>
    <w:basedOn w:val="Noklusjumarindkopasfonts"/>
    <w:rsid w:val="006A46DD"/>
  </w:style>
  <w:style w:type="paragraph" w:styleId="Galvene">
    <w:name w:val="header"/>
    <w:basedOn w:val="Parastais"/>
    <w:link w:val="GalveneRakstz"/>
    <w:uiPriority w:val="99"/>
    <w:unhideWhenUsed/>
    <w:rsid w:val="006A46D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A46DD"/>
    <w:rPr>
      <w:rFonts w:ascii="Times New Roman" w:eastAsia="Calibri" w:hAnsi="Times New Roman" w:cs="Times New Roman"/>
      <w:sz w:val="24"/>
    </w:rPr>
  </w:style>
  <w:style w:type="paragraph" w:customStyle="1" w:styleId="tv2132">
    <w:name w:val="tv2132"/>
    <w:basedOn w:val="Parastais"/>
    <w:rsid w:val="006A46DD"/>
    <w:pPr>
      <w:spacing w:after="0" w:line="360" w:lineRule="auto"/>
      <w:ind w:firstLine="300"/>
    </w:pPr>
    <w:rPr>
      <w:rFonts w:eastAsia="Times New Roman"/>
      <w:color w:val="414142"/>
      <w:sz w:val="20"/>
      <w:szCs w:val="20"/>
      <w:lang w:eastAsia="lv-LV"/>
    </w:rPr>
  </w:style>
  <w:style w:type="character" w:styleId="Hipersaite">
    <w:name w:val="Hyperlink"/>
    <w:unhideWhenUsed/>
    <w:rsid w:val="006A46DD"/>
    <w:rPr>
      <w:color w:val="0000FF"/>
      <w:u w:val="single"/>
    </w:rPr>
  </w:style>
  <w:style w:type="paragraph" w:styleId="Pamatteksts">
    <w:name w:val="Body Text"/>
    <w:basedOn w:val="Parastais"/>
    <w:link w:val="PamattekstsRakstz"/>
    <w:unhideWhenUsed/>
    <w:rsid w:val="006A46DD"/>
    <w:pPr>
      <w:spacing w:after="0" w:line="240" w:lineRule="auto"/>
    </w:pPr>
    <w:rPr>
      <w:rFonts w:eastAsia="Times New Roman"/>
      <w:sz w:val="28"/>
      <w:szCs w:val="24"/>
    </w:rPr>
  </w:style>
  <w:style w:type="character" w:customStyle="1" w:styleId="PamattekstsRakstz">
    <w:name w:val="Pamatteksts Rakstz."/>
    <w:basedOn w:val="Noklusjumarindkopasfonts"/>
    <w:link w:val="Pamatteksts"/>
    <w:rsid w:val="006A46DD"/>
    <w:rPr>
      <w:rFonts w:ascii="Times New Roman" w:eastAsia="Times New Roman" w:hAnsi="Times New Roman" w:cs="Times New Roman"/>
      <w:sz w:val="28"/>
      <w:szCs w:val="24"/>
    </w:rPr>
  </w:style>
  <w:style w:type="paragraph" w:customStyle="1" w:styleId="Default">
    <w:name w:val="Default"/>
    <w:rsid w:val="006A46DD"/>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495139"/>
    <w:rPr>
      <w:sz w:val="16"/>
      <w:szCs w:val="16"/>
    </w:rPr>
  </w:style>
  <w:style w:type="paragraph" w:styleId="Komentrateksts">
    <w:name w:val="annotation text"/>
    <w:basedOn w:val="Parastais"/>
    <w:link w:val="KomentratekstsRakstz"/>
    <w:uiPriority w:val="99"/>
    <w:semiHidden/>
    <w:unhideWhenUsed/>
    <w:rsid w:val="0049513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95139"/>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95139"/>
    <w:rPr>
      <w:b/>
      <w:bCs/>
    </w:rPr>
  </w:style>
  <w:style w:type="character" w:customStyle="1" w:styleId="KomentratmaRakstz">
    <w:name w:val="Komentāra tēma Rakstz."/>
    <w:basedOn w:val="KomentratekstsRakstz"/>
    <w:link w:val="Komentratma"/>
    <w:uiPriority w:val="99"/>
    <w:semiHidden/>
    <w:rsid w:val="00495139"/>
    <w:rPr>
      <w:b/>
      <w:bCs/>
    </w:rPr>
  </w:style>
  <w:style w:type="paragraph" w:styleId="Balonteksts">
    <w:name w:val="Balloon Text"/>
    <w:basedOn w:val="Parastais"/>
    <w:link w:val="BalontekstsRakstz"/>
    <w:uiPriority w:val="99"/>
    <w:semiHidden/>
    <w:unhideWhenUsed/>
    <w:rsid w:val="0049513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5139"/>
    <w:rPr>
      <w:rFonts w:ascii="Tahoma" w:eastAsia="Calibri" w:hAnsi="Tahoma" w:cs="Tahoma"/>
      <w:sz w:val="16"/>
      <w:szCs w:val="16"/>
    </w:rPr>
  </w:style>
  <w:style w:type="paragraph" w:styleId="Sarakstarindkopa">
    <w:name w:val="List Paragraph"/>
    <w:basedOn w:val="Parastais"/>
    <w:uiPriority w:val="34"/>
    <w:qFormat/>
    <w:rsid w:val="00026C17"/>
    <w:pPr>
      <w:spacing w:after="0" w:line="240" w:lineRule="auto"/>
      <w:ind w:left="720"/>
      <w:contextualSpacing/>
    </w:pPr>
    <w:rPr>
      <w:rFonts w:ascii="Calibri" w:eastAsiaTheme="minorHAnsi" w:hAnsi="Calibri"/>
      <w:sz w:val="22"/>
    </w:rPr>
  </w:style>
  <w:style w:type="table" w:styleId="Reatabula">
    <w:name w:val="Table Grid"/>
    <w:basedOn w:val="Parastatabula"/>
    <w:uiPriority w:val="59"/>
    <w:rsid w:val="003F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907-publiskas-personas-kapitala-dalu-un-kapitalsabiedribu-parvaldib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cis.Katajs@km.gov.lv" TargetMode="External"/><Relationship Id="rId4" Type="http://schemas.openxmlformats.org/officeDocument/2006/relationships/webSettings" Target="webSetting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8821</Words>
  <Characters>5028</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inesed</cp:lastModifiedBy>
  <cp:revision>5</cp:revision>
  <dcterms:created xsi:type="dcterms:W3CDTF">2017-09-05T10:58:00Z</dcterms:created>
  <dcterms:modified xsi:type="dcterms:W3CDTF">2017-09-25T10:20:00Z</dcterms:modified>
</cp:coreProperties>
</file>