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55" w:rsidRPr="00D34A88" w:rsidRDefault="00080A55" w:rsidP="00080A55">
      <w:pPr>
        <w:spacing w:after="0" w:line="240" w:lineRule="auto"/>
        <w:ind w:right="-1"/>
        <w:jc w:val="center"/>
        <w:rPr>
          <w:rFonts w:ascii="Times New Roman" w:eastAsia="Calibri" w:hAnsi="Times New Roman" w:cs="Times New Roman"/>
          <w:b/>
          <w:bCs/>
          <w:sz w:val="28"/>
          <w:szCs w:val="28"/>
          <w:lang w:eastAsia="lv-LV"/>
        </w:rPr>
      </w:pPr>
      <w:bookmarkStart w:id="0" w:name="372832"/>
      <w:r>
        <w:rPr>
          <w:rFonts w:ascii="Times New Roman" w:eastAsia="Calibri" w:hAnsi="Times New Roman" w:cs="Times New Roman"/>
          <w:b/>
          <w:sz w:val="28"/>
          <w:szCs w:val="28"/>
        </w:rPr>
        <w:t>Likum</w:t>
      </w:r>
      <w:r w:rsidRPr="00D34A88">
        <w:rPr>
          <w:rFonts w:ascii="Times New Roman" w:eastAsia="Calibri" w:hAnsi="Times New Roman" w:cs="Times New Roman"/>
          <w:b/>
          <w:sz w:val="28"/>
          <w:szCs w:val="28"/>
        </w:rPr>
        <w:t>projekta „</w:t>
      </w:r>
      <w:r>
        <w:rPr>
          <w:rFonts w:ascii="Times New Roman" w:eastAsia="Calibri" w:hAnsi="Times New Roman" w:cs="Times New Roman"/>
          <w:b/>
          <w:sz w:val="28"/>
          <w:szCs w:val="28"/>
        </w:rPr>
        <w:t>Grozījumi Valsts fondēto pensiju likumā</w:t>
      </w:r>
      <w:r w:rsidRPr="00D34A88">
        <w:rPr>
          <w:rFonts w:ascii="Times New Roman" w:eastAsia="Calibri" w:hAnsi="Times New Roman" w:cs="Times New Roman"/>
          <w:b/>
          <w:sz w:val="28"/>
          <w:szCs w:val="28"/>
          <w:lang w:eastAsia="lv-LV"/>
        </w:rPr>
        <w:t>”</w:t>
      </w:r>
    </w:p>
    <w:p w:rsidR="00080A55" w:rsidRPr="00D34A88" w:rsidRDefault="00080A55" w:rsidP="00080A55">
      <w:pPr>
        <w:spacing w:after="0" w:line="240" w:lineRule="auto"/>
        <w:ind w:right="-1"/>
        <w:jc w:val="center"/>
        <w:rPr>
          <w:rFonts w:ascii="Times New Roman" w:eastAsia="Calibri" w:hAnsi="Times New Roman" w:cs="Times New Roman"/>
          <w:b/>
          <w:sz w:val="28"/>
          <w:szCs w:val="28"/>
        </w:rPr>
      </w:pPr>
      <w:r w:rsidRPr="00D34A88">
        <w:rPr>
          <w:rFonts w:ascii="Times New Roman" w:eastAsia="Calibri" w:hAnsi="Times New Roman" w:cs="Times New Roman"/>
          <w:b/>
          <w:sz w:val="28"/>
          <w:szCs w:val="28"/>
        </w:rPr>
        <w:t xml:space="preserve">sākotnējās ietekmes novērtējuma ziņojums (anotācija) </w:t>
      </w:r>
    </w:p>
    <w:p w:rsidR="00080A55" w:rsidRPr="00D34A88" w:rsidRDefault="00080A55" w:rsidP="00080A55">
      <w:pPr>
        <w:spacing w:after="0" w:line="240" w:lineRule="auto"/>
        <w:ind w:right="-1"/>
        <w:jc w:val="center"/>
        <w:rPr>
          <w:rFonts w:ascii="Times New Roman" w:eastAsia="Calibri" w:hAnsi="Times New Roman" w:cs="Times New Roman"/>
          <w:b/>
          <w:sz w:val="26"/>
          <w:szCs w:val="26"/>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3117"/>
        <w:gridCol w:w="5955"/>
      </w:tblGrid>
      <w:tr w:rsidR="00080A55" w:rsidRPr="00D34A88" w:rsidTr="0031447E">
        <w:trPr>
          <w:trHeight w:val="467"/>
        </w:trPr>
        <w:tc>
          <w:tcPr>
            <w:tcW w:w="5000" w:type="pct"/>
            <w:gridSpan w:val="3"/>
            <w:vAlign w:val="center"/>
          </w:tcPr>
          <w:bookmarkEnd w:id="0"/>
          <w:p w:rsidR="00080A55" w:rsidRPr="00D34A88"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t>I. Tiesību akta projekta izstrādes nepieciešamība</w:t>
            </w:r>
          </w:p>
        </w:tc>
      </w:tr>
      <w:tr w:rsidR="00080A55" w:rsidRPr="00D34A88" w:rsidTr="0031447E">
        <w:trPr>
          <w:trHeight w:val="94"/>
        </w:trPr>
        <w:tc>
          <w:tcPr>
            <w:tcW w:w="227" w:type="pct"/>
          </w:tcPr>
          <w:p w:rsidR="00080A55" w:rsidRPr="00D34A88" w:rsidRDefault="00080A55" w:rsidP="0031447E">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1.</w:t>
            </w:r>
          </w:p>
        </w:tc>
        <w:tc>
          <w:tcPr>
            <w:tcW w:w="1640" w:type="pct"/>
          </w:tcPr>
          <w:p w:rsidR="00080A55" w:rsidRPr="00D34A88" w:rsidRDefault="00080A55" w:rsidP="0031447E">
            <w:pPr>
              <w:spacing w:after="0" w:line="240" w:lineRule="auto"/>
              <w:ind w:left="140" w:right="334"/>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Pamatojums</w:t>
            </w:r>
          </w:p>
        </w:tc>
        <w:tc>
          <w:tcPr>
            <w:tcW w:w="3133" w:type="pct"/>
          </w:tcPr>
          <w:p w:rsidR="00080A55" w:rsidRPr="00E26CB0" w:rsidRDefault="00080A55" w:rsidP="0031447E">
            <w:pPr>
              <w:spacing w:after="0" w:line="240" w:lineRule="auto"/>
              <w:ind w:left="96" w:right="120"/>
              <w:jc w:val="both"/>
              <w:rPr>
                <w:rFonts w:ascii="Times New Roman" w:hAnsi="Times New Roman"/>
                <w:sz w:val="26"/>
                <w:szCs w:val="26"/>
              </w:rPr>
            </w:pPr>
            <w:r w:rsidRPr="00E26CB0">
              <w:rPr>
                <w:rFonts w:ascii="Times New Roman" w:eastAsia="Times New Roman" w:hAnsi="Times New Roman" w:cs="Times New Roman"/>
                <w:bCs/>
                <w:sz w:val="26"/>
                <w:szCs w:val="26"/>
                <w:shd w:val="clear" w:color="auto" w:fill="FFFFFF"/>
              </w:rPr>
              <w:t>2017.gada 28.februāra Ministru kabineta sēdē apstiprinātā (protokols nr.10, 32.§) plāna „Finanšu sektora attīstības plāns 2017.-2019.gadam” 3.3.3.punkts „</w:t>
            </w:r>
            <w:r w:rsidRPr="00E26CB0">
              <w:rPr>
                <w:rFonts w:ascii="Times New Roman" w:hAnsi="Times New Roman"/>
                <w:sz w:val="26"/>
                <w:szCs w:val="26"/>
              </w:rPr>
              <w:t xml:space="preserve">Izvērtēt iespējas valsts fondēto pensiju regulējuma pārskatīšanai, lai veicinātu ieguldījumus kapitāla tirgū, tai skaitā attiecībā uz pensiju fondu ieguldījumu limitiem, plānu maiņas termiņiem, pārvaldnieku komisijas maksām”. </w:t>
            </w:r>
          </w:p>
          <w:p w:rsidR="00117ECD" w:rsidRPr="00E26CB0" w:rsidRDefault="00117ECD" w:rsidP="004D69EB">
            <w:pPr>
              <w:spacing w:after="0" w:line="240" w:lineRule="auto"/>
              <w:ind w:left="96" w:right="120"/>
              <w:jc w:val="both"/>
              <w:rPr>
                <w:rFonts w:ascii="Times New Roman" w:eastAsia="Times New Roman" w:hAnsi="Times New Roman" w:cs="Times New Roman"/>
                <w:bCs/>
                <w:sz w:val="26"/>
                <w:szCs w:val="26"/>
                <w:shd w:val="clear" w:color="auto" w:fill="FFFFFF"/>
              </w:rPr>
            </w:pPr>
          </w:p>
          <w:p w:rsidR="00080A55" w:rsidRPr="00E26CB0" w:rsidRDefault="004D69EB" w:rsidP="004D69EB">
            <w:pPr>
              <w:spacing w:after="0" w:line="240" w:lineRule="auto"/>
              <w:ind w:left="96" w:right="120"/>
              <w:jc w:val="both"/>
              <w:rPr>
                <w:rFonts w:ascii="Times New Roman" w:hAnsi="Times New Roman" w:cs="Times New Roman"/>
                <w:color w:val="2A2A2A"/>
                <w:sz w:val="26"/>
                <w:szCs w:val="26"/>
                <w:shd w:val="clear" w:color="auto" w:fill="FFFFFF"/>
              </w:rPr>
            </w:pPr>
            <w:r w:rsidRPr="00E26CB0">
              <w:rPr>
                <w:rFonts w:ascii="Times New Roman" w:eastAsia="Times New Roman" w:hAnsi="Times New Roman" w:cs="Times New Roman"/>
                <w:bCs/>
                <w:sz w:val="26"/>
                <w:szCs w:val="26"/>
                <w:shd w:val="clear" w:color="auto" w:fill="FFFFFF"/>
              </w:rPr>
              <w:t xml:space="preserve">Ministru kabineta 2017.gada 29.augusta sēdē dotais uzdevums (protokols nr.42, 51.§, 5.punkts) - </w:t>
            </w:r>
            <w:r w:rsidRPr="00E26CB0">
              <w:rPr>
                <w:rFonts w:ascii="Times New Roman" w:hAnsi="Times New Roman" w:cs="Times New Roman"/>
                <w:color w:val="2A2A2A"/>
                <w:sz w:val="26"/>
                <w:szCs w:val="26"/>
                <w:shd w:val="clear" w:color="auto" w:fill="FFFFFF"/>
              </w:rPr>
              <w:t>Labklājības ministrijai veikt grozījumus Valsts fondēto pensiju likumā, lai nodrošinātu efektīvāku valsts fondēto pensiju ieguldījumu politiku un pensiju plānu dalībnieku interešu nodrošināšanu.</w:t>
            </w:r>
          </w:p>
          <w:p w:rsidR="00117ECD" w:rsidRPr="004D69EB" w:rsidRDefault="00117ECD" w:rsidP="004D69EB">
            <w:pPr>
              <w:spacing w:after="0" w:line="240" w:lineRule="auto"/>
              <w:ind w:left="96" w:right="120"/>
              <w:jc w:val="both"/>
              <w:rPr>
                <w:rFonts w:ascii="Times New Roman" w:eastAsia="Times New Roman" w:hAnsi="Times New Roman" w:cs="Times New Roman"/>
                <w:bCs/>
                <w:sz w:val="24"/>
                <w:szCs w:val="24"/>
                <w:shd w:val="clear" w:color="auto" w:fill="FFFFFF"/>
              </w:rPr>
            </w:pPr>
          </w:p>
        </w:tc>
      </w:tr>
      <w:tr w:rsidR="00080A55" w:rsidRPr="00D34A88" w:rsidTr="009B240D">
        <w:tblPrEx>
          <w:tblCellMar>
            <w:left w:w="108" w:type="dxa"/>
            <w:right w:w="108" w:type="dxa"/>
          </w:tblCellMar>
        </w:tblPrEx>
        <w:trPr>
          <w:trHeight w:val="90"/>
        </w:trPr>
        <w:tc>
          <w:tcPr>
            <w:tcW w:w="227" w:type="pct"/>
          </w:tcPr>
          <w:p w:rsidR="00080A55" w:rsidRPr="00D34A88" w:rsidRDefault="00080A55" w:rsidP="0031447E">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2.</w:t>
            </w:r>
          </w:p>
        </w:tc>
        <w:tc>
          <w:tcPr>
            <w:tcW w:w="1640" w:type="pct"/>
          </w:tcPr>
          <w:p w:rsidR="00080A55" w:rsidRPr="00D34A88" w:rsidRDefault="00080A55" w:rsidP="0031447E">
            <w:pPr>
              <w:tabs>
                <w:tab w:val="left" w:pos="170"/>
              </w:tabs>
              <w:spacing w:after="0" w:line="240" w:lineRule="auto"/>
              <w:ind w:left="140" w:right="193"/>
              <w:jc w:val="both"/>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080A55" w:rsidRPr="00D34A88" w:rsidRDefault="00080A55" w:rsidP="0031447E">
            <w:pPr>
              <w:rPr>
                <w:rFonts w:ascii="Calibri" w:eastAsia="Calibri" w:hAnsi="Calibri" w:cs="Times New Roman"/>
                <w:lang w:eastAsia="lv-LV"/>
              </w:rPr>
            </w:pPr>
          </w:p>
          <w:p w:rsidR="00080A55" w:rsidRPr="00D34A88" w:rsidRDefault="00080A55" w:rsidP="0031447E">
            <w:pPr>
              <w:rPr>
                <w:rFonts w:ascii="Calibri" w:eastAsia="Calibri" w:hAnsi="Calibri" w:cs="Times New Roman"/>
                <w:lang w:eastAsia="lv-LV"/>
              </w:rPr>
            </w:pPr>
          </w:p>
          <w:p w:rsidR="00080A55" w:rsidRPr="00D34A88" w:rsidRDefault="00080A55" w:rsidP="0031447E">
            <w:pPr>
              <w:rPr>
                <w:rFonts w:ascii="Calibri" w:eastAsia="Calibri" w:hAnsi="Calibri" w:cs="Times New Roman"/>
                <w:lang w:eastAsia="lv-LV"/>
              </w:rPr>
            </w:pPr>
          </w:p>
          <w:p w:rsidR="00080A55" w:rsidRPr="00D34A88" w:rsidRDefault="00080A55" w:rsidP="0031447E">
            <w:pPr>
              <w:rPr>
                <w:rFonts w:ascii="Calibri" w:eastAsia="Calibri" w:hAnsi="Calibri" w:cs="Times New Roman"/>
                <w:lang w:eastAsia="lv-LV"/>
              </w:rPr>
            </w:pPr>
          </w:p>
          <w:p w:rsidR="00080A55" w:rsidRPr="00D34A88" w:rsidRDefault="00080A55" w:rsidP="0031447E">
            <w:pPr>
              <w:jc w:val="center"/>
              <w:rPr>
                <w:rFonts w:ascii="Calibri" w:eastAsia="Calibri" w:hAnsi="Calibri" w:cs="Times New Roman"/>
                <w:lang w:eastAsia="lv-LV"/>
              </w:rPr>
            </w:pPr>
          </w:p>
        </w:tc>
        <w:tc>
          <w:tcPr>
            <w:tcW w:w="3133" w:type="pct"/>
          </w:tcPr>
          <w:p w:rsidR="00080A55" w:rsidRPr="00E26CB0" w:rsidRDefault="00080A55" w:rsidP="00181B45">
            <w:pPr>
              <w:tabs>
                <w:tab w:val="left" w:pos="6167"/>
              </w:tabs>
              <w:spacing w:after="0" w:line="240" w:lineRule="auto"/>
              <w:ind w:left="34" w:right="141" w:firstLine="629"/>
              <w:jc w:val="both"/>
              <w:rPr>
                <w:rFonts w:ascii="Times New Roman" w:hAnsi="Times New Roman" w:cs="Times New Roman"/>
                <w:color w:val="414142"/>
                <w:sz w:val="26"/>
                <w:szCs w:val="26"/>
              </w:rPr>
            </w:pPr>
            <w:r w:rsidRPr="00E26CB0">
              <w:rPr>
                <w:rFonts w:ascii="Times New Roman" w:hAnsi="Times New Roman" w:cs="Times New Roman"/>
                <w:sz w:val="26"/>
                <w:szCs w:val="26"/>
                <w:lang w:eastAsia="lv-LV"/>
              </w:rPr>
              <w:t xml:space="preserve">Valsts fondēto pensiju likuma (turpmāk – likums) 11.panta </w:t>
            </w:r>
            <w:r w:rsidRPr="00E26CB0">
              <w:rPr>
                <w:rFonts w:ascii="Times New Roman" w:hAnsi="Times New Roman" w:cs="Times New Roman"/>
                <w:color w:val="414142"/>
                <w:sz w:val="26"/>
                <w:szCs w:val="26"/>
              </w:rPr>
              <w:t>5.</w:t>
            </w:r>
            <w:r w:rsidRPr="00E26CB0">
              <w:rPr>
                <w:rFonts w:ascii="Times New Roman" w:hAnsi="Times New Roman" w:cs="Times New Roman"/>
                <w:color w:val="414142"/>
                <w:sz w:val="26"/>
                <w:szCs w:val="26"/>
                <w:vertAlign w:val="superscript"/>
              </w:rPr>
              <w:t xml:space="preserve">1 </w:t>
            </w:r>
            <w:r w:rsidRPr="00E26CB0">
              <w:rPr>
                <w:rFonts w:ascii="Times New Roman" w:hAnsi="Times New Roman" w:cs="Times New Roman"/>
                <w:color w:val="414142"/>
                <w:sz w:val="26"/>
                <w:szCs w:val="26"/>
              </w:rPr>
              <w:t xml:space="preserve">daļa nosaka, ka </w:t>
            </w:r>
            <w:r w:rsidR="00AD5BB8" w:rsidRPr="00E26CB0">
              <w:rPr>
                <w:rFonts w:ascii="Times New Roman" w:hAnsi="Times New Roman" w:cs="Times New Roman"/>
                <w:color w:val="414142"/>
                <w:sz w:val="26"/>
                <w:szCs w:val="26"/>
              </w:rPr>
              <w:t xml:space="preserve">valsts </w:t>
            </w:r>
            <w:r w:rsidRPr="00E26CB0">
              <w:rPr>
                <w:rFonts w:ascii="Times New Roman" w:hAnsi="Times New Roman" w:cs="Times New Roman"/>
                <w:color w:val="414142"/>
                <w:sz w:val="26"/>
                <w:szCs w:val="26"/>
              </w:rPr>
              <w:t>fondēto pensiju shēmas</w:t>
            </w:r>
            <w:r w:rsidR="00AD5BB8" w:rsidRPr="00E26CB0">
              <w:rPr>
                <w:rFonts w:ascii="Times New Roman" w:hAnsi="Times New Roman" w:cs="Times New Roman"/>
                <w:color w:val="414142"/>
                <w:sz w:val="26"/>
                <w:szCs w:val="26"/>
              </w:rPr>
              <w:t xml:space="preserve"> </w:t>
            </w:r>
            <w:r w:rsidR="00AD5BB8" w:rsidRPr="00E26CB0">
              <w:rPr>
                <w:rFonts w:ascii="Times New Roman" w:hAnsi="Times New Roman" w:cs="Times New Roman"/>
                <w:sz w:val="26"/>
                <w:szCs w:val="26"/>
                <w:lang w:eastAsia="lv-LV"/>
              </w:rPr>
              <w:t xml:space="preserve">(turpmāk – VFPS) </w:t>
            </w:r>
            <w:r w:rsidRPr="00E26CB0">
              <w:rPr>
                <w:rFonts w:ascii="Times New Roman" w:hAnsi="Times New Roman" w:cs="Times New Roman"/>
                <w:color w:val="414142"/>
                <w:sz w:val="26"/>
                <w:szCs w:val="26"/>
              </w:rPr>
              <w:t>līdzekļu pārvaldītājam maksājumu par ieguldījumu plāna pārvaldi veido maksājuma pastāvīgā daļa, kas ir viens procents no ieguldījumu plāna aktīvu vidējās vērtības gadā (ietver maksājumus līdzekļu pārvaldītājam, līdzekļu turētājam, kā arī maksājumus trešajām personām, kurus veic no ieguldījumu plāna līdzekļiem, izņemot izdevumus, kas radušies, veicot darījumus ar ieguldījumu plāna aktīvu pārdošanu ar atpirkšanu) un maksājuma mainīgā daļa, kas ir atlīdzība fondēto pensiju shēmas līdzekļu pārvaldītājam par ieguldījumu plāna darbības rezultātu, un tās apmērs ir atkarīgs no pensiju plāna ienesīguma.</w:t>
            </w:r>
          </w:p>
          <w:p w:rsidR="00080A55" w:rsidRPr="00E26CB0" w:rsidRDefault="00080A55" w:rsidP="00181B45">
            <w:pPr>
              <w:pStyle w:val="tv213"/>
              <w:tabs>
                <w:tab w:val="left" w:pos="6167"/>
              </w:tabs>
              <w:spacing w:before="0" w:beforeAutospacing="0" w:after="0" w:afterAutospacing="0"/>
              <w:ind w:left="34" w:right="141" w:firstLine="629"/>
              <w:jc w:val="both"/>
              <w:rPr>
                <w:color w:val="414142"/>
                <w:sz w:val="26"/>
                <w:szCs w:val="26"/>
              </w:rPr>
            </w:pPr>
            <w:r w:rsidRPr="00E26CB0">
              <w:rPr>
                <w:color w:val="414142"/>
                <w:sz w:val="26"/>
                <w:szCs w:val="26"/>
              </w:rPr>
              <w:t>Likuma 5.</w:t>
            </w:r>
            <w:r w:rsidRPr="00E26CB0">
              <w:rPr>
                <w:color w:val="414142"/>
                <w:sz w:val="26"/>
                <w:szCs w:val="26"/>
                <w:vertAlign w:val="superscript"/>
              </w:rPr>
              <w:t>3</w:t>
            </w:r>
            <w:r w:rsidRPr="00E26CB0">
              <w:rPr>
                <w:color w:val="414142"/>
                <w:sz w:val="26"/>
                <w:szCs w:val="26"/>
              </w:rPr>
              <w:t xml:space="preserve"> daļā noteikts, ka </w:t>
            </w:r>
            <w:r w:rsidR="00AD5BB8" w:rsidRPr="00E26CB0">
              <w:rPr>
                <w:color w:val="414142"/>
                <w:sz w:val="26"/>
                <w:szCs w:val="26"/>
              </w:rPr>
              <w:t>VFPS</w:t>
            </w:r>
            <w:r w:rsidRPr="00E26CB0">
              <w:rPr>
                <w:color w:val="414142"/>
                <w:sz w:val="26"/>
                <w:szCs w:val="26"/>
              </w:rPr>
              <w:t xml:space="preserve"> līdzekļu pārvaldītājs nodrošina, lai maksimālais apmērs maksājumam par ieguldījumu plāna pārvaldi, ietverot maksājuma pastāvīgo un mainīgo daļu, rēķinot par pēdējo 12 mēnešu periodu, nepārsniedz:</w:t>
            </w:r>
          </w:p>
          <w:p w:rsidR="00080A55" w:rsidRPr="00E26CB0" w:rsidRDefault="00080A55" w:rsidP="00DA6DE5">
            <w:pPr>
              <w:pStyle w:val="tv213"/>
              <w:tabs>
                <w:tab w:val="left" w:pos="6167"/>
              </w:tabs>
              <w:spacing w:before="0" w:beforeAutospacing="0" w:after="0" w:afterAutospacing="0"/>
              <w:ind w:left="34" w:right="142" w:firstLine="629"/>
              <w:jc w:val="both"/>
              <w:rPr>
                <w:color w:val="414142"/>
                <w:sz w:val="26"/>
                <w:szCs w:val="26"/>
              </w:rPr>
            </w:pPr>
            <w:r w:rsidRPr="00E26CB0">
              <w:rPr>
                <w:color w:val="414142"/>
                <w:sz w:val="26"/>
                <w:szCs w:val="26"/>
              </w:rPr>
              <w:t>1) 1,5 procentus no ieguldījumu plāna aktīvu vidējās vērtības ieguldījumu plāniem, kuru ieguldījumu plānu prospektos nav paredzēti ieguldījumi komercsabiedrību akcijās, citos kapitāla vērtspapīros un tiem pielīdzināmos vērtspapīros;</w:t>
            </w:r>
          </w:p>
          <w:p w:rsidR="00080A55" w:rsidRPr="00E26CB0" w:rsidRDefault="00080A55" w:rsidP="00181B45">
            <w:pPr>
              <w:pStyle w:val="tv213"/>
              <w:tabs>
                <w:tab w:val="left" w:pos="6167"/>
              </w:tabs>
              <w:spacing w:before="0" w:beforeAutospacing="0" w:after="0" w:afterAutospacing="0"/>
              <w:ind w:left="34" w:right="141" w:firstLine="629"/>
              <w:jc w:val="both"/>
              <w:rPr>
                <w:color w:val="414142"/>
                <w:sz w:val="26"/>
                <w:szCs w:val="26"/>
              </w:rPr>
            </w:pPr>
            <w:r w:rsidRPr="00E26CB0">
              <w:rPr>
                <w:color w:val="414142"/>
                <w:sz w:val="26"/>
                <w:szCs w:val="26"/>
              </w:rPr>
              <w:lastRenderedPageBreak/>
              <w:t>2) divus procentus no ieguldījumu plāna aktīvu vidējās vērtības šīs daļas </w:t>
            </w:r>
            <w:hyperlink r:id="rId8" w:anchor="p1" w:tgtFrame="_blank" w:history="1">
              <w:r w:rsidRPr="00E26CB0">
                <w:rPr>
                  <w:rStyle w:val="Hyperlink"/>
                  <w:color w:val="16497B"/>
                  <w:sz w:val="26"/>
                  <w:szCs w:val="26"/>
                  <w:u w:val="none"/>
                </w:rPr>
                <w:t>1.punktā</w:t>
              </w:r>
            </w:hyperlink>
            <w:r w:rsidRPr="00E26CB0">
              <w:rPr>
                <w:color w:val="414142"/>
                <w:sz w:val="26"/>
                <w:szCs w:val="26"/>
              </w:rPr>
              <w:t> neminētajiem ieguldījumu plāniem.</w:t>
            </w:r>
          </w:p>
          <w:p w:rsidR="00080A55" w:rsidRPr="00E26CB0" w:rsidRDefault="00AD5BB8" w:rsidP="00181B45">
            <w:pPr>
              <w:tabs>
                <w:tab w:val="left" w:pos="6026"/>
              </w:tabs>
              <w:spacing w:after="0" w:line="240" w:lineRule="auto"/>
              <w:ind w:left="34" w:right="141" w:firstLine="629"/>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VFPS</w:t>
            </w:r>
            <w:r w:rsidR="00080A55" w:rsidRPr="00E26CB0">
              <w:rPr>
                <w:rFonts w:ascii="Times New Roman" w:hAnsi="Times New Roman" w:cs="Times New Roman"/>
                <w:sz w:val="26"/>
                <w:szCs w:val="26"/>
                <w:lang w:eastAsia="lv-LV"/>
              </w:rPr>
              <w:t xml:space="preserve"> līdzekļu pārvaldītājiem </w:t>
            </w:r>
            <w:r w:rsidR="00E24695">
              <w:rPr>
                <w:rFonts w:ascii="Times New Roman" w:hAnsi="Times New Roman" w:cs="Times New Roman"/>
                <w:sz w:val="26"/>
                <w:szCs w:val="26"/>
                <w:lang w:eastAsia="lv-LV"/>
              </w:rPr>
              <w:t>pārvaldīšanas maksājuma</w:t>
            </w:r>
            <w:r w:rsidR="00080A55" w:rsidRPr="00E26CB0">
              <w:rPr>
                <w:rFonts w:ascii="Times New Roman" w:hAnsi="Times New Roman" w:cs="Times New Roman"/>
                <w:sz w:val="26"/>
                <w:szCs w:val="26"/>
                <w:lang w:eastAsia="lv-LV"/>
              </w:rPr>
              <w:t xml:space="preserve"> apjoms ar katru gadu pieaug, pēdējo piecu gadu laikā dubultojoties. Tā kā </w:t>
            </w:r>
            <w:r w:rsidR="00E24695">
              <w:rPr>
                <w:rFonts w:ascii="Times New Roman" w:hAnsi="Times New Roman" w:cs="Times New Roman"/>
                <w:sz w:val="26"/>
                <w:szCs w:val="26"/>
                <w:lang w:eastAsia="lv-LV"/>
              </w:rPr>
              <w:t>maksājuma</w:t>
            </w:r>
            <w:r w:rsidR="00080A55" w:rsidRPr="00E26CB0">
              <w:rPr>
                <w:rFonts w:ascii="Times New Roman" w:hAnsi="Times New Roman" w:cs="Times New Roman"/>
                <w:sz w:val="26"/>
                <w:szCs w:val="26"/>
                <w:lang w:eastAsia="lv-LV"/>
              </w:rPr>
              <w:t xml:space="preserve"> apmērs ir piesaistīts VFPS ieguldījumu plānu aktīvu apjomam, kas ik gadu palielinās pieaugošo iemaksu rezultātā, VFPS ieguldījumu pārvaldītājiem samaksātās </w:t>
            </w:r>
            <w:r w:rsidR="00E24695">
              <w:rPr>
                <w:rFonts w:ascii="Times New Roman" w:hAnsi="Times New Roman" w:cs="Times New Roman"/>
                <w:sz w:val="26"/>
                <w:szCs w:val="26"/>
                <w:lang w:eastAsia="lv-LV"/>
              </w:rPr>
              <w:t>summas</w:t>
            </w:r>
            <w:r w:rsidR="00080A55" w:rsidRPr="00E26CB0">
              <w:rPr>
                <w:rFonts w:ascii="Times New Roman" w:hAnsi="Times New Roman" w:cs="Times New Roman"/>
                <w:sz w:val="26"/>
                <w:szCs w:val="26"/>
                <w:lang w:eastAsia="lv-LV"/>
              </w:rPr>
              <w:t xml:space="preserve"> apjoms atbilstoši esošajam regulējumam turpinās pieaugt. </w:t>
            </w:r>
            <w:r w:rsidR="00E24695">
              <w:rPr>
                <w:rFonts w:ascii="Times New Roman" w:hAnsi="Times New Roman" w:cs="Times New Roman"/>
                <w:sz w:val="26"/>
                <w:szCs w:val="26"/>
                <w:lang w:eastAsia="lv-LV"/>
              </w:rPr>
              <w:t>Pārvaldīšanas maksājuma</w:t>
            </w:r>
            <w:r w:rsidR="00080A55" w:rsidRPr="00E26CB0">
              <w:rPr>
                <w:rFonts w:ascii="Times New Roman" w:hAnsi="Times New Roman" w:cs="Times New Roman"/>
                <w:sz w:val="26"/>
                <w:szCs w:val="26"/>
                <w:lang w:eastAsia="lv-LV"/>
              </w:rPr>
              <w:t xml:space="preserve"> kopējo apjomu galvenokārt ietekmē tās pastāvīgā daļa, kura nav atkarīga no VFPS ieguldījumu plānu darbības rezultātiem. Tādejādi šo plānu dalībniekiem nākotnē nāksies arvien lielāku summu no VFPS ieguldījumu plānu peļņas novirzīt VFPS līdzekļu pārvaldītājiem </w:t>
            </w:r>
            <w:r w:rsidR="00E24695">
              <w:rPr>
                <w:rFonts w:ascii="Times New Roman" w:hAnsi="Times New Roman" w:cs="Times New Roman"/>
                <w:sz w:val="26"/>
                <w:szCs w:val="26"/>
                <w:lang w:eastAsia="lv-LV"/>
              </w:rPr>
              <w:t>pārvaldīšanas maksājumam</w:t>
            </w:r>
            <w:r w:rsidR="00080A55" w:rsidRPr="00E26CB0">
              <w:rPr>
                <w:rFonts w:ascii="Times New Roman" w:hAnsi="Times New Roman" w:cs="Times New Roman"/>
                <w:sz w:val="26"/>
                <w:szCs w:val="26"/>
                <w:lang w:eastAsia="lv-LV"/>
              </w:rPr>
              <w:t>.</w:t>
            </w:r>
          </w:p>
          <w:p w:rsidR="00080A55" w:rsidRPr="00E26CB0" w:rsidRDefault="00080A55" w:rsidP="00181B45">
            <w:pPr>
              <w:tabs>
                <w:tab w:val="left" w:pos="6026"/>
              </w:tabs>
              <w:spacing w:after="0" w:line="240" w:lineRule="auto"/>
              <w:ind w:left="34" w:right="142" w:firstLine="629"/>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 xml:space="preserve">VFPS šobrīd aktīvu un fiksēto pārvaldes ienākumu pieaugums apsteidz saistīto izmaksu pieaugumu. Aktīviem turpinot augt, nepieciešams pārskatīt VFPS līdzekļu pārvaldītāju </w:t>
            </w:r>
            <w:r w:rsidR="00E24695">
              <w:rPr>
                <w:rFonts w:ascii="Times New Roman" w:hAnsi="Times New Roman" w:cs="Times New Roman"/>
                <w:sz w:val="26"/>
                <w:szCs w:val="26"/>
                <w:lang w:eastAsia="lv-LV"/>
              </w:rPr>
              <w:t>pārvaldīšanas</w:t>
            </w:r>
            <w:r w:rsidRPr="00E26CB0">
              <w:rPr>
                <w:rFonts w:ascii="Times New Roman" w:hAnsi="Times New Roman" w:cs="Times New Roman"/>
                <w:sz w:val="26"/>
                <w:szCs w:val="26"/>
                <w:lang w:eastAsia="lv-LV"/>
              </w:rPr>
              <w:t xml:space="preserve"> maksas, vienlaikus neapdraudot atsevišķu sistēmas dalībnieku (VFPS līdzekļu pārvaldītāju) dzīvotspēju. Tādejādi tiktu veicināta iespēja VFPS dalībniekiem izvēlēties sev atbilstošāku stratēģiju un VFPS līdzekļu pārvaldītāju.  </w:t>
            </w:r>
          </w:p>
          <w:p w:rsidR="00080A55" w:rsidRPr="00E26CB0" w:rsidRDefault="00080A55" w:rsidP="00181B45">
            <w:pPr>
              <w:spacing w:after="0" w:line="240" w:lineRule="auto"/>
              <w:ind w:left="34" w:right="142" w:firstLine="629"/>
              <w:jc w:val="both"/>
              <w:rPr>
                <w:rFonts w:ascii="Times New Roman" w:hAnsi="Times New Roman" w:cs="Times New Roman"/>
                <w:sz w:val="26"/>
                <w:szCs w:val="26"/>
              </w:rPr>
            </w:pPr>
            <w:r w:rsidRPr="00E26CB0">
              <w:rPr>
                <w:rFonts w:ascii="Times New Roman" w:hAnsi="Times New Roman" w:cs="Times New Roman"/>
                <w:sz w:val="26"/>
                <w:szCs w:val="26"/>
              </w:rPr>
              <w:t>Valsts kontrole 2017.gada 15.maijā publicētajā lietderības revīzijas ziņojumā „</w:t>
            </w:r>
            <w:r w:rsidRPr="00E26CB0">
              <w:rPr>
                <w:rFonts w:ascii="Times New Roman" w:hAnsi="Times New Roman" w:cs="Times New Roman"/>
                <w:i/>
                <w:sz w:val="26"/>
                <w:szCs w:val="26"/>
              </w:rPr>
              <w:t xml:space="preserve">Vai valsts politika pensiju sistēmas ilgtspējas nodrošināšanai ir efektīva?” </w:t>
            </w:r>
            <w:r w:rsidRPr="00E26CB0">
              <w:rPr>
                <w:rFonts w:ascii="Times New Roman" w:hAnsi="Times New Roman" w:cs="Times New Roman"/>
                <w:sz w:val="26"/>
                <w:szCs w:val="26"/>
              </w:rPr>
              <w:t xml:space="preserve">par veikto lietderības revīziju </w:t>
            </w:r>
            <w:r w:rsidRPr="00E26CB0">
              <w:rPr>
                <w:rFonts w:ascii="Times New Roman" w:hAnsi="Times New Roman" w:cs="Times New Roman"/>
                <w:i/>
                <w:sz w:val="26"/>
                <w:szCs w:val="26"/>
              </w:rPr>
              <w:t>”Valsts politikas efektivitāte pensiju sistēmas ilgtspējas nodrošināšanai”</w:t>
            </w:r>
            <w:r w:rsidRPr="00E26CB0">
              <w:rPr>
                <w:rFonts w:ascii="Times New Roman" w:hAnsi="Times New Roman" w:cs="Times New Roman"/>
                <w:sz w:val="26"/>
                <w:szCs w:val="26"/>
              </w:rPr>
              <w:t xml:space="preserve"> sniedza visaptverošu izvērtējumu par valsts politikas efektivitāti pensiju sistēmas ilgtspējas nodrošināšanai, kur cita starpā izvērtēja arī VFPS darbību un </w:t>
            </w:r>
            <w:r w:rsidRPr="00E26CB0">
              <w:rPr>
                <w:rFonts w:ascii="Times New Roman" w:hAnsi="Times New Roman" w:cs="Times New Roman"/>
                <w:sz w:val="26"/>
                <w:szCs w:val="26"/>
                <w:lang w:eastAsia="lv-LV"/>
              </w:rPr>
              <w:t xml:space="preserve">VFPS līdzekļu pārvaldītāju saņemto </w:t>
            </w:r>
            <w:r w:rsidR="00E24695">
              <w:rPr>
                <w:rFonts w:ascii="Times New Roman" w:hAnsi="Times New Roman" w:cs="Times New Roman"/>
                <w:sz w:val="26"/>
                <w:szCs w:val="26"/>
                <w:lang w:eastAsia="lv-LV"/>
              </w:rPr>
              <w:t>pārvaldīšanas</w:t>
            </w:r>
            <w:r w:rsidRPr="00E26CB0">
              <w:rPr>
                <w:rFonts w:ascii="Times New Roman" w:hAnsi="Times New Roman" w:cs="Times New Roman"/>
                <w:sz w:val="26"/>
                <w:szCs w:val="26"/>
                <w:lang w:eastAsia="lv-LV"/>
              </w:rPr>
              <w:t xml:space="preserve"> maksu samērību ar </w:t>
            </w:r>
            <w:r w:rsidRPr="00E26CB0">
              <w:rPr>
                <w:rFonts w:ascii="Times New Roman" w:hAnsi="Times New Roman" w:cs="Times New Roman"/>
                <w:sz w:val="26"/>
                <w:szCs w:val="26"/>
              </w:rPr>
              <w:t>dalībnieku un pārvaldītāju interesēm.</w:t>
            </w:r>
          </w:p>
          <w:p w:rsidR="00080A55" w:rsidRPr="00E26CB0" w:rsidRDefault="00080A55" w:rsidP="00181B45">
            <w:pPr>
              <w:spacing w:after="0" w:line="240" w:lineRule="auto"/>
              <w:ind w:left="34" w:right="142" w:firstLine="629"/>
              <w:jc w:val="both"/>
              <w:rPr>
                <w:rFonts w:ascii="Times New Roman" w:hAnsi="Times New Roman" w:cs="Times New Roman"/>
                <w:sz w:val="26"/>
                <w:szCs w:val="26"/>
              </w:rPr>
            </w:pPr>
            <w:r w:rsidRPr="00E26CB0">
              <w:rPr>
                <w:rFonts w:ascii="Times New Roman" w:hAnsi="Times New Roman" w:cs="Times New Roman"/>
                <w:sz w:val="26"/>
                <w:szCs w:val="26"/>
              </w:rPr>
              <w:t xml:space="preserve">Valsts kontroles ieskatā, lai VFPS pensijas kapitāla pieaugums sasniegtu arvien labākus rezultātus un lai maksimāli ievērotu VFPS dalībnieku intereses, jāizvērtē </w:t>
            </w:r>
            <w:r w:rsidR="00E24695">
              <w:rPr>
                <w:rFonts w:ascii="Times New Roman" w:hAnsi="Times New Roman" w:cs="Times New Roman"/>
                <w:sz w:val="26"/>
                <w:szCs w:val="26"/>
              </w:rPr>
              <w:t>maksājuma</w:t>
            </w:r>
            <w:r w:rsidRPr="00E26CB0">
              <w:rPr>
                <w:rFonts w:ascii="Times New Roman" w:hAnsi="Times New Roman" w:cs="Times New Roman"/>
                <w:sz w:val="26"/>
                <w:szCs w:val="26"/>
              </w:rPr>
              <w:t xml:space="preserve"> par VFPS ieguldījumu plānu pārvaldi aprēķināšanas kārtība, pārliecinoties, vai pārvaldītāju pastāvīgās izmaksas ir pieaugušas proporcionāli aktīvu vērtības pieaugumam un vai pārvaldītājiem vēl arvien ir nepieciešams 1% no aktīvu vērtības, lai tās segtu.</w:t>
            </w:r>
          </w:p>
          <w:p w:rsidR="00080A55" w:rsidRPr="00E26CB0" w:rsidRDefault="00080A55" w:rsidP="00181B45">
            <w:pPr>
              <w:spacing w:after="0" w:line="240" w:lineRule="auto"/>
              <w:ind w:left="34" w:right="142" w:firstLine="629"/>
              <w:jc w:val="both"/>
              <w:rPr>
                <w:rFonts w:ascii="Times New Roman" w:hAnsi="Times New Roman" w:cs="Times New Roman"/>
                <w:sz w:val="26"/>
                <w:szCs w:val="26"/>
              </w:rPr>
            </w:pPr>
            <w:r w:rsidRPr="00E26CB0">
              <w:rPr>
                <w:rFonts w:ascii="Times New Roman" w:hAnsi="Times New Roman" w:cs="Times New Roman"/>
                <w:sz w:val="26"/>
                <w:szCs w:val="26"/>
              </w:rPr>
              <w:lastRenderedPageBreak/>
              <w:t xml:space="preserve">Jāņem vērā, ka aktīvu vērtība pastāvīgi pieaug ne vien </w:t>
            </w:r>
            <w:r w:rsidRPr="00E26CB0">
              <w:rPr>
                <w:rFonts w:ascii="Times New Roman" w:hAnsi="Times New Roman" w:cs="Times New Roman"/>
                <w:sz w:val="26"/>
                <w:szCs w:val="26"/>
                <w:lang w:eastAsia="lv-LV"/>
              </w:rPr>
              <w:t>VFPS līdzekļu pārvaldītāju</w:t>
            </w:r>
            <w:r w:rsidRPr="00E26CB0">
              <w:rPr>
                <w:rFonts w:ascii="Times New Roman" w:hAnsi="Times New Roman" w:cs="Times New Roman"/>
                <w:sz w:val="26"/>
                <w:szCs w:val="26"/>
              </w:rPr>
              <w:t xml:space="preserve"> darbību rezultātā (vairojot ienesīgumu), bet galvenokārt tāpēc, ka: </w:t>
            </w:r>
          </w:p>
          <w:p w:rsidR="00080A55" w:rsidRPr="00E26CB0" w:rsidRDefault="00080A55" w:rsidP="00181B45">
            <w:pPr>
              <w:spacing w:after="0" w:line="240" w:lineRule="auto"/>
              <w:ind w:left="34" w:right="142" w:firstLine="629"/>
              <w:jc w:val="both"/>
              <w:rPr>
                <w:rFonts w:ascii="Times New Roman" w:hAnsi="Times New Roman" w:cs="Times New Roman"/>
                <w:sz w:val="26"/>
                <w:szCs w:val="26"/>
              </w:rPr>
            </w:pPr>
            <w:r w:rsidRPr="00E26CB0">
              <w:rPr>
                <w:rFonts w:ascii="Times New Roman" w:hAnsi="Times New Roman" w:cs="Times New Roman"/>
                <w:sz w:val="26"/>
                <w:szCs w:val="26"/>
              </w:rPr>
              <w:t xml:space="preserve">- katru mēnesi VFPS tiek novirzītas dalībnieku sociālās apdrošināšanas iemaksas pensiju apdrošināšanai, tā palielinot katra dalībnieka pensijas kapitālu un attiecīgi arī kopējo pārvaldāmo aktīvu vērtību; </w:t>
            </w:r>
          </w:p>
          <w:p w:rsidR="00080A55" w:rsidRPr="00E26CB0" w:rsidRDefault="00080A55" w:rsidP="00181B45">
            <w:pPr>
              <w:spacing w:after="0" w:line="240" w:lineRule="auto"/>
              <w:ind w:left="34" w:right="142" w:firstLine="629"/>
              <w:jc w:val="both"/>
              <w:rPr>
                <w:rFonts w:ascii="Times New Roman" w:hAnsi="Times New Roman" w:cs="Times New Roman"/>
                <w:sz w:val="26"/>
                <w:szCs w:val="26"/>
              </w:rPr>
            </w:pPr>
            <w:r w:rsidRPr="00E26CB0">
              <w:rPr>
                <w:rFonts w:ascii="Times New Roman" w:hAnsi="Times New Roman" w:cs="Times New Roman"/>
                <w:sz w:val="26"/>
                <w:szCs w:val="26"/>
              </w:rPr>
              <w:t>- no 2011.gada ir būtiski mainījusies uz VFPS novirzāmā likmes daļa: ja 2011.gadā tā bija 2%, no 2013.gada – 4%, 2015.gadā – 5%, bet no 2016.gada tā ir jau 6% apmērā.</w:t>
            </w:r>
          </w:p>
          <w:p w:rsidR="001F14C4" w:rsidRDefault="001F14C4" w:rsidP="00181B45">
            <w:pPr>
              <w:spacing w:after="0" w:line="240" w:lineRule="auto"/>
              <w:ind w:left="34" w:right="142" w:firstLine="629"/>
              <w:jc w:val="both"/>
              <w:rPr>
                <w:rFonts w:ascii="Times New Roman" w:hAnsi="Times New Roman" w:cs="Times New Roman"/>
                <w:sz w:val="24"/>
                <w:szCs w:val="24"/>
              </w:rPr>
            </w:pPr>
          </w:p>
          <w:p w:rsidR="00080A55" w:rsidRDefault="00080A55" w:rsidP="0031447E">
            <w:pPr>
              <w:tabs>
                <w:tab w:val="left" w:pos="6026"/>
              </w:tabs>
              <w:spacing w:after="0" w:line="240" w:lineRule="auto"/>
              <w:ind w:left="214" w:right="141"/>
              <w:jc w:val="center"/>
              <w:rPr>
                <w:rFonts w:ascii="Times New Roman" w:hAnsi="Times New Roman" w:cs="Times New Roman"/>
                <w:sz w:val="24"/>
                <w:szCs w:val="24"/>
                <w:lang w:eastAsia="lv-LV"/>
              </w:rPr>
            </w:pPr>
            <w:r w:rsidRPr="00711DFD">
              <w:rPr>
                <w:rFonts w:ascii="Times New Roman" w:hAnsi="Times New Roman" w:cs="Times New Roman"/>
                <w:b/>
                <w:bCs/>
                <w:sz w:val="24"/>
                <w:szCs w:val="24"/>
                <w:lang w:eastAsia="lv-LV"/>
              </w:rPr>
              <w:t>Rezultatīvie rādītāji, pieaugums pret iepriekšējo gadu (2013-2016)</w:t>
            </w:r>
          </w:p>
          <w:p w:rsidR="00080A55" w:rsidRDefault="00080A55" w:rsidP="0031447E">
            <w:pPr>
              <w:tabs>
                <w:tab w:val="left" w:pos="6026"/>
              </w:tabs>
              <w:spacing w:after="0" w:line="240" w:lineRule="auto"/>
              <w:ind w:left="214" w:right="141"/>
              <w:jc w:val="both"/>
              <w:rPr>
                <w:rFonts w:ascii="Times New Roman" w:hAnsi="Times New Roman" w:cs="Times New Roman"/>
                <w:sz w:val="24"/>
                <w:szCs w:val="24"/>
                <w:lang w:eastAsia="lv-LV"/>
              </w:rPr>
            </w:pPr>
          </w:p>
          <w:p w:rsidR="00080A55" w:rsidRDefault="00E054E0" w:rsidP="0031447E">
            <w:pPr>
              <w:tabs>
                <w:tab w:val="left" w:pos="6026"/>
              </w:tabs>
              <w:spacing w:after="0" w:line="240" w:lineRule="auto"/>
              <w:ind w:left="214" w:right="141"/>
              <w:jc w:val="both"/>
              <w:rPr>
                <w:rFonts w:ascii="Times New Roman" w:hAnsi="Times New Roman" w:cs="Times New Roman"/>
                <w:sz w:val="24"/>
                <w:szCs w:val="24"/>
                <w:lang w:eastAsia="lv-LV"/>
              </w:rPr>
            </w:pPr>
            <w:r w:rsidRPr="005E4965">
              <w:rPr>
                <w:rFonts w:ascii="Times New Roman" w:hAnsi="Times New Roman" w:cs="Times New Roman"/>
                <w:noProof/>
                <w:sz w:val="24"/>
                <w:szCs w:val="24"/>
                <w:lang w:eastAsia="lv-LV"/>
              </w:rPr>
              <w:drawing>
                <wp:inline distT="0" distB="0" distL="0" distR="0" wp14:anchorId="6CB6A2F6" wp14:editId="3596A7D6">
                  <wp:extent cx="3511296" cy="2514600"/>
                  <wp:effectExtent l="0" t="0" r="1333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54E0" w:rsidRDefault="00E054E0" w:rsidP="0031447E">
            <w:pPr>
              <w:spacing w:after="0" w:line="240" w:lineRule="auto"/>
              <w:ind w:left="215" w:right="142" w:firstLine="353"/>
              <w:jc w:val="both"/>
              <w:rPr>
                <w:rFonts w:ascii="Times New Roman" w:hAnsi="Times New Roman" w:cs="Times New Roman"/>
                <w:sz w:val="20"/>
                <w:szCs w:val="20"/>
              </w:rPr>
            </w:pPr>
          </w:p>
          <w:p w:rsidR="00080A55" w:rsidRPr="00E054E0" w:rsidRDefault="00E054E0" w:rsidP="0031447E">
            <w:pPr>
              <w:spacing w:after="0" w:line="240" w:lineRule="auto"/>
              <w:ind w:left="215" w:right="142" w:firstLine="353"/>
              <w:jc w:val="both"/>
              <w:rPr>
                <w:rFonts w:ascii="Times New Roman" w:hAnsi="Times New Roman" w:cs="Times New Roman"/>
                <w:sz w:val="20"/>
                <w:szCs w:val="20"/>
              </w:rPr>
            </w:pPr>
            <w:r w:rsidRPr="00E054E0">
              <w:rPr>
                <w:rFonts w:ascii="Times New Roman" w:hAnsi="Times New Roman" w:cs="Times New Roman"/>
                <w:sz w:val="20"/>
                <w:szCs w:val="20"/>
              </w:rPr>
              <w:t>Datu avots: Finanšu kapitāla un tirgus komisijas dati</w:t>
            </w:r>
          </w:p>
          <w:p w:rsidR="00E054E0" w:rsidRDefault="00E054E0" w:rsidP="0031447E">
            <w:pPr>
              <w:tabs>
                <w:tab w:val="left" w:pos="6026"/>
              </w:tabs>
              <w:spacing w:after="0" w:line="240" w:lineRule="auto"/>
              <w:ind w:left="215" w:right="142" w:firstLine="352"/>
              <w:jc w:val="both"/>
              <w:rPr>
                <w:rFonts w:ascii="Times New Roman" w:hAnsi="Times New Roman" w:cs="Times New Roman"/>
                <w:sz w:val="24"/>
                <w:szCs w:val="24"/>
              </w:rPr>
            </w:pPr>
          </w:p>
          <w:p w:rsidR="00080A55" w:rsidRPr="00E26CB0" w:rsidRDefault="00080A55" w:rsidP="00181B45">
            <w:pPr>
              <w:tabs>
                <w:tab w:val="left" w:pos="6026"/>
              </w:tabs>
              <w:spacing w:after="0" w:line="240" w:lineRule="auto"/>
              <w:ind w:left="176" w:right="142" w:firstLine="533"/>
              <w:jc w:val="both"/>
              <w:rPr>
                <w:rFonts w:ascii="Times New Roman" w:hAnsi="Times New Roman" w:cs="Times New Roman"/>
                <w:sz w:val="26"/>
                <w:szCs w:val="26"/>
              </w:rPr>
            </w:pPr>
            <w:r w:rsidRPr="00E26CB0">
              <w:rPr>
                <w:rFonts w:ascii="Times New Roman" w:hAnsi="Times New Roman" w:cs="Times New Roman"/>
                <w:sz w:val="26"/>
                <w:szCs w:val="26"/>
              </w:rPr>
              <w:t xml:space="preserve">VFPS līdzekļu pārvaldītājiem pārvaldīšanas izdevumus galvenokārt veido pārvaldītāju darbinieku atlīdzības un ar tām saistīto nodokļu izdevumi, kā arī maksājumi par profesionāliem un mārketinga pakalpojumiem. Kad </w:t>
            </w:r>
            <w:r w:rsidR="004516D5" w:rsidRPr="00E26CB0">
              <w:rPr>
                <w:rFonts w:ascii="Times New Roman" w:hAnsi="Times New Roman" w:cs="Times New Roman"/>
                <w:sz w:val="26"/>
                <w:szCs w:val="26"/>
              </w:rPr>
              <w:t xml:space="preserve">VFPS </w:t>
            </w:r>
            <w:r w:rsidRPr="00E26CB0">
              <w:rPr>
                <w:rFonts w:ascii="Times New Roman" w:hAnsi="Times New Roman" w:cs="Times New Roman"/>
                <w:sz w:val="26"/>
                <w:szCs w:val="26"/>
              </w:rPr>
              <w:t xml:space="preserve">līdzekļu pārvaldītājs ir izveidojis </w:t>
            </w:r>
            <w:r w:rsidR="00CC6C8E" w:rsidRPr="00E26CB0">
              <w:rPr>
                <w:rFonts w:ascii="Times New Roman" w:hAnsi="Times New Roman" w:cs="Times New Roman"/>
                <w:sz w:val="26"/>
                <w:szCs w:val="26"/>
              </w:rPr>
              <w:t xml:space="preserve">VFPS ieguldījumu plānu </w:t>
            </w:r>
            <w:r w:rsidRPr="00E26CB0">
              <w:rPr>
                <w:rFonts w:ascii="Times New Roman" w:hAnsi="Times New Roman" w:cs="Times New Roman"/>
                <w:sz w:val="26"/>
                <w:szCs w:val="26"/>
              </w:rPr>
              <w:t xml:space="preserve">un </w:t>
            </w:r>
            <w:r w:rsidR="00CC6C8E" w:rsidRPr="00E26CB0">
              <w:rPr>
                <w:rFonts w:ascii="Times New Roman" w:hAnsi="Times New Roman" w:cs="Times New Roman"/>
                <w:sz w:val="26"/>
                <w:szCs w:val="26"/>
              </w:rPr>
              <w:t xml:space="preserve">šī </w:t>
            </w:r>
            <w:r w:rsidRPr="00E26CB0">
              <w:rPr>
                <w:rFonts w:ascii="Times New Roman" w:hAnsi="Times New Roman" w:cs="Times New Roman"/>
                <w:sz w:val="26"/>
                <w:szCs w:val="26"/>
              </w:rPr>
              <w:t>plān</w:t>
            </w:r>
            <w:r w:rsidR="00CC6C8E" w:rsidRPr="00E26CB0">
              <w:rPr>
                <w:rFonts w:ascii="Times New Roman" w:hAnsi="Times New Roman" w:cs="Times New Roman"/>
                <w:sz w:val="26"/>
                <w:szCs w:val="26"/>
              </w:rPr>
              <w:t>a</w:t>
            </w:r>
            <w:r w:rsidRPr="00E26CB0">
              <w:rPr>
                <w:rFonts w:ascii="Times New Roman" w:hAnsi="Times New Roman" w:cs="Times New Roman"/>
                <w:sz w:val="26"/>
                <w:szCs w:val="26"/>
              </w:rPr>
              <w:t xml:space="preserve"> administrēšanas sistēmu, izmaksas būtiski nemainās, pat, ja mainās </w:t>
            </w:r>
            <w:r w:rsidR="00CC6C8E" w:rsidRPr="00E26CB0">
              <w:rPr>
                <w:rFonts w:ascii="Times New Roman" w:hAnsi="Times New Roman" w:cs="Times New Roman"/>
                <w:sz w:val="26"/>
                <w:szCs w:val="26"/>
              </w:rPr>
              <w:t>ieguldījumu plānam</w:t>
            </w:r>
            <w:r w:rsidRPr="00E26CB0">
              <w:rPr>
                <w:rFonts w:ascii="Times New Roman" w:hAnsi="Times New Roman" w:cs="Times New Roman"/>
                <w:sz w:val="26"/>
                <w:szCs w:val="26"/>
              </w:rPr>
              <w:t xml:space="preserve"> piesaistīto dalībnieku skaits.</w:t>
            </w:r>
          </w:p>
          <w:p w:rsidR="009B240D" w:rsidRPr="00C132C8" w:rsidRDefault="009B240D" w:rsidP="0031447E">
            <w:pPr>
              <w:tabs>
                <w:tab w:val="left" w:pos="6026"/>
              </w:tabs>
              <w:spacing w:after="0" w:line="240" w:lineRule="auto"/>
              <w:ind w:left="215" w:right="142" w:firstLine="494"/>
              <w:jc w:val="both"/>
              <w:rPr>
                <w:rFonts w:ascii="Times New Roman" w:hAnsi="Times New Roman" w:cs="Times New Roman"/>
                <w:sz w:val="24"/>
                <w:szCs w:val="24"/>
                <w:lang w:eastAsia="lv-LV"/>
              </w:rPr>
            </w:pPr>
          </w:p>
          <w:p w:rsidR="00080A55" w:rsidRPr="002403C7" w:rsidRDefault="009B240D" w:rsidP="0031447E">
            <w:pPr>
              <w:tabs>
                <w:tab w:val="left" w:pos="6026"/>
              </w:tabs>
              <w:spacing w:after="0" w:line="240" w:lineRule="auto"/>
              <w:ind w:left="215" w:right="142"/>
              <w:jc w:val="center"/>
              <w:rPr>
                <w:rFonts w:ascii="Times New Roman" w:hAnsi="Times New Roman" w:cs="Times New Roman"/>
                <w:b/>
                <w:sz w:val="24"/>
                <w:szCs w:val="24"/>
              </w:rPr>
            </w:pPr>
            <w:r w:rsidRPr="002403C7">
              <w:rPr>
                <w:rFonts w:ascii="Times New Roman" w:hAnsi="Times New Roman" w:cs="Times New Roman"/>
                <w:b/>
                <w:sz w:val="24"/>
                <w:szCs w:val="24"/>
              </w:rPr>
              <w:t>VFPS ieguldījumu pārvaldes sabiedrību kopējās izmaksas mārketingam, reklamēšanai un izplatīšanai</w:t>
            </w:r>
          </w:p>
          <w:p w:rsidR="00080A55" w:rsidRDefault="009B240D" w:rsidP="0031447E">
            <w:pPr>
              <w:tabs>
                <w:tab w:val="left" w:pos="6026"/>
              </w:tabs>
              <w:spacing w:after="0" w:line="240" w:lineRule="auto"/>
              <w:ind w:left="215" w:right="142"/>
              <w:jc w:val="center"/>
              <w:rPr>
                <w:rFonts w:ascii="Times New Roman" w:hAnsi="Times New Roman" w:cs="Times New Roman"/>
                <w:sz w:val="24"/>
                <w:szCs w:val="24"/>
              </w:rPr>
            </w:pPr>
            <w:r>
              <w:rPr>
                <w:noProof/>
                <w:lang w:eastAsia="lv-LV"/>
              </w:rPr>
              <w:lastRenderedPageBreak/>
              <w:drawing>
                <wp:inline distT="0" distB="0" distL="0" distR="0" wp14:anchorId="7428E82C" wp14:editId="4A895B7D">
                  <wp:extent cx="3328416" cy="2496312"/>
                  <wp:effectExtent l="0" t="0" r="2476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240D" w:rsidRPr="006B5BE2" w:rsidRDefault="006B5BE2" w:rsidP="006B5BE2">
            <w:pPr>
              <w:tabs>
                <w:tab w:val="left" w:pos="6026"/>
              </w:tabs>
              <w:spacing w:after="0" w:line="240" w:lineRule="auto"/>
              <w:ind w:left="215" w:right="142"/>
              <w:rPr>
                <w:rFonts w:ascii="Times New Roman" w:hAnsi="Times New Roman" w:cs="Times New Roman"/>
                <w:sz w:val="20"/>
                <w:szCs w:val="20"/>
              </w:rPr>
            </w:pPr>
            <w:r w:rsidRPr="006B5BE2">
              <w:rPr>
                <w:rFonts w:ascii="Times New Roman" w:hAnsi="Times New Roman" w:cs="Times New Roman"/>
                <w:sz w:val="20"/>
                <w:szCs w:val="20"/>
              </w:rPr>
              <w:t>Datu avots: Ieguldījumu pārvaldes sabiedrības</w:t>
            </w:r>
          </w:p>
          <w:p w:rsidR="009B240D" w:rsidRDefault="009B240D" w:rsidP="0031447E">
            <w:pPr>
              <w:tabs>
                <w:tab w:val="left" w:pos="6026"/>
              </w:tabs>
              <w:spacing w:after="0" w:line="240" w:lineRule="auto"/>
              <w:ind w:left="215" w:right="142"/>
              <w:jc w:val="center"/>
              <w:rPr>
                <w:rFonts w:ascii="Times New Roman" w:hAnsi="Times New Roman" w:cs="Times New Roman"/>
                <w:sz w:val="24"/>
                <w:szCs w:val="24"/>
              </w:rPr>
            </w:pPr>
          </w:p>
          <w:p w:rsidR="00080A55" w:rsidRPr="00E26CB0" w:rsidRDefault="00711912" w:rsidP="0031447E">
            <w:pPr>
              <w:pStyle w:val="ListParagraph"/>
              <w:tabs>
                <w:tab w:val="left" w:pos="142"/>
              </w:tabs>
              <w:spacing w:after="0" w:line="240" w:lineRule="auto"/>
              <w:ind w:left="142" w:right="143" w:firstLine="567"/>
              <w:jc w:val="both"/>
              <w:rPr>
                <w:rFonts w:ascii="Times New Roman" w:hAnsi="Times New Roman" w:cs="Times New Roman"/>
                <w:sz w:val="26"/>
                <w:szCs w:val="26"/>
                <w:lang w:val="lv-LV"/>
              </w:rPr>
            </w:pPr>
            <w:r w:rsidRPr="00E26CB0">
              <w:rPr>
                <w:rFonts w:ascii="Times New Roman" w:hAnsi="Times New Roman" w:cs="Times New Roman"/>
                <w:sz w:val="26"/>
                <w:szCs w:val="26"/>
                <w:lang w:val="lv-LV"/>
              </w:rPr>
              <w:t>L</w:t>
            </w:r>
            <w:r w:rsidR="00080A55" w:rsidRPr="00E26CB0">
              <w:rPr>
                <w:rFonts w:ascii="Times New Roman" w:hAnsi="Times New Roman" w:cs="Times New Roman"/>
                <w:sz w:val="26"/>
                <w:szCs w:val="26"/>
                <w:lang w:val="lv-LV"/>
              </w:rPr>
              <w:t xml:space="preserve">ikumprojekts paredz pakāpeniski (2018-2019) pārskatīt </w:t>
            </w:r>
            <w:r w:rsidR="00E24695">
              <w:rPr>
                <w:rFonts w:ascii="Times New Roman" w:hAnsi="Times New Roman" w:cs="Times New Roman"/>
                <w:sz w:val="26"/>
                <w:szCs w:val="26"/>
                <w:lang w:val="lv-LV"/>
              </w:rPr>
              <w:t>pārvaldīšanas</w:t>
            </w:r>
            <w:r w:rsidR="00080A55" w:rsidRPr="00E26CB0">
              <w:rPr>
                <w:rFonts w:ascii="Times New Roman" w:hAnsi="Times New Roman" w:cs="Times New Roman"/>
                <w:sz w:val="26"/>
                <w:szCs w:val="26"/>
                <w:lang w:val="lv-LV"/>
              </w:rPr>
              <w:t xml:space="preserve"> maksas pastāvīgo daļu atkarībā no VFPS pārvaldītāju pārvaldīšanā esošā VFPS ieguldījumu plānu aktīvu apjoma, attiecīgi pārskatot arī maksimālo apmēru maksājumam par ieguldījumu plāna pārvaldi.</w:t>
            </w:r>
          </w:p>
          <w:p w:rsidR="00080A55" w:rsidRPr="00E26CB0" w:rsidRDefault="00051A24" w:rsidP="0031447E">
            <w:pPr>
              <w:pStyle w:val="ListParagraph"/>
              <w:tabs>
                <w:tab w:val="left" w:pos="142"/>
              </w:tabs>
              <w:spacing w:after="0" w:line="240" w:lineRule="auto"/>
              <w:ind w:left="142" w:right="143" w:firstLine="567"/>
              <w:jc w:val="both"/>
              <w:rPr>
                <w:rFonts w:ascii="Times New Roman" w:hAnsi="Times New Roman" w:cs="Times New Roman"/>
                <w:sz w:val="26"/>
                <w:szCs w:val="26"/>
                <w:lang w:val="lv-LV"/>
              </w:rPr>
            </w:pPr>
            <w:r w:rsidRPr="00E26CB0">
              <w:rPr>
                <w:rFonts w:ascii="Times New Roman" w:hAnsi="Times New Roman" w:cs="Times New Roman"/>
                <w:sz w:val="26"/>
                <w:szCs w:val="26"/>
                <w:lang w:val="lv-LV"/>
              </w:rPr>
              <w:t xml:space="preserve">Tāpat turpmāk VFPS līdzekļu pārvaldītāju </w:t>
            </w:r>
            <w:r w:rsidR="00E24695">
              <w:rPr>
                <w:rFonts w:ascii="Times New Roman" w:hAnsi="Times New Roman" w:cs="Times New Roman"/>
                <w:sz w:val="26"/>
                <w:szCs w:val="26"/>
                <w:lang w:val="lv-LV"/>
              </w:rPr>
              <w:t>pārvaldīšanas</w:t>
            </w:r>
            <w:r w:rsidRPr="00E26CB0">
              <w:rPr>
                <w:rFonts w:ascii="Times New Roman" w:hAnsi="Times New Roman" w:cs="Times New Roman"/>
                <w:sz w:val="26"/>
                <w:szCs w:val="26"/>
                <w:lang w:val="lv-LV"/>
              </w:rPr>
              <w:t xml:space="preserve"> maksas mainīgās daļas</w:t>
            </w:r>
            <w:r w:rsidR="00657AD2" w:rsidRPr="00E26CB0">
              <w:rPr>
                <w:rFonts w:ascii="Times New Roman" w:hAnsi="Times New Roman" w:cs="Times New Roman"/>
                <w:sz w:val="26"/>
                <w:szCs w:val="26"/>
                <w:lang w:val="lv-LV"/>
              </w:rPr>
              <w:t>, kas ir atlīdzība fondēto pensiju shēmas līdzekļu pārvaldītājam par ieguldījumu plāna darbības rezultātu, apmēr</w:t>
            </w:r>
            <w:r w:rsidRPr="00E26CB0">
              <w:rPr>
                <w:rFonts w:ascii="Times New Roman" w:hAnsi="Times New Roman" w:cs="Times New Roman"/>
                <w:sz w:val="26"/>
                <w:szCs w:val="26"/>
                <w:lang w:val="lv-LV"/>
              </w:rPr>
              <w:t>u noteikt</w:t>
            </w:r>
            <w:r w:rsidR="00657AD2" w:rsidRPr="00E26CB0">
              <w:rPr>
                <w:rFonts w:ascii="Times New Roman" w:hAnsi="Times New Roman" w:cs="Times New Roman"/>
                <w:sz w:val="26"/>
                <w:szCs w:val="26"/>
                <w:lang w:val="lv-LV"/>
              </w:rPr>
              <w:t xml:space="preserve"> atkarī</w:t>
            </w:r>
            <w:r w:rsidRPr="00E26CB0">
              <w:rPr>
                <w:rFonts w:ascii="Times New Roman" w:hAnsi="Times New Roman" w:cs="Times New Roman"/>
                <w:sz w:val="26"/>
                <w:szCs w:val="26"/>
                <w:lang w:val="lv-LV"/>
              </w:rPr>
              <w:t>bā</w:t>
            </w:r>
            <w:r w:rsidR="00657AD2" w:rsidRPr="00E26CB0">
              <w:rPr>
                <w:rFonts w:ascii="Times New Roman" w:hAnsi="Times New Roman" w:cs="Times New Roman"/>
                <w:sz w:val="26"/>
                <w:szCs w:val="26"/>
                <w:lang w:val="lv-LV"/>
              </w:rPr>
              <w:t xml:space="preserve"> no pensiju plāna ienesīguma pārsnieguma virs etalona, kas tiek noteikts kā obligāciju un akciju tirgus indeksu </w:t>
            </w:r>
            <w:proofErr w:type="spellStart"/>
            <w:r w:rsidR="00657AD2" w:rsidRPr="00E26CB0">
              <w:rPr>
                <w:rFonts w:ascii="Times New Roman" w:hAnsi="Times New Roman" w:cs="Times New Roman"/>
                <w:sz w:val="26"/>
                <w:szCs w:val="26"/>
                <w:lang w:val="lv-LV"/>
              </w:rPr>
              <w:t>Bloomberg</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Barclays</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Euro</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Aggregate</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Total</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Return</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Euro</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Unhedged</w:t>
            </w:r>
            <w:proofErr w:type="spellEnd"/>
            <w:r w:rsidR="00657AD2" w:rsidRPr="00E26CB0">
              <w:rPr>
                <w:rFonts w:ascii="Times New Roman" w:hAnsi="Times New Roman" w:cs="Times New Roman"/>
                <w:sz w:val="26"/>
                <w:szCs w:val="26"/>
                <w:lang w:val="lv-LV"/>
              </w:rPr>
              <w:t xml:space="preserve"> (LBEATREU </w:t>
            </w:r>
            <w:proofErr w:type="spellStart"/>
            <w:r w:rsidR="00657AD2" w:rsidRPr="00E26CB0">
              <w:rPr>
                <w:rFonts w:ascii="Times New Roman" w:hAnsi="Times New Roman" w:cs="Times New Roman"/>
                <w:sz w:val="26"/>
                <w:szCs w:val="26"/>
                <w:lang w:val="lv-LV"/>
              </w:rPr>
              <w:t>Index</w:t>
            </w:r>
            <w:proofErr w:type="spellEnd"/>
            <w:r w:rsidR="00657AD2" w:rsidRPr="00E26CB0">
              <w:rPr>
                <w:rFonts w:ascii="Times New Roman" w:hAnsi="Times New Roman" w:cs="Times New Roman"/>
                <w:sz w:val="26"/>
                <w:szCs w:val="26"/>
                <w:lang w:val="lv-LV"/>
              </w:rPr>
              <w:t xml:space="preserve">; FIGI BBG002SG6D04) un STOXX </w:t>
            </w:r>
            <w:proofErr w:type="spellStart"/>
            <w:r w:rsidR="00657AD2" w:rsidRPr="00E26CB0">
              <w:rPr>
                <w:rFonts w:ascii="Times New Roman" w:hAnsi="Times New Roman" w:cs="Times New Roman"/>
                <w:sz w:val="26"/>
                <w:szCs w:val="26"/>
                <w:lang w:val="lv-LV"/>
              </w:rPr>
              <w:t>Europe</w:t>
            </w:r>
            <w:proofErr w:type="spellEnd"/>
            <w:r w:rsidR="00657AD2" w:rsidRPr="00E26CB0">
              <w:rPr>
                <w:rFonts w:ascii="Times New Roman" w:hAnsi="Times New Roman" w:cs="Times New Roman"/>
                <w:sz w:val="26"/>
                <w:szCs w:val="26"/>
                <w:lang w:val="lv-LV"/>
              </w:rPr>
              <w:t xml:space="preserve"> 600 </w:t>
            </w:r>
            <w:proofErr w:type="spellStart"/>
            <w:r w:rsidR="00657AD2" w:rsidRPr="00E26CB0">
              <w:rPr>
                <w:rFonts w:ascii="Times New Roman" w:hAnsi="Times New Roman" w:cs="Times New Roman"/>
                <w:sz w:val="26"/>
                <w:szCs w:val="26"/>
                <w:lang w:val="lv-LV"/>
              </w:rPr>
              <w:t>Net</w:t>
            </w:r>
            <w:proofErr w:type="spellEnd"/>
            <w:r w:rsidR="00657AD2" w:rsidRPr="00E26CB0">
              <w:rPr>
                <w:rFonts w:ascii="Times New Roman" w:hAnsi="Times New Roman" w:cs="Times New Roman"/>
                <w:sz w:val="26"/>
                <w:szCs w:val="26"/>
                <w:lang w:val="lv-LV"/>
              </w:rPr>
              <w:t xml:space="preserve"> </w:t>
            </w:r>
            <w:proofErr w:type="spellStart"/>
            <w:r w:rsidR="00657AD2" w:rsidRPr="00E26CB0">
              <w:rPr>
                <w:rFonts w:ascii="Times New Roman" w:hAnsi="Times New Roman" w:cs="Times New Roman"/>
                <w:sz w:val="26"/>
                <w:szCs w:val="26"/>
                <w:lang w:val="lv-LV"/>
              </w:rPr>
              <w:t>Return</w:t>
            </w:r>
            <w:proofErr w:type="spellEnd"/>
            <w:r w:rsidR="00657AD2" w:rsidRPr="00E26CB0">
              <w:rPr>
                <w:rFonts w:ascii="Times New Roman" w:hAnsi="Times New Roman" w:cs="Times New Roman"/>
                <w:sz w:val="26"/>
                <w:szCs w:val="26"/>
                <w:lang w:val="lv-LV"/>
              </w:rPr>
              <w:t xml:space="preserve"> (SXXR </w:t>
            </w:r>
            <w:proofErr w:type="spellStart"/>
            <w:r w:rsidR="00657AD2" w:rsidRPr="00E26CB0">
              <w:rPr>
                <w:rFonts w:ascii="Times New Roman" w:hAnsi="Times New Roman" w:cs="Times New Roman"/>
                <w:sz w:val="26"/>
                <w:szCs w:val="26"/>
                <w:lang w:val="lv-LV"/>
              </w:rPr>
              <w:t>Index</w:t>
            </w:r>
            <w:proofErr w:type="spellEnd"/>
            <w:r w:rsidR="00657AD2" w:rsidRPr="00E26CB0">
              <w:rPr>
                <w:rFonts w:ascii="Times New Roman" w:hAnsi="Times New Roman" w:cs="Times New Roman"/>
                <w:sz w:val="26"/>
                <w:szCs w:val="26"/>
                <w:lang w:val="lv-LV"/>
              </w:rPr>
              <w:t>; FIGI BBG000P5NON9; ISIN EU0009658210) kombinācija, atkarībā no ieguldījumu plānu prospektos paredzētā maksimāli pieļaujamā ieguldījuma apjoma komercsabiedrību akcijās, citos kapitāla vērtspapīros un tiem pielīdzināmos vērtspapīros.</w:t>
            </w:r>
            <w:r w:rsidRPr="00E26CB0">
              <w:rPr>
                <w:rFonts w:ascii="Times New Roman" w:hAnsi="Times New Roman" w:cs="Times New Roman"/>
                <w:sz w:val="26"/>
                <w:szCs w:val="26"/>
                <w:lang w:val="lv-LV"/>
              </w:rPr>
              <w:t xml:space="preserve"> </w:t>
            </w:r>
            <w:r w:rsidR="00E24695">
              <w:rPr>
                <w:rFonts w:ascii="Times New Roman" w:hAnsi="Times New Roman" w:cs="Times New Roman"/>
                <w:sz w:val="26"/>
                <w:szCs w:val="26"/>
                <w:lang w:val="lv-LV"/>
              </w:rPr>
              <w:t>Pārvaldīšanas</w:t>
            </w:r>
            <w:r w:rsidRPr="00E26CB0">
              <w:rPr>
                <w:rFonts w:ascii="Times New Roman" w:hAnsi="Times New Roman" w:cs="Times New Roman"/>
                <w:sz w:val="26"/>
                <w:szCs w:val="26"/>
                <w:lang w:val="lv-LV"/>
              </w:rPr>
              <w:t xml:space="preserve"> maksas mainīgās daļas aprēķina periodu pagarināt no 2 līdz vismaz 8 gadiem. </w:t>
            </w:r>
            <w:r w:rsidR="00657AD2" w:rsidRPr="00E26CB0">
              <w:rPr>
                <w:rFonts w:ascii="Times New Roman" w:hAnsi="Times New Roman" w:cs="Times New Roman"/>
                <w:sz w:val="26"/>
                <w:szCs w:val="26"/>
                <w:lang w:val="lv-LV"/>
              </w:rPr>
              <w:t xml:space="preserve"> Ministru kabineta noteikumos, kas nosaka kārtību, kādā aprēķināma maksājuma par ieguldījuma pārvaldi pastāvīgā un mainīgā daļa no</w:t>
            </w:r>
            <w:r w:rsidRPr="00E26CB0">
              <w:rPr>
                <w:rFonts w:ascii="Times New Roman" w:hAnsi="Times New Roman" w:cs="Times New Roman"/>
                <w:sz w:val="26"/>
                <w:szCs w:val="26"/>
                <w:lang w:val="lv-LV"/>
              </w:rPr>
              <w:t>teiktu</w:t>
            </w:r>
            <w:r w:rsidR="00657AD2" w:rsidRPr="00E26CB0">
              <w:rPr>
                <w:rFonts w:ascii="Times New Roman" w:hAnsi="Times New Roman" w:cs="Times New Roman"/>
                <w:sz w:val="26"/>
                <w:szCs w:val="26"/>
                <w:lang w:val="lv-LV"/>
              </w:rPr>
              <w:t xml:space="preserve"> vienu vai vairākus alternatīvus etalonus, uz kuriem atsaukties, ja </w:t>
            </w:r>
            <w:r w:rsidRPr="00E26CB0">
              <w:rPr>
                <w:rFonts w:ascii="Times New Roman" w:hAnsi="Times New Roman" w:cs="Times New Roman"/>
                <w:sz w:val="26"/>
                <w:szCs w:val="26"/>
                <w:lang w:val="lv-LV"/>
              </w:rPr>
              <w:t>iepriekš</w:t>
            </w:r>
            <w:r w:rsidR="00657AD2" w:rsidRPr="00E26CB0">
              <w:rPr>
                <w:rFonts w:ascii="Times New Roman" w:hAnsi="Times New Roman" w:cs="Times New Roman"/>
                <w:sz w:val="26"/>
                <w:szCs w:val="26"/>
                <w:lang w:val="lv-LV"/>
              </w:rPr>
              <w:t xml:space="preserve"> minētie etaloni būtiski mainītos vai tiktu pārtraukti.</w:t>
            </w:r>
          </w:p>
          <w:p w:rsidR="00080A55" w:rsidRPr="00E26CB0" w:rsidRDefault="00AD5BB8" w:rsidP="0031447E">
            <w:pPr>
              <w:spacing w:after="0" w:line="240" w:lineRule="auto"/>
              <w:ind w:left="142" w:right="142" w:firstLine="567"/>
              <w:jc w:val="both"/>
              <w:rPr>
                <w:rFonts w:ascii="Times New Roman" w:hAnsi="Times New Roman" w:cs="Times New Roman"/>
                <w:bCs/>
                <w:sz w:val="26"/>
                <w:szCs w:val="26"/>
                <w:lang w:eastAsia="lv-LV"/>
              </w:rPr>
            </w:pPr>
            <w:r w:rsidRPr="00E26CB0">
              <w:rPr>
                <w:rFonts w:ascii="Times New Roman" w:hAnsi="Times New Roman" w:cs="Times New Roman"/>
                <w:sz w:val="26"/>
                <w:szCs w:val="26"/>
                <w:lang w:eastAsia="lv-LV"/>
              </w:rPr>
              <w:t>VFPS</w:t>
            </w:r>
            <w:r w:rsidR="00080A55" w:rsidRPr="00E26CB0">
              <w:rPr>
                <w:rFonts w:ascii="Times New Roman" w:hAnsi="Times New Roman" w:cs="Times New Roman"/>
                <w:sz w:val="26"/>
                <w:szCs w:val="26"/>
                <w:lang w:eastAsia="lv-LV"/>
              </w:rPr>
              <w:t xml:space="preserve"> līdzekļu pārvaldīšanu veic ieguldījumu plāna pārvaldnieks. Pārvaldnieks ir persona, kas veic darījumus ar ieguldījumu plāna līdzekļiem. </w:t>
            </w:r>
            <w:r w:rsidR="00080A55" w:rsidRPr="00E26CB0">
              <w:rPr>
                <w:rFonts w:ascii="Times New Roman" w:hAnsi="Times New Roman" w:cs="Times New Roman"/>
                <w:sz w:val="26"/>
                <w:szCs w:val="26"/>
                <w:lang w:eastAsia="lv-LV"/>
              </w:rPr>
              <w:lastRenderedPageBreak/>
              <w:t xml:space="preserve">Pārvaldniekam ir jāievēro ieguldījumu plāna ieguldījumu politika un ieguldījumu ierobežojumi. Veicot ieguldījumus, ieguldījumu plāna pārvaldniekam ir pienākums iegūt pietiekamu informāciju par potenciālajiem vai iegūtajiem ieguldījumu objektiem, kā arī uzraudzīt to personu finansiālo un ekonomisko stāvokli, kuru emitētajos vērtspapīros tiks vai ir tikuši ieguldīti ieguldījumu plāna līdzekļi. Pārvaldniekam ir tiesības brīvi rīkoties ar ieguldījumu plāna līdzekļiem – izvēlēties sadalījumu pa vērtspapīru veidiem un ģeogrāfiskajiem reģioniem, noteikt ieguldījumu objektus un ieguldījumu termiņus, izmantot finanšu instrumentus riska samazināšanai utt. – tiktāl, cik tiek ievērotas </w:t>
            </w:r>
            <w:r w:rsidR="00080A55" w:rsidRPr="00E26CB0">
              <w:rPr>
                <w:rFonts w:ascii="Times New Roman" w:hAnsi="Times New Roman" w:cs="Times New Roman"/>
                <w:bCs/>
                <w:sz w:val="26"/>
                <w:szCs w:val="26"/>
                <w:lang w:eastAsia="lv-LV"/>
              </w:rPr>
              <w:t>likumā un ieguldījumu plāna prospektā noteiktās prasības.</w:t>
            </w:r>
          </w:p>
          <w:p w:rsidR="00080A55" w:rsidRPr="00E26CB0" w:rsidRDefault="00AD5BB8" w:rsidP="0031447E">
            <w:pPr>
              <w:spacing w:after="0" w:line="240" w:lineRule="auto"/>
              <w:ind w:left="142" w:right="142" w:firstLine="567"/>
              <w:jc w:val="both"/>
              <w:rPr>
                <w:rFonts w:ascii="Times New Roman" w:hAnsi="Times New Roman" w:cs="Times New Roman"/>
                <w:bCs/>
                <w:sz w:val="26"/>
                <w:szCs w:val="26"/>
                <w:lang w:eastAsia="lv-LV"/>
              </w:rPr>
            </w:pPr>
            <w:r w:rsidRPr="00E26CB0">
              <w:rPr>
                <w:rFonts w:ascii="Times New Roman" w:hAnsi="Times New Roman" w:cs="Times New Roman"/>
                <w:bCs/>
                <w:sz w:val="26"/>
                <w:szCs w:val="26"/>
                <w:lang w:eastAsia="lv-LV"/>
              </w:rPr>
              <w:t>VFPS</w:t>
            </w:r>
            <w:r w:rsidR="00080A55" w:rsidRPr="00E26CB0">
              <w:rPr>
                <w:rFonts w:ascii="Times New Roman" w:hAnsi="Times New Roman" w:cs="Times New Roman"/>
                <w:bCs/>
                <w:sz w:val="26"/>
                <w:szCs w:val="26"/>
                <w:lang w:eastAsia="lv-LV"/>
              </w:rPr>
              <w:t xml:space="preserve"> līdzekļu pārvaldītājs, ieguldot shēmas līdzekļus, rīkojas kā gādīgs un rūpīgs saimnieks, un vienīgi ieguldījumu plāna dalībnieku interesēs, kā arī ievēro piesardzības principus, kas nodrošina riska samazināšanu, ieguldījumu drošību, kvalitāti un likviditāti atbilstoši ieguldījumu plāna noteikumiem, un īsteno tādu ieguldījumu politiku, kas vērsta uz ieguldījumu plāna dalībnieku </w:t>
            </w:r>
            <w:r w:rsidRPr="00E26CB0">
              <w:rPr>
                <w:rFonts w:ascii="Times New Roman" w:hAnsi="Times New Roman" w:cs="Times New Roman"/>
                <w:bCs/>
                <w:sz w:val="26"/>
                <w:szCs w:val="26"/>
                <w:lang w:eastAsia="lv-LV"/>
              </w:rPr>
              <w:t>VFPS</w:t>
            </w:r>
            <w:r w:rsidR="00080A55" w:rsidRPr="00E26CB0">
              <w:rPr>
                <w:rFonts w:ascii="Times New Roman" w:hAnsi="Times New Roman" w:cs="Times New Roman"/>
                <w:bCs/>
                <w:sz w:val="26"/>
                <w:szCs w:val="26"/>
                <w:lang w:eastAsia="lv-LV"/>
              </w:rPr>
              <w:t xml:space="preserve"> līdzekļu pieaugumu. </w:t>
            </w:r>
          </w:p>
          <w:p w:rsidR="00080A55" w:rsidRPr="00E26CB0" w:rsidRDefault="00080A55" w:rsidP="0031447E">
            <w:pPr>
              <w:spacing w:after="0" w:line="240" w:lineRule="auto"/>
              <w:ind w:left="96" w:right="120" w:firstLine="567"/>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Finanšu tirgos ienesīgums un risks tradicionāli iet kopā. Lai sasniegtu augstāku ienesīgumu, vairumā gadījumu ir jāuzņemas augstāks risks. Taču sekmīgi šo risku pārvaldot, ir iespējams panākt, ka īstermiņa svārstības izlīdzinās un ilgākā laika periodā uzņemtais risks samazinās, kamēr ienesīgums pieaug.</w:t>
            </w:r>
          </w:p>
          <w:p w:rsidR="00080A55" w:rsidRPr="00E26CB0" w:rsidRDefault="00080A55" w:rsidP="0031447E">
            <w:pPr>
              <w:spacing w:after="0" w:line="240" w:lineRule="auto"/>
              <w:ind w:left="142" w:right="142" w:firstLine="567"/>
              <w:jc w:val="both"/>
              <w:rPr>
                <w:rFonts w:ascii="Times New Roman" w:hAnsi="Times New Roman" w:cs="Times New Roman"/>
                <w:bCs/>
                <w:sz w:val="26"/>
                <w:szCs w:val="26"/>
                <w:lang w:eastAsia="lv-LV"/>
              </w:rPr>
            </w:pPr>
            <w:r w:rsidRPr="00E26CB0">
              <w:rPr>
                <w:rFonts w:ascii="Times New Roman" w:hAnsi="Times New Roman" w:cs="Times New Roman"/>
                <w:bCs/>
                <w:sz w:val="26"/>
                <w:szCs w:val="26"/>
                <w:lang w:eastAsia="lv-LV"/>
              </w:rPr>
              <w:t>Likumā šobrīd noteikts, ka ieguldījumi kapitāla vērtspapīros, alternatīvo ieguldījumu fondos vai tādos ieguldījumu fondos, kuri var veikt ieguldījumus kapitāla vērtspapīros vai citos riska ziņā tiem pielīdzināmos finanšu instrumentiem, kopā nedrīkst pārsniegt 50 procentus no ieguldījumu plāna aktīviem. Palielinot maksimāli atļauto akciju īpatsvaru, VFPS dalībniekiem,</w:t>
            </w:r>
            <w:r w:rsidRPr="00E26CB0">
              <w:rPr>
                <w:rFonts w:ascii="Times New Roman" w:hAnsi="Times New Roman" w:cs="Times New Roman"/>
                <w:sz w:val="26"/>
                <w:szCs w:val="26"/>
              </w:rPr>
              <w:t xml:space="preserve"> kuriem līdz pensionēšanās brīdim atlikuši trīsdesmit, četrdesmit un vairāk gadi, būtu pieejami ieguldījumu plāni, kas būtu optimāli viņu spējai uzņemties finanšu tirgus risku. </w:t>
            </w:r>
            <w:r w:rsidRPr="00E26CB0">
              <w:rPr>
                <w:rFonts w:ascii="Times New Roman" w:hAnsi="Times New Roman" w:cs="Times New Roman"/>
                <w:bCs/>
                <w:sz w:val="26"/>
                <w:szCs w:val="26"/>
                <w:lang w:eastAsia="lv-LV"/>
              </w:rPr>
              <w:t xml:space="preserve">Tā kā ieguldījumi akcijās ilgtermiņā ir bijuši ievērojami ienesīgāki par ieguldījumiem obligācijās, tas uzlabotu peļņas procentu VFPS dalībniekiem un ienākumu </w:t>
            </w:r>
            <w:r w:rsidRPr="00E26CB0">
              <w:rPr>
                <w:rFonts w:ascii="Times New Roman" w:hAnsi="Times New Roman" w:cs="Times New Roman"/>
                <w:bCs/>
                <w:sz w:val="26"/>
                <w:szCs w:val="26"/>
                <w:lang w:eastAsia="lv-LV"/>
              </w:rPr>
              <w:lastRenderedPageBreak/>
              <w:t>atvietojumu pensionēšanās vecumā.</w:t>
            </w:r>
          </w:p>
          <w:p w:rsidR="00080A55" w:rsidRPr="00E26CB0" w:rsidRDefault="00080A55" w:rsidP="0031447E">
            <w:pPr>
              <w:spacing w:after="0" w:line="240" w:lineRule="auto"/>
              <w:ind w:left="142" w:right="142" w:firstLine="567"/>
              <w:jc w:val="both"/>
              <w:rPr>
                <w:rFonts w:ascii="Times New Roman" w:hAnsi="Times New Roman" w:cs="Times New Roman"/>
                <w:bCs/>
                <w:sz w:val="26"/>
                <w:szCs w:val="26"/>
                <w:lang w:eastAsia="lv-LV"/>
              </w:rPr>
            </w:pPr>
          </w:p>
          <w:p w:rsidR="00080A55" w:rsidRPr="00E26CB0" w:rsidRDefault="00080A55" w:rsidP="0031447E">
            <w:pPr>
              <w:pStyle w:val="BodyText"/>
              <w:ind w:left="142" w:right="143" w:firstLine="567"/>
              <w:rPr>
                <w:sz w:val="26"/>
                <w:szCs w:val="26"/>
              </w:rPr>
            </w:pPr>
            <w:r w:rsidRPr="00E26CB0">
              <w:rPr>
                <w:bCs/>
                <w:sz w:val="26"/>
                <w:szCs w:val="26"/>
                <w:lang w:eastAsia="lv-LV"/>
              </w:rPr>
              <w:t xml:space="preserve">Palielinot atļauto visu ieguldījumu kopsummu alternatīvo ieguldījumu fondos no 10 procentiem uz 15 procentiem, VFPL līdzekļu pārvaldītajam ir jāievēro diversifikācijas princips, ņemot vērā </w:t>
            </w:r>
            <w:r w:rsidRPr="00E26CB0">
              <w:rPr>
                <w:sz w:val="26"/>
                <w:szCs w:val="26"/>
              </w:rPr>
              <w:t xml:space="preserve">alternatīvo ieguldījumu fondu ieguldījumu portfelī esošos investīciju aktīvus un nodrošinot, ka ieguldījumi tiek veikti fondos ar dažādām ieguldījumu stratēģijām. Lai to nodrošinātu, ieguldījuma plāna prospektā jānorāda ieguldījuma maksimālais apmērs attiecīgās ieguldījumu stratēģijas alternatīvo ieguldījumu fondā. Lai ierobežotu potenciālos zaudējumus valsts fondēto pensiju līdzekļu ieguldījumiem augsta riska alternatīvo ieguldījumu fondos, paredzēts, ka ieguldījumu plāna līdzekļi netiek ieguldīti tādos alternatīvo ieguldījumu fondos, kuru darbības noteikumi: </w:t>
            </w:r>
          </w:p>
          <w:p w:rsidR="00080A55" w:rsidRPr="00E26CB0" w:rsidRDefault="00080A55" w:rsidP="0031447E">
            <w:pPr>
              <w:pStyle w:val="BodyText"/>
              <w:ind w:firstLine="720"/>
              <w:rPr>
                <w:sz w:val="26"/>
                <w:szCs w:val="26"/>
              </w:rPr>
            </w:pPr>
            <w:r w:rsidRPr="00E26CB0">
              <w:rPr>
                <w:sz w:val="26"/>
                <w:szCs w:val="26"/>
              </w:rPr>
              <w:t xml:space="preserve">1) paredz izsniegt aizdevumus vai iesaistīties kreditēšanas darījumos un izmantot sviras finansējumu, kura apmērs pārsniedz neto aktīvu vērtību vairāk nekā divas reizes, </w:t>
            </w:r>
          </w:p>
          <w:p w:rsidR="00080A55" w:rsidRPr="00E26CB0" w:rsidRDefault="00080A55" w:rsidP="0031447E">
            <w:pPr>
              <w:pStyle w:val="BodyText"/>
              <w:ind w:firstLine="720"/>
              <w:rPr>
                <w:sz w:val="26"/>
                <w:szCs w:val="26"/>
              </w:rPr>
            </w:pPr>
            <w:r w:rsidRPr="00E26CB0">
              <w:rPr>
                <w:sz w:val="26"/>
                <w:szCs w:val="26"/>
              </w:rPr>
              <w:t xml:space="preserve">2) neparedz izsniegt aizdevumus vai iesaistīties kreditēšanas darījumos, bet paredz izmantot sviras finansējumu, kura apmērs pārsniedz neto aktīvu vērtību vairāk nekā trīs reizes. </w:t>
            </w:r>
          </w:p>
          <w:p w:rsidR="00080A55" w:rsidRPr="00E26CB0" w:rsidRDefault="00080A55" w:rsidP="0031447E">
            <w:pPr>
              <w:pStyle w:val="Default"/>
              <w:ind w:left="142" w:right="142" w:firstLine="567"/>
              <w:jc w:val="both"/>
              <w:rPr>
                <w:rFonts w:ascii="Times New Roman" w:hAnsi="Times New Roman" w:cs="Times New Roman"/>
                <w:color w:val="auto"/>
                <w:sz w:val="26"/>
                <w:szCs w:val="26"/>
              </w:rPr>
            </w:pPr>
          </w:p>
          <w:p w:rsidR="00080A55" w:rsidRPr="00E26CB0" w:rsidRDefault="00080A55" w:rsidP="0031447E">
            <w:pPr>
              <w:pStyle w:val="Default"/>
              <w:ind w:left="142" w:right="142" w:firstLine="567"/>
              <w:jc w:val="both"/>
              <w:rPr>
                <w:rFonts w:ascii="Times New Roman" w:hAnsi="Times New Roman" w:cs="Times New Roman"/>
                <w:color w:val="auto"/>
                <w:sz w:val="26"/>
                <w:szCs w:val="26"/>
              </w:rPr>
            </w:pPr>
            <w:r w:rsidRPr="00E26CB0">
              <w:rPr>
                <w:rFonts w:ascii="Times New Roman" w:hAnsi="Times New Roman" w:cs="Times New Roman"/>
                <w:color w:val="auto"/>
                <w:sz w:val="26"/>
                <w:szCs w:val="26"/>
              </w:rPr>
              <w:t xml:space="preserve">VFPS pensiju plāniem dalība pirmreizējās izsolēs un iespējas veikt ieguldījumu ir ES, EEZ vai OECD valstu obligācijās. Savukārt citu valstu obligācijas (kas pirmreizējās izsoles brīdī nav iekļautas Latvijas vai dalībvalsts biržā, bet kuru prospektā ir noteikts, ka obligācijas šādā biržā tiks iekļautas 12 mēnešu laikā) var iegādāties vienīgi otrreizējā tirgū, kad tās ir iekļautas arī regulētajā tirgū (bieži vien pat nākamajā dienā pēc emisijas). Līdz ar to VFPS līdzekļu pārvaldītājiem vērtspapīri ir jāpērk otrreizējā tirgū ar uzcenojumu pret sākotnējās izsoles vērtību jeb par pensiju plānu dalībniekiem neizdevīgāku cenu. Paplašinot ieguldīšanas iespējas obligāciju pirmreizējās izsolēs, ļaujot veikt ieguldījumus arī tādu valstu obligācijās, kas nav ES, EEZ, vai OECD dalībvalsts un kas nav iekļautas Latvijas vai dalībvalsts biržā, </w:t>
            </w:r>
            <w:proofErr w:type="gramStart"/>
            <w:r w:rsidRPr="00E26CB0">
              <w:rPr>
                <w:rFonts w:ascii="Times New Roman" w:hAnsi="Times New Roman" w:cs="Times New Roman"/>
                <w:color w:val="auto"/>
                <w:sz w:val="26"/>
                <w:szCs w:val="26"/>
              </w:rPr>
              <w:t>bet</w:t>
            </w:r>
            <w:proofErr w:type="gramEnd"/>
            <w:r w:rsidRPr="00E26CB0">
              <w:rPr>
                <w:rFonts w:ascii="Times New Roman" w:hAnsi="Times New Roman" w:cs="Times New Roman"/>
                <w:color w:val="auto"/>
                <w:sz w:val="26"/>
                <w:szCs w:val="26"/>
              </w:rPr>
              <w:t xml:space="preserve"> kuru prospektā ir noteikts, ka obligācijas šādā biržā tiks iekļautas 12 mēnešu laikā, pensiju plānu </w:t>
            </w:r>
            <w:r w:rsidRPr="00E26CB0">
              <w:rPr>
                <w:rFonts w:ascii="Times New Roman" w:hAnsi="Times New Roman" w:cs="Times New Roman"/>
                <w:color w:val="auto"/>
                <w:sz w:val="26"/>
                <w:szCs w:val="26"/>
              </w:rPr>
              <w:lastRenderedPageBreak/>
              <w:t xml:space="preserve">dalībniekiem riska līmeni nepaaugstina, jo, ja šis nosacījums – iekļaušana biržā – 12 mēnešu laikā netiktu izpildīts, tad iestātos pārvaldītāja pienākums atpirkt minētos vērtspapīrus par iegādes cenu. </w:t>
            </w:r>
          </w:p>
          <w:p w:rsidR="00080A55" w:rsidRPr="00E26CB0" w:rsidRDefault="00080A55" w:rsidP="0031447E">
            <w:pPr>
              <w:pStyle w:val="Default"/>
              <w:ind w:left="142" w:right="142" w:firstLine="567"/>
              <w:jc w:val="both"/>
              <w:rPr>
                <w:rFonts w:ascii="Times New Roman" w:hAnsi="Times New Roman" w:cs="Times New Roman"/>
                <w:sz w:val="26"/>
                <w:szCs w:val="26"/>
              </w:rPr>
            </w:pPr>
          </w:p>
          <w:p w:rsidR="00080A55" w:rsidRPr="00E26CB0" w:rsidRDefault="00080A55" w:rsidP="0031447E">
            <w:pPr>
              <w:pStyle w:val="Default"/>
              <w:ind w:left="142" w:right="142" w:firstLine="567"/>
              <w:jc w:val="both"/>
              <w:rPr>
                <w:rFonts w:ascii="Times New Roman" w:hAnsi="Times New Roman" w:cs="Times New Roman"/>
                <w:color w:val="auto"/>
                <w:sz w:val="26"/>
                <w:szCs w:val="26"/>
              </w:rPr>
            </w:pPr>
            <w:r w:rsidRPr="00E26CB0">
              <w:rPr>
                <w:rFonts w:ascii="Times New Roman" w:hAnsi="Times New Roman" w:cs="Times New Roman"/>
                <w:sz w:val="26"/>
                <w:szCs w:val="26"/>
              </w:rPr>
              <w:t>Mainot atklātās valūtas pozīcijas noteikšanas aprēķinu, ņemot vērā arī atvasināto finanšu instrumentu darījumus, kas mazina valūtu svārstību risku, VFPS līdzekļu pārvaldītāji netiks ierobežoti, izmantojot finanšu tirgus iespējas, kad dalībniekiem ir izdevīgāk iegādāties vērtspapīrus citā valūtā, vienlaikus samazinot šīs valūtas svārstību ietekmi, nekā plāna saistību valūtā. Šāda prakse ir spēkā arī pensiju</w:t>
            </w:r>
            <w:r w:rsidR="00FE397B" w:rsidRPr="00E26CB0">
              <w:rPr>
                <w:rFonts w:ascii="Times New Roman" w:hAnsi="Times New Roman" w:cs="Times New Roman"/>
                <w:sz w:val="26"/>
                <w:szCs w:val="26"/>
              </w:rPr>
              <w:t xml:space="preserve"> sistēmas</w:t>
            </w:r>
            <w:r w:rsidRPr="00E26CB0">
              <w:rPr>
                <w:rFonts w:ascii="Times New Roman" w:hAnsi="Times New Roman" w:cs="Times New Roman"/>
                <w:sz w:val="26"/>
                <w:szCs w:val="26"/>
              </w:rPr>
              <w:t xml:space="preserve"> 3. līmenī. </w:t>
            </w:r>
          </w:p>
          <w:p w:rsidR="00080A55" w:rsidRPr="00E26CB0" w:rsidRDefault="00080A55" w:rsidP="0031447E">
            <w:pPr>
              <w:spacing w:after="0" w:line="240" w:lineRule="auto"/>
              <w:ind w:left="142" w:right="142" w:firstLine="567"/>
              <w:jc w:val="both"/>
              <w:rPr>
                <w:rFonts w:ascii="Times New Roman" w:hAnsi="Times New Roman" w:cs="Times New Roman"/>
                <w:bCs/>
                <w:sz w:val="26"/>
                <w:szCs w:val="26"/>
                <w:lang w:eastAsia="lv-LV"/>
              </w:rPr>
            </w:pPr>
          </w:p>
          <w:p w:rsidR="00143A06" w:rsidRPr="00E26CB0" w:rsidRDefault="00051A24" w:rsidP="00536624">
            <w:pPr>
              <w:spacing w:after="0" w:line="240" w:lineRule="auto"/>
              <w:ind w:left="176" w:right="177" w:firstLine="567"/>
              <w:jc w:val="both"/>
              <w:rPr>
                <w:rFonts w:ascii="Times New Roman" w:hAnsi="Times New Roman" w:cs="Times New Roman"/>
                <w:sz w:val="26"/>
                <w:szCs w:val="26"/>
              </w:rPr>
            </w:pPr>
            <w:r w:rsidRPr="00E26CB0">
              <w:rPr>
                <w:rFonts w:ascii="Times New Roman" w:hAnsi="Times New Roman" w:cs="Times New Roman"/>
                <w:sz w:val="26"/>
                <w:szCs w:val="26"/>
              </w:rPr>
              <w:t xml:space="preserve">Likums šobrīd nosaka, ka, ja ieguldījumu plāna prospekta grozījumi paredz mainīt ieguldījumu plāna ieguldīšanas noteikumus vai palielināt līdzekļu pārvaldītājam, līdzekļu turētājam vai citām personām no ieguldījumu plāna līdzekļiem izmaksājamās atlīdzības maksimālo apjomu, ieguldījumu plāna prospekta grozījumi stājas spēkā ne agrāk kā sešus mēnešus pēc tam, kad noslēgta vienošanās par grozījumiem </w:t>
            </w:r>
            <w:r w:rsidR="00143A06" w:rsidRPr="00E26CB0">
              <w:rPr>
                <w:rFonts w:ascii="Times New Roman" w:hAnsi="Times New Roman" w:cs="Times New Roman"/>
                <w:sz w:val="26"/>
                <w:szCs w:val="26"/>
              </w:rPr>
              <w:t>Valsts sociālās apdrošināšanas aģentūras</w:t>
            </w:r>
            <w:r w:rsidRPr="00E26CB0">
              <w:rPr>
                <w:rFonts w:ascii="Times New Roman" w:hAnsi="Times New Roman" w:cs="Times New Roman"/>
                <w:sz w:val="26"/>
                <w:szCs w:val="26"/>
              </w:rPr>
              <w:t xml:space="preserve"> un fondēto pensiju shēmas līdzekļu pārvaldītāja līgumā.</w:t>
            </w:r>
            <w:r w:rsidR="00143A06" w:rsidRPr="00E26CB0">
              <w:rPr>
                <w:rFonts w:ascii="Times New Roman" w:hAnsi="Times New Roman" w:cs="Times New Roman"/>
                <w:sz w:val="26"/>
                <w:szCs w:val="26"/>
              </w:rPr>
              <w:t xml:space="preserve"> Tātad pašlaik 6 mēneši ir jāgaida arī tad, ja fiksētās </w:t>
            </w:r>
            <w:r w:rsidR="00E24695">
              <w:rPr>
                <w:rFonts w:ascii="Times New Roman" w:hAnsi="Times New Roman" w:cs="Times New Roman"/>
                <w:sz w:val="26"/>
                <w:szCs w:val="26"/>
              </w:rPr>
              <w:t>maksas</w:t>
            </w:r>
            <w:r w:rsidR="00143A06" w:rsidRPr="00E26CB0">
              <w:rPr>
                <w:rFonts w:ascii="Times New Roman" w:hAnsi="Times New Roman" w:cs="Times New Roman"/>
                <w:sz w:val="26"/>
                <w:szCs w:val="26"/>
              </w:rPr>
              <w:t xml:space="preserve"> (1%) ietvaros turētājs samazina, bet pārvaldītājs attiecīgi palielina </w:t>
            </w:r>
            <w:r w:rsidR="00E24695">
              <w:rPr>
                <w:rFonts w:ascii="Times New Roman" w:hAnsi="Times New Roman" w:cs="Times New Roman"/>
                <w:sz w:val="26"/>
                <w:szCs w:val="26"/>
              </w:rPr>
              <w:t>maksājumu</w:t>
            </w:r>
            <w:r w:rsidR="00143A06" w:rsidRPr="00E26CB0">
              <w:rPr>
                <w:rFonts w:ascii="Times New Roman" w:hAnsi="Times New Roman" w:cs="Times New Roman"/>
                <w:sz w:val="26"/>
                <w:szCs w:val="26"/>
              </w:rPr>
              <w:t xml:space="preserve">, lai gan </w:t>
            </w:r>
            <w:r w:rsidR="00E24695">
              <w:rPr>
                <w:rFonts w:ascii="Times New Roman" w:hAnsi="Times New Roman" w:cs="Times New Roman"/>
                <w:sz w:val="26"/>
                <w:szCs w:val="26"/>
              </w:rPr>
              <w:t>pārvaldīšanas maksājums</w:t>
            </w:r>
            <w:r w:rsidR="00143A06" w:rsidRPr="00E26CB0">
              <w:rPr>
                <w:rFonts w:ascii="Times New Roman" w:hAnsi="Times New Roman" w:cs="Times New Roman"/>
                <w:sz w:val="26"/>
                <w:szCs w:val="26"/>
              </w:rPr>
              <w:t xml:space="preserve"> plānu dalībniekiem nemainās. Nosakot, ka 6 mēnešu gaidīšanas posms pie </w:t>
            </w:r>
            <w:r w:rsidR="00E24695">
              <w:rPr>
                <w:rFonts w:ascii="Times New Roman" w:hAnsi="Times New Roman" w:cs="Times New Roman"/>
                <w:sz w:val="26"/>
                <w:szCs w:val="26"/>
              </w:rPr>
              <w:t>maksas</w:t>
            </w:r>
            <w:r w:rsidR="00143A06" w:rsidRPr="00E26CB0">
              <w:rPr>
                <w:rFonts w:ascii="Times New Roman" w:hAnsi="Times New Roman" w:cs="Times New Roman"/>
                <w:sz w:val="26"/>
                <w:szCs w:val="26"/>
              </w:rPr>
              <w:t xml:space="preserve"> izmaiņām ir tikai tad, ja notiek kopējās </w:t>
            </w:r>
            <w:r w:rsidR="00E24695">
              <w:rPr>
                <w:rFonts w:ascii="Times New Roman" w:hAnsi="Times New Roman" w:cs="Times New Roman"/>
                <w:sz w:val="26"/>
                <w:szCs w:val="26"/>
              </w:rPr>
              <w:t>maksas</w:t>
            </w:r>
            <w:r w:rsidR="00143A06" w:rsidRPr="00E26CB0">
              <w:rPr>
                <w:rFonts w:ascii="Times New Roman" w:hAnsi="Times New Roman" w:cs="Times New Roman"/>
                <w:sz w:val="26"/>
                <w:szCs w:val="26"/>
              </w:rPr>
              <w:t xml:space="preserve"> palielināšana, ļautu elastīgi mainīt </w:t>
            </w:r>
            <w:r w:rsidR="00E24695">
              <w:rPr>
                <w:rFonts w:ascii="Times New Roman" w:hAnsi="Times New Roman" w:cs="Times New Roman"/>
                <w:sz w:val="26"/>
                <w:szCs w:val="26"/>
              </w:rPr>
              <w:t>pārvaldīšanas maksājumu</w:t>
            </w:r>
            <w:r w:rsidR="00143A06" w:rsidRPr="00E26CB0">
              <w:rPr>
                <w:rFonts w:ascii="Times New Roman" w:hAnsi="Times New Roman" w:cs="Times New Roman"/>
                <w:sz w:val="26"/>
                <w:szCs w:val="26"/>
              </w:rPr>
              <w:t xml:space="preserve"> sadalījumu starp turētājbanku un pārvaldnieku, atvieglojot izmaiņu veikšanu sadarbībā ar turētājbanku jomā, kas neatstāj iespaidu uz plāna dalībniekiem.</w:t>
            </w:r>
          </w:p>
          <w:p w:rsidR="00051A24" w:rsidRPr="00E26CB0" w:rsidRDefault="00051A24" w:rsidP="0031447E">
            <w:pPr>
              <w:spacing w:after="0" w:line="240" w:lineRule="auto"/>
              <w:ind w:left="142" w:right="142" w:firstLine="567"/>
              <w:jc w:val="both"/>
              <w:rPr>
                <w:rFonts w:ascii="Times New Roman" w:hAnsi="Times New Roman" w:cs="Times New Roman"/>
                <w:bCs/>
                <w:sz w:val="26"/>
                <w:szCs w:val="26"/>
                <w:lang w:eastAsia="lv-LV"/>
              </w:rPr>
            </w:pPr>
          </w:p>
          <w:p w:rsidR="006864DA" w:rsidRPr="00DA6DE5" w:rsidRDefault="006864DA" w:rsidP="006864DA">
            <w:pPr>
              <w:spacing w:after="0" w:line="240" w:lineRule="auto"/>
              <w:ind w:left="176" w:firstLine="567"/>
              <w:jc w:val="both"/>
              <w:rPr>
                <w:rFonts w:ascii="Times New Roman" w:hAnsi="Times New Roman" w:cs="Times New Roman"/>
                <w:sz w:val="26"/>
                <w:szCs w:val="26"/>
              </w:rPr>
            </w:pPr>
            <w:r w:rsidRPr="00DA6DE5">
              <w:rPr>
                <w:rFonts w:ascii="Times New Roman" w:hAnsi="Times New Roman" w:cs="Times New Roman"/>
                <w:sz w:val="26"/>
                <w:szCs w:val="26"/>
              </w:rPr>
              <w:t xml:space="preserve">Aizvien vairāk aktivizējas darījumi ar virtuālajām valūtām un pastāv iespēja, ka arī valsts fondēto pensiju shēmas līdzekļi varētu tikt ieguldīti šādos aktīvos. Ņemot vērā to, ka Eiropas Savienībā virtuālās valūtas nav atzītas par likumīgu maksāšanas līdzekli, to vērtībai ir tīri spekulatīvs raksturs un to izmantošana ir saistīta ar noziedzīgi iegūtu līdzekļu apgrozības veicināšanu, kā arī </w:t>
            </w:r>
            <w:r w:rsidR="00C03578" w:rsidRPr="00DA6DE5">
              <w:rPr>
                <w:rFonts w:ascii="Times New Roman" w:hAnsi="Times New Roman" w:cs="Times New Roman"/>
                <w:sz w:val="26"/>
                <w:szCs w:val="26"/>
              </w:rPr>
              <w:t xml:space="preserve">ar </w:t>
            </w:r>
            <w:r w:rsidRPr="00DA6DE5">
              <w:rPr>
                <w:rFonts w:ascii="Times New Roman" w:hAnsi="Times New Roman" w:cs="Times New Roman"/>
                <w:sz w:val="26"/>
                <w:szCs w:val="26"/>
              </w:rPr>
              <w:t xml:space="preserve">to, ka ar šiem darījumiem saistītos riskus nav iespējams pārvaldīt </w:t>
            </w:r>
            <w:r w:rsidRPr="00DA6DE5">
              <w:rPr>
                <w:rFonts w:ascii="Times New Roman" w:hAnsi="Times New Roman" w:cs="Times New Roman"/>
                <w:sz w:val="26"/>
                <w:szCs w:val="26"/>
              </w:rPr>
              <w:lastRenderedPageBreak/>
              <w:t xml:space="preserve">un zaudējumi var būt neierobežoti, uzskatām, ka ieguldījumi virtuālajās valūtās vai tādos alternatīvo ieguldījumu fondos, kuru darbības noteikumi paredz vairāk nekā 10% no fonda neto aktīviem ieguldīt virtuālajās valūtās, nav piemēroti ieguldījumu plānu investīciju objekti. </w:t>
            </w:r>
          </w:p>
          <w:p w:rsidR="006864DA" w:rsidRPr="00DA6DE5" w:rsidRDefault="006864DA" w:rsidP="0031447E">
            <w:pPr>
              <w:spacing w:after="0" w:line="240" w:lineRule="auto"/>
              <w:ind w:left="142" w:right="142" w:firstLine="567"/>
              <w:jc w:val="both"/>
              <w:rPr>
                <w:rFonts w:ascii="Times New Roman" w:hAnsi="Times New Roman" w:cs="Times New Roman"/>
                <w:bCs/>
                <w:sz w:val="26"/>
                <w:szCs w:val="26"/>
                <w:lang w:eastAsia="lv-LV"/>
              </w:rPr>
            </w:pPr>
          </w:p>
          <w:p w:rsidR="00FE397B" w:rsidRPr="00E26CB0" w:rsidRDefault="004E7045" w:rsidP="001667B1">
            <w:pPr>
              <w:spacing w:after="0" w:line="240" w:lineRule="auto"/>
              <w:ind w:left="176" w:firstLine="567"/>
              <w:jc w:val="both"/>
              <w:rPr>
                <w:rFonts w:ascii="Times New Roman" w:hAnsi="Times New Roman" w:cs="Times New Roman"/>
                <w:i/>
                <w:sz w:val="26"/>
                <w:szCs w:val="26"/>
              </w:rPr>
            </w:pPr>
            <w:r w:rsidRPr="00DA6DE5">
              <w:rPr>
                <w:rFonts w:ascii="Times New Roman" w:hAnsi="Times New Roman" w:cs="Times New Roman"/>
                <w:sz w:val="26"/>
                <w:szCs w:val="26"/>
              </w:rPr>
              <w:t>J</w:t>
            </w:r>
            <w:r w:rsidR="001667B1" w:rsidRPr="00DA6DE5">
              <w:rPr>
                <w:rFonts w:ascii="Times New Roman" w:hAnsi="Times New Roman" w:cs="Times New Roman"/>
                <w:sz w:val="26"/>
                <w:szCs w:val="26"/>
              </w:rPr>
              <w:t>a</w:t>
            </w:r>
            <w:r w:rsidR="00DA6DE5">
              <w:rPr>
                <w:rFonts w:ascii="Times New Roman" w:hAnsi="Times New Roman" w:cs="Times New Roman"/>
                <w:sz w:val="26"/>
                <w:szCs w:val="26"/>
              </w:rPr>
              <w:t xml:space="preserve"> </w:t>
            </w:r>
            <w:r w:rsidR="00DA6DE5" w:rsidRPr="00DA6DE5">
              <w:rPr>
                <w:rFonts w:ascii="Times New Roman" w:hAnsi="Times New Roman" w:cs="Times New Roman"/>
                <w:sz w:val="26"/>
                <w:szCs w:val="26"/>
              </w:rPr>
              <w:t>Finanšu un kapitāla tirgus komisija</w:t>
            </w:r>
            <w:r w:rsidR="001667B1" w:rsidRPr="00DA6DE5">
              <w:rPr>
                <w:rFonts w:ascii="Times New Roman" w:hAnsi="Times New Roman" w:cs="Times New Roman"/>
                <w:sz w:val="26"/>
                <w:szCs w:val="26"/>
              </w:rPr>
              <w:t xml:space="preserve">, veicot līdzekļu pārvaldītāja un līdzekļu turētāja uzraudzību, konstatē, ka līdzekļu turētājs pārkāpj šā likuma, saskaņā ar šo likumu izdoto normatīvo aktu prasības vai fondēto pensiju shēmas līdzekļu ieguldījumu plāna prospekta noteikumus vai arī līdzekļu turētāja finansiālā stabilitāte vai maksātspēja rada riskus </w:t>
            </w:r>
            <w:r w:rsidRPr="00DA6DE5">
              <w:rPr>
                <w:rFonts w:ascii="Times New Roman" w:hAnsi="Times New Roman" w:cs="Times New Roman"/>
                <w:sz w:val="26"/>
                <w:szCs w:val="26"/>
              </w:rPr>
              <w:t>VFPS</w:t>
            </w:r>
            <w:r w:rsidR="001667B1" w:rsidRPr="00DA6DE5">
              <w:rPr>
                <w:rFonts w:ascii="Times New Roman" w:hAnsi="Times New Roman" w:cs="Times New Roman"/>
                <w:sz w:val="26"/>
                <w:szCs w:val="26"/>
              </w:rPr>
              <w:t xml:space="preserve"> darbības nepārtrauktības nodrošināšanā, </w:t>
            </w:r>
            <w:r w:rsidRPr="00DA6DE5">
              <w:rPr>
                <w:rFonts w:ascii="Times New Roman" w:hAnsi="Times New Roman" w:cs="Times New Roman"/>
                <w:sz w:val="26"/>
                <w:szCs w:val="26"/>
              </w:rPr>
              <w:t xml:space="preserve">likumprojektā nepieciešams noteikt, ka </w:t>
            </w:r>
            <w:r w:rsidR="001667B1" w:rsidRPr="00DA6DE5">
              <w:rPr>
                <w:rFonts w:ascii="Times New Roman" w:hAnsi="Times New Roman" w:cs="Times New Roman"/>
                <w:sz w:val="26"/>
                <w:szCs w:val="26"/>
              </w:rPr>
              <w:t xml:space="preserve">Finanšu un kapitāla tirgus komisija ir tiesīga pieprasīt, lai līdzekļu pārvaldītājs maina līdzekļu turētāju. Minētajā gadījumā Finanšu </w:t>
            </w:r>
            <w:r w:rsidR="00CE15E0" w:rsidRPr="00DA6DE5">
              <w:rPr>
                <w:rFonts w:ascii="Times New Roman" w:hAnsi="Times New Roman" w:cs="Times New Roman"/>
                <w:sz w:val="26"/>
                <w:szCs w:val="26"/>
              </w:rPr>
              <w:t xml:space="preserve">un </w:t>
            </w:r>
            <w:r w:rsidR="001667B1" w:rsidRPr="00DA6DE5">
              <w:rPr>
                <w:rFonts w:ascii="Times New Roman" w:hAnsi="Times New Roman" w:cs="Times New Roman"/>
                <w:sz w:val="26"/>
                <w:szCs w:val="26"/>
              </w:rPr>
              <w:t xml:space="preserve">kapitāla tirgus komisija, pieņemot lēmumu, </w:t>
            </w:r>
            <w:r w:rsidRPr="00DA6DE5">
              <w:rPr>
                <w:rFonts w:ascii="Times New Roman" w:hAnsi="Times New Roman" w:cs="Times New Roman"/>
                <w:sz w:val="26"/>
                <w:szCs w:val="26"/>
              </w:rPr>
              <w:t>būtu</w:t>
            </w:r>
            <w:r w:rsidR="001667B1" w:rsidRPr="00DA6DE5">
              <w:rPr>
                <w:rFonts w:ascii="Times New Roman" w:hAnsi="Times New Roman" w:cs="Times New Roman"/>
                <w:sz w:val="26"/>
                <w:szCs w:val="26"/>
              </w:rPr>
              <w:t xml:space="preserve"> tiesīga noteikt līdzekļu pārvaldītājam nosacījumus jauna līdzekļu turētāja piesaistīšanai. Šāds grozījums nepieciešams, </w:t>
            </w:r>
            <w:r w:rsidR="00FE397B" w:rsidRPr="00DA6DE5">
              <w:rPr>
                <w:rFonts w:ascii="Times New Roman" w:hAnsi="Times New Roman" w:cs="Times New Roman"/>
                <w:sz w:val="26"/>
                <w:szCs w:val="26"/>
              </w:rPr>
              <w:t>lai harmonizētu regulējumu starp dažādiem tirgus segmentiem, kurus regulējošajos normatīvajos aktos jau ir ietvertas līdzīgas prasības, piemēram, likum</w:t>
            </w:r>
            <w:r w:rsidR="00C03578" w:rsidRPr="00DA6DE5">
              <w:rPr>
                <w:rFonts w:ascii="Times New Roman" w:hAnsi="Times New Roman" w:cs="Times New Roman"/>
                <w:sz w:val="26"/>
                <w:szCs w:val="26"/>
              </w:rPr>
              <w:t>a</w:t>
            </w:r>
            <w:r w:rsidR="00FE397B" w:rsidRPr="00DA6DE5">
              <w:rPr>
                <w:rFonts w:ascii="Times New Roman" w:hAnsi="Times New Roman" w:cs="Times New Roman"/>
                <w:sz w:val="26"/>
                <w:szCs w:val="26"/>
              </w:rPr>
              <w:t xml:space="preserve"> </w:t>
            </w:r>
            <w:r w:rsidR="00C03578" w:rsidRPr="00DA6DE5">
              <w:rPr>
                <w:rFonts w:ascii="Times New Roman" w:hAnsi="Times New Roman" w:cs="Times New Roman"/>
                <w:sz w:val="26"/>
                <w:szCs w:val="26"/>
              </w:rPr>
              <w:t>„</w:t>
            </w:r>
            <w:r w:rsidR="00FE397B" w:rsidRPr="00DA6DE5">
              <w:rPr>
                <w:rFonts w:ascii="Times New Roman" w:hAnsi="Times New Roman" w:cs="Times New Roman"/>
                <w:sz w:val="26"/>
                <w:szCs w:val="26"/>
              </w:rPr>
              <w:t>Par privātajiem pensiju fondiem</w:t>
            </w:r>
            <w:r w:rsidR="00C03578" w:rsidRPr="00DA6DE5">
              <w:rPr>
                <w:rFonts w:ascii="Times New Roman" w:hAnsi="Times New Roman" w:cs="Times New Roman"/>
                <w:sz w:val="26"/>
                <w:szCs w:val="26"/>
              </w:rPr>
              <w:t>”</w:t>
            </w:r>
            <w:r w:rsidR="00FE397B" w:rsidRPr="00DA6DE5">
              <w:rPr>
                <w:rFonts w:ascii="Times New Roman" w:hAnsi="Times New Roman" w:cs="Times New Roman"/>
                <w:sz w:val="26"/>
                <w:szCs w:val="26"/>
              </w:rPr>
              <w:t xml:space="preserve"> 20. panta desmitā daļa un 21. panta astotā daļa un Ieguldījumu pārvaldes sabiedrību likuma 49. pants. </w:t>
            </w:r>
            <w:r w:rsidR="00C03578" w:rsidRPr="00DA6DE5">
              <w:rPr>
                <w:rFonts w:ascii="Times New Roman" w:hAnsi="Times New Roman" w:cs="Times New Roman"/>
                <w:sz w:val="26"/>
                <w:szCs w:val="26"/>
              </w:rPr>
              <w:t>Tas ir</w:t>
            </w:r>
            <w:r w:rsidR="001667B1" w:rsidRPr="00DA6DE5">
              <w:rPr>
                <w:rFonts w:ascii="Times New Roman" w:hAnsi="Times New Roman" w:cs="Times New Roman"/>
                <w:sz w:val="26"/>
                <w:szCs w:val="26"/>
              </w:rPr>
              <w:t xml:space="preserve"> </w:t>
            </w:r>
            <w:r w:rsidR="00FE397B" w:rsidRPr="00DA6DE5">
              <w:rPr>
                <w:rFonts w:ascii="Times New Roman" w:hAnsi="Times New Roman" w:cs="Times New Roman"/>
                <w:sz w:val="26"/>
                <w:szCs w:val="26"/>
              </w:rPr>
              <w:t xml:space="preserve">nepieciešams, lai </w:t>
            </w:r>
            <w:r w:rsidR="001667B1" w:rsidRPr="00DA6DE5">
              <w:rPr>
                <w:rFonts w:ascii="Times New Roman" w:hAnsi="Times New Roman" w:cs="Times New Roman"/>
                <w:sz w:val="26"/>
                <w:szCs w:val="26"/>
              </w:rPr>
              <w:t xml:space="preserve">Finanšu </w:t>
            </w:r>
            <w:r w:rsidR="00CE15E0" w:rsidRPr="00DA6DE5">
              <w:rPr>
                <w:rFonts w:ascii="Times New Roman" w:hAnsi="Times New Roman" w:cs="Times New Roman"/>
                <w:sz w:val="26"/>
                <w:szCs w:val="26"/>
              </w:rPr>
              <w:t xml:space="preserve">un </w:t>
            </w:r>
            <w:r w:rsidR="001667B1" w:rsidRPr="00DA6DE5">
              <w:rPr>
                <w:rFonts w:ascii="Times New Roman" w:hAnsi="Times New Roman" w:cs="Times New Roman"/>
                <w:sz w:val="26"/>
                <w:szCs w:val="26"/>
              </w:rPr>
              <w:t>kapitāla</w:t>
            </w:r>
            <w:r w:rsidR="00C23EF1" w:rsidRPr="00DA6DE5">
              <w:rPr>
                <w:rFonts w:ascii="Times New Roman" w:hAnsi="Times New Roman" w:cs="Times New Roman"/>
                <w:sz w:val="26"/>
                <w:szCs w:val="26"/>
              </w:rPr>
              <w:t xml:space="preserve"> </w:t>
            </w:r>
            <w:r w:rsidR="001667B1" w:rsidRPr="00DA6DE5">
              <w:rPr>
                <w:rFonts w:ascii="Times New Roman" w:hAnsi="Times New Roman" w:cs="Times New Roman"/>
                <w:sz w:val="26"/>
                <w:szCs w:val="26"/>
              </w:rPr>
              <w:t xml:space="preserve">tirgus komisija </w:t>
            </w:r>
            <w:r w:rsidR="00FE397B" w:rsidRPr="00DA6DE5">
              <w:rPr>
                <w:rFonts w:ascii="Times New Roman" w:hAnsi="Times New Roman" w:cs="Times New Roman"/>
                <w:sz w:val="26"/>
                <w:szCs w:val="26"/>
              </w:rPr>
              <w:t>varētu veikt savas funkcijas gadījumos, kad līdzekļu turētājs nespēj nodrošināt normatīvajiem aktiem atbilstošus pakalpojumus</w:t>
            </w:r>
            <w:r w:rsidR="00BD5905" w:rsidRPr="00DA6DE5">
              <w:rPr>
                <w:rFonts w:ascii="Times New Roman" w:hAnsi="Times New Roman" w:cs="Times New Roman"/>
                <w:sz w:val="26"/>
                <w:szCs w:val="26"/>
              </w:rPr>
              <w:t xml:space="preserve">, un </w:t>
            </w:r>
            <w:r w:rsidR="009F4F85" w:rsidRPr="00DA6DE5">
              <w:rPr>
                <w:rFonts w:ascii="Times New Roman" w:hAnsi="Times New Roman" w:cs="Times New Roman"/>
                <w:sz w:val="26"/>
                <w:szCs w:val="26"/>
              </w:rPr>
              <w:t xml:space="preserve">nepieciešamības gadījumā </w:t>
            </w:r>
            <w:r w:rsidR="00BD5905" w:rsidRPr="00DA6DE5">
              <w:rPr>
                <w:rFonts w:ascii="Times New Roman" w:hAnsi="Times New Roman" w:cs="Times New Roman"/>
                <w:sz w:val="26"/>
                <w:szCs w:val="26"/>
              </w:rPr>
              <w:t xml:space="preserve">noteikt attiecīgu soda naudu. </w:t>
            </w:r>
            <w:r w:rsidR="00C03578" w:rsidRPr="00DA6DE5">
              <w:rPr>
                <w:rFonts w:ascii="Times New Roman" w:hAnsi="Times New Roman" w:cs="Times New Roman"/>
                <w:sz w:val="26"/>
                <w:szCs w:val="26"/>
              </w:rPr>
              <w:t xml:space="preserve">Grozījums </w:t>
            </w:r>
            <w:r w:rsidR="00FE397B" w:rsidRPr="00DA6DE5">
              <w:rPr>
                <w:rFonts w:ascii="Times New Roman" w:hAnsi="Times New Roman" w:cs="Times New Roman"/>
                <w:sz w:val="26"/>
                <w:szCs w:val="26"/>
              </w:rPr>
              <w:t>izstrādāts</w:t>
            </w:r>
            <w:r w:rsidR="006E552A" w:rsidRPr="00DA6DE5">
              <w:rPr>
                <w:rFonts w:ascii="Times New Roman" w:hAnsi="Times New Roman" w:cs="Times New Roman"/>
                <w:sz w:val="26"/>
                <w:szCs w:val="26"/>
              </w:rPr>
              <w:t>,</w:t>
            </w:r>
            <w:r w:rsidR="00FE397B" w:rsidRPr="00DA6DE5">
              <w:rPr>
                <w:rFonts w:ascii="Times New Roman" w:hAnsi="Times New Roman" w:cs="Times New Roman"/>
                <w:sz w:val="26"/>
                <w:szCs w:val="26"/>
              </w:rPr>
              <w:t xml:space="preserve"> ņemot vērā konkrētā tirgus segmenta nozīmību un sociālo ietekmi, kā arī lai nodrošinātu </w:t>
            </w:r>
            <w:r w:rsidR="001667B1" w:rsidRPr="00DA6DE5">
              <w:rPr>
                <w:rFonts w:ascii="Times New Roman" w:hAnsi="Times New Roman" w:cs="Times New Roman"/>
                <w:sz w:val="26"/>
                <w:szCs w:val="26"/>
              </w:rPr>
              <w:t xml:space="preserve">VFPS </w:t>
            </w:r>
            <w:r w:rsidR="00FE397B" w:rsidRPr="00DA6DE5">
              <w:rPr>
                <w:rFonts w:ascii="Times New Roman" w:hAnsi="Times New Roman" w:cs="Times New Roman"/>
                <w:sz w:val="26"/>
                <w:szCs w:val="26"/>
              </w:rPr>
              <w:t>darbības nepārtrauktību un sekmīgu darbību.</w:t>
            </w:r>
            <w:r w:rsidR="001667B1" w:rsidRPr="00E26CB0">
              <w:rPr>
                <w:rFonts w:ascii="Times New Roman" w:hAnsi="Times New Roman" w:cs="Times New Roman"/>
                <w:sz w:val="26"/>
                <w:szCs w:val="26"/>
              </w:rPr>
              <w:t xml:space="preserve"> </w:t>
            </w:r>
          </w:p>
          <w:p w:rsidR="006864DA" w:rsidRPr="00E26CB0" w:rsidRDefault="006864DA" w:rsidP="0031447E">
            <w:pPr>
              <w:spacing w:after="0" w:line="240" w:lineRule="auto"/>
              <w:ind w:left="142" w:right="142" w:firstLine="567"/>
              <w:jc w:val="both"/>
              <w:rPr>
                <w:rFonts w:ascii="Times New Roman" w:hAnsi="Times New Roman" w:cs="Times New Roman"/>
                <w:bCs/>
                <w:sz w:val="26"/>
                <w:szCs w:val="26"/>
                <w:lang w:eastAsia="lv-LV"/>
              </w:rPr>
            </w:pPr>
          </w:p>
          <w:p w:rsidR="00080A55" w:rsidRPr="00E26CB0" w:rsidRDefault="00080A55" w:rsidP="0031447E">
            <w:pPr>
              <w:spacing w:after="0" w:line="240" w:lineRule="auto"/>
              <w:ind w:left="142" w:right="142" w:firstLine="567"/>
              <w:jc w:val="both"/>
              <w:rPr>
                <w:rFonts w:ascii="Times New Roman" w:hAnsi="Times New Roman" w:cs="Times New Roman"/>
                <w:bCs/>
                <w:sz w:val="26"/>
                <w:szCs w:val="26"/>
                <w:lang w:eastAsia="lv-LV"/>
              </w:rPr>
            </w:pPr>
            <w:r w:rsidRPr="00E26CB0">
              <w:rPr>
                <w:rFonts w:ascii="Times New Roman" w:hAnsi="Times New Roman" w:cs="Times New Roman"/>
                <w:bCs/>
                <w:sz w:val="26"/>
                <w:szCs w:val="26"/>
                <w:lang w:eastAsia="lv-LV"/>
              </w:rPr>
              <w:t xml:space="preserve">VFPS līdzekļu pārvaldītājs nodrošina noteikumu ievērošanu attiecībā uz VFPS līdzekļu ieguldījumiem, dod rīkojumus veikt norēķinus ar VFPS iemaksātajiem naudas līdzekļiem, kā arī saņemt un pārvest finanšu instrumentus un veikt citus darījumus ar VFPS līdzekļiem atbilstoši likuma prasībām un ar Valsts sociālās apdrošināšanas aģentūras noslēgtā līguma noteikumiem. VFPS līdzekļu pārvaldītājs pārvaldīšanā esošos shēmas līdzekļus iegrāmato un </w:t>
            </w:r>
            <w:r w:rsidRPr="00E26CB0">
              <w:rPr>
                <w:rFonts w:ascii="Times New Roman" w:hAnsi="Times New Roman" w:cs="Times New Roman"/>
                <w:bCs/>
                <w:sz w:val="26"/>
                <w:szCs w:val="26"/>
                <w:lang w:eastAsia="lv-LV"/>
              </w:rPr>
              <w:lastRenderedPageBreak/>
              <w:t xml:space="preserve">pārvalda šķirti no jebkuras citas VFPS līdzekļu pārvaldītāja un tā pārvaldīšanā esošās mantas. VFPS līdzekļu daļu, kas tiek pārvaldīta saskaņā ar noteiktu ieguldījumu plānu (ieguldījumu plāna līdzekļi), VFPS līdzekļu pārvaldītājs pārvalda šķirti no citiem tā aktīviem un pārējo ieguldījumu plānu līdzekļiem. </w:t>
            </w:r>
          </w:p>
          <w:p w:rsidR="00080A55" w:rsidRPr="00E26CB0" w:rsidRDefault="00080A55" w:rsidP="0031447E">
            <w:pPr>
              <w:spacing w:after="0" w:line="240" w:lineRule="auto"/>
              <w:ind w:left="142" w:right="142" w:firstLine="567"/>
              <w:jc w:val="both"/>
              <w:rPr>
                <w:rFonts w:ascii="Times New Roman" w:hAnsi="Times New Roman" w:cs="Times New Roman"/>
                <w:sz w:val="26"/>
                <w:szCs w:val="26"/>
              </w:rPr>
            </w:pPr>
            <w:r w:rsidRPr="00E26CB0">
              <w:rPr>
                <w:rFonts w:ascii="Times New Roman" w:hAnsi="Times New Roman" w:cs="Times New Roman"/>
                <w:sz w:val="26"/>
                <w:szCs w:val="26"/>
              </w:rPr>
              <w:t>Ieguldījumu plāni var būt, un citur pasaulē arī tradicionāli ir, par vienu no industrializācijai nepieciešamās finansēšanas avotiem, jo tajos ir uzkrāti ievērojami līdzekļi, turklāt šie līdzekļi būs nepieciešami izmantošanai pēc ļoti ilga laika, kas attiecīgi ļauj veikt ilgtermiņa finanšu ieguldījumus.</w:t>
            </w:r>
          </w:p>
          <w:p w:rsidR="00080A55" w:rsidRPr="00E26CB0" w:rsidRDefault="00080A55" w:rsidP="0031447E">
            <w:pPr>
              <w:spacing w:after="0" w:line="240" w:lineRule="auto"/>
              <w:ind w:left="142" w:right="142" w:firstLine="567"/>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 xml:space="preserve">Svarīgākais riska pārvaldīšanas veids, ieguldot šāda veida </w:t>
            </w:r>
            <w:r w:rsidR="00A42A0D" w:rsidRPr="00E26CB0">
              <w:rPr>
                <w:rFonts w:ascii="Times New Roman" w:hAnsi="Times New Roman" w:cs="Times New Roman"/>
                <w:sz w:val="26"/>
                <w:szCs w:val="26"/>
                <w:lang w:eastAsia="lv-LV"/>
              </w:rPr>
              <w:t>plānos</w:t>
            </w:r>
            <w:r w:rsidRPr="00E26CB0">
              <w:rPr>
                <w:rFonts w:ascii="Times New Roman" w:hAnsi="Times New Roman" w:cs="Times New Roman"/>
                <w:sz w:val="26"/>
                <w:szCs w:val="26"/>
                <w:lang w:eastAsia="lv-LV"/>
              </w:rPr>
              <w:t xml:space="preserve">, ir rūpīgi veikt </w:t>
            </w:r>
            <w:r w:rsidR="00A42A0D" w:rsidRPr="00E26CB0">
              <w:rPr>
                <w:rFonts w:ascii="Times New Roman" w:hAnsi="Times New Roman" w:cs="Times New Roman"/>
                <w:sz w:val="26"/>
                <w:szCs w:val="26"/>
                <w:lang w:eastAsia="lv-LV"/>
              </w:rPr>
              <w:t>plāna</w:t>
            </w:r>
            <w:r w:rsidRPr="00E26CB0">
              <w:rPr>
                <w:rFonts w:ascii="Times New Roman" w:hAnsi="Times New Roman" w:cs="Times New Roman"/>
                <w:sz w:val="26"/>
                <w:szCs w:val="26"/>
                <w:lang w:eastAsia="lv-LV"/>
              </w:rPr>
              <w:t xml:space="preserve"> izpēti pirms ieguldīšanas, regulāri sekot </w:t>
            </w:r>
            <w:r w:rsidR="00A42A0D" w:rsidRPr="00E26CB0">
              <w:rPr>
                <w:rFonts w:ascii="Times New Roman" w:hAnsi="Times New Roman" w:cs="Times New Roman"/>
                <w:sz w:val="26"/>
                <w:szCs w:val="26"/>
                <w:lang w:eastAsia="lv-LV"/>
              </w:rPr>
              <w:t>plāna</w:t>
            </w:r>
            <w:r w:rsidRPr="00E26CB0">
              <w:rPr>
                <w:rFonts w:ascii="Times New Roman" w:hAnsi="Times New Roman" w:cs="Times New Roman"/>
                <w:sz w:val="26"/>
                <w:szCs w:val="26"/>
                <w:lang w:eastAsia="lv-LV"/>
              </w:rPr>
              <w:t xml:space="preserve"> darbībai un, nepieciešamības gadījumā, ietekmēt </w:t>
            </w:r>
            <w:r w:rsidR="00A42A0D" w:rsidRPr="00E26CB0">
              <w:rPr>
                <w:rFonts w:ascii="Times New Roman" w:hAnsi="Times New Roman" w:cs="Times New Roman"/>
                <w:sz w:val="26"/>
                <w:szCs w:val="26"/>
                <w:lang w:eastAsia="lv-LV"/>
              </w:rPr>
              <w:t>plāna</w:t>
            </w:r>
            <w:r w:rsidRPr="00E26CB0">
              <w:rPr>
                <w:rFonts w:ascii="Times New Roman" w:hAnsi="Times New Roman" w:cs="Times New Roman"/>
                <w:sz w:val="26"/>
                <w:szCs w:val="26"/>
                <w:lang w:eastAsia="lv-LV"/>
              </w:rPr>
              <w:t xml:space="preserve"> darbību gadījumos, kad tas ir nepieciešams. </w:t>
            </w:r>
          </w:p>
          <w:p w:rsidR="00080A55" w:rsidRPr="00E26CB0" w:rsidRDefault="00A42A0D" w:rsidP="0031447E">
            <w:pPr>
              <w:spacing w:after="0" w:line="240" w:lineRule="auto"/>
              <w:ind w:left="142" w:right="142" w:firstLine="567"/>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VFPS līdzekļu pārvaldītāju</w:t>
            </w:r>
            <w:r w:rsidR="00080A55" w:rsidRPr="00E26CB0">
              <w:rPr>
                <w:rFonts w:ascii="Times New Roman" w:hAnsi="Times New Roman" w:cs="Times New Roman"/>
                <w:sz w:val="26"/>
                <w:szCs w:val="26"/>
                <w:lang w:eastAsia="lv-LV"/>
              </w:rPr>
              <w:t xml:space="preserve"> pienākum</w:t>
            </w:r>
            <w:r w:rsidRPr="00E26CB0">
              <w:rPr>
                <w:rFonts w:ascii="Times New Roman" w:hAnsi="Times New Roman" w:cs="Times New Roman"/>
                <w:sz w:val="26"/>
                <w:szCs w:val="26"/>
                <w:lang w:eastAsia="lv-LV"/>
              </w:rPr>
              <w:t>s ir</w:t>
            </w:r>
            <w:r w:rsidR="00080A55" w:rsidRPr="00E26CB0">
              <w:rPr>
                <w:rFonts w:ascii="Times New Roman" w:hAnsi="Times New Roman" w:cs="Times New Roman"/>
                <w:sz w:val="26"/>
                <w:szCs w:val="26"/>
                <w:lang w:eastAsia="lv-LV"/>
              </w:rPr>
              <w:t xml:space="preserve"> rīkoties apdomīgi un ar pienācīgu rūpību attiecībā uz ieguldījumu </w:t>
            </w:r>
            <w:r w:rsidRPr="00E26CB0">
              <w:rPr>
                <w:rFonts w:ascii="Times New Roman" w:hAnsi="Times New Roman" w:cs="Times New Roman"/>
                <w:sz w:val="26"/>
                <w:szCs w:val="26"/>
                <w:lang w:eastAsia="lv-LV"/>
              </w:rPr>
              <w:t>plānu</w:t>
            </w:r>
            <w:r w:rsidR="00080A55" w:rsidRPr="00E26CB0">
              <w:rPr>
                <w:rFonts w:ascii="Times New Roman" w:hAnsi="Times New Roman" w:cs="Times New Roman"/>
                <w:sz w:val="26"/>
                <w:szCs w:val="26"/>
                <w:lang w:eastAsia="lv-LV"/>
              </w:rPr>
              <w:t xml:space="preserve"> pārvaldību un tā aktīviem; būt lojālam pret ieguldījumu </w:t>
            </w:r>
            <w:r w:rsidRPr="00E26CB0">
              <w:rPr>
                <w:rFonts w:ascii="Times New Roman" w:hAnsi="Times New Roman" w:cs="Times New Roman"/>
                <w:sz w:val="26"/>
                <w:szCs w:val="26"/>
                <w:lang w:eastAsia="lv-LV"/>
              </w:rPr>
              <w:t>plānu</w:t>
            </w:r>
            <w:r w:rsidR="00080A55" w:rsidRPr="00E26CB0">
              <w:rPr>
                <w:rFonts w:ascii="Times New Roman" w:hAnsi="Times New Roman" w:cs="Times New Roman"/>
                <w:sz w:val="26"/>
                <w:szCs w:val="26"/>
                <w:lang w:eastAsia="lv-LV"/>
              </w:rPr>
              <w:t xml:space="preserve"> un tā dalībniekiem; diversifikācijas principa ievērošanu, kas paredz, ka ieguldījumu </w:t>
            </w:r>
            <w:r w:rsidRPr="00E26CB0">
              <w:rPr>
                <w:rFonts w:ascii="Times New Roman" w:hAnsi="Times New Roman" w:cs="Times New Roman"/>
                <w:sz w:val="26"/>
                <w:szCs w:val="26"/>
                <w:lang w:eastAsia="lv-LV"/>
              </w:rPr>
              <w:t>plāna</w:t>
            </w:r>
            <w:r w:rsidR="00080A55" w:rsidRPr="00E26CB0">
              <w:rPr>
                <w:rFonts w:ascii="Times New Roman" w:hAnsi="Times New Roman" w:cs="Times New Roman"/>
                <w:sz w:val="26"/>
                <w:szCs w:val="26"/>
                <w:lang w:eastAsia="lv-LV"/>
              </w:rPr>
              <w:t xml:space="preserve"> ieguldījumu portfelis ir daudzveidīgs un izslēdz nepamatotu risku.</w:t>
            </w:r>
          </w:p>
          <w:p w:rsidR="008336ED" w:rsidRPr="0067791C" w:rsidRDefault="008336ED" w:rsidP="00DD1EEB">
            <w:pPr>
              <w:pStyle w:val="tv2131"/>
              <w:spacing w:line="240" w:lineRule="auto"/>
              <w:ind w:left="142" w:right="143" w:firstLine="425"/>
              <w:jc w:val="both"/>
              <w:rPr>
                <w:color w:val="auto"/>
                <w:sz w:val="26"/>
                <w:szCs w:val="26"/>
              </w:rPr>
            </w:pPr>
          </w:p>
          <w:p w:rsidR="00080A55" w:rsidRPr="00E26CB0" w:rsidRDefault="00080A55" w:rsidP="0031447E">
            <w:pPr>
              <w:pStyle w:val="tv2131"/>
              <w:spacing w:line="240" w:lineRule="auto"/>
              <w:ind w:left="142" w:right="143" w:firstLine="425"/>
              <w:jc w:val="both"/>
              <w:rPr>
                <w:color w:val="auto"/>
                <w:sz w:val="26"/>
                <w:szCs w:val="26"/>
              </w:rPr>
            </w:pPr>
            <w:r w:rsidRPr="0067791C">
              <w:rPr>
                <w:color w:val="auto"/>
                <w:sz w:val="26"/>
                <w:szCs w:val="26"/>
              </w:rPr>
              <w:t>Saeimā 2017.gada 28.jūlijā pieņemtajos grozījumos Solidaritātes nodokļa likumā (spēkā no 2018.gada 1.janvāra), noteikta</w:t>
            </w:r>
            <w:r w:rsidRPr="00E26CB0">
              <w:rPr>
                <w:color w:val="auto"/>
                <w:sz w:val="26"/>
                <w:szCs w:val="26"/>
              </w:rPr>
              <w:t xml:space="preserve"> </w:t>
            </w:r>
            <w:r w:rsidRPr="00E26CB0">
              <w:rPr>
                <w:color w:val="auto"/>
                <w:spacing w:val="-2"/>
                <w:sz w:val="26"/>
                <w:szCs w:val="26"/>
                <w:shd w:val="clear" w:color="auto" w:fill="FFFFFF"/>
              </w:rPr>
              <w:t xml:space="preserve">solidaritātes nodokļa daļa, kas tiks novirzīta </w:t>
            </w:r>
            <w:r w:rsidR="00AD5BB8" w:rsidRPr="00E26CB0">
              <w:rPr>
                <w:color w:val="auto"/>
                <w:spacing w:val="-2"/>
                <w:sz w:val="26"/>
                <w:szCs w:val="26"/>
                <w:shd w:val="clear" w:color="auto" w:fill="FFFFFF"/>
              </w:rPr>
              <w:t>VFPS</w:t>
            </w:r>
            <w:r w:rsidRPr="00E26CB0">
              <w:rPr>
                <w:color w:val="auto"/>
                <w:spacing w:val="-2"/>
                <w:sz w:val="26"/>
                <w:szCs w:val="26"/>
                <w:shd w:val="clear" w:color="auto" w:fill="FFFFFF"/>
              </w:rPr>
              <w:t xml:space="preserve"> un pārskaitīta </w:t>
            </w:r>
            <w:r w:rsidR="00AD5BB8" w:rsidRPr="00E26CB0">
              <w:rPr>
                <w:color w:val="auto"/>
                <w:spacing w:val="-2"/>
                <w:sz w:val="26"/>
                <w:szCs w:val="26"/>
                <w:shd w:val="clear" w:color="auto" w:fill="FFFFFF"/>
              </w:rPr>
              <w:t>VFPS</w:t>
            </w:r>
            <w:r w:rsidRPr="00E26CB0">
              <w:rPr>
                <w:color w:val="auto"/>
                <w:spacing w:val="-2"/>
                <w:sz w:val="26"/>
                <w:szCs w:val="26"/>
                <w:shd w:val="clear" w:color="auto" w:fill="FFFFFF"/>
              </w:rPr>
              <w:t xml:space="preserve"> dalībnieka kontā.</w:t>
            </w:r>
            <w:r w:rsidRPr="00E26CB0">
              <w:rPr>
                <w:color w:val="auto"/>
                <w:sz w:val="26"/>
                <w:szCs w:val="26"/>
                <w:shd w:val="clear" w:color="auto" w:fill="FFFFFF"/>
              </w:rPr>
              <w:t> </w:t>
            </w:r>
            <w:r w:rsidRPr="00E26CB0">
              <w:rPr>
                <w:color w:val="auto"/>
                <w:spacing w:val="-2"/>
                <w:sz w:val="26"/>
                <w:szCs w:val="26"/>
                <w:shd w:val="clear" w:color="auto" w:fill="FFFFFF"/>
              </w:rPr>
              <w:t xml:space="preserve">Līdz ar to likuma 4.pantā nepieciešama atsauce arī uz </w:t>
            </w:r>
            <w:r w:rsidRPr="00E26CB0">
              <w:rPr>
                <w:color w:val="auto"/>
                <w:sz w:val="26"/>
                <w:szCs w:val="26"/>
              </w:rPr>
              <w:t>Solidaritātes nodokļa likumu.</w:t>
            </w:r>
          </w:p>
          <w:p w:rsidR="00181B45" w:rsidRPr="00E26CB0" w:rsidRDefault="00181B45" w:rsidP="0031447E">
            <w:pPr>
              <w:pStyle w:val="tv2131"/>
              <w:spacing w:line="240" w:lineRule="auto"/>
              <w:ind w:left="142" w:right="143" w:firstLine="425"/>
              <w:jc w:val="both"/>
              <w:rPr>
                <w:color w:val="auto"/>
                <w:sz w:val="26"/>
                <w:szCs w:val="26"/>
              </w:rPr>
            </w:pPr>
          </w:p>
          <w:p w:rsidR="00181B45" w:rsidRPr="00E26CB0" w:rsidRDefault="00181B45" w:rsidP="0031447E">
            <w:pPr>
              <w:pStyle w:val="tv2131"/>
              <w:spacing w:line="240" w:lineRule="auto"/>
              <w:ind w:left="142" w:right="143" w:firstLine="425"/>
              <w:jc w:val="both"/>
              <w:rPr>
                <w:color w:val="auto"/>
                <w:sz w:val="26"/>
                <w:szCs w:val="26"/>
              </w:rPr>
            </w:pPr>
            <w:r w:rsidRPr="00EC6095">
              <w:rPr>
                <w:color w:val="auto"/>
                <w:sz w:val="26"/>
                <w:szCs w:val="26"/>
              </w:rPr>
              <w:t xml:space="preserve">Attiecībā uz dokumentiem, kas nodrošina VFPS dalībnieku kontu izveidi un aktualizāciju, likums šobrīd nosaka, ka šie dokumenti </w:t>
            </w:r>
            <w:r w:rsidRPr="00EC6095">
              <w:rPr>
                <w:iCs/>
                <w:color w:val="auto"/>
                <w:sz w:val="26"/>
                <w:szCs w:val="26"/>
              </w:rPr>
              <w:t>Valsts sociālās apdrošināšanas aģentūrā glabājami</w:t>
            </w:r>
            <w:r w:rsidR="006915C5" w:rsidRPr="00EC6095">
              <w:rPr>
                <w:iCs/>
                <w:color w:val="auto"/>
                <w:sz w:val="26"/>
                <w:szCs w:val="26"/>
              </w:rPr>
              <w:t>,</w:t>
            </w:r>
            <w:r w:rsidRPr="00EC6095">
              <w:rPr>
                <w:iCs/>
                <w:color w:val="auto"/>
                <w:sz w:val="26"/>
                <w:szCs w:val="26"/>
              </w:rPr>
              <w:t xml:space="preserve"> </w:t>
            </w:r>
            <w:r w:rsidR="006915C5" w:rsidRPr="00EC6095">
              <w:rPr>
                <w:iCs/>
                <w:color w:val="auto"/>
                <w:sz w:val="26"/>
                <w:szCs w:val="26"/>
              </w:rPr>
              <w:t xml:space="preserve">kamēr turpinās attiecīgās personas dalība VFPS un vēl 30 gadus pēc dalības izbeigšanas. </w:t>
            </w:r>
            <w:r w:rsidR="006915C5" w:rsidRPr="00EC6095">
              <w:rPr>
                <w:color w:val="auto"/>
                <w:sz w:val="26"/>
                <w:szCs w:val="26"/>
              </w:rPr>
              <w:t xml:space="preserve"> Lai </w:t>
            </w:r>
            <w:proofErr w:type="spellStart"/>
            <w:proofErr w:type="gramStart"/>
            <w:r w:rsidR="006915C5" w:rsidRPr="00EC6095">
              <w:rPr>
                <w:color w:val="auto"/>
                <w:sz w:val="26"/>
                <w:szCs w:val="26"/>
              </w:rPr>
              <w:t>efektivizētu</w:t>
            </w:r>
            <w:proofErr w:type="spellEnd"/>
            <w:r w:rsidR="006915C5" w:rsidRPr="00EC6095">
              <w:rPr>
                <w:color w:val="auto"/>
                <w:sz w:val="26"/>
                <w:szCs w:val="26"/>
              </w:rPr>
              <w:t xml:space="preserve"> dokumentu pārvaldību un samazinātu izmaksas</w:t>
            </w:r>
            <w:proofErr w:type="gramEnd"/>
            <w:r w:rsidR="006915C5" w:rsidRPr="00EC6095">
              <w:rPr>
                <w:color w:val="auto"/>
                <w:sz w:val="26"/>
                <w:szCs w:val="26"/>
              </w:rPr>
              <w:t xml:space="preserve">, visa informācija, kas attiecas uz VFPS dalībniekiem, tiks uzglabāta aģentūras informācijas sistēmā elektronisku datu formātā. Saskaņā ar Fizisko personu datu aizsardzības likumu, datu apstrādi (tai skaitā glabāšanu) ir jāveic tikai atbilstoši paredzētajam mērķim un tam </w:t>
            </w:r>
            <w:r w:rsidR="006915C5" w:rsidRPr="00EC6095">
              <w:rPr>
                <w:color w:val="auto"/>
                <w:sz w:val="26"/>
                <w:szCs w:val="26"/>
              </w:rPr>
              <w:lastRenderedPageBreak/>
              <w:t xml:space="preserve">nepieciešamajā apjomā.  </w:t>
            </w:r>
            <w:r w:rsidR="006915C5" w:rsidRPr="00EC6095">
              <w:rPr>
                <w:iCs/>
                <w:color w:val="auto"/>
                <w:sz w:val="26"/>
                <w:szCs w:val="26"/>
              </w:rPr>
              <w:t xml:space="preserve">Dokumentu glabāšanas termiņi turpmāk tiks </w:t>
            </w:r>
            <w:r w:rsidR="001D3745">
              <w:rPr>
                <w:iCs/>
                <w:color w:val="auto"/>
                <w:sz w:val="26"/>
                <w:szCs w:val="26"/>
              </w:rPr>
              <w:t>noteikti</w:t>
            </w:r>
            <w:r w:rsidR="006915C5" w:rsidRPr="00EC6095">
              <w:rPr>
                <w:iCs/>
                <w:color w:val="auto"/>
                <w:sz w:val="26"/>
                <w:szCs w:val="26"/>
              </w:rPr>
              <w:t xml:space="preserve"> Ministru kabineta noteikumos.</w:t>
            </w:r>
          </w:p>
          <w:p w:rsidR="00080A55" w:rsidRPr="00E26CB0" w:rsidRDefault="00080A55" w:rsidP="0031447E">
            <w:pPr>
              <w:spacing w:after="0" w:line="240" w:lineRule="auto"/>
              <w:ind w:left="142" w:right="119" w:firstLine="425"/>
              <w:jc w:val="both"/>
              <w:rPr>
                <w:rFonts w:ascii="Times New Roman" w:hAnsi="Times New Roman" w:cs="Times New Roman"/>
                <w:sz w:val="26"/>
                <w:szCs w:val="26"/>
                <w:lang w:eastAsia="lv-LV"/>
              </w:rPr>
            </w:pPr>
          </w:p>
          <w:p w:rsidR="00080A55" w:rsidRPr="00E26CB0" w:rsidRDefault="00080A55" w:rsidP="0031447E">
            <w:pPr>
              <w:spacing w:after="0" w:line="240" w:lineRule="auto"/>
              <w:ind w:left="142" w:right="119" w:firstLine="425"/>
              <w:jc w:val="both"/>
              <w:rPr>
                <w:rFonts w:ascii="Times New Roman" w:hAnsi="Times New Roman" w:cs="Times New Roman"/>
                <w:sz w:val="26"/>
                <w:szCs w:val="26"/>
              </w:rPr>
            </w:pPr>
            <w:r w:rsidRPr="00E26CB0">
              <w:rPr>
                <w:rFonts w:ascii="Times New Roman" w:hAnsi="Times New Roman" w:cs="Times New Roman"/>
                <w:sz w:val="26"/>
                <w:szCs w:val="26"/>
                <w:lang w:eastAsia="lv-LV"/>
              </w:rPr>
              <w:t xml:space="preserve">Likumprojekta mērķis ir </w:t>
            </w:r>
            <w:r w:rsidRPr="00E26CB0">
              <w:rPr>
                <w:rFonts w:ascii="Times New Roman" w:hAnsi="Times New Roman" w:cs="Times New Roman"/>
                <w:sz w:val="26"/>
                <w:szCs w:val="26"/>
              </w:rPr>
              <w:t xml:space="preserve">veicināt ieguldījumus kapitāla tirgū, pārskatīt pensiju </w:t>
            </w:r>
            <w:r w:rsidR="00AD5BB8" w:rsidRPr="00E26CB0">
              <w:rPr>
                <w:rFonts w:ascii="Times New Roman" w:hAnsi="Times New Roman" w:cs="Times New Roman"/>
                <w:sz w:val="26"/>
                <w:szCs w:val="26"/>
              </w:rPr>
              <w:t>plānu</w:t>
            </w:r>
            <w:r w:rsidRPr="00E26CB0">
              <w:rPr>
                <w:rFonts w:ascii="Times New Roman" w:hAnsi="Times New Roman" w:cs="Times New Roman"/>
                <w:sz w:val="26"/>
                <w:szCs w:val="26"/>
              </w:rPr>
              <w:t xml:space="preserve"> ieguldījumu limitus, plānu maiņas termiņus, pārvaldnieku komisijas maksas</w:t>
            </w:r>
            <w:r w:rsidRPr="00E26CB0">
              <w:rPr>
                <w:rFonts w:ascii="Times New Roman" w:hAnsi="Times New Roman" w:cs="Times New Roman"/>
                <w:sz w:val="26"/>
                <w:szCs w:val="26"/>
                <w:lang w:eastAsia="lv-LV"/>
              </w:rPr>
              <w:t xml:space="preserve">, nodrošināt statistikas datu saņemšanu no dzīvības apdrošināšanas sabiedrībām, kā arī veikt tehniskus precizējumus likumā. </w:t>
            </w:r>
          </w:p>
          <w:p w:rsidR="00080A55" w:rsidRPr="00E26CB0" w:rsidRDefault="00080A55" w:rsidP="0031447E">
            <w:pPr>
              <w:spacing w:after="0" w:line="240" w:lineRule="auto"/>
              <w:ind w:left="142" w:right="119" w:firstLine="425"/>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Likumprojekts paredz:</w:t>
            </w:r>
          </w:p>
          <w:p w:rsidR="00080A55" w:rsidRPr="00E26CB0" w:rsidRDefault="009734D0" w:rsidP="0031447E">
            <w:pPr>
              <w:pStyle w:val="ListParagraph"/>
              <w:tabs>
                <w:tab w:val="left" w:pos="0"/>
              </w:tabs>
              <w:spacing w:after="0" w:line="240" w:lineRule="auto"/>
              <w:ind w:left="142" w:right="119" w:firstLine="425"/>
              <w:jc w:val="both"/>
              <w:rPr>
                <w:rFonts w:ascii="Times New Roman" w:hAnsi="Times New Roman" w:cs="Times New Roman"/>
                <w:sz w:val="26"/>
                <w:szCs w:val="26"/>
                <w:lang w:val="lv-LV"/>
              </w:rPr>
            </w:pPr>
            <w:r>
              <w:rPr>
                <w:rFonts w:ascii="Times New Roman" w:hAnsi="Times New Roman" w:cs="Times New Roman"/>
                <w:sz w:val="26"/>
                <w:szCs w:val="26"/>
                <w:lang w:val="lv-LV"/>
              </w:rPr>
              <w:t>1</w:t>
            </w:r>
            <w:r w:rsidR="00080A55" w:rsidRPr="00E26CB0">
              <w:rPr>
                <w:rFonts w:ascii="Times New Roman" w:hAnsi="Times New Roman" w:cs="Times New Roman"/>
                <w:sz w:val="26"/>
                <w:szCs w:val="26"/>
                <w:lang w:val="lv-LV"/>
              </w:rPr>
              <w:t xml:space="preserve">) </w:t>
            </w:r>
            <w:r w:rsidR="00B62C4C">
              <w:rPr>
                <w:rFonts w:ascii="Times New Roman" w:hAnsi="Times New Roman" w:cs="Times New Roman"/>
                <w:sz w:val="26"/>
                <w:szCs w:val="26"/>
                <w:lang w:val="lv-LV"/>
              </w:rPr>
              <w:t xml:space="preserve">pārvaldīšanas maksājuma </w:t>
            </w:r>
            <w:r w:rsidR="00080A55" w:rsidRPr="00E26CB0">
              <w:rPr>
                <w:rFonts w:ascii="Times New Roman" w:hAnsi="Times New Roman" w:cs="Times New Roman"/>
                <w:sz w:val="26"/>
                <w:szCs w:val="26"/>
                <w:lang w:val="lv-LV"/>
              </w:rPr>
              <w:t xml:space="preserve">pastāvīgo daļu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 noteikt līdz 0,6 procentiem (2018.gadā – līdz 0,8 procentiem) - kopējai pārvaldītāja pārvaldīšanā esošo ieguldījumu plānu aktīvu daļai, kas </w:t>
            </w:r>
            <w:r w:rsidR="00B62C4C">
              <w:rPr>
                <w:rFonts w:ascii="Times New Roman" w:hAnsi="Times New Roman" w:cs="Times New Roman"/>
                <w:sz w:val="26"/>
                <w:szCs w:val="26"/>
                <w:lang w:val="lv-LV"/>
              </w:rPr>
              <w:t xml:space="preserve">uz kārtējā gada 1.janvāri </w:t>
            </w:r>
            <w:r w:rsidR="00080A55" w:rsidRPr="00E26CB0">
              <w:rPr>
                <w:rFonts w:ascii="Times New Roman" w:hAnsi="Times New Roman" w:cs="Times New Roman"/>
                <w:sz w:val="26"/>
                <w:szCs w:val="26"/>
                <w:lang w:val="lv-LV"/>
              </w:rPr>
              <w:t xml:space="preserve">nepārsniedz 300 miljonus </w:t>
            </w:r>
            <w:proofErr w:type="spellStart"/>
            <w:r w:rsidR="00080A55" w:rsidRPr="00E26CB0">
              <w:rPr>
                <w:rFonts w:ascii="Times New Roman" w:hAnsi="Times New Roman" w:cs="Times New Roman"/>
                <w:i/>
                <w:sz w:val="26"/>
                <w:szCs w:val="26"/>
                <w:lang w:val="lv-LV"/>
              </w:rPr>
              <w:t>euro</w:t>
            </w:r>
            <w:proofErr w:type="spellEnd"/>
            <w:r w:rsidR="00080A55" w:rsidRPr="00E26CB0">
              <w:rPr>
                <w:rFonts w:ascii="Times New Roman" w:hAnsi="Times New Roman" w:cs="Times New Roman"/>
                <w:sz w:val="26"/>
                <w:szCs w:val="26"/>
                <w:lang w:val="lv-LV"/>
              </w:rPr>
              <w:t>, un līdz 0,4 procentiem (2018.gadā – līdz 0,6 procentiem) – kopējai pārvaldītāja pārvaldīšanā esošo ieguldījumu plānu aktīvu daļai, kas</w:t>
            </w:r>
            <w:proofErr w:type="gramStart"/>
            <w:r w:rsidR="00080A55" w:rsidRPr="00E26CB0">
              <w:rPr>
                <w:rFonts w:ascii="Times New Roman" w:hAnsi="Times New Roman" w:cs="Times New Roman"/>
                <w:sz w:val="26"/>
                <w:szCs w:val="26"/>
                <w:lang w:val="lv-LV"/>
              </w:rPr>
              <w:t xml:space="preserve"> </w:t>
            </w:r>
            <w:r w:rsidR="00B62C4C">
              <w:rPr>
                <w:rFonts w:ascii="Times New Roman" w:hAnsi="Times New Roman" w:cs="Times New Roman"/>
                <w:sz w:val="26"/>
                <w:szCs w:val="26"/>
                <w:lang w:val="lv-LV"/>
              </w:rPr>
              <w:t xml:space="preserve"> </w:t>
            </w:r>
            <w:proofErr w:type="gramEnd"/>
            <w:r w:rsidR="00B62C4C">
              <w:rPr>
                <w:rFonts w:ascii="Times New Roman" w:hAnsi="Times New Roman" w:cs="Times New Roman"/>
                <w:sz w:val="26"/>
                <w:szCs w:val="26"/>
                <w:lang w:val="lv-LV"/>
              </w:rPr>
              <w:t xml:space="preserve">uz kārtējā gada 1.janvāri </w:t>
            </w:r>
            <w:r w:rsidR="00080A55" w:rsidRPr="00E26CB0">
              <w:rPr>
                <w:rFonts w:ascii="Times New Roman" w:hAnsi="Times New Roman" w:cs="Times New Roman"/>
                <w:sz w:val="26"/>
                <w:szCs w:val="26"/>
                <w:lang w:val="lv-LV"/>
              </w:rPr>
              <w:t xml:space="preserve">pārsniedz 300 miljonus </w:t>
            </w:r>
            <w:proofErr w:type="spellStart"/>
            <w:r w:rsidR="00080A55" w:rsidRPr="00E26CB0">
              <w:rPr>
                <w:rFonts w:ascii="Times New Roman" w:hAnsi="Times New Roman" w:cs="Times New Roman"/>
                <w:i/>
                <w:sz w:val="26"/>
                <w:szCs w:val="26"/>
                <w:lang w:val="lv-LV"/>
              </w:rPr>
              <w:t>euro</w:t>
            </w:r>
            <w:proofErr w:type="spellEnd"/>
            <w:r w:rsidR="00080A55" w:rsidRPr="00E26CB0">
              <w:rPr>
                <w:rFonts w:ascii="Times New Roman" w:hAnsi="Times New Roman" w:cs="Times New Roman"/>
                <w:sz w:val="26"/>
                <w:szCs w:val="26"/>
                <w:lang w:val="lv-LV"/>
              </w:rPr>
              <w:t xml:space="preserve"> (likumprojekta </w:t>
            </w:r>
            <w:r>
              <w:rPr>
                <w:rFonts w:ascii="Times New Roman" w:hAnsi="Times New Roman" w:cs="Times New Roman"/>
                <w:sz w:val="26"/>
                <w:szCs w:val="26"/>
                <w:lang w:val="lv-LV"/>
              </w:rPr>
              <w:t>3</w:t>
            </w:r>
            <w:r w:rsidR="00080A55" w:rsidRPr="00E26CB0">
              <w:rPr>
                <w:rFonts w:ascii="Times New Roman" w:hAnsi="Times New Roman" w:cs="Times New Roman"/>
                <w:sz w:val="26"/>
                <w:szCs w:val="26"/>
                <w:lang w:val="lv-LV"/>
              </w:rPr>
              <w:t xml:space="preserve">.un </w:t>
            </w:r>
            <w:r>
              <w:rPr>
                <w:rFonts w:ascii="Times New Roman" w:hAnsi="Times New Roman" w:cs="Times New Roman"/>
                <w:sz w:val="26"/>
                <w:szCs w:val="26"/>
                <w:lang w:val="lv-LV"/>
              </w:rPr>
              <w:t>6</w:t>
            </w:r>
            <w:r w:rsidR="00080A55" w:rsidRPr="00E26CB0">
              <w:rPr>
                <w:rFonts w:ascii="Times New Roman" w:hAnsi="Times New Roman" w:cs="Times New Roman"/>
                <w:sz w:val="26"/>
                <w:szCs w:val="26"/>
                <w:lang w:val="lv-LV"/>
              </w:rPr>
              <w:t>.pants);</w:t>
            </w:r>
          </w:p>
          <w:p w:rsidR="005F7391" w:rsidRPr="00E26CB0" w:rsidRDefault="009734D0" w:rsidP="00802A34">
            <w:pPr>
              <w:spacing w:after="0" w:line="240" w:lineRule="auto"/>
              <w:ind w:left="176" w:firstLine="425"/>
              <w:jc w:val="both"/>
              <w:rPr>
                <w:rFonts w:ascii="Times New Roman" w:eastAsia="Times New Roman" w:hAnsi="Times New Roman" w:cs="Times New Roman"/>
                <w:sz w:val="26"/>
                <w:szCs w:val="26"/>
                <w:lang w:eastAsia="lv-LV"/>
              </w:rPr>
            </w:pPr>
            <w:r>
              <w:rPr>
                <w:rFonts w:ascii="Times New Roman" w:hAnsi="Times New Roman" w:cs="Times New Roman"/>
                <w:sz w:val="26"/>
                <w:szCs w:val="26"/>
              </w:rPr>
              <w:t>2</w:t>
            </w:r>
            <w:r w:rsidR="005F7391" w:rsidRPr="00E26CB0">
              <w:rPr>
                <w:rFonts w:ascii="Times New Roman" w:hAnsi="Times New Roman" w:cs="Times New Roman"/>
                <w:sz w:val="26"/>
                <w:szCs w:val="26"/>
              </w:rPr>
              <w:t xml:space="preserve">) </w:t>
            </w:r>
            <w:r w:rsidR="00B62C4C">
              <w:rPr>
                <w:rFonts w:ascii="Times New Roman" w:hAnsi="Times New Roman" w:cs="Times New Roman"/>
                <w:sz w:val="26"/>
                <w:szCs w:val="26"/>
              </w:rPr>
              <w:t xml:space="preserve">pārvaldīšanas maksājuma </w:t>
            </w:r>
            <w:r w:rsidR="00B62C4C">
              <w:rPr>
                <w:rFonts w:ascii="Times New Roman" w:eastAsia="Times New Roman" w:hAnsi="Times New Roman" w:cs="Times New Roman"/>
                <w:sz w:val="26"/>
                <w:szCs w:val="26"/>
                <w:lang w:eastAsia="lv-LV"/>
              </w:rPr>
              <w:t>mainīgo</w:t>
            </w:r>
            <w:r w:rsidR="005F7391" w:rsidRPr="00E26CB0">
              <w:rPr>
                <w:rFonts w:ascii="Times New Roman" w:eastAsia="Times New Roman" w:hAnsi="Times New Roman" w:cs="Times New Roman"/>
                <w:sz w:val="26"/>
                <w:szCs w:val="26"/>
                <w:lang w:eastAsia="lv-LV"/>
              </w:rPr>
              <w:t xml:space="preserve"> daļ</w:t>
            </w:r>
            <w:r w:rsidR="00802A34" w:rsidRPr="00E26CB0">
              <w:rPr>
                <w:rFonts w:ascii="Times New Roman" w:eastAsia="Times New Roman" w:hAnsi="Times New Roman" w:cs="Times New Roman"/>
                <w:sz w:val="26"/>
                <w:szCs w:val="26"/>
                <w:lang w:eastAsia="lv-LV"/>
              </w:rPr>
              <w:t>u</w:t>
            </w:r>
            <w:r w:rsidR="005F7391" w:rsidRPr="00E26CB0">
              <w:rPr>
                <w:rFonts w:ascii="Times New Roman" w:eastAsia="Times New Roman" w:hAnsi="Times New Roman" w:cs="Times New Roman"/>
                <w:sz w:val="26"/>
                <w:szCs w:val="26"/>
                <w:lang w:eastAsia="lv-LV"/>
              </w:rPr>
              <w:t xml:space="preserve">, kas ir atlīdzība fondēto pensiju shēmas līdzekļu pārvaldītājam par ieguldījumu plāna darbības rezultātu, </w:t>
            </w:r>
            <w:r w:rsidR="00802A34" w:rsidRPr="00E26CB0">
              <w:rPr>
                <w:rFonts w:ascii="Times New Roman" w:eastAsia="Times New Roman" w:hAnsi="Times New Roman" w:cs="Times New Roman"/>
                <w:sz w:val="26"/>
                <w:szCs w:val="26"/>
                <w:lang w:eastAsia="lv-LV"/>
              </w:rPr>
              <w:t xml:space="preserve">aprēķināt </w:t>
            </w:r>
            <w:r w:rsidR="005F7391" w:rsidRPr="00E26CB0">
              <w:rPr>
                <w:rFonts w:ascii="Times New Roman" w:eastAsia="Times New Roman" w:hAnsi="Times New Roman" w:cs="Times New Roman"/>
                <w:sz w:val="26"/>
                <w:szCs w:val="26"/>
                <w:lang w:eastAsia="lv-LV"/>
              </w:rPr>
              <w:t>atkarī</w:t>
            </w:r>
            <w:r w:rsidR="00802A34" w:rsidRPr="00E26CB0">
              <w:rPr>
                <w:rFonts w:ascii="Times New Roman" w:eastAsia="Times New Roman" w:hAnsi="Times New Roman" w:cs="Times New Roman"/>
                <w:sz w:val="26"/>
                <w:szCs w:val="26"/>
                <w:lang w:eastAsia="lv-LV"/>
              </w:rPr>
              <w:t>bā</w:t>
            </w:r>
            <w:r w:rsidR="005F7391" w:rsidRPr="00E26CB0">
              <w:rPr>
                <w:rFonts w:ascii="Times New Roman" w:eastAsia="Times New Roman" w:hAnsi="Times New Roman" w:cs="Times New Roman"/>
                <w:sz w:val="26"/>
                <w:szCs w:val="26"/>
                <w:lang w:eastAsia="lv-LV"/>
              </w:rPr>
              <w:t xml:space="preserve"> no pensiju plāna ienesīguma pārsnieguma virs etalona, kas tiek noteikts kā obligāciju un akciju tirgus indeksu kombinācija, atkarībā no ieguldījumu plānu stratēģijas</w:t>
            </w:r>
            <w:r w:rsidR="00802A34" w:rsidRPr="00E26CB0">
              <w:rPr>
                <w:rFonts w:ascii="Times New Roman" w:eastAsia="Times New Roman" w:hAnsi="Times New Roman" w:cs="Times New Roman"/>
                <w:sz w:val="26"/>
                <w:szCs w:val="26"/>
                <w:lang w:eastAsia="lv-LV"/>
              </w:rPr>
              <w:t xml:space="preserve"> (likumprojekta </w:t>
            </w:r>
            <w:r>
              <w:rPr>
                <w:rFonts w:ascii="Times New Roman" w:eastAsia="Times New Roman" w:hAnsi="Times New Roman" w:cs="Times New Roman"/>
                <w:sz w:val="26"/>
                <w:szCs w:val="26"/>
                <w:lang w:eastAsia="lv-LV"/>
              </w:rPr>
              <w:t>3</w:t>
            </w:r>
            <w:r w:rsidR="00802A34" w:rsidRPr="00E26CB0">
              <w:rPr>
                <w:rFonts w:ascii="Times New Roman" w:eastAsia="Times New Roman" w:hAnsi="Times New Roman" w:cs="Times New Roman"/>
                <w:sz w:val="26"/>
                <w:szCs w:val="26"/>
                <w:lang w:eastAsia="lv-LV"/>
              </w:rPr>
              <w:t>.pants</w:t>
            </w:r>
            <w:r w:rsidR="001A4F52" w:rsidRPr="00E26CB0">
              <w:rPr>
                <w:rFonts w:ascii="Times New Roman" w:eastAsia="Times New Roman" w:hAnsi="Times New Roman" w:cs="Times New Roman"/>
                <w:sz w:val="26"/>
                <w:szCs w:val="26"/>
                <w:lang w:eastAsia="lv-LV"/>
              </w:rPr>
              <w:t>)</w:t>
            </w:r>
            <w:r w:rsidR="00802A34" w:rsidRPr="00E26CB0">
              <w:rPr>
                <w:rFonts w:ascii="Times New Roman" w:eastAsia="Times New Roman" w:hAnsi="Times New Roman" w:cs="Times New Roman"/>
                <w:sz w:val="26"/>
                <w:szCs w:val="26"/>
                <w:lang w:eastAsia="lv-LV"/>
              </w:rPr>
              <w:t>;</w:t>
            </w:r>
          </w:p>
          <w:p w:rsidR="00080A55" w:rsidRPr="00E26CB0" w:rsidRDefault="009734D0" w:rsidP="0031447E">
            <w:pPr>
              <w:pStyle w:val="tv213"/>
              <w:spacing w:before="0" w:beforeAutospacing="0" w:after="0" w:afterAutospacing="0"/>
              <w:ind w:left="142" w:right="119" w:firstLine="425"/>
              <w:jc w:val="both"/>
              <w:rPr>
                <w:sz w:val="26"/>
                <w:szCs w:val="26"/>
              </w:rPr>
            </w:pPr>
            <w:r>
              <w:rPr>
                <w:sz w:val="26"/>
                <w:szCs w:val="26"/>
              </w:rPr>
              <w:t>3</w:t>
            </w:r>
            <w:r w:rsidR="00080A55" w:rsidRPr="00E26CB0">
              <w:rPr>
                <w:sz w:val="26"/>
                <w:szCs w:val="26"/>
              </w:rPr>
              <w:t>) noteikt</w:t>
            </w:r>
            <w:proofErr w:type="gramStart"/>
            <w:r w:rsidR="00080A55" w:rsidRPr="00E26CB0">
              <w:rPr>
                <w:sz w:val="26"/>
                <w:szCs w:val="26"/>
              </w:rPr>
              <w:t xml:space="preserve"> </w:t>
            </w:r>
            <w:r w:rsidR="00B62C4C">
              <w:rPr>
                <w:sz w:val="26"/>
                <w:szCs w:val="26"/>
              </w:rPr>
              <w:t xml:space="preserve"> </w:t>
            </w:r>
            <w:proofErr w:type="gramEnd"/>
            <w:r w:rsidR="00B62C4C">
              <w:rPr>
                <w:sz w:val="26"/>
                <w:szCs w:val="26"/>
              </w:rPr>
              <w:t xml:space="preserve">pārvaldīšanas maksājuma </w:t>
            </w:r>
            <w:r w:rsidR="00080A55" w:rsidRPr="00E26CB0">
              <w:rPr>
                <w:sz w:val="26"/>
                <w:szCs w:val="26"/>
              </w:rPr>
              <w:t xml:space="preserve">maksimālo apmēru (ietverot pastāvīgo un mainīgo daļu) - </w:t>
            </w:r>
            <w:r w:rsidR="00080A55" w:rsidRPr="00E26CB0">
              <w:rPr>
                <w:color w:val="414142"/>
                <w:sz w:val="26"/>
                <w:szCs w:val="26"/>
              </w:rPr>
              <w:t xml:space="preserve">0,85 procentus (2018.gadā – 1,05 procentus) no ieguldījumu plāna aktīvu vidējās vērtības konservatīvajiem plāniem un 1,1 procentus (2018.gadā – 1,3 procentus) no ieguldījumu plāna aktīvu vidējās vērtības aktīvajiem un </w:t>
            </w:r>
            <w:r w:rsidR="00080A55" w:rsidRPr="00E26CB0">
              <w:rPr>
                <w:sz w:val="26"/>
                <w:szCs w:val="26"/>
              </w:rPr>
              <w:t xml:space="preserve">sabalansētajiem </w:t>
            </w:r>
            <w:r w:rsidR="00080A55" w:rsidRPr="00E26CB0">
              <w:rPr>
                <w:color w:val="414142"/>
                <w:sz w:val="26"/>
                <w:szCs w:val="26"/>
              </w:rPr>
              <w:t xml:space="preserve">plāniem </w:t>
            </w:r>
            <w:r w:rsidR="00080A55" w:rsidRPr="00E26CB0">
              <w:rPr>
                <w:sz w:val="26"/>
                <w:szCs w:val="26"/>
              </w:rPr>
              <w:t xml:space="preserve">(likumprojekta </w:t>
            </w:r>
            <w:r>
              <w:rPr>
                <w:sz w:val="26"/>
                <w:szCs w:val="26"/>
              </w:rPr>
              <w:t>3</w:t>
            </w:r>
            <w:r w:rsidR="00080A55" w:rsidRPr="00E26CB0">
              <w:rPr>
                <w:sz w:val="26"/>
                <w:szCs w:val="26"/>
              </w:rPr>
              <w:t>.</w:t>
            </w:r>
            <w:r>
              <w:rPr>
                <w:sz w:val="26"/>
                <w:szCs w:val="26"/>
              </w:rPr>
              <w:t xml:space="preserve"> </w:t>
            </w:r>
            <w:r w:rsidR="00080A55" w:rsidRPr="00E26CB0">
              <w:rPr>
                <w:sz w:val="26"/>
                <w:szCs w:val="26"/>
              </w:rPr>
              <w:t xml:space="preserve">un </w:t>
            </w:r>
            <w:r>
              <w:rPr>
                <w:sz w:val="26"/>
                <w:szCs w:val="26"/>
              </w:rPr>
              <w:t>6</w:t>
            </w:r>
            <w:r w:rsidR="00080A55" w:rsidRPr="00E26CB0">
              <w:rPr>
                <w:sz w:val="26"/>
                <w:szCs w:val="26"/>
              </w:rPr>
              <w:t>.pants);</w:t>
            </w:r>
          </w:p>
          <w:p w:rsidR="00080A55" w:rsidRPr="00E26CB0" w:rsidRDefault="009734D0" w:rsidP="0031447E">
            <w:pPr>
              <w:pStyle w:val="tv213"/>
              <w:spacing w:before="0" w:beforeAutospacing="0" w:after="0" w:afterAutospacing="0"/>
              <w:ind w:left="142" w:right="119" w:firstLine="425"/>
              <w:jc w:val="both"/>
              <w:rPr>
                <w:sz w:val="26"/>
                <w:szCs w:val="26"/>
              </w:rPr>
            </w:pPr>
            <w:r>
              <w:rPr>
                <w:color w:val="414142"/>
                <w:sz w:val="26"/>
                <w:szCs w:val="26"/>
              </w:rPr>
              <w:t>4</w:t>
            </w:r>
            <w:r w:rsidR="00080A55" w:rsidRPr="00E26CB0">
              <w:rPr>
                <w:color w:val="414142"/>
                <w:sz w:val="26"/>
                <w:szCs w:val="26"/>
              </w:rPr>
              <w:t xml:space="preserve">) </w:t>
            </w:r>
            <w:r w:rsidR="00080A55" w:rsidRPr="00E26CB0">
              <w:rPr>
                <w:sz w:val="26"/>
                <w:szCs w:val="26"/>
              </w:rPr>
              <w:t xml:space="preserve">palielināt akciju īpatsvaru ieguldījumos līdz </w:t>
            </w:r>
            <w:r w:rsidR="00080A55" w:rsidRPr="00E26CB0">
              <w:rPr>
                <w:sz w:val="26"/>
                <w:szCs w:val="26"/>
              </w:rPr>
              <w:lastRenderedPageBreak/>
              <w:t xml:space="preserve">75 procentiem (likumprojekta </w:t>
            </w:r>
            <w:r>
              <w:rPr>
                <w:sz w:val="26"/>
                <w:szCs w:val="26"/>
              </w:rPr>
              <w:t>4</w:t>
            </w:r>
            <w:r w:rsidR="00080A55" w:rsidRPr="00E26CB0">
              <w:rPr>
                <w:sz w:val="26"/>
                <w:szCs w:val="26"/>
              </w:rPr>
              <w:t>.</w:t>
            </w:r>
            <w:r>
              <w:rPr>
                <w:sz w:val="26"/>
                <w:szCs w:val="26"/>
              </w:rPr>
              <w:t xml:space="preserve"> </w:t>
            </w:r>
            <w:r w:rsidR="00080A55" w:rsidRPr="00E26CB0">
              <w:rPr>
                <w:sz w:val="26"/>
                <w:szCs w:val="26"/>
              </w:rPr>
              <w:t xml:space="preserve">un </w:t>
            </w:r>
            <w:r>
              <w:rPr>
                <w:sz w:val="26"/>
                <w:szCs w:val="26"/>
              </w:rPr>
              <w:t>6</w:t>
            </w:r>
            <w:r w:rsidR="00080A55" w:rsidRPr="00E26CB0">
              <w:rPr>
                <w:sz w:val="26"/>
                <w:szCs w:val="26"/>
              </w:rPr>
              <w:t>.pants);</w:t>
            </w:r>
          </w:p>
          <w:p w:rsidR="00080A55" w:rsidRPr="00E26CB0" w:rsidRDefault="009734D0" w:rsidP="0031447E">
            <w:pPr>
              <w:pStyle w:val="tv213"/>
              <w:spacing w:before="0" w:beforeAutospacing="0" w:after="0" w:afterAutospacing="0"/>
              <w:ind w:left="142" w:right="119" w:firstLine="425"/>
              <w:jc w:val="both"/>
              <w:rPr>
                <w:sz w:val="26"/>
                <w:szCs w:val="26"/>
              </w:rPr>
            </w:pPr>
            <w:r>
              <w:rPr>
                <w:sz w:val="26"/>
                <w:szCs w:val="26"/>
              </w:rPr>
              <w:t>5</w:t>
            </w:r>
            <w:r w:rsidR="00080A55" w:rsidRPr="00E26CB0">
              <w:rPr>
                <w:sz w:val="26"/>
                <w:szCs w:val="26"/>
              </w:rPr>
              <w:t xml:space="preserve">) palielināt kopējo limitu ieguldījumiem alternatīvajos ieguldījumu fondos līdz 15 procentiem (likumprojekta </w:t>
            </w:r>
            <w:r>
              <w:rPr>
                <w:sz w:val="26"/>
                <w:szCs w:val="26"/>
              </w:rPr>
              <w:t>4</w:t>
            </w:r>
            <w:r w:rsidR="00080A55" w:rsidRPr="00E26CB0">
              <w:rPr>
                <w:sz w:val="26"/>
                <w:szCs w:val="26"/>
              </w:rPr>
              <w:t>.</w:t>
            </w:r>
            <w:r>
              <w:rPr>
                <w:sz w:val="26"/>
                <w:szCs w:val="26"/>
              </w:rPr>
              <w:t xml:space="preserve"> </w:t>
            </w:r>
            <w:r w:rsidR="00080A55" w:rsidRPr="00E26CB0">
              <w:rPr>
                <w:sz w:val="26"/>
                <w:szCs w:val="26"/>
              </w:rPr>
              <w:t>pants);</w:t>
            </w:r>
          </w:p>
          <w:p w:rsidR="00080A55" w:rsidRPr="00E26CB0" w:rsidRDefault="009734D0" w:rsidP="0031447E">
            <w:pPr>
              <w:pStyle w:val="tv213"/>
              <w:spacing w:before="0" w:beforeAutospacing="0" w:after="0" w:afterAutospacing="0"/>
              <w:ind w:left="142" w:right="119" w:firstLine="425"/>
              <w:jc w:val="both"/>
              <w:rPr>
                <w:sz w:val="26"/>
                <w:szCs w:val="26"/>
              </w:rPr>
            </w:pPr>
            <w:r>
              <w:rPr>
                <w:sz w:val="26"/>
                <w:szCs w:val="26"/>
              </w:rPr>
              <w:t>6</w:t>
            </w:r>
            <w:r w:rsidR="00080A55" w:rsidRPr="00E26CB0">
              <w:rPr>
                <w:sz w:val="26"/>
                <w:szCs w:val="26"/>
              </w:rPr>
              <w:t xml:space="preserve">) veikt ieguldījumus arī tādu valdību obligācijās, kas nav ES, EEZ, vai OECD dalībvalsts un kas nav iekļautas Latvijas vai dalībvalsts biržā, bet kuru prospektā ir noteikts, ka obligācijas šādā biržā tiks iekļautas 12 mēnešu laikā (likumprojekta </w:t>
            </w:r>
            <w:r>
              <w:rPr>
                <w:sz w:val="26"/>
                <w:szCs w:val="26"/>
              </w:rPr>
              <w:t>4</w:t>
            </w:r>
            <w:r w:rsidR="00080A55" w:rsidRPr="00E26CB0">
              <w:rPr>
                <w:sz w:val="26"/>
                <w:szCs w:val="26"/>
              </w:rPr>
              <w:t>.pants);</w:t>
            </w:r>
          </w:p>
          <w:p w:rsidR="00080A55" w:rsidRPr="00E26CB0" w:rsidRDefault="009734D0" w:rsidP="0031447E">
            <w:pPr>
              <w:pStyle w:val="tv213"/>
              <w:spacing w:before="0" w:beforeAutospacing="0" w:after="0" w:afterAutospacing="0"/>
              <w:ind w:left="142" w:right="119" w:firstLine="425"/>
              <w:jc w:val="both"/>
              <w:rPr>
                <w:sz w:val="26"/>
                <w:szCs w:val="26"/>
              </w:rPr>
            </w:pPr>
            <w:r>
              <w:rPr>
                <w:sz w:val="26"/>
                <w:szCs w:val="26"/>
              </w:rPr>
              <w:t>7</w:t>
            </w:r>
            <w:r w:rsidR="00080A55" w:rsidRPr="00E26CB0">
              <w:rPr>
                <w:sz w:val="26"/>
                <w:szCs w:val="26"/>
              </w:rPr>
              <w:t xml:space="preserve">) mainīt atklātās valūtas pozīcijas noteikšanas aprēķinu, ņemot vērā arī atvasināto finanšu instrumentu darījumus, kas mazina valūtu svārstību risku, ievērojot ierobežojumus atklātās valūtas pozīcijai gan vienā valūtā, gan kopumā visās valūtās (likumprojekta </w:t>
            </w:r>
            <w:r>
              <w:rPr>
                <w:sz w:val="26"/>
                <w:szCs w:val="26"/>
              </w:rPr>
              <w:t>4</w:t>
            </w:r>
            <w:r w:rsidR="00080A55" w:rsidRPr="00E26CB0">
              <w:rPr>
                <w:sz w:val="26"/>
                <w:szCs w:val="26"/>
              </w:rPr>
              <w:t>.pants)</w:t>
            </w:r>
            <w:r w:rsidR="005C3D8D" w:rsidRPr="00E26CB0">
              <w:rPr>
                <w:sz w:val="26"/>
                <w:szCs w:val="26"/>
              </w:rPr>
              <w:t>;</w:t>
            </w:r>
          </w:p>
          <w:p w:rsidR="005C3D8D" w:rsidRPr="00DA6DE5" w:rsidRDefault="009734D0" w:rsidP="0031447E">
            <w:pPr>
              <w:pStyle w:val="tv213"/>
              <w:spacing w:before="0" w:beforeAutospacing="0" w:after="0" w:afterAutospacing="0"/>
              <w:ind w:left="142" w:right="119" w:firstLine="425"/>
              <w:jc w:val="both"/>
              <w:rPr>
                <w:sz w:val="26"/>
                <w:szCs w:val="26"/>
              </w:rPr>
            </w:pPr>
            <w:r>
              <w:rPr>
                <w:sz w:val="26"/>
                <w:szCs w:val="26"/>
              </w:rPr>
              <w:t>8</w:t>
            </w:r>
            <w:r w:rsidR="005C3D8D" w:rsidRPr="00E26CB0">
              <w:rPr>
                <w:sz w:val="26"/>
                <w:szCs w:val="26"/>
              </w:rPr>
              <w:t xml:space="preserve">) </w:t>
            </w:r>
            <w:r w:rsidR="005C3D8D" w:rsidRPr="00DA6DE5">
              <w:rPr>
                <w:sz w:val="26"/>
                <w:szCs w:val="26"/>
              </w:rPr>
              <w:t xml:space="preserve">aizliegt VFPS ieguldījumu plāna līdzekļus ieguldīt virtuālajās valūtās un tādos alternatīvo ieguldījumu fondos, kuru darbības noteikumi paredz vairāk nekā 10% no fonda neto aktīviem ieguldīt virtuālajās valūtās (likumprojekta </w:t>
            </w:r>
            <w:r>
              <w:rPr>
                <w:sz w:val="26"/>
                <w:szCs w:val="26"/>
              </w:rPr>
              <w:t>5</w:t>
            </w:r>
            <w:r w:rsidR="001A4F52" w:rsidRPr="00DA6DE5">
              <w:rPr>
                <w:sz w:val="26"/>
                <w:szCs w:val="26"/>
              </w:rPr>
              <w:t>.</w:t>
            </w:r>
            <w:r w:rsidR="005C3D8D" w:rsidRPr="00DA6DE5">
              <w:rPr>
                <w:sz w:val="26"/>
                <w:szCs w:val="26"/>
              </w:rPr>
              <w:t>pants);</w:t>
            </w:r>
          </w:p>
          <w:p w:rsidR="006864DA" w:rsidRPr="00E26CB0" w:rsidRDefault="009734D0" w:rsidP="00283CF8">
            <w:pPr>
              <w:pStyle w:val="tv213"/>
              <w:spacing w:before="0" w:beforeAutospacing="0" w:after="0" w:afterAutospacing="0"/>
              <w:ind w:left="142" w:right="119" w:firstLine="425"/>
              <w:jc w:val="both"/>
              <w:rPr>
                <w:sz w:val="26"/>
                <w:szCs w:val="26"/>
              </w:rPr>
            </w:pPr>
            <w:r>
              <w:rPr>
                <w:sz w:val="26"/>
                <w:szCs w:val="26"/>
              </w:rPr>
              <w:t>9</w:t>
            </w:r>
            <w:r w:rsidR="006E240D" w:rsidRPr="00DA6DE5">
              <w:rPr>
                <w:sz w:val="26"/>
                <w:szCs w:val="26"/>
              </w:rPr>
              <w:t xml:space="preserve">) </w:t>
            </w:r>
            <w:r w:rsidR="00C23EF1" w:rsidRPr="00DA6DE5">
              <w:rPr>
                <w:sz w:val="26"/>
                <w:szCs w:val="26"/>
              </w:rPr>
              <w:t xml:space="preserve">Finanšu </w:t>
            </w:r>
            <w:r w:rsidR="00CE15E0" w:rsidRPr="00DA6DE5">
              <w:rPr>
                <w:sz w:val="26"/>
                <w:szCs w:val="26"/>
              </w:rPr>
              <w:t xml:space="preserve">un </w:t>
            </w:r>
            <w:r w:rsidR="00C23EF1" w:rsidRPr="00DA6DE5">
              <w:rPr>
                <w:sz w:val="26"/>
                <w:szCs w:val="26"/>
              </w:rPr>
              <w:t>kapitāla tirgus komisija ir tiesīga pieprasīt, lai līdzekļu pārvaldītājs maina līdzekļu turētāju, ja VFPS līdzekļu turētājs pārkāpj normatīvo aktu prasības vai VFPS līdzekļu ieguldījumu plāna prospekta noteikumus vai arī līdzekļu turētāja finansiālā stabilitāte vai maksātspēja rada riskus VFPS darbības nepārtrauktības nodrošināšanā</w:t>
            </w:r>
            <w:r w:rsidR="00283CF8" w:rsidRPr="00DA6DE5">
              <w:rPr>
                <w:sz w:val="26"/>
                <w:szCs w:val="26"/>
              </w:rPr>
              <w:t>. Finanšu</w:t>
            </w:r>
            <w:r w:rsidR="00CE15E0" w:rsidRPr="00DA6DE5">
              <w:rPr>
                <w:sz w:val="26"/>
                <w:szCs w:val="26"/>
              </w:rPr>
              <w:t xml:space="preserve"> un</w:t>
            </w:r>
            <w:r w:rsidR="00283CF8" w:rsidRPr="00DA6DE5">
              <w:rPr>
                <w:sz w:val="26"/>
                <w:szCs w:val="26"/>
              </w:rPr>
              <w:t xml:space="preserve"> kapitāla</w:t>
            </w:r>
            <w:proofErr w:type="gramStart"/>
            <w:r w:rsidR="00283CF8" w:rsidRPr="00DA6DE5">
              <w:rPr>
                <w:sz w:val="26"/>
                <w:szCs w:val="26"/>
              </w:rPr>
              <w:t xml:space="preserve">  </w:t>
            </w:r>
            <w:proofErr w:type="gramEnd"/>
            <w:r w:rsidR="00283CF8" w:rsidRPr="00DA6DE5">
              <w:rPr>
                <w:sz w:val="26"/>
                <w:szCs w:val="26"/>
              </w:rPr>
              <w:t xml:space="preserve">tirgus komisijai ir tiesības uzlikt soda naudu VFPS līdzekļu pārvaldītājam vai līdzekļu turētājam (likumprojekta </w:t>
            </w:r>
            <w:r>
              <w:rPr>
                <w:sz w:val="26"/>
                <w:szCs w:val="26"/>
              </w:rPr>
              <w:t>5</w:t>
            </w:r>
            <w:r w:rsidR="001A4F52" w:rsidRPr="00DA6DE5">
              <w:rPr>
                <w:sz w:val="26"/>
                <w:szCs w:val="26"/>
              </w:rPr>
              <w:t>.</w:t>
            </w:r>
            <w:r w:rsidR="00283CF8" w:rsidRPr="00DA6DE5">
              <w:rPr>
                <w:sz w:val="26"/>
                <w:szCs w:val="26"/>
              </w:rPr>
              <w:t>pants);</w:t>
            </w:r>
          </w:p>
          <w:p w:rsidR="00080A55" w:rsidRPr="00EC6095" w:rsidRDefault="00080A55" w:rsidP="009734D0">
            <w:pPr>
              <w:spacing w:after="0" w:line="240" w:lineRule="auto"/>
              <w:ind w:left="142" w:right="143" w:firstLine="425"/>
              <w:jc w:val="both"/>
              <w:rPr>
                <w:rFonts w:ascii="Times New Roman" w:eastAsia="Times New Roman" w:hAnsi="Times New Roman" w:cs="Times New Roman"/>
                <w:bCs/>
                <w:sz w:val="24"/>
                <w:szCs w:val="24"/>
              </w:rPr>
            </w:pPr>
            <w:r w:rsidRPr="00EC6095">
              <w:rPr>
                <w:rFonts w:ascii="Times New Roman" w:eastAsia="Times New Roman" w:hAnsi="Times New Roman" w:cs="Times New Roman"/>
                <w:bCs/>
                <w:sz w:val="26"/>
                <w:szCs w:val="26"/>
              </w:rPr>
              <w:t>Likumu harmonizēšanas ietvaros veikti tehniski grozījumi likuma 4.pantā (likumprojekta 1.pants)</w:t>
            </w:r>
            <w:r w:rsidR="00DA6DE5" w:rsidRPr="00EC6095">
              <w:rPr>
                <w:rFonts w:ascii="Times New Roman" w:eastAsia="Times New Roman" w:hAnsi="Times New Roman" w:cs="Times New Roman"/>
                <w:bCs/>
                <w:sz w:val="26"/>
                <w:szCs w:val="26"/>
              </w:rPr>
              <w:t xml:space="preserve"> un </w:t>
            </w:r>
            <w:r w:rsidR="00EC6095" w:rsidRPr="00EC6095">
              <w:rPr>
                <w:rFonts w:ascii="Times New Roman" w:hAnsi="Times New Roman" w:cs="Times New Roman"/>
                <w:sz w:val="26"/>
                <w:szCs w:val="26"/>
              </w:rPr>
              <w:t xml:space="preserve">dokumentu par VFPS dalībnieku kontu izveidi un aktualizāciju glabāšanu (likumprojekta </w:t>
            </w:r>
            <w:r w:rsidR="009734D0">
              <w:rPr>
                <w:rFonts w:ascii="Times New Roman" w:hAnsi="Times New Roman" w:cs="Times New Roman"/>
                <w:sz w:val="26"/>
                <w:szCs w:val="26"/>
              </w:rPr>
              <w:t>2</w:t>
            </w:r>
            <w:r w:rsidR="00EC6095" w:rsidRPr="00EC6095">
              <w:rPr>
                <w:rFonts w:ascii="Times New Roman" w:hAnsi="Times New Roman" w:cs="Times New Roman"/>
                <w:sz w:val="26"/>
                <w:szCs w:val="26"/>
              </w:rPr>
              <w:t>.pants)</w:t>
            </w:r>
            <w:r w:rsidRPr="00EC6095">
              <w:rPr>
                <w:rFonts w:ascii="Times New Roman" w:eastAsia="Times New Roman" w:hAnsi="Times New Roman" w:cs="Times New Roman"/>
                <w:bCs/>
                <w:sz w:val="26"/>
                <w:szCs w:val="26"/>
              </w:rPr>
              <w:t>.</w:t>
            </w:r>
          </w:p>
        </w:tc>
      </w:tr>
      <w:tr w:rsidR="00080A55" w:rsidRPr="00D34A88" w:rsidTr="0031447E">
        <w:trPr>
          <w:trHeight w:val="2"/>
        </w:trPr>
        <w:tc>
          <w:tcPr>
            <w:tcW w:w="227" w:type="pct"/>
          </w:tcPr>
          <w:p w:rsidR="00080A55" w:rsidRPr="00D34A88" w:rsidRDefault="00080A55" w:rsidP="0031447E">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lastRenderedPageBreak/>
              <w:t>3.</w:t>
            </w:r>
          </w:p>
        </w:tc>
        <w:tc>
          <w:tcPr>
            <w:tcW w:w="1640" w:type="pct"/>
          </w:tcPr>
          <w:p w:rsidR="00080A55" w:rsidRPr="00D34A88" w:rsidRDefault="00080A55" w:rsidP="0031447E">
            <w:pPr>
              <w:spacing w:after="0" w:line="240" w:lineRule="auto"/>
              <w:ind w:left="140" w:right="188"/>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Projekta izstrādē iesaistītās institūcijas</w:t>
            </w:r>
          </w:p>
        </w:tc>
        <w:tc>
          <w:tcPr>
            <w:tcW w:w="3133" w:type="pct"/>
          </w:tcPr>
          <w:p w:rsidR="00080A55" w:rsidRPr="00E26CB0" w:rsidRDefault="00080A55" w:rsidP="00F32074">
            <w:pPr>
              <w:spacing w:before="100" w:beforeAutospacing="1" w:after="100" w:afterAutospacing="1" w:line="240" w:lineRule="auto"/>
              <w:ind w:left="96" w:right="120" w:firstLine="543"/>
              <w:jc w:val="both"/>
              <w:rPr>
                <w:rFonts w:ascii="Times New Roman" w:eastAsia="Times New Roman" w:hAnsi="Times New Roman" w:cs="Times New Roman"/>
                <w:sz w:val="26"/>
                <w:szCs w:val="26"/>
                <w:lang w:eastAsia="lv-LV"/>
              </w:rPr>
            </w:pPr>
            <w:r w:rsidRPr="00E26CB0">
              <w:rPr>
                <w:rFonts w:ascii="Times New Roman" w:hAnsi="Times New Roman" w:cs="Times New Roman"/>
                <w:iCs/>
                <w:sz w:val="26"/>
                <w:szCs w:val="26"/>
                <w:lang w:eastAsia="lv-LV"/>
              </w:rPr>
              <w:t xml:space="preserve">Likumprojekta izstrādes nodrošināšanai ar labklājības ministra </w:t>
            </w:r>
            <w:r w:rsidRPr="00E26CB0">
              <w:rPr>
                <w:rFonts w:ascii="Times New Roman" w:hAnsi="Times New Roman" w:cs="Times New Roman"/>
                <w:sz w:val="26"/>
                <w:szCs w:val="26"/>
              </w:rPr>
              <w:t xml:space="preserve">2017.gada 28.marta </w:t>
            </w:r>
            <w:r w:rsidR="00A44984" w:rsidRPr="00E26CB0">
              <w:rPr>
                <w:rFonts w:ascii="Times New Roman" w:hAnsi="Times New Roman" w:cs="Times New Roman"/>
                <w:sz w:val="26"/>
                <w:szCs w:val="26"/>
              </w:rPr>
              <w:t xml:space="preserve">rīkojumu Nr.35 </w:t>
            </w:r>
            <w:r w:rsidRPr="00E26CB0">
              <w:rPr>
                <w:rFonts w:ascii="Times New Roman" w:hAnsi="Times New Roman" w:cs="Times New Roman"/>
                <w:iCs/>
                <w:sz w:val="26"/>
                <w:szCs w:val="26"/>
                <w:lang w:eastAsia="lv-LV"/>
              </w:rPr>
              <w:t>tika izveidota darba grupa, kur tika iekļauti pārstāvji no Labklājības ministrijas, Finanšu ministrijas, Ekonomikas ministrijas, Latvijas Komercbanku asociācijas, Finanšu un kapitāla tirgus komisijas, Valsts sociālās apdrošināšanas aģentūras un Latvijas Bankas.</w:t>
            </w:r>
          </w:p>
        </w:tc>
      </w:tr>
      <w:tr w:rsidR="00080A55" w:rsidRPr="00D34A88" w:rsidTr="0031447E">
        <w:trPr>
          <w:trHeight w:val="6"/>
        </w:trPr>
        <w:tc>
          <w:tcPr>
            <w:tcW w:w="227" w:type="pct"/>
          </w:tcPr>
          <w:p w:rsidR="00080A55" w:rsidRPr="00D34A88" w:rsidRDefault="00080A55" w:rsidP="0031447E">
            <w:pPr>
              <w:spacing w:after="0" w:line="240" w:lineRule="auto"/>
              <w:ind w:right="-1"/>
              <w:jc w:val="center"/>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4.</w:t>
            </w:r>
          </w:p>
        </w:tc>
        <w:tc>
          <w:tcPr>
            <w:tcW w:w="1640" w:type="pct"/>
          </w:tcPr>
          <w:p w:rsidR="00080A55" w:rsidRPr="00D34A88" w:rsidRDefault="00080A55" w:rsidP="0031447E">
            <w:pPr>
              <w:spacing w:after="0" w:line="240" w:lineRule="auto"/>
              <w:ind w:left="140" w:right="188"/>
              <w:rPr>
                <w:rFonts w:ascii="Times New Roman" w:eastAsia="Times New Roman" w:hAnsi="Times New Roman" w:cs="Times New Roman"/>
                <w:sz w:val="26"/>
                <w:szCs w:val="26"/>
                <w:lang w:eastAsia="lv-LV"/>
              </w:rPr>
            </w:pPr>
            <w:r w:rsidRPr="00D34A88">
              <w:rPr>
                <w:rFonts w:ascii="Times New Roman" w:eastAsia="Times New Roman" w:hAnsi="Times New Roman" w:cs="Times New Roman"/>
                <w:sz w:val="26"/>
                <w:szCs w:val="26"/>
                <w:lang w:eastAsia="lv-LV"/>
              </w:rPr>
              <w:t>Cita informācija</w:t>
            </w:r>
          </w:p>
        </w:tc>
        <w:tc>
          <w:tcPr>
            <w:tcW w:w="3133" w:type="pct"/>
          </w:tcPr>
          <w:p w:rsidR="00080A55" w:rsidRPr="00E26CB0" w:rsidRDefault="00080A55" w:rsidP="0031447E">
            <w:pPr>
              <w:spacing w:after="0" w:line="240" w:lineRule="auto"/>
              <w:ind w:left="96" w:right="-1"/>
              <w:jc w:val="both"/>
              <w:rPr>
                <w:rFonts w:ascii="Times New Roman" w:eastAsia="Times New Roman" w:hAnsi="Times New Roman" w:cs="Times New Roman"/>
                <w:sz w:val="26"/>
                <w:szCs w:val="26"/>
                <w:lang w:eastAsia="lv-LV"/>
              </w:rPr>
            </w:pPr>
            <w:r w:rsidRPr="00E26CB0">
              <w:rPr>
                <w:rFonts w:ascii="Times New Roman" w:eastAsia="Times New Roman" w:hAnsi="Times New Roman" w:cs="Times New Roman"/>
                <w:sz w:val="26"/>
                <w:szCs w:val="26"/>
                <w:lang w:eastAsia="lv-LV"/>
              </w:rPr>
              <w:t>Nav</w:t>
            </w:r>
          </w:p>
        </w:tc>
      </w:tr>
    </w:tbl>
    <w:p w:rsidR="00080A55" w:rsidRPr="00D34A88" w:rsidRDefault="00080A55" w:rsidP="00080A55">
      <w:pPr>
        <w:spacing w:after="0" w:line="240" w:lineRule="auto"/>
        <w:ind w:right="-1"/>
        <w:rPr>
          <w:rFonts w:ascii="Times New Roman" w:eastAsia="Calibri" w:hAnsi="Times New Roman" w:cs="Times New Roman"/>
          <w:sz w:val="26"/>
          <w:szCs w:val="26"/>
        </w:rPr>
      </w:pPr>
    </w:p>
    <w:tbl>
      <w:tblPr>
        <w:tblpPr w:leftFromText="180" w:rightFromText="180" w:vertAnchor="text" w:horzAnchor="margin" w:tblpXSpec="center" w:tblpY="119"/>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6092"/>
      </w:tblGrid>
      <w:tr w:rsidR="00080A55" w:rsidRPr="00D34A88" w:rsidTr="0031447E">
        <w:trPr>
          <w:trHeight w:val="11"/>
        </w:trPr>
        <w:tc>
          <w:tcPr>
            <w:tcW w:w="9641" w:type="dxa"/>
            <w:gridSpan w:val="3"/>
            <w:vAlign w:val="center"/>
          </w:tcPr>
          <w:p w:rsidR="00080A55" w:rsidRPr="00D34A88"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lastRenderedPageBreak/>
              <w:t>II. Tiesību akta projekta ietekme uz sabiedrību, tautsaimniecības attīstību</w:t>
            </w:r>
          </w:p>
          <w:p w:rsidR="00080A55" w:rsidRPr="00D34A88"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D34A88">
              <w:rPr>
                <w:rFonts w:ascii="Times New Roman" w:eastAsia="Times New Roman" w:hAnsi="Times New Roman" w:cs="Times New Roman"/>
                <w:b/>
                <w:sz w:val="26"/>
                <w:szCs w:val="26"/>
                <w:lang w:eastAsia="lv-LV"/>
              </w:rPr>
              <w:t>un administratīvo slogu</w:t>
            </w:r>
          </w:p>
        </w:tc>
      </w:tr>
      <w:tr w:rsidR="00080A55" w:rsidRPr="00220746" w:rsidTr="0031447E">
        <w:trPr>
          <w:trHeight w:val="9"/>
        </w:trPr>
        <w:tc>
          <w:tcPr>
            <w:tcW w:w="431" w:type="dxa"/>
          </w:tcPr>
          <w:p w:rsidR="00080A55" w:rsidRPr="00220746"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1.</w:t>
            </w:r>
          </w:p>
        </w:tc>
        <w:tc>
          <w:tcPr>
            <w:tcW w:w="3118" w:type="dxa"/>
          </w:tcPr>
          <w:p w:rsidR="00080A55" w:rsidRPr="00220746" w:rsidRDefault="00080A55" w:rsidP="0031447E">
            <w:pPr>
              <w:spacing w:after="0" w:line="240" w:lineRule="auto"/>
              <w:ind w:left="142" w:right="142"/>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Sabiedrības mērķgrupas, kuras tiesiskais regulējums ietekmē vai varētu ietekmēt</w:t>
            </w:r>
          </w:p>
        </w:tc>
        <w:tc>
          <w:tcPr>
            <w:tcW w:w="6092" w:type="dxa"/>
          </w:tcPr>
          <w:p w:rsidR="00080A55" w:rsidRPr="00E26CB0" w:rsidRDefault="00080A55" w:rsidP="00F31F16">
            <w:pPr>
              <w:spacing w:after="0" w:line="240" w:lineRule="auto"/>
              <w:ind w:left="142" w:right="141" w:firstLine="425"/>
              <w:jc w:val="both"/>
              <w:rPr>
                <w:rFonts w:ascii="Times New Roman" w:hAnsi="Times New Roman" w:cs="Times New Roman"/>
                <w:sz w:val="26"/>
                <w:szCs w:val="26"/>
                <w:lang w:eastAsia="lv-LV"/>
              </w:rPr>
            </w:pPr>
            <w:bookmarkStart w:id="1" w:name="p21"/>
            <w:bookmarkEnd w:id="1"/>
            <w:r w:rsidRPr="00E26CB0">
              <w:rPr>
                <w:rFonts w:ascii="Times New Roman" w:hAnsi="Times New Roman" w:cs="Times New Roman"/>
                <w:sz w:val="26"/>
                <w:szCs w:val="26"/>
                <w:lang w:eastAsia="lv-LV"/>
              </w:rPr>
              <w:t xml:space="preserve">Saskaņā ar likuma 3.panta pirmo un otro daļu tiem sociālo iemaksu veicējiem, kas dzimuši pēc 1971.gada 1.jūlija, līdzdalība </w:t>
            </w:r>
            <w:r w:rsidR="00AD5BB8" w:rsidRPr="00E26CB0">
              <w:rPr>
                <w:rFonts w:ascii="Times New Roman" w:hAnsi="Times New Roman" w:cs="Times New Roman"/>
                <w:sz w:val="26"/>
                <w:szCs w:val="26"/>
                <w:lang w:eastAsia="lv-LV"/>
              </w:rPr>
              <w:t>VFPS</w:t>
            </w:r>
            <w:r w:rsidRPr="00E26CB0">
              <w:rPr>
                <w:rFonts w:ascii="Times New Roman" w:hAnsi="Times New Roman" w:cs="Times New Roman"/>
                <w:sz w:val="26"/>
                <w:szCs w:val="26"/>
                <w:lang w:eastAsia="lv-LV"/>
              </w:rPr>
              <w:t xml:space="preserve"> ir noteikta obligāta, savukārt tiem, kas dzimuši no 1951.gada 2.jūlija līdz 1971.gada 1.jūlijam (ieskaitot), - brīvprātīga. 2016.gada 31.decembrī </w:t>
            </w:r>
            <w:r w:rsidR="00AD5BB8" w:rsidRPr="00E26CB0">
              <w:rPr>
                <w:rFonts w:ascii="Times New Roman" w:hAnsi="Times New Roman" w:cs="Times New Roman"/>
                <w:sz w:val="26"/>
                <w:szCs w:val="26"/>
                <w:lang w:eastAsia="lv-LV"/>
              </w:rPr>
              <w:t>VFPS</w:t>
            </w:r>
            <w:r w:rsidRPr="00E26CB0">
              <w:rPr>
                <w:rFonts w:ascii="Times New Roman" w:hAnsi="Times New Roman" w:cs="Times New Roman"/>
                <w:sz w:val="26"/>
                <w:szCs w:val="26"/>
                <w:lang w:eastAsia="lv-LV"/>
              </w:rPr>
              <w:t xml:space="preserve"> bija reģistrēti 1 268,1 tūkst. dalībnieku, no tiem kā obligātie shēmas dalībnieki bija reģistrēti 802 tūkst. personu un brīvprātīgie - 466 tūkst. personu.</w:t>
            </w:r>
          </w:p>
          <w:p w:rsidR="00080A55" w:rsidRPr="00E26CB0" w:rsidRDefault="00080A55" w:rsidP="00F31F16">
            <w:pPr>
              <w:spacing w:after="0" w:line="240" w:lineRule="auto"/>
              <w:ind w:left="142" w:right="141" w:firstLine="425"/>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 xml:space="preserve">2017.gada 31.augustā VFPS dalībniekiem bija pieejami 22 ieguldījumu plāni, kurus pārvaldīja astoņi līdzekļu pārvaldītāji. </w:t>
            </w:r>
          </w:p>
          <w:p w:rsidR="00080A55" w:rsidRPr="00E26CB0" w:rsidRDefault="00080A55" w:rsidP="00F31F16">
            <w:pPr>
              <w:spacing w:after="0" w:line="240" w:lineRule="auto"/>
              <w:ind w:left="142" w:right="141" w:firstLine="425"/>
              <w:jc w:val="both"/>
              <w:rPr>
                <w:rFonts w:ascii="Times New Roman" w:hAnsi="Times New Roman" w:cs="Times New Roman"/>
                <w:sz w:val="26"/>
                <w:szCs w:val="26"/>
                <w:lang w:eastAsia="lv-LV"/>
              </w:rPr>
            </w:pPr>
            <w:r w:rsidRPr="00E26CB0">
              <w:rPr>
                <w:rFonts w:ascii="Times New Roman" w:hAnsi="Times New Roman" w:cs="Times New Roman"/>
                <w:sz w:val="26"/>
                <w:szCs w:val="26"/>
                <w:lang w:eastAsia="lv-LV"/>
              </w:rPr>
              <w:t xml:space="preserve">Šobrīd četras apdrošināšanas sabiedrības piedāvā VFPS dalībniekiem iegādāties dzīvības apdrošināšanas (mūža pensijas) polisi. 2016.gadā 1654 VFPS dalībnieki (13%), kas izstājušies no VFPS, sasniedzot pensijas vecumu, iegādājās mūža pensijas polisi.   </w:t>
            </w:r>
          </w:p>
          <w:p w:rsidR="00080A55" w:rsidRPr="00E26CB0" w:rsidRDefault="00080A55" w:rsidP="0031447E">
            <w:pPr>
              <w:spacing w:after="0" w:line="240" w:lineRule="auto"/>
              <w:ind w:left="142" w:right="141" w:firstLine="142"/>
              <w:jc w:val="both"/>
              <w:rPr>
                <w:rFonts w:ascii="Times New Roman" w:eastAsia="Calibri" w:hAnsi="Times New Roman" w:cs="Times New Roman"/>
                <w:sz w:val="26"/>
                <w:szCs w:val="26"/>
              </w:rPr>
            </w:pPr>
          </w:p>
        </w:tc>
      </w:tr>
      <w:tr w:rsidR="00080A55" w:rsidRPr="00220746" w:rsidTr="0031447E">
        <w:trPr>
          <w:trHeight w:val="5"/>
        </w:trPr>
        <w:tc>
          <w:tcPr>
            <w:tcW w:w="431" w:type="dxa"/>
          </w:tcPr>
          <w:p w:rsidR="00080A55" w:rsidRPr="00220746"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2.</w:t>
            </w:r>
          </w:p>
        </w:tc>
        <w:tc>
          <w:tcPr>
            <w:tcW w:w="3118" w:type="dxa"/>
          </w:tcPr>
          <w:p w:rsidR="00080A55" w:rsidRPr="00220746" w:rsidRDefault="00080A55" w:rsidP="0031447E">
            <w:pPr>
              <w:spacing w:after="0" w:line="240" w:lineRule="auto"/>
              <w:ind w:left="142" w:right="142"/>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Tiesiskā regulējuma ietekme uz tautsaimniecību un administratīvo slogu</w:t>
            </w:r>
          </w:p>
        </w:tc>
        <w:tc>
          <w:tcPr>
            <w:tcW w:w="6092" w:type="dxa"/>
          </w:tcPr>
          <w:p w:rsidR="00080A55" w:rsidRPr="00E26CB0" w:rsidRDefault="00080A55" w:rsidP="0031447E">
            <w:pPr>
              <w:shd w:val="clear" w:color="auto" w:fill="FFFFFF"/>
              <w:spacing w:after="0" w:line="240" w:lineRule="auto"/>
              <w:ind w:left="142" w:right="141"/>
              <w:jc w:val="both"/>
              <w:rPr>
                <w:rFonts w:ascii="Times New Roman" w:hAnsi="Times New Roman" w:cs="Times New Roman"/>
                <w:sz w:val="26"/>
                <w:szCs w:val="26"/>
              </w:rPr>
            </w:pPr>
            <w:r w:rsidRPr="00E26CB0">
              <w:rPr>
                <w:rFonts w:ascii="Times New Roman" w:hAnsi="Times New Roman" w:cs="Times New Roman"/>
                <w:sz w:val="26"/>
                <w:szCs w:val="26"/>
              </w:rPr>
              <w:t xml:space="preserve">Izdevumus, kas saistīti ar komisijas maksas jauno aprēķināšanas kārtību tehnisko un praktisko ieviešanu, uzņemsies ieguldījumu pārvaldes sabiedrības, tādējādi pasargājot dalībniekus un valsti no papildus izdevumiem. </w:t>
            </w:r>
          </w:p>
          <w:p w:rsidR="00080A55" w:rsidRPr="00E26CB0" w:rsidRDefault="00080A55" w:rsidP="0031447E">
            <w:pPr>
              <w:shd w:val="clear" w:color="auto" w:fill="FFFFFF"/>
              <w:spacing w:after="0" w:line="240" w:lineRule="auto"/>
              <w:ind w:right="141"/>
              <w:jc w:val="both"/>
              <w:rPr>
                <w:rFonts w:ascii="Times New Roman" w:hAnsi="Times New Roman" w:cs="Times New Roman"/>
                <w:sz w:val="26"/>
                <w:szCs w:val="26"/>
              </w:rPr>
            </w:pPr>
          </w:p>
        </w:tc>
      </w:tr>
      <w:tr w:rsidR="00080A55" w:rsidRPr="00220746" w:rsidTr="0031447E">
        <w:trPr>
          <w:trHeight w:val="10"/>
        </w:trPr>
        <w:tc>
          <w:tcPr>
            <w:tcW w:w="431" w:type="dxa"/>
          </w:tcPr>
          <w:p w:rsidR="00080A55" w:rsidRPr="00220746"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3.</w:t>
            </w:r>
          </w:p>
        </w:tc>
        <w:tc>
          <w:tcPr>
            <w:tcW w:w="3118" w:type="dxa"/>
          </w:tcPr>
          <w:p w:rsidR="00080A55" w:rsidRPr="00220746" w:rsidRDefault="00080A55" w:rsidP="0031447E">
            <w:pPr>
              <w:spacing w:after="0" w:line="240" w:lineRule="auto"/>
              <w:ind w:left="142" w:right="142"/>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Administratīvo izmaksu monetārs novērtējums</w:t>
            </w:r>
          </w:p>
        </w:tc>
        <w:tc>
          <w:tcPr>
            <w:tcW w:w="6092" w:type="dxa"/>
          </w:tcPr>
          <w:p w:rsidR="00080A55" w:rsidRPr="00E26CB0" w:rsidRDefault="00080A55" w:rsidP="0031447E">
            <w:pPr>
              <w:shd w:val="clear" w:color="auto" w:fill="FFFFFF"/>
              <w:spacing w:after="0" w:line="240" w:lineRule="auto"/>
              <w:ind w:left="142" w:right="141"/>
              <w:jc w:val="both"/>
              <w:rPr>
                <w:rFonts w:ascii="Times New Roman" w:eastAsia="Calibri" w:hAnsi="Times New Roman" w:cs="Times New Roman"/>
                <w:sz w:val="26"/>
                <w:szCs w:val="26"/>
                <w:lang w:eastAsia="lv-LV"/>
              </w:rPr>
            </w:pPr>
            <w:r w:rsidRPr="00E26CB0">
              <w:rPr>
                <w:rFonts w:ascii="Times New Roman" w:eastAsia="Calibri" w:hAnsi="Times New Roman" w:cs="Times New Roman"/>
                <w:sz w:val="26"/>
                <w:szCs w:val="26"/>
              </w:rPr>
              <w:t>Projekts šo jomu neskar.</w:t>
            </w:r>
          </w:p>
        </w:tc>
      </w:tr>
      <w:tr w:rsidR="00080A55" w:rsidRPr="00220746" w:rsidTr="0031447E">
        <w:trPr>
          <w:trHeight w:val="8"/>
        </w:trPr>
        <w:tc>
          <w:tcPr>
            <w:tcW w:w="431" w:type="dxa"/>
          </w:tcPr>
          <w:p w:rsidR="00080A55" w:rsidRPr="00220746"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4.</w:t>
            </w:r>
          </w:p>
        </w:tc>
        <w:tc>
          <w:tcPr>
            <w:tcW w:w="3118" w:type="dxa"/>
          </w:tcPr>
          <w:p w:rsidR="00080A55" w:rsidRPr="00220746" w:rsidRDefault="00080A55" w:rsidP="0031447E">
            <w:pPr>
              <w:spacing w:after="0" w:line="240" w:lineRule="auto"/>
              <w:ind w:left="142" w:right="142"/>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Cita informācija</w:t>
            </w:r>
          </w:p>
        </w:tc>
        <w:tc>
          <w:tcPr>
            <w:tcW w:w="6092" w:type="dxa"/>
          </w:tcPr>
          <w:p w:rsidR="00080A55" w:rsidRPr="00E26CB0" w:rsidRDefault="00080A55" w:rsidP="0031447E">
            <w:pPr>
              <w:shd w:val="clear" w:color="auto" w:fill="FFFFFF"/>
              <w:spacing w:after="0" w:line="240" w:lineRule="auto"/>
              <w:ind w:left="142" w:right="-1"/>
              <w:jc w:val="both"/>
              <w:rPr>
                <w:rFonts w:ascii="Times New Roman" w:eastAsia="Calibri" w:hAnsi="Times New Roman" w:cs="Times New Roman"/>
                <w:sz w:val="26"/>
                <w:szCs w:val="26"/>
                <w:lang w:eastAsia="lv-LV"/>
              </w:rPr>
            </w:pPr>
            <w:r w:rsidRPr="00E26CB0">
              <w:rPr>
                <w:rFonts w:ascii="Times New Roman" w:eastAsia="Calibri" w:hAnsi="Times New Roman" w:cs="Times New Roman"/>
                <w:sz w:val="26"/>
                <w:szCs w:val="26"/>
                <w:lang w:eastAsia="lv-LV"/>
              </w:rPr>
              <w:t xml:space="preserve">Nav </w:t>
            </w:r>
          </w:p>
        </w:tc>
      </w:tr>
    </w:tbl>
    <w:p w:rsidR="00080A55" w:rsidRDefault="00080A55" w:rsidP="00080A55">
      <w:pPr>
        <w:spacing w:after="0" w:line="240" w:lineRule="auto"/>
        <w:ind w:right="-1"/>
        <w:rPr>
          <w:rFonts w:ascii="Times New Roman" w:eastAsia="Calibri" w:hAnsi="Times New Roman" w:cs="Times New Roman"/>
          <w:sz w:val="26"/>
          <w:szCs w:val="26"/>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495"/>
        <w:gridCol w:w="1680"/>
        <w:gridCol w:w="27"/>
        <w:gridCol w:w="1617"/>
        <w:gridCol w:w="1371"/>
        <w:gridCol w:w="1422"/>
        <w:gridCol w:w="1389"/>
        <w:gridCol w:w="34"/>
      </w:tblGrid>
      <w:tr w:rsidR="00655300" w:rsidRPr="00D34A88" w:rsidTr="00655300">
        <w:trPr>
          <w:trHeight w:val="144"/>
        </w:trPr>
        <w:tc>
          <w:tcPr>
            <w:tcW w:w="9674" w:type="dxa"/>
            <w:gridSpan w:val="9"/>
            <w:tcBorders>
              <w:top w:val="single" w:sz="4" w:space="0" w:color="auto"/>
              <w:left w:val="single" w:sz="4" w:space="0" w:color="auto"/>
              <w:bottom w:val="single" w:sz="4" w:space="0" w:color="auto"/>
              <w:right w:val="single" w:sz="4" w:space="0" w:color="auto"/>
            </w:tcBorders>
            <w:shd w:val="clear" w:color="auto" w:fill="auto"/>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
                <w:sz w:val="26"/>
                <w:szCs w:val="26"/>
              </w:rPr>
              <w:br w:type="page"/>
              <w:t>III. Tiesību akta projekta ietekme uz valsts budžetu un pašvaldību budžetiem</w:t>
            </w:r>
          </w:p>
        </w:tc>
      </w:tr>
      <w:tr w:rsidR="00655300" w:rsidRPr="00D34A88" w:rsidTr="00655300">
        <w:trPr>
          <w:trHeight w:val="144"/>
        </w:trPr>
        <w:tc>
          <w:tcPr>
            <w:tcW w:w="2134" w:type="dxa"/>
            <w:gridSpan w:val="2"/>
            <w:vMerge w:val="restart"/>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
                <w:sz w:val="26"/>
                <w:szCs w:val="26"/>
              </w:rPr>
              <w:t>Rādītāji</w:t>
            </w:r>
          </w:p>
        </w:tc>
        <w:tc>
          <w:tcPr>
            <w:tcW w:w="3324" w:type="dxa"/>
            <w:gridSpan w:val="3"/>
            <w:vMerge w:val="restart"/>
            <w:vAlign w:val="center"/>
          </w:tcPr>
          <w:p w:rsidR="00655300" w:rsidRPr="00D34A88" w:rsidRDefault="00655300" w:rsidP="00936243">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sz w:val="26"/>
                <w:szCs w:val="26"/>
              </w:rPr>
              <w:t>2017</w:t>
            </w:r>
          </w:p>
        </w:tc>
        <w:tc>
          <w:tcPr>
            <w:tcW w:w="4216" w:type="dxa"/>
            <w:gridSpan w:val="4"/>
            <w:vAlign w:val="center"/>
          </w:tcPr>
          <w:p w:rsidR="00655300" w:rsidRPr="00D34A88" w:rsidRDefault="00655300" w:rsidP="00936243">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sz w:val="26"/>
                <w:szCs w:val="26"/>
              </w:rPr>
              <w:t>Turpmākie trīs gadi (</w:t>
            </w:r>
            <w:proofErr w:type="spellStart"/>
            <w:r w:rsidRPr="00D34A88">
              <w:rPr>
                <w:rFonts w:ascii="Times New Roman" w:eastAsia="Calibri" w:hAnsi="Times New Roman" w:cs="Times New Roman"/>
                <w:i/>
                <w:sz w:val="26"/>
                <w:szCs w:val="26"/>
              </w:rPr>
              <w:t>euro</w:t>
            </w:r>
            <w:proofErr w:type="spellEnd"/>
            <w:r w:rsidRPr="00D34A88">
              <w:rPr>
                <w:rFonts w:ascii="Times New Roman" w:eastAsia="Calibri" w:hAnsi="Times New Roman" w:cs="Times New Roman"/>
                <w:sz w:val="26"/>
                <w:szCs w:val="26"/>
              </w:rPr>
              <w:t>)</w:t>
            </w:r>
          </w:p>
        </w:tc>
      </w:tr>
      <w:tr w:rsidR="00655300" w:rsidRPr="00D34A88" w:rsidTr="00655300">
        <w:trPr>
          <w:trHeight w:val="144"/>
        </w:trPr>
        <w:tc>
          <w:tcPr>
            <w:tcW w:w="2134" w:type="dxa"/>
            <w:gridSpan w:val="2"/>
            <w:vMerge/>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p>
        </w:tc>
        <w:tc>
          <w:tcPr>
            <w:tcW w:w="3324" w:type="dxa"/>
            <w:gridSpan w:val="3"/>
            <w:vMerge/>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p>
        </w:tc>
        <w:tc>
          <w:tcPr>
            <w:tcW w:w="1371" w:type="dxa"/>
            <w:vAlign w:val="center"/>
          </w:tcPr>
          <w:p w:rsidR="00655300" w:rsidRPr="00D34A88" w:rsidRDefault="00655300" w:rsidP="00936243">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2018</w:t>
            </w:r>
          </w:p>
        </w:tc>
        <w:tc>
          <w:tcPr>
            <w:tcW w:w="1422" w:type="dxa"/>
            <w:vAlign w:val="center"/>
          </w:tcPr>
          <w:p w:rsidR="00655300" w:rsidRPr="00D34A88" w:rsidRDefault="00655300" w:rsidP="00936243">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2019</w:t>
            </w:r>
          </w:p>
        </w:tc>
        <w:tc>
          <w:tcPr>
            <w:tcW w:w="1423" w:type="dxa"/>
            <w:gridSpan w:val="2"/>
            <w:vAlign w:val="center"/>
          </w:tcPr>
          <w:p w:rsidR="00655300" w:rsidRPr="00D34A88" w:rsidRDefault="00655300" w:rsidP="00936243">
            <w:pPr>
              <w:spacing w:after="0" w:line="240" w:lineRule="auto"/>
              <w:ind w:right="-1"/>
              <w:jc w:val="center"/>
              <w:rPr>
                <w:rFonts w:ascii="Times New Roman" w:eastAsia="Calibri" w:hAnsi="Times New Roman" w:cs="Times New Roman"/>
                <w:b/>
                <w:sz w:val="26"/>
                <w:szCs w:val="26"/>
              </w:rPr>
            </w:pPr>
            <w:r w:rsidRPr="00D34A88">
              <w:rPr>
                <w:rFonts w:ascii="Times New Roman" w:eastAsia="Calibri" w:hAnsi="Times New Roman" w:cs="Times New Roman"/>
                <w:b/>
                <w:bCs/>
                <w:sz w:val="26"/>
                <w:szCs w:val="26"/>
              </w:rPr>
              <w:t>2020</w:t>
            </w:r>
          </w:p>
        </w:tc>
      </w:tr>
      <w:tr w:rsidR="00655300" w:rsidRPr="00D34A88" w:rsidTr="00655300">
        <w:trPr>
          <w:trHeight w:val="144"/>
        </w:trPr>
        <w:tc>
          <w:tcPr>
            <w:tcW w:w="2134" w:type="dxa"/>
            <w:gridSpan w:val="2"/>
            <w:vMerge/>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p>
        </w:tc>
        <w:tc>
          <w:tcPr>
            <w:tcW w:w="1707" w:type="dxa"/>
            <w:gridSpan w:val="2"/>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saskaņā ar valsts budžetu kārtējam gadam</w:t>
            </w:r>
          </w:p>
        </w:tc>
        <w:tc>
          <w:tcPr>
            <w:tcW w:w="1617" w:type="dxa"/>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kārtējā gadā, salīdzinot ar valsts budžetu kārtējam gadam</w:t>
            </w:r>
          </w:p>
        </w:tc>
        <w:tc>
          <w:tcPr>
            <w:tcW w:w="1371" w:type="dxa"/>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c>
          <w:tcPr>
            <w:tcW w:w="1422" w:type="dxa"/>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c>
          <w:tcPr>
            <w:tcW w:w="1423" w:type="dxa"/>
            <w:gridSpan w:val="2"/>
            <w:vAlign w:val="center"/>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izmaiņas, salīdzinot ar kārtējo (n) gadu</w:t>
            </w:r>
          </w:p>
        </w:tc>
      </w:tr>
      <w:tr w:rsidR="00655300" w:rsidRPr="00D34A88" w:rsidTr="00655300">
        <w:trPr>
          <w:trHeight w:val="144"/>
        </w:trPr>
        <w:tc>
          <w:tcPr>
            <w:tcW w:w="2134" w:type="dxa"/>
            <w:gridSpan w:val="2"/>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1</w:t>
            </w:r>
          </w:p>
        </w:tc>
        <w:tc>
          <w:tcPr>
            <w:tcW w:w="1707" w:type="dxa"/>
            <w:gridSpan w:val="2"/>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2</w:t>
            </w:r>
          </w:p>
        </w:tc>
        <w:tc>
          <w:tcPr>
            <w:tcW w:w="1617" w:type="dxa"/>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3</w:t>
            </w:r>
          </w:p>
        </w:tc>
        <w:tc>
          <w:tcPr>
            <w:tcW w:w="1371" w:type="dxa"/>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4</w:t>
            </w:r>
          </w:p>
        </w:tc>
        <w:tc>
          <w:tcPr>
            <w:tcW w:w="1422" w:type="dxa"/>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5</w:t>
            </w:r>
          </w:p>
        </w:tc>
        <w:tc>
          <w:tcPr>
            <w:tcW w:w="1423" w:type="dxa"/>
            <w:gridSpan w:val="2"/>
            <w:vAlign w:val="center"/>
          </w:tcPr>
          <w:p w:rsidR="00655300" w:rsidRPr="00D34A88" w:rsidRDefault="00655300" w:rsidP="00936243">
            <w:pPr>
              <w:spacing w:after="0" w:line="240" w:lineRule="auto"/>
              <w:ind w:right="-1"/>
              <w:jc w:val="center"/>
              <w:rPr>
                <w:rFonts w:ascii="Times New Roman" w:eastAsia="Calibri" w:hAnsi="Times New Roman" w:cs="Times New Roman"/>
                <w:b/>
                <w:bCs/>
                <w:sz w:val="26"/>
                <w:szCs w:val="26"/>
              </w:rPr>
            </w:pPr>
            <w:r w:rsidRPr="00D34A88">
              <w:rPr>
                <w:rFonts w:ascii="Times New Roman" w:eastAsia="Calibri" w:hAnsi="Times New Roman" w:cs="Times New Roman"/>
                <w:b/>
                <w:bCs/>
                <w:sz w:val="26"/>
                <w:szCs w:val="26"/>
              </w:rPr>
              <w:t>6</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1. Budžeta ieņēmumi*:</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1.1. valsts pamatbudžets, tai skaitā ieņēmumi </w:t>
            </w:r>
            <w:r w:rsidRPr="00D34A88">
              <w:rPr>
                <w:rFonts w:ascii="Times New Roman" w:eastAsia="Calibri" w:hAnsi="Times New Roman" w:cs="Times New Roman"/>
                <w:sz w:val="26"/>
                <w:szCs w:val="26"/>
              </w:rPr>
              <w:lastRenderedPageBreak/>
              <w:t>no maksas pakalpojumiem un citi pašu ieņēmumi, t.sk.:</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1.2. valsts speciālais budžets, t.sk.:</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1.3. pašvaldību budžets</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2. Budžeta izdevumi*:</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670"/>
        </w:trPr>
        <w:tc>
          <w:tcPr>
            <w:tcW w:w="2134" w:type="dxa"/>
            <w:gridSpan w:val="2"/>
            <w:tcBorders>
              <w:top w:val="single" w:sz="4" w:space="0" w:color="auto"/>
              <w:left w:val="single" w:sz="4" w:space="0" w:color="auto"/>
              <w:bottom w:val="nil"/>
              <w:right w:val="single" w:sz="4" w:space="0" w:color="auto"/>
            </w:tcBorders>
          </w:tcPr>
          <w:p w:rsidR="00655300" w:rsidRPr="00D34A88" w:rsidRDefault="00655300" w:rsidP="00936243">
            <w:pPr>
              <w:spacing w:after="0" w:line="240" w:lineRule="auto"/>
              <w:ind w:right="-1"/>
              <w:rPr>
                <w:rFonts w:ascii="Times New Roman" w:eastAsia="Calibri" w:hAnsi="Times New Roman" w:cs="Times New Roman"/>
                <w:i/>
                <w:sz w:val="26"/>
                <w:szCs w:val="26"/>
              </w:rPr>
            </w:pPr>
            <w:r w:rsidRPr="00D34A88">
              <w:rPr>
                <w:rFonts w:ascii="Times New Roman" w:eastAsia="Calibri" w:hAnsi="Times New Roman" w:cs="Times New Roman"/>
                <w:sz w:val="26"/>
                <w:szCs w:val="26"/>
              </w:rPr>
              <w:t>2.1. valsts pamatbudžets:</w:t>
            </w:r>
            <w:r w:rsidRPr="00D34A88">
              <w:rPr>
                <w:rFonts w:ascii="Times New Roman" w:eastAsia="Calibri" w:hAnsi="Times New Roman" w:cs="Times New Roman"/>
                <w:i/>
                <w:sz w:val="26"/>
                <w:szCs w:val="26"/>
              </w:rPr>
              <w:t xml:space="preserve"> </w:t>
            </w:r>
          </w:p>
        </w:tc>
        <w:tc>
          <w:tcPr>
            <w:tcW w:w="1707" w:type="dxa"/>
            <w:gridSpan w:val="2"/>
            <w:tcBorders>
              <w:top w:val="single" w:sz="4" w:space="0" w:color="auto"/>
              <w:left w:val="single" w:sz="4" w:space="0" w:color="auto"/>
              <w:bottom w:val="nil"/>
              <w:right w:val="single" w:sz="4" w:space="0" w:color="auto"/>
            </w:tcBorders>
          </w:tcPr>
          <w:p w:rsidR="00655300" w:rsidRPr="00D34A88" w:rsidRDefault="00655300" w:rsidP="00936243">
            <w:pPr>
              <w:rPr>
                <w:rFonts w:ascii="Times New Roman" w:eastAsia="Calibri" w:hAnsi="Times New Roman" w:cs="Times New Roman"/>
                <w:sz w:val="26"/>
                <w:szCs w:val="26"/>
              </w:rPr>
            </w:pPr>
          </w:p>
        </w:tc>
        <w:tc>
          <w:tcPr>
            <w:tcW w:w="1617" w:type="dxa"/>
            <w:tcBorders>
              <w:top w:val="single" w:sz="4" w:space="0" w:color="auto"/>
              <w:left w:val="single" w:sz="4" w:space="0" w:color="auto"/>
              <w:bottom w:val="nil"/>
              <w:right w:val="single" w:sz="4" w:space="0" w:color="auto"/>
            </w:tcBorders>
          </w:tcPr>
          <w:p w:rsidR="00655300" w:rsidRPr="00D34A88" w:rsidRDefault="00655300" w:rsidP="00936243">
            <w:pPr>
              <w:spacing w:after="0" w:line="240" w:lineRule="auto"/>
              <w:ind w:right="-1"/>
              <w:rPr>
                <w:rFonts w:ascii="Times New Roman" w:eastAsia="Calibri" w:hAnsi="Times New Roman" w:cs="Times New Roman"/>
                <w:sz w:val="26"/>
                <w:szCs w:val="26"/>
              </w:rPr>
            </w:pPr>
          </w:p>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Borders>
              <w:top w:val="single" w:sz="4" w:space="0" w:color="auto"/>
              <w:left w:val="single" w:sz="4" w:space="0" w:color="auto"/>
              <w:bottom w:val="nil"/>
              <w:right w:val="single" w:sz="4" w:space="0" w:color="auto"/>
            </w:tcBorders>
          </w:tcPr>
          <w:p w:rsidR="00655300" w:rsidRPr="00D34A88" w:rsidRDefault="00655300" w:rsidP="00936243">
            <w:pPr>
              <w:spacing w:after="0" w:line="240" w:lineRule="auto"/>
              <w:ind w:right="-1"/>
              <w:rPr>
                <w:rFonts w:ascii="Times New Roman" w:eastAsia="Calibri" w:hAnsi="Times New Roman" w:cs="Times New Roman"/>
                <w:sz w:val="26"/>
                <w:szCs w:val="26"/>
              </w:rPr>
            </w:pPr>
          </w:p>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Borders>
              <w:top w:val="single" w:sz="4" w:space="0" w:color="auto"/>
              <w:left w:val="single" w:sz="4" w:space="0" w:color="auto"/>
              <w:bottom w:val="nil"/>
              <w:right w:val="single" w:sz="4" w:space="0" w:color="auto"/>
            </w:tcBorders>
          </w:tcPr>
          <w:p w:rsidR="00655300" w:rsidRPr="00D34A88" w:rsidRDefault="00655300" w:rsidP="00936243">
            <w:pPr>
              <w:spacing w:after="0" w:line="240" w:lineRule="auto"/>
              <w:ind w:right="-1"/>
              <w:rPr>
                <w:rFonts w:ascii="Times New Roman" w:eastAsia="Calibri" w:hAnsi="Times New Roman" w:cs="Times New Roman"/>
                <w:bCs/>
                <w:sz w:val="26"/>
                <w:szCs w:val="26"/>
              </w:rPr>
            </w:pPr>
          </w:p>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Borders>
              <w:top w:val="single" w:sz="4" w:space="0" w:color="auto"/>
              <w:left w:val="single" w:sz="4" w:space="0" w:color="auto"/>
              <w:bottom w:val="nil"/>
              <w:right w:val="single" w:sz="4" w:space="0" w:color="auto"/>
            </w:tcBorders>
          </w:tcPr>
          <w:p w:rsidR="00655300" w:rsidRPr="00D34A88" w:rsidRDefault="00655300" w:rsidP="00936243">
            <w:pPr>
              <w:spacing w:after="0" w:line="240" w:lineRule="auto"/>
              <w:ind w:right="-1"/>
              <w:rPr>
                <w:rFonts w:ascii="Times New Roman" w:eastAsia="Calibri" w:hAnsi="Times New Roman" w:cs="Times New Roman"/>
                <w:bCs/>
                <w:sz w:val="26"/>
                <w:szCs w:val="26"/>
              </w:rPr>
            </w:pPr>
          </w:p>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2.2. valsts speciālais budžets, t.sk.</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2.3. pašvaldību budžets </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highlight w:val="yellow"/>
              </w:rPr>
            </w:pPr>
            <w:r w:rsidRPr="00D34A88">
              <w:rPr>
                <w:rFonts w:ascii="Times New Roman" w:eastAsia="Calibri" w:hAnsi="Times New Roman" w:cs="Times New Roman"/>
                <w:sz w:val="26"/>
                <w:szCs w:val="26"/>
              </w:rPr>
              <w:t>3. Finansiālā ietekme:</w:t>
            </w:r>
          </w:p>
        </w:tc>
        <w:tc>
          <w:tcPr>
            <w:tcW w:w="1707" w:type="dxa"/>
            <w:gridSpan w:val="2"/>
            <w:shd w:val="clear" w:color="auto" w:fill="auto"/>
            <w:vAlign w:val="center"/>
          </w:tcPr>
          <w:p w:rsidR="00655300" w:rsidRPr="00D34A88" w:rsidRDefault="00655300" w:rsidP="00936243">
            <w:pPr>
              <w:spacing w:after="0" w:line="240" w:lineRule="auto"/>
              <w:ind w:right="-1"/>
              <w:rPr>
                <w:rFonts w:ascii="Times New Roman" w:eastAsia="Calibri" w:hAnsi="Times New Roman" w:cs="Times New Roman"/>
                <w:sz w:val="26"/>
                <w:szCs w:val="26"/>
                <w:highlight w:val="yellow"/>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bCs/>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3.1. valsts pamatbudžets</w:t>
            </w:r>
          </w:p>
        </w:tc>
        <w:tc>
          <w:tcPr>
            <w:tcW w:w="1707" w:type="dxa"/>
            <w:gridSpan w:val="2"/>
            <w:shd w:val="clear" w:color="auto" w:fill="auto"/>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3.2. speciālais budžets</w:t>
            </w:r>
          </w:p>
        </w:tc>
        <w:tc>
          <w:tcPr>
            <w:tcW w:w="1707" w:type="dxa"/>
            <w:gridSpan w:val="2"/>
            <w:shd w:val="clear" w:color="auto" w:fill="auto"/>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bCs/>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3.3. pašvaldību budžets </w:t>
            </w:r>
          </w:p>
        </w:tc>
        <w:tc>
          <w:tcPr>
            <w:tcW w:w="1707" w:type="dxa"/>
            <w:gridSpan w:val="2"/>
            <w:shd w:val="clear" w:color="auto" w:fill="auto"/>
          </w:tcPr>
          <w:p w:rsidR="00655300" w:rsidRPr="00D34A88" w:rsidRDefault="00655300" w:rsidP="00936243">
            <w:pPr>
              <w:spacing w:after="0" w:line="240" w:lineRule="auto"/>
              <w:ind w:right="-1"/>
              <w:rPr>
                <w:rFonts w:ascii="Times New Roman" w:eastAsia="Calibri" w:hAnsi="Times New Roman" w:cs="Times New Roman"/>
                <w:color w:val="FF0000"/>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4. Finanšu līdzekļi papildu izdevumu finansēšanai (kompensējošu izdevumu samazinājumu norāda ar "+" zīmi)*</w:t>
            </w:r>
          </w:p>
        </w:tc>
        <w:tc>
          <w:tcPr>
            <w:tcW w:w="1707"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Cs/>
                <w:sz w:val="26"/>
                <w:szCs w:val="26"/>
              </w:rPr>
            </w:pPr>
            <w:r w:rsidRPr="00D34A88">
              <w:rPr>
                <w:rFonts w:ascii="Times New Roman" w:eastAsia="Calibri" w:hAnsi="Times New Roman" w:cs="Times New Roman"/>
                <w:bCs/>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5. Precizēta finansiālā ietekme:</w:t>
            </w:r>
          </w:p>
        </w:tc>
        <w:tc>
          <w:tcPr>
            <w:tcW w:w="1707" w:type="dxa"/>
            <w:gridSpan w:val="2"/>
            <w:vMerge w:val="restart"/>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5.1. valsts pamatbudžets</w:t>
            </w:r>
          </w:p>
        </w:tc>
        <w:tc>
          <w:tcPr>
            <w:tcW w:w="1707" w:type="dxa"/>
            <w:gridSpan w:val="2"/>
            <w:vMerge/>
            <w:vAlign w:val="center"/>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5.2. speciālais budžets</w:t>
            </w:r>
          </w:p>
        </w:tc>
        <w:tc>
          <w:tcPr>
            <w:tcW w:w="1707" w:type="dxa"/>
            <w:gridSpan w:val="2"/>
            <w:vMerge/>
            <w:vAlign w:val="center"/>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0</w:t>
            </w:r>
          </w:p>
        </w:tc>
      </w:tr>
      <w:tr w:rsidR="00655300" w:rsidRPr="00D34A88" w:rsidTr="00655300">
        <w:trPr>
          <w:trHeight w:val="730"/>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 xml:space="preserve">5.3. pašvaldību budžets </w:t>
            </w:r>
          </w:p>
        </w:tc>
        <w:tc>
          <w:tcPr>
            <w:tcW w:w="1707" w:type="dxa"/>
            <w:gridSpan w:val="2"/>
            <w:vMerge/>
            <w:vAlign w:val="center"/>
          </w:tcPr>
          <w:p w:rsidR="00655300" w:rsidRPr="00D34A88" w:rsidRDefault="00655300" w:rsidP="00936243">
            <w:pPr>
              <w:spacing w:after="0" w:line="240" w:lineRule="auto"/>
              <w:ind w:right="-1"/>
              <w:rPr>
                <w:rFonts w:ascii="Times New Roman" w:eastAsia="Calibri" w:hAnsi="Times New Roman" w:cs="Times New Roman"/>
                <w:sz w:val="26"/>
                <w:szCs w:val="26"/>
              </w:rPr>
            </w:pPr>
          </w:p>
        </w:tc>
        <w:tc>
          <w:tcPr>
            <w:tcW w:w="1617" w:type="dxa"/>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371" w:type="dxa"/>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422" w:type="dxa"/>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c>
          <w:tcPr>
            <w:tcW w:w="1423" w:type="dxa"/>
            <w:gridSpan w:val="2"/>
          </w:tcPr>
          <w:p w:rsidR="00655300" w:rsidRPr="00D34A88" w:rsidRDefault="00655300" w:rsidP="00936243">
            <w:pPr>
              <w:spacing w:after="0" w:line="240" w:lineRule="auto"/>
              <w:ind w:right="-1"/>
              <w:rPr>
                <w:rFonts w:ascii="Times New Roman" w:eastAsia="Calibri" w:hAnsi="Times New Roman" w:cs="Times New Roman"/>
                <w:b/>
                <w:sz w:val="26"/>
                <w:szCs w:val="26"/>
              </w:rPr>
            </w:pPr>
            <w:r w:rsidRPr="00D34A88">
              <w:rPr>
                <w:rFonts w:ascii="Times New Roman" w:eastAsia="Calibri" w:hAnsi="Times New Roman" w:cs="Times New Roman"/>
                <w:bCs/>
                <w:sz w:val="26"/>
                <w:szCs w:val="26"/>
              </w:rPr>
              <w:t>0</w:t>
            </w:r>
          </w:p>
        </w:tc>
      </w:tr>
      <w:tr w:rsidR="00655300" w:rsidRPr="00D34A88" w:rsidTr="00655300">
        <w:trPr>
          <w:trHeight w:val="2711"/>
        </w:trPr>
        <w:tc>
          <w:tcPr>
            <w:tcW w:w="2134" w:type="dxa"/>
            <w:gridSpan w:val="2"/>
          </w:tcPr>
          <w:p w:rsidR="00D37239"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lastRenderedPageBreak/>
              <w:t>6. Detalizēts ieņēmumu un izdevumu aprēķins (ja nepie</w:t>
            </w:r>
            <w:r w:rsidRPr="00D34A88">
              <w:rPr>
                <w:rFonts w:ascii="Times New Roman" w:eastAsia="Calibri" w:hAnsi="Times New Roman" w:cs="Times New Roman"/>
                <w:sz w:val="26"/>
                <w:szCs w:val="26"/>
              </w:rPr>
              <w:softHyphen/>
              <w:t>ciešams, detalizētu ieņēmumu un izdevumu aprēķinu var pie</w:t>
            </w:r>
            <w:r w:rsidRPr="00D34A88">
              <w:rPr>
                <w:rFonts w:ascii="Times New Roman" w:eastAsia="Calibri" w:hAnsi="Times New Roman" w:cs="Times New Roman"/>
                <w:sz w:val="26"/>
                <w:szCs w:val="26"/>
              </w:rPr>
              <w:softHyphen/>
              <w:t>vienot anotācijas pielikumā):</w:t>
            </w:r>
          </w:p>
          <w:p w:rsidR="00D37239" w:rsidRPr="00D37239" w:rsidRDefault="00D37239" w:rsidP="00D37239">
            <w:pPr>
              <w:rPr>
                <w:rFonts w:ascii="Times New Roman" w:eastAsia="Calibri" w:hAnsi="Times New Roman" w:cs="Times New Roman"/>
                <w:sz w:val="26"/>
                <w:szCs w:val="26"/>
              </w:rPr>
            </w:pPr>
          </w:p>
          <w:p w:rsidR="00655300" w:rsidRPr="00D37239" w:rsidRDefault="00655300" w:rsidP="00D37239">
            <w:pPr>
              <w:jc w:val="center"/>
              <w:rPr>
                <w:rFonts w:ascii="Times New Roman" w:eastAsia="Calibri" w:hAnsi="Times New Roman" w:cs="Times New Roman"/>
                <w:sz w:val="26"/>
                <w:szCs w:val="26"/>
              </w:rPr>
            </w:pPr>
          </w:p>
        </w:tc>
        <w:tc>
          <w:tcPr>
            <w:tcW w:w="7540" w:type="dxa"/>
            <w:gridSpan w:val="7"/>
            <w:vMerge w:val="restart"/>
          </w:tcPr>
          <w:p w:rsidR="00A44984" w:rsidRPr="00957E43" w:rsidRDefault="00A44984" w:rsidP="00957E43">
            <w:pPr>
              <w:spacing w:after="0" w:line="240" w:lineRule="auto"/>
              <w:ind w:firstLine="344"/>
              <w:jc w:val="both"/>
              <w:rPr>
                <w:rFonts w:ascii="Times New Roman" w:eastAsia="Times New Roman" w:hAnsi="Times New Roman"/>
                <w:sz w:val="26"/>
                <w:szCs w:val="26"/>
                <w:lang w:eastAsia="ar-SA"/>
              </w:rPr>
            </w:pPr>
            <w:r w:rsidRPr="00957E43">
              <w:rPr>
                <w:rFonts w:ascii="Times New Roman" w:eastAsia="Times New Roman" w:hAnsi="Times New Roman"/>
                <w:sz w:val="26"/>
                <w:szCs w:val="26"/>
                <w:lang w:eastAsia="ar-SA"/>
              </w:rPr>
              <w:t xml:space="preserve">Izmaiņas komisijas maksās tiešā veidā ietekmē valsts fondēto pensiju shēmas aktīvu apjomu, dalībnieku nākotnes pensiju apmēru, kā arī speciālā budžeta ieņēmu un izdevumu daļu atkarībā no personu izvēles fondēto pensiju kapitālu pievienot pensiju 1. līmenim. Komisijas maksu izmaiņu ietekme uz 2018.-2020.gada speciālā budžeta ieņēmumiem un izdevumiem būs minimāla un līdz ar to anotācijā nav atspoguļojama. </w:t>
            </w:r>
          </w:p>
          <w:p w:rsidR="00A44984" w:rsidRPr="00957E43" w:rsidRDefault="00A44984" w:rsidP="00957E43">
            <w:pPr>
              <w:spacing w:after="0" w:line="240" w:lineRule="auto"/>
              <w:ind w:right="-1" w:firstLine="486"/>
              <w:jc w:val="both"/>
              <w:rPr>
                <w:rFonts w:ascii="Times New Roman" w:hAnsi="Times New Roman" w:cs="Times New Roman"/>
                <w:sz w:val="26"/>
                <w:szCs w:val="26"/>
                <w:lang w:eastAsia="lv-LV"/>
              </w:rPr>
            </w:pPr>
            <w:r w:rsidRPr="00957E43">
              <w:rPr>
                <w:rFonts w:ascii="Times New Roman" w:hAnsi="Times New Roman" w:cs="Times New Roman"/>
                <w:sz w:val="26"/>
                <w:szCs w:val="26"/>
                <w:lang w:eastAsia="lv-LV"/>
              </w:rPr>
              <w:t>2016.gadā kopējo izdevumu koeficients (KIK), kurš atspoguļo ieguldījumu plāna faktisko kopējo izdevumu (atlīdzība līdzekļu pārvaldītājam, līdzekļu turētājam un pārējie ieguldījumu plāna pārvaldes izdevumi) attiecību pret neto aktīvu vidējo vērtību gadā bija 1,57%.</w:t>
            </w:r>
          </w:p>
          <w:p w:rsidR="00A44984" w:rsidRPr="00957E43" w:rsidRDefault="00A44984" w:rsidP="00957E43">
            <w:pPr>
              <w:spacing w:after="0" w:line="240" w:lineRule="auto"/>
              <w:ind w:firstLine="486"/>
              <w:jc w:val="both"/>
              <w:rPr>
                <w:rFonts w:ascii="Arial" w:hAnsi="Arial" w:cs="Arial"/>
                <w:i/>
                <w:iCs/>
                <w:sz w:val="26"/>
                <w:szCs w:val="26"/>
              </w:rPr>
            </w:pPr>
            <w:r w:rsidRPr="00957E43">
              <w:rPr>
                <w:rFonts w:ascii="Times New Roman" w:hAnsi="Times New Roman" w:cs="Times New Roman"/>
                <w:sz w:val="26"/>
                <w:szCs w:val="26"/>
                <w:lang w:eastAsia="lv-LV"/>
              </w:rPr>
              <w:t>Ņemot vērā likumprojektā ietvertos KIK jaunos maksimumus un atbilstoši budžeta bāzei plānotās iemaksas VFPS, aptuvenie aprēķina rādītāji ietekmei uz VFPS neto aktīviem: 2018.gadā: + 13,9 milj. EUR; 2019.gadā: + 24,2 milj. EUR; 2020.gadā: + 27,7 milj. EUR</w:t>
            </w:r>
            <w:r w:rsidRPr="00957E43">
              <w:rPr>
                <w:rFonts w:ascii="Times New Roman" w:eastAsia="Times New Roman" w:hAnsi="Times New Roman" w:cs="Times New Roman"/>
                <w:sz w:val="26"/>
                <w:szCs w:val="26"/>
              </w:rPr>
              <w:t>.</w:t>
            </w:r>
          </w:p>
          <w:p w:rsidR="00655300" w:rsidRPr="00957E43" w:rsidRDefault="00655300" w:rsidP="00957E43">
            <w:pPr>
              <w:spacing w:after="0" w:line="240" w:lineRule="auto"/>
              <w:ind w:right="-1"/>
              <w:jc w:val="both"/>
              <w:rPr>
                <w:rFonts w:ascii="Times New Roman" w:eastAsia="Times New Roman" w:hAnsi="Times New Roman" w:cs="Times New Roman"/>
                <w:sz w:val="26"/>
                <w:szCs w:val="26"/>
              </w:rPr>
            </w:pPr>
          </w:p>
        </w:tc>
      </w:tr>
      <w:tr w:rsidR="00655300" w:rsidRPr="00D34A88" w:rsidTr="00655300">
        <w:trPr>
          <w:trHeight w:val="144"/>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6.1. detalizēts ieņēmumu aprēķins</w:t>
            </w:r>
          </w:p>
        </w:tc>
        <w:tc>
          <w:tcPr>
            <w:tcW w:w="7540" w:type="dxa"/>
            <w:gridSpan w:val="7"/>
            <w:vMerge/>
          </w:tcPr>
          <w:p w:rsidR="00655300" w:rsidRPr="00D34A88" w:rsidRDefault="00655300" w:rsidP="00936243">
            <w:pPr>
              <w:spacing w:after="0" w:line="240" w:lineRule="auto"/>
              <w:ind w:right="-1"/>
              <w:rPr>
                <w:rFonts w:ascii="Times New Roman" w:eastAsia="Calibri" w:hAnsi="Times New Roman" w:cs="Times New Roman"/>
                <w:b/>
                <w:i/>
                <w:sz w:val="26"/>
                <w:szCs w:val="26"/>
              </w:rPr>
            </w:pPr>
          </w:p>
        </w:tc>
      </w:tr>
      <w:tr w:rsidR="00655300" w:rsidRPr="00D34A88" w:rsidTr="00655300">
        <w:trPr>
          <w:trHeight w:val="726"/>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6.2. detalizēts izdevumu aprēķins</w:t>
            </w:r>
          </w:p>
        </w:tc>
        <w:tc>
          <w:tcPr>
            <w:tcW w:w="7540" w:type="dxa"/>
            <w:gridSpan w:val="7"/>
            <w:vMerge/>
          </w:tcPr>
          <w:p w:rsidR="00655300" w:rsidRPr="00D34A88" w:rsidRDefault="00655300" w:rsidP="00936243">
            <w:pPr>
              <w:spacing w:after="0" w:line="240" w:lineRule="auto"/>
              <w:ind w:right="-1"/>
              <w:rPr>
                <w:rFonts w:ascii="Times New Roman" w:eastAsia="Calibri" w:hAnsi="Times New Roman" w:cs="Times New Roman"/>
                <w:b/>
                <w:i/>
                <w:sz w:val="26"/>
                <w:szCs w:val="26"/>
              </w:rPr>
            </w:pPr>
          </w:p>
        </w:tc>
      </w:tr>
      <w:tr w:rsidR="00655300" w:rsidRPr="00D34A88" w:rsidTr="00655300">
        <w:trPr>
          <w:trHeight w:val="827"/>
        </w:trPr>
        <w:tc>
          <w:tcPr>
            <w:tcW w:w="2134" w:type="dxa"/>
            <w:gridSpan w:val="2"/>
          </w:tcPr>
          <w:p w:rsidR="00655300" w:rsidRPr="00D34A88" w:rsidRDefault="00655300" w:rsidP="00936243">
            <w:pPr>
              <w:spacing w:after="0" w:line="240" w:lineRule="auto"/>
              <w:ind w:right="-1"/>
              <w:rPr>
                <w:rFonts w:ascii="Times New Roman" w:eastAsia="Calibri" w:hAnsi="Times New Roman" w:cs="Times New Roman"/>
                <w:sz w:val="26"/>
                <w:szCs w:val="26"/>
              </w:rPr>
            </w:pPr>
            <w:r w:rsidRPr="00D34A88">
              <w:rPr>
                <w:rFonts w:ascii="Times New Roman" w:eastAsia="Calibri" w:hAnsi="Times New Roman" w:cs="Times New Roman"/>
                <w:sz w:val="26"/>
                <w:szCs w:val="26"/>
              </w:rPr>
              <w:t>7. Cita informācija</w:t>
            </w:r>
          </w:p>
        </w:tc>
        <w:tc>
          <w:tcPr>
            <w:tcW w:w="7540" w:type="dxa"/>
            <w:gridSpan w:val="7"/>
          </w:tcPr>
          <w:p w:rsidR="00655300" w:rsidRPr="00D34A88" w:rsidRDefault="00655300" w:rsidP="00936243">
            <w:pPr>
              <w:spacing w:after="0" w:line="240" w:lineRule="auto"/>
              <w:ind w:right="-1" w:firstLine="543"/>
              <w:jc w:val="both"/>
              <w:rPr>
                <w:rFonts w:ascii="Times New Roman" w:eastAsia="Calibri" w:hAnsi="Times New Roman" w:cs="Times New Roman"/>
                <w:sz w:val="26"/>
                <w:szCs w:val="26"/>
              </w:rPr>
            </w:pPr>
          </w:p>
        </w:tc>
      </w:tr>
      <w:tr w:rsidR="00080A55" w:rsidRPr="00220746" w:rsidTr="009734D0">
        <w:tblPrEx>
          <w:jc w:val="center"/>
          <w:tblCellMar>
            <w:left w:w="0" w:type="dxa"/>
            <w:right w:w="0" w:type="dxa"/>
          </w:tblCellMar>
          <w:tblLook w:val="0000" w:firstRow="0" w:lastRow="0" w:firstColumn="0" w:lastColumn="0" w:noHBand="0" w:noVBand="0"/>
        </w:tblPrEx>
        <w:trPr>
          <w:gridAfter w:val="1"/>
          <w:wAfter w:w="34" w:type="dxa"/>
          <w:trHeight w:val="6562"/>
          <w:jc w:val="center"/>
        </w:trPr>
        <w:tc>
          <w:tcPr>
            <w:tcW w:w="9640" w:type="dxa"/>
            <w:gridSpan w:val="8"/>
            <w:tcBorders>
              <w:top w:val="nil"/>
              <w:left w:val="nil"/>
              <w:bottom w:val="nil"/>
              <w:right w:val="nil"/>
            </w:tcBorders>
            <w:vAlign w:val="center"/>
          </w:tcPr>
          <w:p w:rsidR="00A61412" w:rsidRPr="00220746" w:rsidRDefault="00A61412" w:rsidP="0031447E">
            <w:pPr>
              <w:spacing w:after="0" w:line="240" w:lineRule="auto"/>
              <w:rPr>
                <w:rFonts w:ascii="Times New Roman" w:hAnsi="Times New Roman"/>
                <w:b/>
                <w:bCs/>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6520"/>
            </w:tblGrid>
            <w:tr w:rsidR="00080A55" w:rsidRPr="00220746" w:rsidTr="0031447E">
              <w:tc>
                <w:tcPr>
                  <w:tcW w:w="9511" w:type="dxa"/>
                  <w:gridSpan w:val="2"/>
                  <w:shd w:val="clear" w:color="auto" w:fill="auto"/>
                </w:tcPr>
                <w:p w:rsidR="00080A55" w:rsidRPr="00220746" w:rsidRDefault="00080A55" w:rsidP="0031447E">
                  <w:pPr>
                    <w:spacing w:after="0" w:line="240" w:lineRule="auto"/>
                    <w:jc w:val="center"/>
                    <w:rPr>
                      <w:rFonts w:ascii="Times New Roman" w:eastAsia="Times New Roman" w:hAnsi="Times New Roman"/>
                      <w:b/>
                      <w:sz w:val="24"/>
                      <w:szCs w:val="24"/>
                      <w:lang w:eastAsia="lv-LV"/>
                    </w:rPr>
                  </w:pPr>
                  <w:r w:rsidRPr="00220746">
                    <w:rPr>
                      <w:rFonts w:ascii="Times New Roman" w:eastAsia="Times New Roman" w:hAnsi="Times New Roman"/>
                      <w:b/>
                      <w:sz w:val="24"/>
                      <w:szCs w:val="24"/>
                      <w:lang w:eastAsia="lv-LV"/>
                    </w:rPr>
                    <w:t>IV. Tiesību akta projekta ietekme uz spēkā esošo tiesību normu sistēmu</w:t>
                  </w:r>
                </w:p>
              </w:tc>
            </w:tr>
            <w:tr w:rsidR="00080A55" w:rsidRPr="00220746" w:rsidTr="00A61412">
              <w:tc>
                <w:tcPr>
                  <w:tcW w:w="2991" w:type="dxa"/>
                  <w:shd w:val="clear" w:color="auto" w:fill="auto"/>
                </w:tcPr>
                <w:p w:rsidR="00080A55" w:rsidRPr="00957E43" w:rsidRDefault="00080A55" w:rsidP="0031447E">
                  <w:pPr>
                    <w:spacing w:after="0" w:line="240" w:lineRule="auto"/>
                    <w:rPr>
                      <w:rFonts w:ascii="Times New Roman" w:eastAsia="Times New Roman" w:hAnsi="Times New Roman"/>
                      <w:sz w:val="26"/>
                      <w:szCs w:val="26"/>
                      <w:lang w:eastAsia="lv-LV"/>
                    </w:rPr>
                  </w:pPr>
                  <w:r w:rsidRPr="00957E43">
                    <w:rPr>
                      <w:rFonts w:ascii="Times New Roman" w:eastAsia="Times New Roman" w:hAnsi="Times New Roman"/>
                      <w:sz w:val="26"/>
                      <w:szCs w:val="26"/>
                      <w:lang w:eastAsia="lv-LV"/>
                    </w:rPr>
                    <w:t>Nepieciešamie saistītie tiesību aktu projekti</w:t>
                  </w:r>
                </w:p>
              </w:tc>
              <w:tc>
                <w:tcPr>
                  <w:tcW w:w="6520" w:type="dxa"/>
                  <w:shd w:val="clear" w:color="auto" w:fill="auto"/>
                </w:tcPr>
                <w:p w:rsidR="00080A55" w:rsidRPr="00957E43" w:rsidRDefault="00080A55" w:rsidP="0031447E">
                  <w:pPr>
                    <w:suppressAutoHyphens/>
                    <w:spacing w:after="0" w:line="240" w:lineRule="auto"/>
                    <w:jc w:val="both"/>
                    <w:rPr>
                      <w:rFonts w:ascii="Times New Roman" w:eastAsia="Times New Roman" w:hAnsi="Times New Roman"/>
                      <w:sz w:val="26"/>
                      <w:szCs w:val="26"/>
                      <w:lang w:eastAsia="ar-SA"/>
                    </w:rPr>
                  </w:pPr>
                  <w:r w:rsidRPr="00957E43">
                    <w:rPr>
                      <w:rFonts w:ascii="Times New Roman" w:eastAsia="Times New Roman" w:hAnsi="Times New Roman"/>
                      <w:sz w:val="26"/>
                      <w:szCs w:val="26"/>
                      <w:lang w:eastAsia="ar-SA"/>
                    </w:rPr>
                    <w:t>Likumprojekts izskatāms vienotā paketē ar Finanšu ministrijas sagatavoto likumprojektu „Par valsts budžetu 2018.gadam”.</w:t>
                  </w:r>
                </w:p>
                <w:p w:rsidR="00080A55" w:rsidRPr="00957E43" w:rsidRDefault="00080A55" w:rsidP="009734D0">
                  <w:pPr>
                    <w:suppressAutoHyphens/>
                    <w:spacing w:after="0" w:line="240" w:lineRule="auto"/>
                    <w:jc w:val="both"/>
                    <w:rPr>
                      <w:rFonts w:ascii="Times New Roman" w:hAnsi="Times New Roman"/>
                      <w:sz w:val="26"/>
                      <w:szCs w:val="26"/>
                    </w:rPr>
                  </w:pPr>
                  <w:r w:rsidRPr="00957E43">
                    <w:rPr>
                      <w:rFonts w:ascii="Times New Roman" w:hAnsi="Times New Roman"/>
                      <w:sz w:val="26"/>
                      <w:szCs w:val="26"/>
                    </w:rPr>
                    <w:t>Pēc likumprojekta pieņemšanas Saeimā La</w:t>
                  </w:r>
                  <w:r w:rsidR="009734D0">
                    <w:rPr>
                      <w:rFonts w:ascii="Times New Roman" w:hAnsi="Times New Roman"/>
                      <w:sz w:val="26"/>
                      <w:szCs w:val="26"/>
                    </w:rPr>
                    <w:t xml:space="preserve">bklājības ministrija nodrošinās </w:t>
                  </w:r>
                  <w:r w:rsidR="00F32074">
                    <w:rPr>
                      <w:rFonts w:ascii="Times New Roman" w:hAnsi="Times New Roman"/>
                      <w:sz w:val="26"/>
                      <w:szCs w:val="26"/>
                    </w:rPr>
                    <w:t>g</w:t>
                  </w:r>
                  <w:r w:rsidRPr="00957E43">
                    <w:rPr>
                      <w:rFonts w:ascii="Times New Roman" w:hAnsi="Times New Roman"/>
                      <w:sz w:val="26"/>
                      <w:szCs w:val="26"/>
                    </w:rPr>
                    <w:t>rozījumu</w:t>
                  </w:r>
                  <w:r w:rsidR="00F32074">
                    <w:rPr>
                      <w:rFonts w:ascii="Times New Roman" w:hAnsi="Times New Roman"/>
                      <w:sz w:val="26"/>
                      <w:szCs w:val="26"/>
                    </w:rPr>
                    <w:t xml:space="preserve"> sagatavošanu </w:t>
                  </w:r>
                  <w:r w:rsidR="00F32074" w:rsidRPr="00957E43">
                    <w:rPr>
                      <w:rFonts w:ascii="Times New Roman" w:hAnsi="Times New Roman"/>
                      <w:sz w:val="26"/>
                      <w:szCs w:val="26"/>
                    </w:rPr>
                    <w:t xml:space="preserve">Ministru kabineta </w:t>
                  </w:r>
                  <w:r w:rsidRPr="00957E43">
                    <w:rPr>
                      <w:rFonts w:ascii="Times New Roman" w:hAnsi="Times New Roman"/>
                      <w:sz w:val="26"/>
                      <w:szCs w:val="26"/>
                    </w:rPr>
                    <w:t xml:space="preserve">2014.gada 14.oktobra noteikumos Nr.615 </w:t>
                  </w:r>
                  <w:r w:rsidR="00EF4D6B" w:rsidRPr="00957E43">
                    <w:rPr>
                      <w:rFonts w:ascii="Times New Roman" w:hAnsi="Times New Roman"/>
                      <w:sz w:val="26"/>
                      <w:szCs w:val="26"/>
                    </w:rPr>
                    <w:t xml:space="preserve">„Kārtība, kādā valsts fondēto pensiju shēmas līdzekļu pārvaldītājs aprēķina maksājumu par ieguldījumu plāna pārveidi un tiek veikta maksājuma uzskaite un ieturēšana” </w:t>
                  </w:r>
                  <w:r w:rsidRPr="00957E43">
                    <w:rPr>
                      <w:rFonts w:ascii="Times New Roman" w:hAnsi="Times New Roman"/>
                      <w:sz w:val="26"/>
                      <w:szCs w:val="26"/>
                    </w:rPr>
                    <w:t>izstrādi, lai aktualizētu kārtību, kādā VFPS līdzekļu pārvaldītājs aprēķina maksājumu</w:t>
                  </w:r>
                  <w:r w:rsidR="009734D0">
                    <w:rPr>
                      <w:rFonts w:ascii="Times New Roman" w:hAnsi="Times New Roman"/>
                      <w:sz w:val="26"/>
                      <w:szCs w:val="26"/>
                    </w:rPr>
                    <w:t xml:space="preserve"> par ieguldījumu plāna pārvaldi.</w:t>
                  </w:r>
                </w:p>
                <w:p w:rsidR="00A61412" w:rsidRPr="00A61412" w:rsidRDefault="00A61412" w:rsidP="009734D0">
                  <w:pPr>
                    <w:pStyle w:val="ListParagraph"/>
                    <w:suppressAutoHyphens/>
                    <w:spacing w:after="0" w:line="240" w:lineRule="auto"/>
                    <w:jc w:val="both"/>
                    <w:rPr>
                      <w:rFonts w:ascii="Times New Roman" w:eastAsia="Times New Roman" w:hAnsi="Times New Roman"/>
                      <w:sz w:val="26"/>
                      <w:szCs w:val="26"/>
                      <w:lang w:val="lv-LV" w:eastAsia="ar-SA"/>
                    </w:rPr>
                  </w:pPr>
                </w:p>
              </w:tc>
            </w:tr>
            <w:tr w:rsidR="00080A55" w:rsidRPr="00220746" w:rsidTr="00A61412">
              <w:tc>
                <w:tcPr>
                  <w:tcW w:w="2991" w:type="dxa"/>
                  <w:shd w:val="clear" w:color="auto" w:fill="auto"/>
                </w:tcPr>
                <w:p w:rsidR="00080A55" w:rsidRPr="00957E43" w:rsidRDefault="00080A55" w:rsidP="0031447E">
                  <w:pPr>
                    <w:tabs>
                      <w:tab w:val="left" w:pos="2628"/>
                    </w:tabs>
                    <w:spacing w:after="0" w:line="240" w:lineRule="auto"/>
                    <w:jc w:val="both"/>
                    <w:rPr>
                      <w:rFonts w:ascii="Times New Roman" w:eastAsia="Times New Roman" w:hAnsi="Times New Roman"/>
                      <w:sz w:val="26"/>
                      <w:szCs w:val="26"/>
                      <w:lang w:eastAsia="lv-LV"/>
                    </w:rPr>
                  </w:pPr>
                  <w:r w:rsidRPr="00957E43">
                    <w:rPr>
                      <w:rFonts w:ascii="Times New Roman" w:eastAsia="Times New Roman" w:hAnsi="Times New Roman"/>
                      <w:sz w:val="26"/>
                      <w:szCs w:val="26"/>
                      <w:lang w:eastAsia="lv-LV"/>
                    </w:rPr>
                    <w:t>Atbildīgā institūcija</w:t>
                  </w:r>
                </w:p>
              </w:tc>
              <w:tc>
                <w:tcPr>
                  <w:tcW w:w="6520" w:type="dxa"/>
                  <w:shd w:val="clear" w:color="auto" w:fill="auto"/>
                </w:tcPr>
                <w:p w:rsidR="00A61412" w:rsidRPr="00957E43" w:rsidRDefault="00080A55" w:rsidP="0031447E">
                  <w:pPr>
                    <w:tabs>
                      <w:tab w:val="left" w:pos="2628"/>
                    </w:tabs>
                    <w:spacing w:after="0" w:line="240" w:lineRule="auto"/>
                    <w:jc w:val="both"/>
                    <w:rPr>
                      <w:rFonts w:ascii="Times New Roman" w:eastAsia="Times New Roman" w:hAnsi="Times New Roman"/>
                      <w:iCs/>
                      <w:sz w:val="26"/>
                      <w:szCs w:val="26"/>
                      <w:lang w:eastAsia="lv-LV"/>
                    </w:rPr>
                  </w:pPr>
                  <w:r w:rsidRPr="00957E43">
                    <w:rPr>
                      <w:rFonts w:ascii="Times New Roman" w:eastAsia="Times New Roman" w:hAnsi="Times New Roman"/>
                      <w:iCs/>
                      <w:sz w:val="26"/>
                      <w:szCs w:val="26"/>
                      <w:lang w:eastAsia="lv-LV"/>
                    </w:rPr>
                    <w:t>Labklājības ministrija.</w:t>
                  </w:r>
                </w:p>
              </w:tc>
            </w:tr>
            <w:tr w:rsidR="00080A55" w:rsidRPr="00220746" w:rsidTr="00A61412">
              <w:trPr>
                <w:trHeight w:val="627"/>
              </w:trPr>
              <w:tc>
                <w:tcPr>
                  <w:tcW w:w="2991" w:type="dxa"/>
                  <w:shd w:val="clear" w:color="auto" w:fill="auto"/>
                </w:tcPr>
                <w:p w:rsidR="00080A55" w:rsidRPr="00957E43" w:rsidRDefault="00080A55" w:rsidP="0031447E">
                  <w:pPr>
                    <w:spacing w:after="0" w:line="240" w:lineRule="auto"/>
                    <w:rPr>
                      <w:rFonts w:ascii="Times New Roman" w:eastAsia="Times New Roman" w:hAnsi="Times New Roman"/>
                      <w:sz w:val="26"/>
                      <w:szCs w:val="26"/>
                      <w:lang w:eastAsia="lv-LV"/>
                    </w:rPr>
                  </w:pPr>
                  <w:r w:rsidRPr="00957E43">
                    <w:rPr>
                      <w:rFonts w:ascii="Times New Roman" w:eastAsia="Times New Roman" w:hAnsi="Times New Roman"/>
                      <w:sz w:val="26"/>
                      <w:szCs w:val="26"/>
                      <w:lang w:eastAsia="lv-LV"/>
                    </w:rPr>
                    <w:t>Cita informācija</w:t>
                  </w:r>
                </w:p>
              </w:tc>
              <w:tc>
                <w:tcPr>
                  <w:tcW w:w="6520" w:type="dxa"/>
                  <w:shd w:val="clear" w:color="auto" w:fill="auto"/>
                </w:tcPr>
                <w:p w:rsidR="00080A55" w:rsidRPr="00957E43" w:rsidRDefault="00080A55" w:rsidP="0031447E">
                  <w:pPr>
                    <w:spacing w:after="0" w:line="240" w:lineRule="auto"/>
                    <w:jc w:val="both"/>
                    <w:rPr>
                      <w:rFonts w:ascii="Times New Roman" w:eastAsia="Times New Roman" w:hAnsi="Times New Roman"/>
                      <w:sz w:val="26"/>
                      <w:szCs w:val="26"/>
                      <w:lang w:eastAsia="lv-LV"/>
                    </w:rPr>
                  </w:pPr>
                  <w:r w:rsidRPr="00957E43">
                    <w:rPr>
                      <w:rFonts w:ascii="Times New Roman" w:eastAsia="Times New Roman" w:hAnsi="Times New Roman"/>
                      <w:iCs/>
                      <w:sz w:val="26"/>
                      <w:szCs w:val="26"/>
                      <w:lang w:eastAsia="lv-LV"/>
                    </w:rPr>
                    <w:t>Nav.</w:t>
                  </w:r>
                </w:p>
              </w:tc>
            </w:tr>
          </w:tbl>
          <w:p w:rsidR="00080A55" w:rsidRDefault="00080A55" w:rsidP="0031447E">
            <w:pPr>
              <w:spacing w:after="0" w:line="240" w:lineRule="auto"/>
              <w:ind w:right="-1"/>
              <w:jc w:val="center"/>
              <w:rPr>
                <w:rFonts w:ascii="Times New Roman" w:eastAsia="Times New Roman" w:hAnsi="Times New Roman" w:cs="Times New Roman"/>
                <w:b/>
                <w:sz w:val="26"/>
                <w:szCs w:val="26"/>
                <w:lang w:eastAsia="lv-LV"/>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080A55" w:rsidRPr="00220746" w:rsidTr="0031447E">
              <w:tc>
                <w:tcPr>
                  <w:tcW w:w="9640" w:type="dxa"/>
                  <w:shd w:val="clear" w:color="auto" w:fill="auto"/>
                </w:tcPr>
                <w:p w:rsidR="00080A55" w:rsidRPr="00220746" w:rsidRDefault="00080A55" w:rsidP="0031447E">
                  <w:pPr>
                    <w:spacing w:after="0" w:line="240" w:lineRule="auto"/>
                    <w:jc w:val="center"/>
                    <w:rPr>
                      <w:rFonts w:ascii="Times New Roman" w:eastAsia="Times New Roman" w:hAnsi="Times New Roman"/>
                      <w:b/>
                      <w:sz w:val="24"/>
                      <w:szCs w:val="24"/>
                      <w:lang w:eastAsia="lv-LV"/>
                    </w:rPr>
                  </w:pPr>
                  <w:r w:rsidRPr="00220746">
                    <w:rPr>
                      <w:rFonts w:ascii="Times New Roman" w:eastAsia="Times New Roman" w:hAnsi="Times New Roman"/>
                      <w:b/>
                      <w:sz w:val="24"/>
                      <w:szCs w:val="24"/>
                      <w:lang w:eastAsia="lv-LV"/>
                    </w:rPr>
                    <w:t>V. Tiesību akta projekta atbilstība Latvijas Republikas starptautiskajām saistībām</w:t>
                  </w:r>
                </w:p>
              </w:tc>
            </w:tr>
            <w:tr w:rsidR="00080A55" w:rsidRPr="00220746" w:rsidTr="0031447E">
              <w:tc>
                <w:tcPr>
                  <w:tcW w:w="9640" w:type="dxa"/>
                  <w:shd w:val="clear" w:color="auto" w:fill="auto"/>
                </w:tcPr>
                <w:p w:rsidR="00080A55" w:rsidRPr="00220746" w:rsidRDefault="00080A55" w:rsidP="0031447E">
                  <w:pPr>
                    <w:spacing w:after="0" w:line="240" w:lineRule="auto"/>
                    <w:jc w:val="center"/>
                    <w:rPr>
                      <w:rFonts w:ascii="Times New Roman" w:hAnsi="Times New Roman"/>
                      <w:i/>
                      <w:sz w:val="24"/>
                      <w:szCs w:val="24"/>
                    </w:rPr>
                  </w:pPr>
                </w:p>
                <w:p w:rsidR="00080A55" w:rsidRPr="00957E43" w:rsidRDefault="00080A55" w:rsidP="0031447E">
                  <w:pPr>
                    <w:spacing w:after="0" w:line="240" w:lineRule="auto"/>
                    <w:jc w:val="center"/>
                    <w:rPr>
                      <w:rFonts w:ascii="Times New Roman" w:hAnsi="Times New Roman"/>
                      <w:b/>
                      <w:sz w:val="26"/>
                      <w:szCs w:val="26"/>
                    </w:rPr>
                  </w:pPr>
                  <w:r w:rsidRPr="00957E43">
                    <w:rPr>
                      <w:rFonts w:ascii="Times New Roman" w:hAnsi="Times New Roman"/>
                      <w:sz w:val="26"/>
                      <w:szCs w:val="26"/>
                    </w:rPr>
                    <w:t>Projekts šo jomu neskar</w:t>
                  </w:r>
                  <w:r w:rsidRPr="00957E43">
                    <w:rPr>
                      <w:rFonts w:ascii="Times New Roman" w:hAnsi="Times New Roman"/>
                      <w:b/>
                      <w:sz w:val="26"/>
                      <w:szCs w:val="26"/>
                    </w:rPr>
                    <w:t>.</w:t>
                  </w:r>
                </w:p>
              </w:tc>
            </w:tr>
          </w:tbl>
          <w:p w:rsidR="00A61412" w:rsidRDefault="00A61412" w:rsidP="0031447E">
            <w:pPr>
              <w:spacing w:after="0" w:line="240" w:lineRule="auto"/>
              <w:ind w:right="-1"/>
              <w:jc w:val="center"/>
              <w:rPr>
                <w:rFonts w:ascii="Times New Roman" w:eastAsia="Times New Roman" w:hAnsi="Times New Roman" w:cs="Times New Roman"/>
                <w:b/>
                <w:sz w:val="26"/>
                <w:szCs w:val="26"/>
                <w:lang w:eastAsia="lv-LV"/>
              </w:rPr>
            </w:pPr>
          </w:p>
          <w:p w:rsidR="009734D0" w:rsidRPr="00220746" w:rsidRDefault="009734D0" w:rsidP="0031447E">
            <w:pPr>
              <w:spacing w:after="0" w:line="240" w:lineRule="auto"/>
              <w:ind w:right="-1"/>
              <w:jc w:val="center"/>
              <w:rPr>
                <w:rFonts w:ascii="Times New Roman" w:eastAsia="Times New Roman" w:hAnsi="Times New Roman" w:cs="Times New Roman"/>
                <w:b/>
                <w:sz w:val="26"/>
                <w:szCs w:val="26"/>
                <w:lang w:eastAsia="lv-LV"/>
              </w:rPr>
            </w:pPr>
          </w:p>
        </w:tc>
      </w:tr>
      <w:tr w:rsidR="00080A55" w:rsidRPr="00220746" w:rsidTr="0031447E">
        <w:tblPrEx>
          <w:jc w:val="center"/>
          <w:tblCellMar>
            <w:left w:w="0" w:type="dxa"/>
            <w:right w:w="0" w:type="dxa"/>
          </w:tblCellMar>
          <w:tblLook w:val="0000" w:firstRow="0" w:lastRow="0" w:firstColumn="0" w:lastColumn="0" w:noHBand="0" w:noVBand="0"/>
        </w:tblPrEx>
        <w:trPr>
          <w:gridAfter w:val="1"/>
          <w:wAfter w:w="34" w:type="dxa"/>
          <w:trHeight w:val="414"/>
          <w:jc w:val="center"/>
        </w:trPr>
        <w:tc>
          <w:tcPr>
            <w:tcW w:w="9640" w:type="dxa"/>
            <w:gridSpan w:val="8"/>
            <w:vAlign w:val="center"/>
          </w:tcPr>
          <w:p w:rsidR="00080A55" w:rsidRPr="00220746" w:rsidRDefault="00080A55" w:rsidP="0031447E">
            <w:pPr>
              <w:spacing w:after="0" w:line="240" w:lineRule="auto"/>
              <w:ind w:right="-1"/>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b/>
                <w:sz w:val="26"/>
                <w:szCs w:val="26"/>
                <w:lang w:eastAsia="lv-LV"/>
              </w:rPr>
              <w:lastRenderedPageBreak/>
              <w:t>VI. Sabiedrības līdzdalība un komunikācijas aktivitātes</w:t>
            </w:r>
          </w:p>
        </w:tc>
      </w:tr>
      <w:tr w:rsidR="00080A55" w:rsidRPr="00220746" w:rsidTr="0031447E">
        <w:tblPrEx>
          <w:jc w:val="center"/>
          <w:tblCellMar>
            <w:left w:w="0" w:type="dxa"/>
            <w:right w:w="0" w:type="dxa"/>
          </w:tblCellMar>
          <w:tblLook w:val="0000" w:firstRow="0" w:lastRow="0" w:firstColumn="0" w:lastColumn="0" w:noHBand="0" w:noVBand="0"/>
        </w:tblPrEx>
        <w:trPr>
          <w:gridAfter w:val="1"/>
          <w:wAfter w:w="34" w:type="dxa"/>
          <w:trHeight w:val="544"/>
          <w:jc w:val="center"/>
        </w:trPr>
        <w:tc>
          <w:tcPr>
            <w:tcW w:w="639" w:type="dxa"/>
          </w:tcPr>
          <w:p w:rsidR="00080A55" w:rsidRPr="00220746" w:rsidRDefault="00080A55" w:rsidP="0031447E">
            <w:pPr>
              <w:spacing w:after="0" w:line="240" w:lineRule="auto"/>
              <w:ind w:right="-142"/>
              <w:jc w:val="center"/>
              <w:rPr>
                <w:rFonts w:ascii="Times New Roman" w:eastAsia="Calibri" w:hAnsi="Times New Roman" w:cs="Times New Roman"/>
                <w:bCs/>
                <w:sz w:val="26"/>
                <w:szCs w:val="26"/>
              </w:rPr>
            </w:pPr>
            <w:r w:rsidRPr="00220746">
              <w:rPr>
                <w:rFonts w:ascii="Times New Roman" w:eastAsia="Calibri" w:hAnsi="Times New Roman" w:cs="Times New Roman"/>
                <w:bCs/>
                <w:sz w:val="26"/>
                <w:szCs w:val="26"/>
              </w:rPr>
              <w:t>1.</w:t>
            </w:r>
          </w:p>
        </w:tc>
        <w:tc>
          <w:tcPr>
            <w:tcW w:w="3175" w:type="dxa"/>
            <w:gridSpan w:val="2"/>
          </w:tcPr>
          <w:p w:rsidR="00080A55" w:rsidRPr="00220746" w:rsidRDefault="00080A55" w:rsidP="0031447E">
            <w:pPr>
              <w:tabs>
                <w:tab w:val="left" w:pos="170"/>
              </w:tabs>
              <w:spacing w:after="0" w:line="240" w:lineRule="auto"/>
              <w:ind w:left="142" w:right="97"/>
              <w:rPr>
                <w:rFonts w:ascii="Times New Roman" w:eastAsia="Calibri" w:hAnsi="Times New Roman" w:cs="Times New Roman"/>
                <w:sz w:val="26"/>
                <w:szCs w:val="26"/>
                <w:lang w:eastAsia="lv-LV"/>
              </w:rPr>
            </w:pPr>
            <w:r w:rsidRPr="00220746">
              <w:rPr>
                <w:rFonts w:ascii="Times New Roman" w:eastAsia="Calibri" w:hAnsi="Times New Roman" w:cs="Times New Roman"/>
                <w:sz w:val="26"/>
                <w:szCs w:val="26"/>
                <w:lang w:eastAsia="lv-LV"/>
              </w:rPr>
              <w:t>Plānotās sabiedrības līdzdalības un komunikācijas aktivitātes saistībā ar projektu</w:t>
            </w:r>
          </w:p>
        </w:tc>
        <w:tc>
          <w:tcPr>
            <w:tcW w:w="5826" w:type="dxa"/>
            <w:gridSpan w:val="5"/>
          </w:tcPr>
          <w:p w:rsidR="00080A55" w:rsidRPr="00957E43" w:rsidRDefault="00080A55" w:rsidP="0031447E">
            <w:pPr>
              <w:autoSpaceDE w:val="0"/>
              <w:autoSpaceDN w:val="0"/>
              <w:adjustRightInd w:val="0"/>
              <w:spacing w:after="0" w:line="240" w:lineRule="auto"/>
              <w:ind w:left="186" w:right="60" w:hanging="12"/>
              <w:jc w:val="both"/>
              <w:rPr>
                <w:rFonts w:ascii="Times New Roman" w:eastAsia="Calibri" w:hAnsi="Times New Roman" w:cs="Times New Roman"/>
                <w:sz w:val="26"/>
                <w:szCs w:val="26"/>
                <w:lang w:eastAsia="lv-LV"/>
              </w:rPr>
            </w:pPr>
            <w:bookmarkStart w:id="2" w:name="p61"/>
            <w:bookmarkEnd w:id="2"/>
            <w:r w:rsidRPr="00957E43">
              <w:rPr>
                <w:rFonts w:ascii="Times New Roman" w:eastAsia="Calibri" w:hAnsi="Times New Roman" w:cs="Times New Roman"/>
                <w:sz w:val="26"/>
                <w:szCs w:val="26"/>
              </w:rPr>
              <w:t xml:space="preserve">2017.gada 29.jūlijā likumprojekts tika ievietots Labklājības ministrijas mājas lapā </w:t>
            </w:r>
            <w:hyperlink r:id="rId11" w:history="1">
              <w:r w:rsidRPr="00957E43">
                <w:rPr>
                  <w:rFonts w:ascii="Times New Roman" w:eastAsia="Calibri" w:hAnsi="Times New Roman" w:cs="Times New Roman"/>
                  <w:sz w:val="26"/>
                  <w:szCs w:val="26"/>
                </w:rPr>
                <w:t>www.lm.gov.lv</w:t>
              </w:r>
            </w:hyperlink>
            <w:r w:rsidRPr="00957E43">
              <w:rPr>
                <w:rFonts w:ascii="Times New Roman" w:eastAsia="Calibri" w:hAnsi="Times New Roman" w:cs="Times New Roman"/>
                <w:sz w:val="26"/>
                <w:szCs w:val="26"/>
              </w:rPr>
              <w:t xml:space="preserve"> viedokļa izteikšanai.</w:t>
            </w:r>
          </w:p>
        </w:tc>
      </w:tr>
      <w:tr w:rsidR="00080A55" w:rsidRPr="00220746" w:rsidTr="0031447E">
        <w:tblPrEx>
          <w:jc w:val="center"/>
          <w:tblCellMar>
            <w:left w:w="0" w:type="dxa"/>
            <w:right w:w="0" w:type="dxa"/>
          </w:tblCellMar>
          <w:tblLook w:val="0000" w:firstRow="0" w:lastRow="0" w:firstColumn="0" w:lastColumn="0" w:noHBand="0" w:noVBand="0"/>
        </w:tblPrEx>
        <w:trPr>
          <w:gridAfter w:val="1"/>
          <w:wAfter w:w="34" w:type="dxa"/>
          <w:trHeight w:val="333"/>
          <w:jc w:val="center"/>
        </w:trPr>
        <w:tc>
          <w:tcPr>
            <w:tcW w:w="639" w:type="dxa"/>
          </w:tcPr>
          <w:p w:rsidR="00080A55" w:rsidRPr="00220746" w:rsidRDefault="00080A55" w:rsidP="0031447E">
            <w:pPr>
              <w:spacing w:after="0" w:line="240" w:lineRule="auto"/>
              <w:ind w:right="-142"/>
              <w:jc w:val="center"/>
              <w:rPr>
                <w:rFonts w:ascii="Times New Roman" w:eastAsia="Calibri" w:hAnsi="Times New Roman" w:cs="Times New Roman"/>
                <w:bCs/>
                <w:sz w:val="26"/>
                <w:szCs w:val="26"/>
              </w:rPr>
            </w:pPr>
            <w:r w:rsidRPr="00220746">
              <w:rPr>
                <w:rFonts w:ascii="Times New Roman" w:eastAsia="Calibri" w:hAnsi="Times New Roman" w:cs="Times New Roman"/>
                <w:bCs/>
                <w:sz w:val="26"/>
                <w:szCs w:val="26"/>
              </w:rPr>
              <w:t>2.</w:t>
            </w:r>
          </w:p>
        </w:tc>
        <w:tc>
          <w:tcPr>
            <w:tcW w:w="3175" w:type="dxa"/>
            <w:gridSpan w:val="2"/>
          </w:tcPr>
          <w:p w:rsidR="00080A55" w:rsidRPr="00220746" w:rsidRDefault="00080A55" w:rsidP="0031447E">
            <w:pPr>
              <w:spacing w:after="0" w:line="240" w:lineRule="auto"/>
              <w:ind w:left="142" w:right="97"/>
              <w:rPr>
                <w:rFonts w:ascii="Times New Roman" w:eastAsia="Calibri" w:hAnsi="Times New Roman" w:cs="Times New Roman"/>
                <w:sz w:val="26"/>
                <w:szCs w:val="26"/>
                <w:lang w:eastAsia="lv-LV"/>
              </w:rPr>
            </w:pPr>
            <w:r w:rsidRPr="00220746">
              <w:rPr>
                <w:rFonts w:ascii="Times New Roman" w:eastAsia="Calibri" w:hAnsi="Times New Roman" w:cs="Times New Roman"/>
                <w:sz w:val="26"/>
                <w:szCs w:val="26"/>
                <w:lang w:eastAsia="lv-LV"/>
              </w:rPr>
              <w:t>Sabiedrības līdzdalība projekta izstrādē</w:t>
            </w:r>
          </w:p>
        </w:tc>
        <w:tc>
          <w:tcPr>
            <w:tcW w:w="5826" w:type="dxa"/>
            <w:gridSpan w:val="5"/>
            <w:vMerge w:val="restart"/>
          </w:tcPr>
          <w:p w:rsidR="00080A55" w:rsidRPr="00957E43" w:rsidRDefault="00080A55" w:rsidP="00E435A3">
            <w:pPr>
              <w:spacing w:after="0" w:line="240" w:lineRule="auto"/>
              <w:ind w:left="186" w:right="60" w:hanging="12"/>
              <w:jc w:val="both"/>
              <w:rPr>
                <w:rFonts w:ascii="Times New Roman" w:eastAsia="Calibri" w:hAnsi="Times New Roman" w:cs="Times New Roman"/>
                <w:sz w:val="26"/>
                <w:szCs w:val="26"/>
              </w:rPr>
            </w:pPr>
            <w:bookmarkStart w:id="3" w:name="p62"/>
            <w:bookmarkEnd w:id="3"/>
            <w:r w:rsidRPr="00957E43">
              <w:rPr>
                <w:rFonts w:ascii="Times New Roman" w:eastAsia="Calibri" w:hAnsi="Times New Roman" w:cs="Times New Roman"/>
                <w:sz w:val="26"/>
                <w:szCs w:val="26"/>
              </w:rPr>
              <w:t xml:space="preserve">Atsauksmes un viedokļi par likumprojektu līdz š.g. </w:t>
            </w:r>
            <w:r w:rsidR="00E435A3" w:rsidRPr="00957E43">
              <w:rPr>
                <w:rFonts w:ascii="Times New Roman" w:eastAsia="Calibri" w:hAnsi="Times New Roman" w:cs="Times New Roman"/>
                <w:sz w:val="26"/>
                <w:szCs w:val="26"/>
              </w:rPr>
              <w:t>15.septembrim</w:t>
            </w:r>
            <w:r w:rsidRPr="00957E43">
              <w:rPr>
                <w:rFonts w:ascii="Times New Roman" w:eastAsia="Calibri" w:hAnsi="Times New Roman" w:cs="Times New Roman"/>
                <w:sz w:val="26"/>
                <w:szCs w:val="26"/>
              </w:rPr>
              <w:t xml:space="preserve"> netika saņemti.</w:t>
            </w:r>
          </w:p>
        </w:tc>
      </w:tr>
      <w:tr w:rsidR="00080A55" w:rsidRPr="00220746" w:rsidTr="0031447E">
        <w:tblPrEx>
          <w:jc w:val="center"/>
          <w:tblCellMar>
            <w:left w:w="0" w:type="dxa"/>
            <w:right w:w="0" w:type="dxa"/>
          </w:tblCellMar>
          <w:tblLook w:val="0000" w:firstRow="0" w:lastRow="0" w:firstColumn="0" w:lastColumn="0" w:noHBand="0" w:noVBand="0"/>
        </w:tblPrEx>
        <w:trPr>
          <w:gridAfter w:val="1"/>
          <w:wAfter w:w="34" w:type="dxa"/>
          <w:trHeight w:val="468"/>
          <w:jc w:val="center"/>
        </w:trPr>
        <w:tc>
          <w:tcPr>
            <w:tcW w:w="639" w:type="dxa"/>
          </w:tcPr>
          <w:p w:rsidR="00080A55" w:rsidRPr="00220746" w:rsidRDefault="00080A55" w:rsidP="0031447E">
            <w:pPr>
              <w:spacing w:after="0" w:line="240" w:lineRule="auto"/>
              <w:ind w:right="-142"/>
              <w:jc w:val="center"/>
              <w:rPr>
                <w:rFonts w:ascii="Times New Roman" w:eastAsia="Calibri" w:hAnsi="Times New Roman" w:cs="Times New Roman"/>
                <w:bCs/>
                <w:sz w:val="26"/>
                <w:szCs w:val="26"/>
              </w:rPr>
            </w:pPr>
            <w:r w:rsidRPr="00220746">
              <w:rPr>
                <w:rFonts w:ascii="Times New Roman" w:eastAsia="Calibri" w:hAnsi="Times New Roman" w:cs="Times New Roman"/>
                <w:bCs/>
                <w:sz w:val="26"/>
                <w:szCs w:val="26"/>
              </w:rPr>
              <w:t>3.</w:t>
            </w:r>
          </w:p>
        </w:tc>
        <w:tc>
          <w:tcPr>
            <w:tcW w:w="3175" w:type="dxa"/>
            <w:gridSpan w:val="2"/>
          </w:tcPr>
          <w:p w:rsidR="00080A55" w:rsidRPr="00220746" w:rsidRDefault="00080A55" w:rsidP="0031447E">
            <w:pPr>
              <w:spacing w:after="0" w:line="240" w:lineRule="auto"/>
              <w:ind w:left="142" w:right="97"/>
              <w:rPr>
                <w:rFonts w:ascii="Times New Roman" w:eastAsia="Calibri" w:hAnsi="Times New Roman" w:cs="Times New Roman"/>
                <w:sz w:val="26"/>
                <w:szCs w:val="26"/>
                <w:lang w:eastAsia="lv-LV"/>
              </w:rPr>
            </w:pPr>
            <w:r w:rsidRPr="00220746">
              <w:rPr>
                <w:rFonts w:ascii="Times New Roman" w:eastAsia="Calibri" w:hAnsi="Times New Roman" w:cs="Times New Roman"/>
                <w:sz w:val="26"/>
                <w:szCs w:val="26"/>
                <w:lang w:eastAsia="lv-LV"/>
              </w:rPr>
              <w:t>Sabiedrības līdzdalības rezultāti</w:t>
            </w:r>
          </w:p>
        </w:tc>
        <w:tc>
          <w:tcPr>
            <w:tcW w:w="5826" w:type="dxa"/>
            <w:gridSpan w:val="5"/>
            <w:vMerge/>
          </w:tcPr>
          <w:p w:rsidR="00080A55" w:rsidRPr="00957E43" w:rsidRDefault="00080A55" w:rsidP="0031447E">
            <w:pPr>
              <w:spacing w:after="0" w:line="240" w:lineRule="auto"/>
              <w:ind w:left="186" w:right="60"/>
              <w:jc w:val="both"/>
              <w:rPr>
                <w:rFonts w:ascii="Times New Roman" w:eastAsia="Calibri" w:hAnsi="Times New Roman" w:cs="Times New Roman"/>
                <w:sz w:val="26"/>
                <w:szCs w:val="26"/>
                <w:lang w:eastAsia="lv-LV"/>
              </w:rPr>
            </w:pPr>
          </w:p>
        </w:tc>
      </w:tr>
      <w:tr w:rsidR="00080A55" w:rsidRPr="00220746" w:rsidTr="0031447E">
        <w:tblPrEx>
          <w:jc w:val="center"/>
          <w:tblCellMar>
            <w:left w:w="0" w:type="dxa"/>
            <w:right w:w="0" w:type="dxa"/>
          </w:tblCellMar>
          <w:tblLook w:val="0000" w:firstRow="0" w:lastRow="0" w:firstColumn="0" w:lastColumn="0" w:noHBand="0" w:noVBand="0"/>
        </w:tblPrEx>
        <w:trPr>
          <w:gridAfter w:val="1"/>
          <w:wAfter w:w="34" w:type="dxa"/>
          <w:trHeight w:val="474"/>
          <w:jc w:val="center"/>
        </w:trPr>
        <w:tc>
          <w:tcPr>
            <w:tcW w:w="639" w:type="dxa"/>
          </w:tcPr>
          <w:p w:rsidR="00080A55" w:rsidRPr="00220746" w:rsidRDefault="00080A55" w:rsidP="0031447E">
            <w:pPr>
              <w:spacing w:after="0" w:line="240" w:lineRule="auto"/>
              <w:ind w:right="-142"/>
              <w:jc w:val="center"/>
              <w:rPr>
                <w:rFonts w:ascii="Times New Roman" w:eastAsia="Calibri" w:hAnsi="Times New Roman" w:cs="Times New Roman"/>
                <w:bCs/>
                <w:sz w:val="26"/>
                <w:szCs w:val="26"/>
              </w:rPr>
            </w:pPr>
            <w:r w:rsidRPr="00220746">
              <w:rPr>
                <w:rFonts w:ascii="Times New Roman" w:eastAsia="Calibri" w:hAnsi="Times New Roman" w:cs="Times New Roman"/>
                <w:bCs/>
                <w:sz w:val="26"/>
                <w:szCs w:val="26"/>
              </w:rPr>
              <w:t>4.</w:t>
            </w:r>
          </w:p>
        </w:tc>
        <w:tc>
          <w:tcPr>
            <w:tcW w:w="3175" w:type="dxa"/>
            <w:gridSpan w:val="2"/>
          </w:tcPr>
          <w:p w:rsidR="00080A55" w:rsidRPr="00220746" w:rsidRDefault="00080A55" w:rsidP="0031447E">
            <w:pPr>
              <w:spacing w:after="0" w:line="240" w:lineRule="auto"/>
              <w:ind w:left="142" w:right="97"/>
              <w:rPr>
                <w:rFonts w:ascii="Times New Roman" w:eastAsia="Calibri" w:hAnsi="Times New Roman" w:cs="Times New Roman"/>
                <w:sz w:val="26"/>
                <w:szCs w:val="26"/>
                <w:lang w:eastAsia="lv-LV"/>
              </w:rPr>
            </w:pPr>
            <w:r w:rsidRPr="00220746">
              <w:rPr>
                <w:rFonts w:ascii="Times New Roman" w:eastAsia="Calibri" w:hAnsi="Times New Roman" w:cs="Times New Roman"/>
                <w:sz w:val="26"/>
                <w:szCs w:val="26"/>
                <w:lang w:eastAsia="lv-LV"/>
              </w:rPr>
              <w:t>Cita informācija</w:t>
            </w:r>
          </w:p>
        </w:tc>
        <w:tc>
          <w:tcPr>
            <w:tcW w:w="5826" w:type="dxa"/>
            <w:gridSpan w:val="5"/>
          </w:tcPr>
          <w:p w:rsidR="00080A55" w:rsidRPr="00957E43" w:rsidRDefault="00080A55" w:rsidP="0031447E">
            <w:pPr>
              <w:spacing w:after="0" w:line="240" w:lineRule="auto"/>
              <w:ind w:left="186" w:right="60"/>
              <w:jc w:val="both"/>
              <w:rPr>
                <w:rFonts w:ascii="Times New Roman" w:eastAsia="Calibri" w:hAnsi="Times New Roman" w:cs="Times New Roman"/>
                <w:sz w:val="26"/>
                <w:szCs w:val="26"/>
                <w:lang w:eastAsia="lv-LV"/>
              </w:rPr>
            </w:pPr>
            <w:r w:rsidRPr="00957E43">
              <w:rPr>
                <w:rFonts w:ascii="Times New Roman" w:eastAsia="Calibri" w:hAnsi="Times New Roman" w:cs="Times New Roman"/>
                <w:sz w:val="26"/>
                <w:szCs w:val="26"/>
                <w:lang w:eastAsia="lv-LV"/>
              </w:rPr>
              <w:t>Nav</w:t>
            </w:r>
          </w:p>
        </w:tc>
      </w:tr>
    </w:tbl>
    <w:p w:rsidR="00080A55" w:rsidRDefault="00080A55" w:rsidP="00080A55">
      <w:pPr>
        <w:spacing w:after="0" w:line="240" w:lineRule="auto"/>
        <w:ind w:right="-1"/>
        <w:rPr>
          <w:rFonts w:ascii="Times New Roman" w:eastAsia="Calibri" w:hAnsi="Times New Roman" w:cs="Times New Roman"/>
          <w:sz w:val="26"/>
          <w:szCs w:val="26"/>
        </w:rPr>
      </w:pPr>
    </w:p>
    <w:tbl>
      <w:tblPr>
        <w:tblW w:w="9623"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0"/>
        <w:gridCol w:w="3268"/>
        <w:gridCol w:w="5795"/>
      </w:tblGrid>
      <w:tr w:rsidR="00080A55" w:rsidRPr="00220746" w:rsidTr="0031447E">
        <w:trPr>
          <w:trHeight w:val="381"/>
          <w:jc w:val="center"/>
        </w:trPr>
        <w:tc>
          <w:tcPr>
            <w:tcW w:w="9623" w:type="dxa"/>
            <w:gridSpan w:val="3"/>
            <w:vAlign w:val="center"/>
          </w:tcPr>
          <w:p w:rsidR="00080A55" w:rsidRPr="00220746" w:rsidRDefault="00080A55" w:rsidP="0031447E">
            <w:pPr>
              <w:spacing w:after="0" w:line="240" w:lineRule="auto"/>
              <w:ind w:right="-1"/>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b/>
                <w:sz w:val="26"/>
                <w:szCs w:val="26"/>
                <w:lang w:eastAsia="lv-LV"/>
              </w:rPr>
              <w:t>VII. Tiesību akta projekta izpildes nodrošināšana un tās ietekme uz institūcijām</w:t>
            </w:r>
          </w:p>
        </w:tc>
      </w:tr>
      <w:tr w:rsidR="00080A55" w:rsidRPr="00220746" w:rsidTr="0031447E">
        <w:trPr>
          <w:trHeight w:val="427"/>
          <w:jc w:val="center"/>
        </w:trPr>
        <w:tc>
          <w:tcPr>
            <w:tcW w:w="560" w:type="dxa"/>
          </w:tcPr>
          <w:p w:rsidR="00080A55" w:rsidRPr="00220746" w:rsidRDefault="00080A55" w:rsidP="0031447E">
            <w:pPr>
              <w:spacing w:after="0" w:line="240" w:lineRule="auto"/>
              <w:ind w:right="-1"/>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1.</w:t>
            </w:r>
          </w:p>
        </w:tc>
        <w:tc>
          <w:tcPr>
            <w:tcW w:w="3268" w:type="dxa"/>
          </w:tcPr>
          <w:p w:rsidR="00080A55" w:rsidRPr="00220746"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Projekta izpildē iesaistītās institūcijas</w:t>
            </w:r>
          </w:p>
        </w:tc>
        <w:tc>
          <w:tcPr>
            <w:tcW w:w="5795" w:type="dxa"/>
          </w:tcPr>
          <w:p w:rsidR="00080A55" w:rsidRPr="00957E43" w:rsidRDefault="00080A55" w:rsidP="003254C5">
            <w:pPr>
              <w:spacing w:after="0" w:line="240" w:lineRule="auto"/>
              <w:ind w:left="106" w:right="108"/>
              <w:jc w:val="both"/>
              <w:rPr>
                <w:rFonts w:ascii="Times New Roman" w:hAnsi="Times New Roman" w:cs="Times New Roman"/>
                <w:bCs/>
                <w:i/>
                <w:iCs/>
                <w:sz w:val="26"/>
                <w:szCs w:val="26"/>
                <w:lang w:eastAsia="lv-LV"/>
              </w:rPr>
            </w:pPr>
            <w:bookmarkStart w:id="4" w:name="p66"/>
            <w:bookmarkStart w:id="5" w:name="p67"/>
            <w:bookmarkStart w:id="6" w:name="p68"/>
            <w:bookmarkStart w:id="7" w:name="p69"/>
            <w:bookmarkEnd w:id="4"/>
            <w:bookmarkEnd w:id="5"/>
            <w:bookmarkEnd w:id="6"/>
            <w:bookmarkEnd w:id="7"/>
            <w:r w:rsidRPr="00957E43">
              <w:rPr>
                <w:rFonts w:ascii="Times New Roman" w:hAnsi="Times New Roman" w:cs="Times New Roman"/>
                <w:bCs/>
                <w:iCs/>
                <w:sz w:val="26"/>
                <w:szCs w:val="26"/>
                <w:lang w:eastAsia="lv-LV"/>
              </w:rPr>
              <w:t>Likumprojekta izpildi attiecībā uz komisijas maksas un ieguldījumu izmaiņām nodrošinās VFPS līdzekļu pārvaldītāji</w:t>
            </w:r>
            <w:r w:rsidR="00A46E47" w:rsidRPr="00957E43">
              <w:rPr>
                <w:rFonts w:ascii="Times New Roman" w:hAnsi="Times New Roman" w:cs="Times New Roman"/>
                <w:bCs/>
                <w:iCs/>
                <w:sz w:val="26"/>
                <w:szCs w:val="26"/>
                <w:lang w:eastAsia="lv-LV"/>
              </w:rPr>
              <w:t xml:space="preserve"> trīs mēnešu laikā no likuma izsludināšanas dienas.</w:t>
            </w:r>
            <w:r w:rsidRPr="00957E43">
              <w:rPr>
                <w:rFonts w:ascii="Times New Roman" w:hAnsi="Times New Roman" w:cs="Times New Roman"/>
                <w:bCs/>
                <w:i/>
                <w:iCs/>
                <w:sz w:val="26"/>
                <w:szCs w:val="26"/>
                <w:lang w:eastAsia="lv-LV"/>
              </w:rPr>
              <w:t xml:space="preserve"> </w:t>
            </w:r>
          </w:p>
          <w:p w:rsidR="00080A55" w:rsidRDefault="00080A55" w:rsidP="003254C5">
            <w:pPr>
              <w:spacing w:after="0" w:line="240" w:lineRule="auto"/>
              <w:ind w:left="106" w:right="108"/>
              <w:jc w:val="both"/>
              <w:rPr>
                <w:rFonts w:ascii="Times New Roman" w:hAnsi="Times New Roman" w:cs="Times New Roman"/>
                <w:sz w:val="26"/>
                <w:szCs w:val="26"/>
              </w:rPr>
            </w:pPr>
            <w:r w:rsidRPr="00957E43">
              <w:rPr>
                <w:rFonts w:ascii="Times New Roman" w:hAnsi="Times New Roman" w:cs="Times New Roman"/>
                <w:bCs/>
                <w:iCs/>
                <w:sz w:val="26"/>
                <w:szCs w:val="26"/>
                <w:lang w:eastAsia="lv-LV"/>
              </w:rPr>
              <w:t xml:space="preserve">Likumprojekta izpildi attiecībā uz </w:t>
            </w:r>
            <w:proofErr w:type="spellStart"/>
            <w:r w:rsidRPr="00957E43">
              <w:rPr>
                <w:rFonts w:ascii="Times New Roman" w:hAnsi="Times New Roman" w:cs="Times New Roman"/>
                <w:sz w:val="26"/>
                <w:szCs w:val="26"/>
              </w:rPr>
              <w:t>LabIS</w:t>
            </w:r>
            <w:proofErr w:type="spellEnd"/>
            <w:r w:rsidRPr="00957E43">
              <w:rPr>
                <w:rFonts w:ascii="Times New Roman" w:hAnsi="Times New Roman" w:cs="Times New Roman"/>
                <w:sz w:val="26"/>
                <w:szCs w:val="26"/>
              </w:rPr>
              <w:t xml:space="preserve"> iekļaujamajiem statistikas datiem nodrošinās apdrošināšanas sabiedrības un Valsts sociālās apdrošināšanas aģentūra.</w:t>
            </w:r>
          </w:p>
          <w:p w:rsidR="00A61412" w:rsidRPr="00957E43" w:rsidRDefault="00A61412" w:rsidP="003254C5">
            <w:pPr>
              <w:spacing w:after="0" w:line="240" w:lineRule="auto"/>
              <w:ind w:left="106" w:right="108"/>
              <w:jc w:val="both"/>
              <w:rPr>
                <w:rFonts w:ascii="Times New Roman" w:hAnsi="Times New Roman" w:cs="Times New Roman"/>
                <w:bCs/>
                <w:iCs/>
                <w:sz w:val="26"/>
                <w:szCs w:val="26"/>
                <w:lang w:eastAsia="lv-LV"/>
              </w:rPr>
            </w:pPr>
          </w:p>
        </w:tc>
      </w:tr>
      <w:tr w:rsidR="00080A55" w:rsidRPr="00220746" w:rsidTr="0031447E">
        <w:trPr>
          <w:trHeight w:val="463"/>
          <w:jc w:val="center"/>
        </w:trPr>
        <w:tc>
          <w:tcPr>
            <w:tcW w:w="560" w:type="dxa"/>
          </w:tcPr>
          <w:p w:rsidR="00080A55" w:rsidRPr="00220746" w:rsidRDefault="00080A55" w:rsidP="0031447E">
            <w:pPr>
              <w:spacing w:after="0" w:line="240" w:lineRule="auto"/>
              <w:ind w:right="-1"/>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2.</w:t>
            </w:r>
          </w:p>
        </w:tc>
        <w:tc>
          <w:tcPr>
            <w:tcW w:w="3268" w:type="dxa"/>
          </w:tcPr>
          <w:p w:rsidR="00080A55" w:rsidRPr="00220746"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Projekta izpildes ietekme uz pār</w:t>
            </w:r>
            <w:r w:rsidRPr="00220746">
              <w:rPr>
                <w:rFonts w:ascii="Times New Roman" w:eastAsia="Times New Roman" w:hAnsi="Times New Roman" w:cs="Times New Roman"/>
                <w:sz w:val="26"/>
                <w:szCs w:val="26"/>
                <w:lang w:eastAsia="lv-LV"/>
              </w:rPr>
              <w:softHyphen/>
              <w:t>valdes funkcijām un institucionālo struktūru.</w:t>
            </w:r>
          </w:p>
          <w:p w:rsidR="00080A55" w:rsidRPr="00220746"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Jaunu institūciju izveide, esošu institūciju likvidācija vai reorga</w:t>
            </w:r>
            <w:r w:rsidRPr="00220746">
              <w:rPr>
                <w:rFonts w:ascii="Times New Roman" w:eastAsia="Times New Roman" w:hAnsi="Times New Roman" w:cs="Times New Roman"/>
                <w:sz w:val="26"/>
                <w:szCs w:val="26"/>
                <w:lang w:eastAsia="lv-LV"/>
              </w:rPr>
              <w:softHyphen/>
              <w:t>nizācija, to ietekme uz institūcijas cilvēkresursiem</w:t>
            </w:r>
          </w:p>
        </w:tc>
        <w:tc>
          <w:tcPr>
            <w:tcW w:w="5795" w:type="dxa"/>
          </w:tcPr>
          <w:p w:rsidR="00080A55" w:rsidRPr="00957E43" w:rsidRDefault="00080A55" w:rsidP="003254C5">
            <w:pPr>
              <w:spacing w:after="0" w:line="240" w:lineRule="auto"/>
              <w:ind w:left="106" w:right="108"/>
              <w:jc w:val="both"/>
              <w:rPr>
                <w:rFonts w:ascii="Times New Roman" w:hAnsi="Times New Roman" w:cs="Times New Roman"/>
                <w:sz w:val="26"/>
                <w:szCs w:val="26"/>
                <w:lang w:eastAsia="lv-LV"/>
              </w:rPr>
            </w:pPr>
            <w:r w:rsidRPr="00957E43">
              <w:rPr>
                <w:rFonts w:ascii="Times New Roman" w:hAnsi="Times New Roman" w:cs="Times New Roman"/>
                <w:sz w:val="26"/>
                <w:szCs w:val="26"/>
                <w:lang w:eastAsia="lv-LV"/>
              </w:rPr>
              <w:t>Likumprojekta izpildi VFPS līdzekļu pārvaldītāji, apdrošināšanas sabiedrības un Valsts sociālās apdrošināšanas aģentūra nodrošinās esošo funkciju ietvaros.</w:t>
            </w:r>
          </w:p>
        </w:tc>
      </w:tr>
      <w:tr w:rsidR="00080A55" w:rsidRPr="00220746" w:rsidTr="0031447E">
        <w:trPr>
          <w:trHeight w:val="402"/>
          <w:jc w:val="center"/>
        </w:trPr>
        <w:tc>
          <w:tcPr>
            <w:tcW w:w="560" w:type="dxa"/>
            <w:tcBorders>
              <w:top w:val="single" w:sz="4" w:space="0" w:color="auto"/>
              <w:left w:val="single" w:sz="4" w:space="0" w:color="auto"/>
              <w:bottom w:val="single" w:sz="4" w:space="0" w:color="auto"/>
              <w:right w:val="single" w:sz="4" w:space="0" w:color="auto"/>
            </w:tcBorders>
          </w:tcPr>
          <w:p w:rsidR="00080A55" w:rsidRPr="00220746" w:rsidRDefault="00080A55" w:rsidP="0031447E">
            <w:pPr>
              <w:spacing w:after="0" w:line="240" w:lineRule="auto"/>
              <w:ind w:right="-1"/>
              <w:jc w:val="center"/>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3.</w:t>
            </w:r>
          </w:p>
        </w:tc>
        <w:tc>
          <w:tcPr>
            <w:tcW w:w="3268" w:type="dxa"/>
            <w:tcBorders>
              <w:top w:val="single" w:sz="4" w:space="0" w:color="auto"/>
              <w:left w:val="single" w:sz="4" w:space="0" w:color="auto"/>
              <w:bottom w:val="single" w:sz="4" w:space="0" w:color="auto"/>
              <w:right w:val="single" w:sz="4" w:space="0" w:color="auto"/>
            </w:tcBorders>
          </w:tcPr>
          <w:p w:rsidR="00080A55" w:rsidRPr="00220746" w:rsidRDefault="00080A55" w:rsidP="0031447E">
            <w:pPr>
              <w:spacing w:after="0" w:line="240" w:lineRule="auto"/>
              <w:ind w:left="114" w:right="-1" w:hanging="114"/>
              <w:rPr>
                <w:rFonts w:ascii="Times New Roman" w:eastAsia="Times New Roman" w:hAnsi="Times New Roman" w:cs="Times New Roman"/>
                <w:sz w:val="26"/>
                <w:szCs w:val="26"/>
                <w:lang w:eastAsia="lv-LV"/>
              </w:rPr>
            </w:pPr>
            <w:r w:rsidRPr="00220746">
              <w:rPr>
                <w:rFonts w:ascii="Times New Roman" w:eastAsia="Times New Roman" w:hAnsi="Times New Roman" w:cs="Times New Roman"/>
                <w:sz w:val="26"/>
                <w:szCs w:val="26"/>
                <w:lang w:eastAsia="lv-LV"/>
              </w:rPr>
              <w:t xml:space="preserve"> Cita informācija</w:t>
            </w:r>
          </w:p>
        </w:tc>
        <w:tc>
          <w:tcPr>
            <w:tcW w:w="5795" w:type="dxa"/>
            <w:tcBorders>
              <w:top w:val="single" w:sz="4" w:space="0" w:color="auto"/>
              <w:left w:val="single" w:sz="4" w:space="0" w:color="auto"/>
              <w:bottom w:val="single" w:sz="4" w:space="0" w:color="auto"/>
              <w:right w:val="single" w:sz="4" w:space="0" w:color="auto"/>
            </w:tcBorders>
          </w:tcPr>
          <w:p w:rsidR="00080A55" w:rsidRPr="00220746" w:rsidRDefault="00080A55" w:rsidP="0031447E">
            <w:pPr>
              <w:spacing w:after="0" w:line="240" w:lineRule="auto"/>
              <w:ind w:right="-1"/>
              <w:jc w:val="both"/>
              <w:rPr>
                <w:rFonts w:ascii="Times New Roman" w:eastAsia="Calibri" w:hAnsi="Times New Roman" w:cs="Times New Roman"/>
                <w:sz w:val="26"/>
                <w:szCs w:val="26"/>
                <w:lang w:eastAsia="lv-LV"/>
              </w:rPr>
            </w:pPr>
            <w:r w:rsidRPr="00220746">
              <w:rPr>
                <w:rFonts w:ascii="Times New Roman" w:eastAsia="Calibri" w:hAnsi="Times New Roman" w:cs="Times New Roman"/>
                <w:sz w:val="26"/>
                <w:szCs w:val="26"/>
                <w:lang w:eastAsia="lv-LV"/>
              </w:rPr>
              <w:t>Nav</w:t>
            </w:r>
          </w:p>
        </w:tc>
      </w:tr>
    </w:tbl>
    <w:p w:rsidR="00080A55" w:rsidRPr="00220746" w:rsidRDefault="00080A55" w:rsidP="00080A55">
      <w:pPr>
        <w:tabs>
          <w:tab w:val="left" w:pos="6480"/>
        </w:tabs>
        <w:spacing w:after="0" w:line="240" w:lineRule="auto"/>
        <w:ind w:right="-1"/>
        <w:rPr>
          <w:rFonts w:ascii="Times New Roman" w:eastAsia="Calibri" w:hAnsi="Times New Roman" w:cs="Times New Roman"/>
          <w:sz w:val="26"/>
          <w:szCs w:val="26"/>
        </w:rPr>
      </w:pPr>
    </w:p>
    <w:p w:rsidR="001804DB" w:rsidRPr="003254C5" w:rsidRDefault="001804DB" w:rsidP="001804DB">
      <w:pPr>
        <w:tabs>
          <w:tab w:val="left" w:pos="720"/>
          <w:tab w:val="left" w:pos="7020"/>
        </w:tabs>
        <w:spacing w:after="0" w:line="240" w:lineRule="auto"/>
        <w:jc w:val="both"/>
        <w:rPr>
          <w:rFonts w:ascii="Times New Roman" w:hAnsi="Times New Roman" w:cs="Times New Roman"/>
          <w:sz w:val="26"/>
          <w:szCs w:val="26"/>
          <w:lang w:val="de-DE"/>
        </w:rPr>
      </w:pPr>
      <w:r w:rsidRPr="003254C5">
        <w:rPr>
          <w:rFonts w:ascii="Times New Roman" w:hAnsi="Times New Roman" w:cs="Times New Roman"/>
          <w:sz w:val="26"/>
          <w:szCs w:val="26"/>
          <w:lang w:val="de-DE"/>
        </w:rPr>
        <w:t xml:space="preserve">Iesniedzējs: </w:t>
      </w:r>
    </w:p>
    <w:p w:rsidR="001804DB" w:rsidRDefault="004F00AE" w:rsidP="001804DB">
      <w:pPr>
        <w:tabs>
          <w:tab w:val="left" w:pos="720"/>
          <w:tab w:val="left" w:pos="7020"/>
        </w:tabs>
        <w:spacing w:after="0" w:line="240" w:lineRule="auto"/>
        <w:jc w:val="both"/>
        <w:rPr>
          <w:rFonts w:ascii="Times New Roman" w:hAnsi="Times New Roman" w:cs="Times New Roman"/>
          <w:sz w:val="26"/>
          <w:szCs w:val="26"/>
          <w:lang w:val="de-DE"/>
        </w:rPr>
      </w:pPr>
      <w:r>
        <w:rPr>
          <w:rFonts w:ascii="Times New Roman" w:hAnsi="Times New Roman" w:cs="Times New Roman"/>
          <w:sz w:val="26"/>
          <w:szCs w:val="26"/>
          <w:lang w:val="de-DE"/>
        </w:rPr>
        <w:t>l</w:t>
      </w:r>
      <w:r w:rsidR="001804DB" w:rsidRPr="003254C5">
        <w:rPr>
          <w:rFonts w:ascii="Times New Roman" w:hAnsi="Times New Roman" w:cs="Times New Roman"/>
          <w:sz w:val="26"/>
          <w:szCs w:val="26"/>
          <w:lang w:val="de-DE"/>
        </w:rPr>
        <w:t>abklājības ministr</w:t>
      </w:r>
      <w:r w:rsidR="00B62C4C">
        <w:rPr>
          <w:rFonts w:ascii="Times New Roman" w:hAnsi="Times New Roman" w:cs="Times New Roman"/>
          <w:sz w:val="26"/>
          <w:szCs w:val="26"/>
          <w:lang w:val="de-DE"/>
        </w:rPr>
        <w:t>s</w:t>
      </w:r>
      <w:r w:rsidR="001804DB" w:rsidRPr="003254C5">
        <w:rPr>
          <w:rFonts w:ascii="Times New Roman" w:hAnsi="Times New Roman" w:cs="Times New Roman"/>
          <w:sz w:val="26"/>
          <w:szCs w:val="26"/>
          <w:lang w:val="de-DE"/>
        </w:rPr>
        <w:tab/>
        <w:t xml:space="preserve">         </w:t>
      </w:r>
      <w:r w:rsidR="00B62C4C">
        <w:rPr>
          <w:rFonts w:ascii="Times New Roman" w:hAnsi="Times New Roman" w:cs="Times New Roman"/>
          <w:sz w:val="26"/>
          <w:szCs w:val="26"/>
          <w:lang w:val="de-DE"/>
        </w:rPr>
        <w:t>J.Reirs</w:t>
      </w:r>
    </w:p>
    <w:p w:rsidR="00B62C4C" w:rsidRDefault="00B62C4C" w:rsidP="001804DB">
      <w:pPr>
        <w:tabs>
          <w:tab w:val="left" w:pos="720"/>
          <w:tab w:val="left" w:pos="7020"/>
        </w:tabs>
        <w:spacing w:after="0" w:line="240" w:lineRule="auto"/>
        <w:jc w:val="both"/>
        <w:rPr>
          <w:rFonts w:ascii="Times New Roman" w:hAnsi="Times New Roman" w:cs="Times New Roman"/>
          <w:sz w:val="26"/>
          <w:szCs w:val="26"/>
          <w:lang w:val="de-DE"/>
        </w:rPr>
      </w:pPr>
    </w:p>
    <w:p w:rsidR="00B62C4C" w:rsidRDefault="00B62C4C" w:rsidP="001804DB">
      <w:pPr>
        <w:tabs>
          <w:tab w:val="left" w:pos="720"/>
          <w:tab w:val="left" w:pos="7020"/>
        </w:tabs>
        <w:spacing w:after="0" w:line="240" w:lineRule="auto"/>
        <w:jc w:val="both"/>
        <w:rPr>
          <w:rFonts w:ascii="Times New Roman" w:hAnsi="Times New Roman" w:cs="Times New Roman"/>
          <w:sz w:val="26"/>
          <w:szCs w:val="26"/>
          <w:lang w:val="de-DE"/>
        </w:rPr>
      </w:pPr>
    </w:p>
    <w:p w:rsidR="00F32074" w:rsidRPr="003254C5" w:rsidRDefault="004F00AE" w:rsidP="001804DB">
      <w:pPr>
        <w:tabs>
          <w:tab w:val="left" w:pos="720"/>
          <w:tab w:val="left" w:pos="7020"/>
        </w:tabs>
        <w:spacing w:after="0" w:line="240" w:lineRule="auto"/>
        <w:jc w:val="both"/>
        <w:rPr>
          <w:rFonts w:ascii="Times New Roman" w:hAnsi="Times New Roman" w:cs="Times New Roman"/>
          <w:sz w:val="26"/>
          <w:szCs w:val="26"/>
          <w:lang w:val="de-DE"/>
        </w:rPr>
      </w:pPr>
      <w:r>
        <w:rPr>
          <w:rFonts w:ascii="Times New Roman" w:hAnsi="Times New Roman" w:cs="Times New Roman"/>
          <w:sz w:val="26"/>
          <w:szCs w:val="26"/>
          <w:lang w:val="de-DE"/>
        </w:rPr>
        <w:t>v</w:t>
      </w:r>
      <w:r w:rsidR="00F32074">
        <w:rPr>
          <w:rFonts w:ascii="Times New Roman" w:hAnsi="Times New Roman" w:cs="Times New Roman"/>
          <w:sz w:val="26"/>
          <w:szCs w:val="26"/>
          <w:lang w:val="de-DE"/>
        </w:rPr>
        <w:t>alsts sekretārs</w:t>
      </w:r>
      <w:r w:rsidR="00F32074">
        <w:rPr>
          <w:rFonts w:ascii="Times New Roman" w:hAnsi="Times New Roman" w:cs="Times New Roman"/>
          <w:sz w:val="26"/>
          <w:szCs w:val="26"/>
          <w:lang w:val="de-DE"/>
        </w:rPr>
        <w:tab/>
      </w:r>
      <w:r w:rsidR="00CB4AC4">
        <w:rPr>
          <w:rFonts w:ascii="Times New Roman" w:hAnsi="Times New Roman" w:cs="Times New Roman"/>
          <w:sz w:val="26"/>
          <w:szCs w:val="26"/>
          <w:lang w:val="de-DE"/>
        </w:rPr>
        <w:tab/>
        <w:t xml:space="preserve">      </w:t>
      </w:r>
      <w:r w:rsidR="00F32074">
        <w:rPr>
          <w:rFonts w:ascii="Times New Roman" w:hAnsi="Times New Roman" w:cs="Times New Roman"/>
          <w:sz w:val="26"/>
          <w:szCs w:val="26"/>
          <w:lang w:val="de-DE"/>
        </w:rPr>
        <w:t>I.Alliks</w:t>
      </w:r>
    </w:p>
    <w:p w:rsidR="00080A55" w:rsidRDefault="00080A55" w:rsidP="00080A55">
      <w:pPr>
        <w:tabs>
          <w:tab w:val="left" w:pos="6480"/>
        </w:tabs>
        <w:spacing w:after="0" w:line="240" w:lineRule="auto"/>
        <w:ind w:right="-1"/>
        <w:rPr>
          <w:rFonts w:ascii="Times New Roman" w:eastAsia="Calibri" w:hAnsi="Times New Roman" w:cs="Times New Roman"/>
          <w:sz w:val="20"/>
          <w:szCs w:val="20"/>
          <w:lang w:val="de-DE"/>
        </w:rPr>
      </w:pPr>
    </w:p>
    <w:p w:rsidR="00710648" w:rsidRDefault="00710648" w:rsidP="00080A55">
      <w:pPr>
        <w:tabs>
          <w:tab w:val="left" w:pos="6480"/>
        </w:tabs>
        <w:spacing w:after="0" w:line="240" w:lineRule="auto"/>
        <w:ind w:right="-1"/>
        <w:rPr>
          <w:rFonts w:ascii="Times New Roman" w:eastAsia="Calibri" w:hAnsi="Times New Roman" w:cs="Times New Roman"/>
          <w:sz w:val="20"/>
          <w:szCs w:val="20"/>
          <w:lang w:val="de-DE"/>
        </w:rPr>
      </w:pPr>
    </w:p>
    <w:p w:rsidR="00710648" w:rsidRPr="001804DB" w:rsidRDefault="00710648" w:rsidP="00080A55">
      <w:pPr>
        <w:tabs>
          <w:tab w:val="left" w:pos="6480"/>
        </w:tabs>
        <w:spacing w:after="0" w:line="240" w:lineRule="auto"/>
        <w:ind w:right="-1"/>
        <w:rPr>
          <w:rFonts w:ascii="Times New Roman" w:eastAsia="Calibri" w:hAnsi="Times New Roman" w:cs="Times New Roman"/>
          <w:sz w:val="20"/>
          <w:szCs w:val="20"/>
          <w:lang w:val="de-DE"/>
        </w:rPr>
      </w:pPr>
    </w:p>
    <w:p w:rsidR="00080A55" w:rsidRDefault="00080A55" w:rsidP="00080A55">
      <w:pPr>
        <w:tabs>
          <w:tab w:val="left" w:pos="6480"/>
        </w:tabs>
        <w:spacing w:after="0" w:line="240" w:lineRule="auto"/>
        <w:ind w:right="-1"/>
        <w:rPr>
          <w:rFonts w:ascii="Times New Roman" w:eastAsia="Calibri" w:hAnsi="Times New Roman" w:cs="Times New Roman"/>
          <w:sz w:val="20"/>
          <w:szCs w:val="20"/>
        </w:rPr>
      </w:pPr>
    </w:p>
    <w:p w:rsidR="006A64AA" w:rsidRDefault="006A64AA" w:rsidP="00080A55">
      <w:pPr>
        <w:spacing w:after="0" w:line="240" w:lineRule="auto"/>
        <w:ind w:right="-1"/>
        <w:rPr>
          <w:rFonts w:ascii="Times New Roman" w:eastAsia="Calibri" w:hAnsi="Times New Roman" w:cs="Times New Roman"/>
        </w:rPr>
      </w:pPr>
      <w:r>
        <w:rPr>
          <w:rFonts w:ascii="Times New Roman" w:eastAsia="Calibri" w:hAnsi="Times New Roman" w:cs="Times New Roman"/>
        </w:rPr>
        <w:t>28.09.2017 11:29</w:t>
      </w:r>
    </w:p>
    <w:p w:rsidR="00080A55" w:rsidRPr="00710648" w:rsidRDefault="00710648" w:rsidP="00080A55">
      <w:pPr>
        <w:spacing w:after="0" w:line="240" w:lineRule="auto"/>
        <w:ind w:right="-1"/>
        <w:rPr>
          <w:rFonts w:ascii="Times New Roman" w:eastAsia="Calibri" w:hAnsi="Times New Roman" w:cs="Times New Roman"/>
        </w:rPr>
      </w:pPr>
      <w:bookmarkStart w:id="8" w:name="_GoBack"/>
      <w:bookmarkEnd w:id="8"/>
      <w:r w:rsidRPr="00710648">
        <w:rPr>
          <w:rFonts w:ascii="Times New Roman" w:eastAsia="Calibri" w:hAnsi="Times New Roman" w:cs="Times New Roman"/>
        </w:rPr>
        <w:t>3472</w:t>
      </w:r>
    </w:p>
    <w:p w:rsidR="00080A55" w:rsidRPr="00710648" w:rsidRDefault="00080A55" w:rsidP="00080A55">
      <w:pPr>
        <w:spacing w:after="0" w:line="240" w:lineRule="auto"/>
        <w:ind w:right="-1"/>
        <w:rPr>
          <w:rFonts w:ascii="Times New Roman" w:eastAsia="Calibri" w:hAnsi="Times New Roman" w:cs="Times New Roman"/>
        </w:rPr>
      </w:pPr>
      <w:proofErr w:type="spellStart"/>
      <w:r w:rsidRPr="00710648">
        <w:rPr>
          <w:rFonts w:ascii="Times New Roman" w:eastAsia="Calibri" w:hAnsi="Times New Roman" w:cs="Times New Roman"/>
        </w:rPr>
        <w:t>D.Trušinska</w:t>
      </w:r>
      <w:proofErr w:type="spellEnd"/>
      <w:r w:rsidRPr="00710648">
        <w:rPr>
          <w:rFonts w:ascii="Times New Roman" w:eastAsia="Calibri" w:hAnsi="Times New Roman" w:cs="Times New Roman"/>
        </w:rPr>
        <w:t xml:space="preserve">, 67021678 </w:t>
      </w:r>
    </w:p>
    <w:p w:rsidR="004D69EB" w:rsidRPr="00710648" w:rsidRDefault="006F0B56" w:rsidP="00A61412">
      <w:pPr>
        <w:tabs>
          <w:tab w:val="center" w:pos="4153"/>
          <w:tab w:val="right" w:pos="8306"/>
        </w:tabs>
        <w:rPr>
          <w:rFonts w:ascii="Times New Roman" w:hAnsi="Times New Roman" w:cs="Times New Roman"/>
        </w:rPr>
      </w:pPr>
      <w:hyperlink r:id="rId12" w:history="1">
        <w:r w:rsidR="00080A55" w:rsidRPr="00710648">
          <w:rPr>
            <w:rStyle w:val="Hyperlink"/>
            <w:rFonts w:ascii="Times New Roman" w:eastAsia="Calibri" w:hAnsi="Times New Roman" w:cs="Times New Roman"/>
          </w:rPr>
          <w:t>Dace.Trusinska@lm.gov.lv</w:t>
        </w:r>
      </w:hyperlink>
    </w:p>
    <w:sectPr w:rsidR="004D69EB" w:rsidRPr="00710648" w:rsidSect="00D415AF">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56" w:rsidRDefault="006F0B56" w:rsidP="00080A55">
      <w:pPr>
        <w:spacing w:after="0" w:line="240" w:lineRule="auto"/>
      </w:pPr>
      <w:r>
        <w:separator/>
      </w:r>
    </w:p>
  </w:endnote>
  <w:endnote w:type="continuationSeparator" w:id="0">
    <w:p w:rsidR="006F0B56" w:rsidRDefault="006F0B56" w:rsidP="0008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Pr="003847CC" w:rsidRDefault="0067791C" w:rsidP="00D415AF">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LManot_28</w:t>
    </w:r>
    <w:r w:rsidR="00207071">
      <w:rPr>
        <w:rFonts w:ascii="Times New Roman" w:hAnsi="Times New Roman"/>
        <w:sz w:val="24"/>
        <w:szCs w:val="24"/>
      </w:rPr>
      <w:t>09</w:t>
    </w:r>
    <w:r w:rsidR="007D1F3A">
      <w:rPr>
        <w:rFonts w:ascii="Times New Roman" w:hAnsi="Times New Roman"/>
        <w:sz w:val="24"/>
        <w:szCs w:val="24"/>
      </w:rPr>
      <w:t>17; Grozījumi Valsts fondēto pensiju likumā</w:t>
    </w:r>
  </w:p>
  <w:p w:rsidR="00D75677" w:rsidRPr="003847CC" w:rsidRDefault="006F0B56" w:rsidP="00D415AF">
    <w:pPr>
      <w:pStyle w:val="Footer"/>
      <w:ind w:right="-4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Pr="00022D3E" w:rsidRDefault="0067791C" w:rsidP="00022D3E">
    <w:pPr>
      <w:spacing w:after="0" w:line="240" w:lineRule="auto"/>
      <w:ind w:left="-426" w:right="-426"/>
      <w:jc w:val="both"/>
      <w:rPr>
        <w:rFonts w:ascii="Times New Roman" w:hAnsi="Times New Roman"/>
        <w:bCs/>
        <w:sz w:val="24"/>
        <w:szCs w:val="24"/>
        <w:lang w:eastAsia="lv-LV"/>
      </w:rPr>
    </w:pPr>
    <w:r>
      <w:rPr>
        <w:rFonts w:ascii="Times New Roman" w:hAnsi="Times New Roman"/>
        <w:sz w:val="24"/>
        <w:szCs w:val="24"/>
      </w:rPr>
      <w:t>LManot_28</w:t>
    </w:r>
    <w:r w:rsidR="00207071">
      <w:rPr>
        <w:rFonts w:ascii="Times New Roman" w:hAnsi="Times New Roman"/>
        <w:sz w:val="24"/>
        <w:szCs w:val="24"/>
      </w:rPr>
      <w:t>091</w:t>
    </w:r>
    <w:r w:rsidR="007D1F3A">
      <w:rPr>
        <w:rFonts w:ascii="Times New Roman" w:hAnsi="Times New Roman"/>
        <w:sz w:val="24"/>
        <w:szCs w:val="24"/>
      </w:rPr>
      <w:t>7; Grozījumi Valsts fondēto pensiju likumā</w:t>
    </w:r>
  </w:p>
  <w:p w:rsidR="00D75677" w:rsidRPr="0010488F" w:rsidRDefault="006F0B56" w:rsidP="00D415A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56" w:rsidRDefault="006F0B56" w:rsidP="00080A55">
      <w:pPr>
        <w:spacing w:after="0" w:line="240" w:lineRule="auto"/>
      </w:pPr>
      <w:r>
        <w:separator/>
      </w:r>
    </w:p>
  </w:footnote>
  <w:footnote w:type="continuationSeparator" w:id="0">
    <w:p w:rsidR="006F0B56" w:rsidRDefault="006F0B56" w:rsidP="00080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Default="007D1F3A">
    <w:pPr>
      <w:pStyle w:val="Header"/>
      <w:jc w:val="center"/>
    </w:pPr>
    <w:r>
      <w:fldChar w:fldCharType="begin"/>
    </w:r>
    <w:r>
      <w:instrText xml:space="preserve"> PAGE   \* MERGEFORMAT </w:instrText>
    </w:r>
    <w:r>
      <w:fldChar w:fldCharType="separate"/>
    </w:r>
    <w:r w:rsidR="006A64AA">
      <w:rPr>
        <w:noProof/>
      </w:rPr>
      <w:t>15</w:t>
    </w:r>
    <w:r>
      <w:rPr>
        <w:noProof/>
      </w:rPr>
      <w:fldChar w:fldCharType="end"/>
    </w:r>
  </w:p>
  <w:p w:rsidR="00D75677" w:rsidRDefault="006F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7F51"/>
    <w:multiLevelType w:val="hybridMultilevel"/>
    <w:tmpl w:val="583207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930BCE"/>
    <w:multiLevelType w:val="hybridMultilevel"/>
    <w:tmpl w:val="3134F836"/>
    <w:lvl w:ilvl="0" w:tplc="93906978">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55"/>
    <w:rsid w:val="000007D1"/>
    <w:rsid w:val="00002048"/>
    <w:rsid w:val="00003790"/>
    <w:rsid w:val="00013003"/>
    <w:rsid w:val="0001453B"/>
    <w:rsid w:val="00016458"/>
    <w:rsid w:val="000251DA"/>
    <w:rsid w:val="0003315A"/>
    <w:rsid w:val="00034C32"/>
    <w:rsid w:val="00041368"/>
    <w:rsid w:val="00045021"/>
    <w:rsid w:val="000478B2"/>
    <w:rsid w:val="00050441"/>
    <w:rsid w:val="0005065F"/>
    <w:rsid w:val="00051A24"/>
    <w:rsid w:val="00051C61"/>
    <w:rsid w:val="00057D2E"/>
    <w:rsid w:val="000631FA"/>
    <w:rsid w:val="00064FE0"/>
    <w:rsid w:val="00073F63"/>
    <w:rsid w:val="00080A55"/>
    <w:rsid w:val="00081BD5"/>
    <w:rsid w:val="000852B7"/>
    <w:rsid w:val="00085402"/>
    <w:rsid w:val="00086B42"/>
    <w:rsid w:val="00087B52"/>
    <w:rsid w:val="000910D7"/>
    <w:rsid w:val="000914AE"/>
    <w:rsid w:val="00093CF3"/>
    <w:rsid w:val="000958DF"/>
    <w:rsid w:val="000A0A43"/>
    <w:rsid w:val="000A4600"/>
    <w:rsid w:val="000B57A7"/>
    <w:rsid w:val="000B57D0"/>
    <w:rsid w:val="000C0120"/>
    <w:rsid w:val="000C680D"/>
    <w:rsid w:val="000D0439"/>
    <w:rsid w:val="000D1590"/>
    <w:rsid w:val="000D2757"/>
    <w:rsid w:val="000D3B37"/>
    <w:rsid w:val="000D7731"/>
    <w:rsid w:val="000D7EB3"/>
    <w:rsid w:val="000E3E07"/>
    <w:rsid w:val="000E6C9D"/>
    <w:rsid w:val="000F1A90"/>
    <w:rsid w:val="000F2970"/>
    <w:rsid w:val="000F30AB"/>
    <w:rsid w:val="000F4D42"/>
    <w:rsid w:val="000F6B4A"/>
    <w:rsid w:val="00102775"/>
    <w:rsid w:val="00102835"/>
    <w:rsid w:val="00103B28"/>
    <w:rsid w:val="00106774"/>
    <w:rsid w:val="0011250A"/>
    <w:rsid w:val="00117DDF"/>
    <w:rsid w:val="00117ECD"/>
    <w:rsid w:val="001225BB"/>
    <w:rsid w:val="001229FF"/>
    <w:rsid w:val="00123B64"/>
    <w:rsid w:val="00123C42"/>
    <w:rsid w:val="001251C0"/>
    <w:rsid w:val="00132C38"/>
    <w:rsid w:val="00136B3C"/>
    <w:rsid w:val="00143A06"/>
    <w:rsid w:val="00145599"/>
    <w:rsid w:val="00146E5F"/>
    <w:rsid w:val="00152651"/>
    <w:rsid w:val="0015430F"/>
    <w:rsid w:val="00155211"/>
    <w:rsid w:val="00160473"/>
    <w:rsid w:val="001667B1"/>
    <w:rsid w:val="00171268"/>
    <w:rsid w:val="0017149A"/>
    <w:rsid w:val="001804DB"/>
    <w:rsid w:val="00180E23"/>
    <w:rsid w:val="00181B45"/>
    <w:rsid w:val="001877A1"/>
    <w:rsid w:val="0019570A"/>
    <w:rsid w:val="001A0666"/>
    <w:rsid w:val="001A49F2"/>
    <w:rsid w:val="001A4F52"/>
    <w:rsid w:val="001A4F97"/>
    <w:rsid w:val="001A7073"/>
    <w:rsid w:val="001B0C2A"/>
    <w:rsid w:val="001B5C66"/>
    <w:rsid w:val="001B73F2"/>
    <w:rsid w:val="001C011B"/>
    <w:rsid w:val="001C7127"/>
    <w:rsid w:val="001D3509"/>
    <w:rsid w:val="001D3745"/>
    <w:rsid w:val="001D4F8C"/>
    <w:rsid w:val="001D66EF"/>
    <w:rsid w:val="001D6B38"/>
    <w:rsid w:val="001E6583"/>
    <w:rsid w:val="001E6CE0"/>
    <w:rsid w:val="001F14C4"/>
    <w:rsid w:val="001F366A"/>
    <w:rsid w:val="002025C4"/>
    <w:rsid w:val="00207071"/>
    <w:rsid w:val="002075AD"/>
    <w:rsid w:val="00216D1B"/>
    <w:rsid w:val="00220916"/>
    <w:rsid w:val="00221E9F"/>
    <w:rsid w:val="00222BD6"/>
    <w:rsid w:val="00226973"/>
    <w:rsid w:val="002279EC"/>
    <w:rsid w:val="00227C20"/>
    <w:rsid w:val="002351EA"/>
    <w:rsid w:val="002403C7"/>
    <w:rsid w:val="00244629"/>
    <w:rsid w:val="00244756"/>
    <w:rsid w:val="002465AC"/>
    <w:rsid w:val="0025319B"/>
    <w:rsid w:val="00255179"/>
    <w:rsid w:val="00255EE7"/>
    <w:rsid w:val="00260C0D"/>
    <w:rsid w:val="00264BE9"/>
    <w:rsid w:val="00271E13"/>
    <w:rsid w:val="002727D5"/>
    <w:rsid w:val="00272F11"/>
    <w:rsid w:val="00273BB1"/>
    <w:rsid w:val="00277A72"/>
    <w:rsid w:val="00280692"/>
    <w:rsid w:val="00283CF8"/>
    <w:rsid w:val="00290C80"/>
    <w:rsid w:val="00290FD6"/>
    <w:rsid w:val="00291EA8"/>
    <w:rsid w:val="00292C7B"/>
    <w:rsid w:val="00295C2E"/>
    <w:rsid w:val="002A0203"/>
    <w:rsid w:val="002A0D7F"/>
    <w:rsid w:val="002A1BD1"/>
    <w:rsid w:val="002A3886"/>
    <w:rsid w:val="002B1B6A"/>
    <w:rsid w:val="002B3D72"/>
    <w:rsid w:val="002B7543"/>
    <w:rsid w:val="002B7C4C"/>
    <w:rsid w:val="002C0859"/>
    <w:rsid w:val="002C2A57"/>
    <w:rsid w:val="002C4377"/>
    <w:rsid w:val="002C5CAA"/>
    <w:rsid w:val="002C72D7"/>
    <w:rsid w:val="002D0FBC"/>
    <w:rsid w:val="002D58D5"/>
    <w:rsid w:val="002F1A31"/>
    <w:rsid w:val="00304010"/>
    <w:rsid w:val="00306B6E"/>
    <w:rsid w:val="003128F6"/>
    <w:rsid w:val="00325132"/>
    <w:rsid w:val="003254C5"/>
    <w:rsid w:val="003338A4"/>
    <w:rsid w:val="00344821"/>
    <w:rsid w:val="00344A68"/>
    <w:rsid w:val="00347F41"/>
    <w:rsid w:val="003508AC"/>
    <w:rsid w:val="003578FA"/>
    <w:rsid w:val="00365AC6"/>
    <w:rsid w:val="00365BC5"/>
    <w:rsid w:val="003671D6"/>
    <w:rsid w:val="00371332"/>
    <w:rsid w:val="003770FD"/>
    <w:rsid w:val="00392694"/>
    <w:rsid w:val="00393F09"/>
    <w:rsid w:val="003A18E7"/>
    <w:rsid w:val="003A2114"/>
    <w:rsid w:val="003A3670"/>
    <w:rsid w:val="003A3DE6"/>
    <w:rsid w:val="003A76BA"/>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17035"/>
    <w:rsid w:val="00417277"/>
    <w:rsid w:val="004220D5"/>
    <w:rsid w:val="00426F66"/>
    <w:rsid w:val="00431574"/>
    <w:rsid w:val="00432CEF"/>
    <w:rsid w:val="0043302D"/>
    <w:rsid w:val="00433C24"/>
    <w:rsid w:val="004406B4"/>
    <w:rsid w:val="00444C27"/>
    <w:rsid w:val="00445425"/>
    <w:rsid w:val="004511B8"/>
    <w:rsid w:val="004516D5"/>
    <w:rsid w:val="00452DB7"/>
    <w:rsid w:val="00454159"/>
    <w:rsid w:val="004638D6"/>
    <w:rsid w:val="004672D6"/>
    <w:rsid w:val="0047156D"/>
    <w:rsid w:val="00476D7E"/>
    <w:rsid w:val="0047789D"/>
    <w:rsid w:val="00482437"/>
    <w:rsid w:val="00483DE3"/>
    <w:rsid w:val="00491BCA"/>
    <w:rsid w:val="00493ADB"/>
    <w:rsid w:val="00493B2F"/>
    <w:rsid w:val="00496A7A"/>
    <w:rsid w:val="00497660"/>
    <w:rsid w:val="004A3840"/>
    <w:rsid w:val="004A5697"/>
    <w:rsid w:val="004A7AE1"/>
    <w:rsid w:val="004A7D9C"/>
    <w:rsid w:val="004A7E40"/>
    <w:rsid w:val="004B3CBF"/>
    <w:rsid w:val="004C2AFD"/>
    <w:rsid w:val="004C43AD"/>
    <w:rsid w:val="004C5BA8"/>
    <w:rsid w:val="004C6BDF"/>
    <w:rsid w:val="004D2E6B"/>
    <w:rsid w:val="004D2F15"/>
    <w:rsid w:val="004D64CD"/>
    <w:rsid w:val="004D69EB"/>
    <w:rsid w:val="004E0AB0"/>
    <w:rsid w:val="004E19F0"/>
    <w:rsid w:val="004E2E28"/>
    <w:rsid w:val="004E3383"/>
    <w:rsid w:val="004E4718"/>
    <w:rsid w:val="004E5CCA"/>
    <w:rsid w:val="004E5D2E"/>
    <w:rsid w:val="004E7045"/>
    <w:rsid w:val="004F00AE"/>
    <w:rsid w:val="004F00C0"/>
    <w:rsid w:val="004F0ACD"/>
    <w:rsid w:val="004F2C07"/>
    <w:rsid w:val="004F31A8"/>
    <w:rsid w:val="004F6366"/>
    <w:rsid w:val="00500173"/>
    <w:rsid w:val="00512F96"/>
    <w:rsid w:val="005135CC"/>
    <w:rsid w:val="005146C5"/>
    <w:rsid w:val="005206BC"/>
    <w:rsid w:val="00521B97"/>
    <w:rsid w:val="00522DFF"/>
    <w:rsid w:val="00525ACD"/>
    <w:rsid w:val="00526569"/>
    <w:rsid w:val="00531678"/>
    <w:rsid w:val="00535DF3"/>
    <w:rsid w:val="00536624"/>
    <w:rsid w:val="00536FCB"/>
    <w:rsid w:val="00540D7F"/>
    <w:rsid w:val="00545C7C"/>
    <w:rsid w:val="0054688D"/>
    <w:rsid w:val="0054764E"/>
    <w:rsid w:val="00550A89"/>
    <w:rsid w:val="00551BF0"/>
    <w:rsid w:val="005618ED"/>
    <w:rsid w:val="0056546D"/>
    <w:rsid w:val="00572EEC"/>
    <w:rsid w:val="00577C5D"/>
    <w:rsid w:val="00583219"/>
    <w:rsid w:val="0058365E"/>
    <w:rsid w:val="00591A84"/>
    <w:rsid w:val="005A0B6B"/>
    <w:rsid w:val="005A2BB6"/>
    <w:rsid w:val="005A5729"/>
    <w:rsid w:val="005A6459"/>
    <w:rsid w:val="005A69D6"/>
    <w:rsid w:val="005A6FCB"/>
    <w:rsid w:val="005B1AA5"/>
    <w:rsid w:val="005B2263"/>
    <w:rsid w:val="005B2B4B"/>
    <w:rsid w:val="005C3D8D"/>
    <w:rsid w:val="005D4ED5"/>
    <w:rsid w:val="005E0804"/>
    <w:rsid w:val="005E3464"/>
    <w:rsid w:val="005F0731"/>
    <w:rsid w:val="005F0A7D"/>
    <w:rsid w:val="005F11A9"/>
    <w:rsid w:val="005F2CBC"/>
    <w:rsid w:val="005F5584"/>
    <w:rsid w:val="005F598A"/>
    <w:rsid w:val="005F7391"/>
    <w:rsid w:val="006047DC"/>
    <w:rsid w:val="006108F0"/>
    <w:rsid w:val="00617618"/>
    <w:rsid w:val="00617865"/>
    <w:rsid w:val="00617F87"/>
    <w:rsid w:val="00620B34"/>
    <w:rsid w:val="00622EB3"/>
    <w:rsid w:val="00626B97"/>
    <w:rsid w:val="00626D6A"/>
    <w:rsid w:val="006302D8"/>
    <w:rsid w:val="00630727"/>
    <w:rsid w:val="00631302"/>
    <w:rsid w:val="00631FA3"/>
    <w:rsid w:val="00633934"/>
    <w:rsid w:val="006358C3"/>
    <w:rsid w:val="006462B0"/>
    <w:rsid w:val="00655300"/>
    <w:rsid w:val="00655F02"/>
    <w:rsid w:val="00656093"/>
    <w:rsid w:val="00656961"/>
    <w:rsid w:val="0065741D"/>
    <w:rsid w:val="00657AD2"/>
    <w:rsid w:val="00657C10"/>
    <w:rsid w:val="00666279"/>
    <w:rsid w:val="0066748D"/>
    <w:rsid w:val="00667E8F"/>
    <w:rsid w:val="0067791C"/>
    <w:rsid w:val="006864DA"/>
    <w:rsid w:val="00686EF8"/>
    <w:rsid w:val="00690637"/>
    <w:rsid w:val="006915C5"/>
    <w:rsid w:val="00691795"/>
    <w:rsid w:val="00692709"/>
    <w:rsid w:val="00693DA8"/>
    <w:rsid w:val="006A0244"/>
    <w:rsid w:val="006A04BF"/>
    <w:rsid w:val="006A3204"/>
    <w:rsid w:val="006A3767"/>
    <w:rsid w:val="006A389C"/>
    <w:rsid w:val="006A3DEA"/>
    <w:rsid w:val="006A43CD"/>
    <w:rsid w:val="006A43D1"/>
    <w:rsid w:val="006A5394"/>
    <w:rsid w:val="006A59C7"/>
    <w:rsid w:val="006A64AA"/>
    <w:rsid w:val="006B037A"/>
    <w:rsid w:val="006B5BE2"/>
    <w:rsid w:val="006C14B3"/>
    <w:rsid w:val="006C16C5"/>
    <w:rsid w:val="006C62EB"/>
    <w:rsid w:val="006D1174"/>
    <w:rsid w:val="006D238C"/>
    <w:rsid w:val="006E110E"/>
    <w:rsid w:val="006E240D"/>
    <w:rsid w:val="006E552A"/>
    <w:rsid w:val="006E7373"/>
    <w:rsid w:val="006F0B56"/>
    <w:rsid w:val="006F17FC"/>
    <w:rsid w:val="006F2F2C"/>
    <w:rsid w:val="006F3D25"/>
    <w:rsid w:val="00701C20"/>
    <w:rsid w:val="00706E80"/>
    <w:rsid w:val="00710648"/>
    <w:rsid w:val="00711912"/>
    <w:rsid w:val="00711CA2"/>
    <w:rsid w:val="007137C7"/>
    <w:rsid w:val="00716B50"/>
    <w:rsid w:val="00716EDB"/>
    <w:rsid w:val="007206A0"/>
    <w:rsid w:val="00725188"/>
    <w:rsid w:val="0072571E"/>
    <w:rsid w:val="00725C26"/>
    <w:rsid w:val="0072729D"/>
    <w:rsid w:val="00731C30"/>
    <w:rsid w:val="00732ABA"/>
    <w:rsid w:val="00735D76"/>
    <w:rsid w:val="007401DC"/>
    <w:rsid w:val="00745D57"/>
    <w:rsid w:val="007508B7"/>
    <w:rsid w:val="00750D09"/>
    <w:rsid w:val="007525C5"/>
    <w:rsid w:val="0075356C"/>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D02C0"/>
    <w:rsid w:val="007D1F3A"/>
    <w:rsid w:val="007D344D"/>
    <w:rsid w:val="007D51B0"/>
    <w:rsid w:val="007D5ABB"/>
    <w:rsid w:val="007E5E7E"/>
    <w:rsid w:val="007F21DA"/>
    <w:rsid w:val="007F7820"/>
    <w:rsid w:val="007F7EB5"/>
    <w:rsid w:val="00802A34"/>
    <w:rsid w:val="0080360C"/>
    <w:rsid w:val="00803EDE"/>
    <w:rsid w:val="00806204"/>
    <w:rsid w:val="00807BCE"/>
    <w:rsid w:val="00810812"/>
    <w:rsid w:val="0081595C"/>
    <w:rsid w:val="0081608E"/>
    <w:rsid w:val="00820598"/>
    <w:rsid w:val="00821B64"/>
    <w:rsid w:val="00821E4E"/>
    <w:rsid w:val="008259BF"/>
    <w:rsid w:val="008266F2"/>
    <w:rsid w:val="008317AF"/>
    <w:rsid w:val="008336ED"/>
    <w:rsid w:val="00840775"/>
    <w:rsid w:val="00852CD8"/>
    <w:rsid w:val="008554B7"/>
    <w:rsid w:val="00856A03"/>
    <w:rsid w:val="00867AD1"/>
    <w:rsid w:val="00872B06"/>
    <w:rsid w:val="008751E1"/>
    <w:rsid w:val="00881F00"/>
    <w:rsid w:val="00885048"/>
    <w:rsid w:val="00892440"/>
    <w:rsid w:val="00892575"/>
    <w:rsid w:val="00895010"/>
    <w:rsid w:val="00895EFC"/>
    <w:rsid w:val="008961D2"/>
    <w:rsid w:val="008A0BB4"/>
    <w:rsid w:val="008A157B"/>
    <w:rsid w:val="008A2BAC"/>
    <w:rsid w:val="008B561A"/>
    <w:rsid w:val="008B7994"/>
    <w:rsid w:val="008C62A0"/>
    <w:rsid w:val="008D3FFE"/>
    <w:rsid w:val="008D4FF7"/>
    <w:rsid w:val="008D57CB"/>
    <w:rsid w:val="008E18BC"/>
    <w:rsid w:val="008E2054"/>
    <w:rsid w:val="008E4E50"/>
    <w:rsid w:val="008E5D8E"/>
    <w:rsid w:val="008E6551"/>
    <w:rsid w:val="008F0FC4"/>
    <w:rsid w:val="008F1A3A"/>
    <w:rsid w:val="008F4F4F"/>
    <w:rsid w:val="00901762"/>
    <w:rsid w:val="009020E7"/>
    <w:rsid w:val="009041DC"/>
    <w:rsid w:val="00905ACF"/>
    <w:rsid w:val="00906953"/>
    <w:rsid w:val="00906E2A"/>
    <w:rsid w:val="00906EC7"/>
    <w:rsid w:val="00915542"/>
    <w:rsid w:val="00915B2A"/>
    <w:rsid w:val="0091674B"/>
    <w:rsid w:val="00930514"/>
    <w:rsid w:val="00930ABC"/>
    <w:rsid w:val="0093474C"/>
    <w:rsid w:val="00936A2A"/>
    <w:rsid w:val="00936F7D"/>
    <w:rsid w:val="0095102F"/>
    <w:rsid w:val="00951C8C"/>
    <w:rsid w:val="0095309A"/>
    <w:rsid w:val="009566E1"/>
    <w:rsid w:val="00957E43"/>
    <w:rsid w:val="00960509"/>
    <w:rsid w:val="00961067"/>
    <w:rsid w:val="0096343C"/>
    <w:rsid w:val="00963DDB"/>
    <w:rsid w:val="0096626A"/>
    <w:rsid w:val="0097034B"/>
    <w:rsid w:val="009734D0"/>
    <w:rsid w:val="00974AD4"/>
    <w:rsid w:val="00977E20"/>
    <w:rsid w:val="00982381"/>
    <w:rsid w:val="0098688C"/>
    <w:rsid w:val="00986997"/>
    <w:rsid w:val="009914CA"/>
    <w:rsid w:val="009924FB"/>
    <w:rsid w:val="009A050E"/>
    <w:rsid w:val="009A27ED"/>
    <w:rsid w:val="009A396E"/>
    <w:rsid w:val="009A5222"/>
    <w:rsid w:val="009B240D"/>
    <w:rsid w:val="009B2BFA"/>
    <w:rsid w:val="009B4D4C"/>
    <w:rsid w:val="009C2C5B"/>
    <w:rsid w:val="009C7832"/>
    <w:rsid w:val="009D2B22"/>
    <w:rsid w:val="009D4DAF"/>
    <w:rsid w:val="009E12DB"/>
    <w:rsid w:val="009E1E8F"/>
    <w:rsid w:val="009E457E"/>
    <w:rsid w:val="009F3C8A"/>
    <w:rsid w:val="009F4F85"/>
    <w:rsid w:val="00A0379B"/>
    <w:rsid w:val="00A05951"/>
    <w:rsid w:val="00A10437"/>
    <w:rsid w:val="00A1471F"/>
    <w:rsid w:val="00A15B76"/>
    <w:rsid w:val="00A172B5"/>
    <w:rsid w:val="00A21892"/>
    <w:rsid w:val="00A23955"/>
    <w:rsid w:val="00A2496E"/>
    <w:rsid w:val="00A276A8"/>
    <w:rsid w:val="00A329A2"/>
    <w:rsid w:val="00A35349"/>
    <w:rsid w:val="00A36FB6"/>
    <w:rsid w:val="00A42A0D"/>
    <w:rsid w:val="00A43C76"/>
    <w:rsid w:val="00A44828"/>
    <w:rsid w:val="00A44984"/>
    <w:rsid w:val="00A45CA8"/>
    <w:rsid w:val="00A46E47"/>
    <w:rsid w:val="00A4751A"/>
    <w:rsid w:val="00A61412"/>
    <w:rsid w:val="00A631E8"/>
    <w:rsid w:val="00A705C7"/>
    <w:rsid w:val="00A7104F"/>
    <w:rsid w:val="00A72E00"/>
    <w:rsid w:val="00A75F2F"/>
    <w:rsid w:val="00A77A12"/>
    <w:rsid w:val="00A80E85"/>
    <w:rsid w:val="00A81FA4"/>
    <w:rsid w:val="00A82F32"/>
    <w:rsid w:val="00A875CC"/>
    <w:rsid w:val="00A919F9"/>
    <w:rsid w:val="00AA1BEF"/>
    <w:rsid w:val="00AA1DEC"/>
    <w:rsid w:val="00AA1EE9"/>
    <w:rsid w:val="00AA32DE"/>
    <w:rsid w:val="00AB077B"/>
    <w:rsid w:val="00AC348C"/>
    <w:rsid w:val="00AC457A"/>
    <w:rsid w:val="00AC6541"/>
    <w:rsid w:val="00AC7928"/>
    <w:rsid w:val="00AD536E"/>
    <w:rsid w:val="00AD5BB8"/>
    <w:rsid w:val="00AD5BC5"/>
    <w:rsid w:val="00AD60E5"/>
    <w:rsid w:val="00AD7B09"/>
    <w:rsid w:val="00AE6084"/>
    <w:rsid w:val="00AF02AD"/>
    <w:rsid w:val="00AF03DC"/>
    <w:rsid w:val="00AF266F"/>
    <w:rsid w:val="00AF3022"/>
    <w:rsid w:val="00AF7091"/>
    <w:rsid w:val="00B00B5A"/>
    <w:rsid w:val="00B018FC"/>
    <w:rsid w:val="00B01B60"/>
    <w:rsid w:val="00B03603"/>
    <w:rsid w:val="00B04FA4"/>
    <w:rsid w:val="00B07B26"/>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2ABF"/>
    <w:rsid w:val="00B436BB"/>
    <w:rsid w:val="00B50907"/>
    <w:rsid w:val="00B5315B"/>
    <w:rsid w:val="00B577B3"/>
    <w:rsid w:val="00B605AA"/>
    <w:rsid w:val="00B6124E"/>
    <w:rsid w:val="00B62C4C"/>
    <w:rsid w:val="00B63CEB"/>
    <w:rsid w:val="00B645A1"/>
    <w:rsid w:val="00B64EE4"/>
    <w:rsid w:val="00B67B26"/>
    <w:rsid w:val="00B71FE1"/>
    <w:rsid w:val="00B74A8D"/>
    <w:rsid w:val="00B74BF1"/>
    <w:rsid w:val="00B81339"/>
    <w:rsid w:val="00B81F18"/>
    <w:rsid w:val="00B851B4"/>
    <w:rsid w:val="00B86363"/>
    <w:rsid w:val="00B90114"/>
    <w:rsid w:val="00B91095"/>
    <w:rsid w:val="00B94D0B"/>
    <w:rsid w:val="00B964F4"/>
    <w:rsid w:val="00BA001D"/>
    <w:rsid w:val="00BB14C1"/>
    <w:rsid w:val="00BC31F6"/>
    <w:rsid w:val="00BC4ABD"/>
    <w:rsid w:val="00BC546C"/>
    <w:rsid w:val="00BC6334"/>
    <w:rsid w:val="00BD1A20"/>
    <w:rsid w:val="00BD30FC"/>
    <w:rsid w:val="00BD4F4F"/>
    <w:rsid w:val="00BD5216"/>
    <w:rsid w:val="00BD5905"/>
    <w:rsid w:val="00BD6D83"/>
    <w:rsid w:val="00BE2272"/>
    <w:rsid w:val="00BE4007"/>
    <w:rsid w:val="00BF02C8"/>
    <w:rsid w:val="00BF0ADA"/>
    <w:rsid w:val="00BF0B52"/>
    <w:rsid w:val="00BF1BD3"/>
    <w:rsid w:val="00BF3F2F"/>
    <w:rsid w:val="00BF5213"/>
    <w:rsid w:val="00C00854"/>
    <w:rsid w:val="00C02920"/>
    <w:rsid w:val="00C03578"/>
    <w:rsid w:val="00C10CE7"/>
    <w:rsid w:val="00C12152"/>
    <w:rsid w:val="00C14FB3"/>
    <w:rsid w:val="00C1718F"/>
    <w:rsid w:val="00C20365"/>
    <w:rsid w:val="00C21B96"/>
    <w:rsid w:val="00C2386F"/>
    <w:rsid w:val="00C23EF1"/>
    <w:rsid w:val="00C25484"/>
    <w:rsid w:val="00C26757"/>
    <w:rsid w:val="00C2675B"/>
    <w:rsid w:val="00C26D28"/>
    <w:rsid w:val="00C30EE2"/>
    <w:rsid w:val="00C37F27"/>
    <w:rsid w:val="00C42A4B"/>
    <w:rsid w:val="00C43030"/>
    <w:rsid w:val="00C463BC"/>
    <w:rsid w:val="00C5014E"/>
    <w:rsid w:val="00C5795A"/>
    <w:rsid w:val="00C601F7"/>
    <w:rsid w:val="00C6037A"/>
    <w:rsid w:val="00C6143C"/>
    <w:rsid w:val="00C625A5"/>
    <w:rsid w:val="00C62771"/>
    <w:rsid w:val="00C71C6E"/>
    <w:rsid w:val="00C72669"/>
    <w:rsid w:val="00C75757"/>
    <w:rsid w:val="00C76429"/>
    <w:rsid w:val="00C800FD"/>
    <w:rsid w:val="00C806AF"/>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2CFA"/>
    <w:rsid w:val="00CB4AC4"/>
    <w:rsid w:val="00CB69AF"/>
    <w:rsid w:val="00CC6C8E"/>
    <w:rsid w:val="00CD10B6"/>
    <w:rsid w:val="00CD1587"/>
    <w:rsid w:val="00CE15E0"/>
    <w:rsid w:val="00CE2583"/>
    <w:rsid w:val="00CF16C4"/>
    <w:rsid w:val="00CF1BED"/>
    <w:rsid w:val="00D01646"/>
    <w:rsid w:val="00D03AFF"/>
    <w:rsid w:val="00D1117D"/>
    <w:rsid w:val="00D11A33"/>
    <w:rsid w:val="00D11CF6"/>
    <w:rsid w:val="00D12984"/>
    <w:rsid w:val="00D140F6"/>
    <w:rsid w:val="00D15C5B"/>
    <w:rsid w:val="00D20EB2"/>
    <w:rsid w:val="00D33271"/>
    <w:rsid w:val="00D37239"/>
    <w:rsid w:val="00D413DF"/>
    <w:rsid w:val="00D41E42"/>
    <w:rsid w:val="00D45456"/>
    <w:rsid w:val="00D5049E"/>
    <w:rsid w:val="00D50A53"/>
    <w:rsid w:val="00D53C15"/>
    <w:rsid w:val="00D53EF1"/>
    <w:rsid w:val="00D5525D"/>
    <w:rsid w:val="00D649A7"/>
    <w:rsid w:val="00D72144"/>
    <w:rsid w:val="00D75E1E"/>
    <w:rsid w:val="00D7660B"/>
    <w:rsid w:val="00D81EBE"/>
    <w:rsid w:val="00D8494A"/>
    <w:rsid w:val="00D93AD9"/>
    <w:rsid w:val="00D94B6A"/>
    <w:rsid w:val="00D95F8B"/>
    <w:rsid w:val="00D9607E"/>
    <w:rsid w:val="00D97758"/>
    <w:rsid w:val="00DA0352"/>
    <w:rsid w:val="00DA4F10"/>
    <w:rsid w:val="00DA6DE5"/>
    <w:rsid w:val="00DB1312"/>
    <w:rsid w:val="00DC100F"/>
    <w:rsid w:val="00DC41D0"/>
    <w:rsid w:val="00DD1EEB"/>
    <w:rsid w:val="00DD36E2"/>
    <w:rsid w:val="00DE5F1B"/>
    <w:rsid w:val="00DE6432"/>
    <w:rsid w:val="00DF51A0"/>
    <w:rsid w:val="00DF5B63"/>
    <w:rsid w:val="00DF5E56"/>
    <w:rsid w:val="00DF609F"/>
    <w:rsid w:val="00DF725A"/>
    <w:rsid w:val="00DF73C2"/>
    <w:rsid w:val="00E01043"/>
    <w:rsid w:val="00E026A1"/>
    <w:rsid w:val="00E03073"/>
    <w:rsid w:val="00E052C0"/>
    <w:rsid w:val="00E054E0"/>
    <w:rsid w:val="00E05E28"/>
    <w:rsid w:val="00E0601C"/>
    <w:rsid w:val="00E07025"/>
    <w:rsid w:val="00E14190"/>
    <w:rsid w:val="00E15D73"/>
    <w:rsid w:val="00E24695"/>
    <w:rsid w:val="00E26CB0"/>
    <w:rsid w:val="00E33221"/>
    <w:rsid w:val="00E355FE"/>
    <w:rsid w:val="00E40719"/>
    <w:rsid w:val="00E41EFF"/>
    <w:rsid w:val="00E42C10"/>
    <w:rsid w:val="00E435A3"/>
    <w:rsid w:val="00E44912"/>
    <w:rsid w:val="00E45EFC"/>
    <w:rsid w:val="00E471ED"/>
    <w:rsid w:val="00E47B83"/>
    <w:rsid w:val="00E47F3C"/>
    <w:rsid w:val="00E50004"/>
    <w:rsid w:val="00E51BCA"/>
    <w:rsid w:val="00E53818"/>
    <w:rsid w:val="00E55218"/>
    <w:rsid w:val="00E55B0C"/>
    <w:rsid w:val="00E55FA2"/>
    <w:rsid w:val="00E615B6"/>
    <w:rsid w:val="00E62F64"/>
    <w:rsid w:val="00E63DD6"/>
    <w:rsid w:val="00E6552A"/>
    <w:rsid w:val="00E73DA5"/>
    <w:rsid w:val="00E747D8"/>
    <w:rsid w:val="00E76268"/>
    <w:rsid w:val="00E76BE4"/>
    <w:rsid w:val="00E8225F"/>
    <w:rsid w:val="00E846D2"/>
    <w:rsid w:val="00E93DFB"/>
    <w:rsid w:val="00E95284"/>
    <w:rsid w:val="00E956E5"/>
    <w:rsid w:val="00E96E01"/>
    <w:rsid w:val="00EA1EB5"/>
    <w:rsid w:val="00EA37B5"/>
    <w:rsid w:val="00EA7718"/>
    <w:rsid w:val="00EB46CC"/>
    <w:rsid w:val="00EC11A8"/>
    <w:rsid w:val="00EC6095"/>
    <w:rsid w:val="00ED2EEF"/>
    <w:rsid w:val="00ED3669"/>
    <w:rsid w:val="00ED38C0"/>
    <w:rsid w:val="00ED7571"/>
    <w:rsid w:val="00EE7778"/>
    <w:rsid w:val="00EF4D6B"/>
    <w:rsid w:val="00F018EA"/>
    <w:rsid w:val="00F02475"/>
    <w:rsid w:val="00F0458B"/>
    <w:rsid w:val="00F04B39"/>
    <w:rsid w:val="00F055A1"/>
    <w:rsid w:val="00F066F6"/>
    <w:rsid w:val="00F103D7"/>
    <w:rsid w:val="00F14FD3"/>
    <w:rsid w:val="00F150C5"/>
    <w:rsid w:val="00F16672"/>
    <w:rsid w:val="00F22A37"/>
    <w:rsid w:val="00F24CD6"/>
    <w:rsid w:val="00F30D68"/>
    <w:rsid w:val="00F3188C"/>
    <w:rsid w:val="00F31F16"/>
    <w:rsid w:val="00F32074"/>
    <w:rsid w:val="00F332A2"/>
    <w:rsid w:val="00F35D29"/>
    <w:rsid w:val="00F3793D"/>
    <w:rsid w:val="00F4165A"/>
    <w:rsid w:val="00F44D8F"/>
    <w:rsid w:val="00F47CE2"/>
    <w:rsid w:val="00F52110"/>
    <w:rsid w:val="00F5460A"/>
    <w:rsid w:val="00F54FE7"/>
    <w:rsid w:val="00F67568"/>
    <w:rsid w:val="00F70E49"/>
    <w:rsid w:val="00F714D0"/>
    <w:rsid w:val="00F717B2"/>
    <w:rsid w:val="00F73DB1"/>
    <w:rsid w:val="00F76882"/>
    <w:rsid w:val="00F83298"/>
    <w:rsid w:val="00F853CF"/>
    <w:rsid w:val="00F864B5"/>
    <w:rsid w:val="00F86961"/>
    <w:rsid w:val="00F8698D"/>
    <w:rsid w:val="00F942C8"/>
    <w:rsid w:val="00F97A86"/>
    <w:rsid w:val="00FA045E"/>
    <w:rsid w:val="00FA1C82"/>
    <w:rsid w:val="00FA2563"/>
    <w:rsid w:val="00FB099D"/>
    <w:rsid w:val="00FB5C1D"/>
    <w:rsid w:val="00FC588F"/>
    <w:rsid w:val="00FC625C"/>
    <w:rsid w:val="00FC7DB6"/>
    <w:rsid w:val="00FD0F03"/>
    <w:rsid w:val="00FD28F6"/>
    <w:rsid w:val="00FD334C"/>
    <w:rsid w:val="00FD4503"/>
    <w:rsid w:val="00FD6D78"/>
    <w:rsid w:val="00FE1A39"/>
    <w:rsid w:val="00FE397B"/>
    <w:rsid w:val="00FE4F1D"/>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A55"/>
  </w:style>
  <w:style w:type="paragraph" w:styleId="Footer">
    <w:name w:val="footer"/>
    <w:basedOn w:val="Normal"/>
    <w:link w:val="FooterChar"/>
    <w:uiPriority w:val="99"/>
    <w:unhideWhenUsed/>
    <w:rsid w:val="00080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A55"/>
  </w:style>
  <w:style w:type="paragraph" w:customStyle="1" w:styleId="tv213">
    <w:name w:val="tv213"/>
    <w:basedOn w:val="Normal"/>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80A55"/>
    <w:rPr>
      <w:color w:val="0000FF"/>
      <w:u w:val="single"/>
    </w:rPr>
  </w:style>
  <w:style w:type="paragraph" w:styleId="ListParagraph">
    <w:name w:val="List Paragraph"/>
    <w:basedOn w:val="Normal"/>
    <w:uiPriority w:val="34"/>
    <w:qFormat/>
    <w:rsid w:val="00080A55"/>
    <w:pPr>
      <w:ind w:left="720"/>
      <w:contextualSpacing/>
    </w:pPr>
    <w:rPr>
      <w:lang w:val="en-US"/>
    </w:rPr>
  </w:style>
  <w:style w:type="character" w:styleId="CommentReference">
    <w:name w:val="annotation reference"/>
    <w:basedOn w:val="DefaultParagraphFont"/>
    <w:uiPriority w:val="99"/>
    <w:semiHidden/>
    <w:unhideWhenUsed/>
    <w:rsid w:val="00080A55"/>
    <w:rPr>
      <w:sz w:val="16"/>
      <w:szCs w:val="16"/>
    </w:rPr>
  </w:style>
  <w:style w:type="paragraph" w:styleId="CommentText">
    <w:name w:val="annotation text"/>
    <w:basedOn w:val="Normal"/>
    <w:link w:val="CommentTextChar"/>
    <w:uiPriority w:val="99"/>
    <w:semiHidden/>
    <w:unhideWhenUsed/>
    <w:rsid w:val="00080A55"/>
    <w:pPr>
      <w:spacing w:line="240" w:lineRule="auto"/>
    </w:pPr>
    <w:rPr>
      <w:sz w:val="20"/>
      <w:szCs w:val="20"/>
    </w:rPr>
  </w:style>
  <w:style w:type="character" w:customStyle="1" w:styleId="CommentTextChar">
    <w:name w:val="Comment Text Char"/>
    <w:basedOn w:val="DefaultParagraphFont"/>
    <w:link w:val="CommentText"/>
    <w:uiPriority w:val="99"/>
    <w:semiHidden/>
    <w:rsid w:val="00080A55"/>
    <w:rPr>
      <w:sz w:val="20"/>
      <w:szCs w:val="20"/>
    </w:rPr>
  </w:style>
  <w:style w:type="paragraph" w:customStyle="1" w:styleId="tv2131">
    <w:name w:val="tv2131"/>
    <w:basedOn w:val="Normal"/>
    <w:rsid w:val="00080A55"/>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80A5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80A5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0A5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55"/>
    <w:rPr>
      <w:sz w:val="20"/>
      <w:szCs w:val="20"/>
    </w:rPr>
  </w:style>
  <w:style w:type="character" w:styleId="FootnoteReference">
    <w:name w:val="footnote reference"/>
    <w:basedOn w:val="DefaultParagraphFont"/>
    <w:uiPriority w:val="99"/>
    <w:semiHidden/>
    <w:unhideWhenUsed/>
    <w:rsid w:val="00080A55"/>
    <w:rPr>
      <w:vertAlign w:val="superscript"/>
    </w:rPr>
  </w:style>
  <w:style w:type="paragraph" w:styleId="BalloonText">
    <w:name w:val="Balloon Text"/>
    <w:basedOn w:val="Normal"/>
    <w:link w:val="BalloonTextChar"/>
    <w:uiPriority w:val="99"/>
    <w:semiHidden/>
    <w:unhideWhenUsed/>
    <w:rsid w:val="000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2074"/>
    <w:rPr>
      <w:b/>
      <w:bCs/>
    </w:rPr>
  </w:style>
  <w:style w:type="character" w:customStyle="1" w:styleId="CommentSubjectChar">
    <w:name w:val="Comment Subject Char"/>
    <w:basedOn w:val="CommentTextChar"/>
    <w:link w:val="CommentSubject"/>
    <w:uiPriority w:val="99"/>
    <w:semiHidden/>
    <w:rsid w:val="00F320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A55"/>
  </w:style>
  <w:style w:type="paragraph" w:styleId="Footer">
    <w:name w:val="footer"/>
    <w:basedOn w:val="Normal"/>
    <w:link w:val="FooterChar"/>
    <w:uiPriority w:val="99"/>
    <w:unhideWhenUsed/>
    <w:rsid w:val="00080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A55"/>
  </w:style>
  <w:style w:type="paragraph" w:customStyle="1" w:styleId="tv213">
    <w:name w:val="tv213"/>
    <w:basedOn w:val="Normal"/>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80A55"/>
    <w:rPr>
      <w:color w:val="0000FF"/>
      <w:u w:val="single"/>
    </w:rPr>
  </w:style>
  <w:style w:type="paragraph" w:styleId="ListParagraph">
    <w:name w:val="List Paragraph"/>
    <w:basedOn w:val="Normal"/>
    <w:uiPriority w:val="34"/>
    <w:qFormat/>
    <w:rsid w:val="00080A55"/>
    <w:pPr>
      <w:ind w:left="720"/>
      <w:contextualSpacing/>
    </w:pPr>
    <w:rPr>
      <w:lang w:val="en-US"/>
    </w:rPr>
  </w:style>
  <w:style w:type="character" w:styleId="CommentReference">
    <w:name w:val="annotation reference"/>
    <w:basedOn w:val="DefaultParagraphFont"/>
    <w:uiPriority w:val="99"/>
    <w:semiHidden/>
    <w:unhideWhenUsed/>
    <w:rsid w:val="00080A55"/>
    <w:rPr>
      <w:sz w:val="16"/>
      <w:szCs w:val="16"/>
    </w:rPr>
  </w:style>
  <w:style w:type="paragraph" w:styleId="CommentText">
    <w:name w:val="annotation text"/>
    <w:basedOn w:val="Normal"/>
    <w:link w:val="CommentTextChar"/>
    <w:uiPriority w:val="99"/>
    <w:semiHidden/>
    <w:unhideWhenUsed/>
    <w:rsid w:val="00080A55"/>
    <w:pPr>
      <w:spacing w:line="240" w:lineRule="auto"/>
    </w:pPr>
    <w:rPr>
      <w:sz w:val="20"/>
      <w:szCs w:val="20"/>
    </w:rPr>
  </w:style>
  <w:style w:type="character" w:customStyle="1" w:styleId="CommentTextChar">
    <w:name w:val="Comment Text Char"/>
    <w:basedOn w:val="DefaultParagraphFont"/>
    <w:link w:val="CommentText"/>
    <w:uiPriority w:val="99"/>
    <w:semiHidden/>
    <w:rsid w:val="00080A55"/>
    <w:rPr>
      <w:sz w:val="20"/>
      <w:szCs w:val="20"/>
    </w:rPr>
  </w:style>
  <w:style w:type="paragraph" w:customStyle="1" w:styleId="tv2131">
    <w:name w:val="tv2131"/>
    <w:basedOn w:val="Normal"/>
    <w:rsid w:val="00080A55"/>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80A5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80A5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0A5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55"/>
    <w:rPr>
      <w:sz w:val="20"/>
      <w:szCs w:val="20"/>
    </w:rPr>
  </w:style>
  <w:style w:type="character" w:styleId="FootnoteReference">
    <w:name w:val="footnote reference"/>
    <w:basedOn w:val="DefaultParagraphFont"/>
    <w:uiPriority w:val="99"/>
    <w:semiHidden/>
    <w:unhideWhenUsed/>
    <w:rsid w:val="00080A55"/>
    <w:rPr>
      <w:vertAlign w:val="superscript"/>
    </w:rPr>
  </w:style>
  <w:style w:type="paragraph" w:styleId="BalloonText">
    <w:name w:val="Balloon Text"/>
    <w:basedOn w:val="Normal"/>
    <w:link w:val="BalloonTextChar"/>
    <w:uiPriority w:val="99"/>
    <w:semiHidden/>
    <w:unhideWhenUsed/>
    <w:rsid w:val="000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2074"/>
    <w:rPr>
      <w:b/>
      <w:bCs/>
    </w:rPr>
  </w:style>
  <w:style w:type="character" w:customStyle="1" w:styleId="CommentSubjectChar">
    <w:name w:val="Comment Subject Char"/>
    <w:basedOn w:val="CommentTextChar"/>
    <w:link w:val="CommentSubject"/>
    <w:uiPriority w:val="99"/>
    <w:semiHidden/>
    <w:rsid w:val="00F32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34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e.Trusinska@l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ceTr.LM\Documents\DACE%202\2%20limenis\2017\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ceTr.LM\AppData\Local\Temp\notesFCBCEE\~04347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99134294494693E-2"/>
          <c:y val="8.6169790053277323E-2"/>
          <c:w val="0.87305202428948148"/>
          <c:h val="0.55496475119774602"/>
        </c:manualLayout>
      </c:layout>
      <c:lineChart>
        <c:grouping val="standard"/>
        <c:varyColors val="0"/>
        <c:ser>
          <c:idx val="0"/>
          <c:order val="0"/>
          <c:tx>
            <c:strRef>
              <c:f>Sheet3!$B$24</c:f>
              <c:strCache>
                <c:ptCount val="1"/>
                <c:pt idx="0">
                  <c:v>Aktīvo dalībnieku skaits </c:v>
                </c:pt>
              </c:strCache>
            </c:strRef>
          </c:tx>
          <c:dLbls>
            <c:dLbl>
              <c:idx val="1"/>
              <c:layout>
                <c:manualLayout>
                  <c:x val="-2.5715891763259342E-2"/>
                  <c:y val="5.0736409765735825E-2"/>
                </c:manualLayout>
              </c:layout>
              <c:dLblPos val="r"/>
              <c:showLegendKey val="0"/>
              <c:showVal val="1"/>
              <c:showCatName val="0"/>
              <c:showSerName val="0"/>
              <c:showPercent val="0"/>
              <c:showBubbleSize val="0"/>
            </c:dLbl>
            <c:dLbl>
              <c:idx val="2"/>
              <c:layout>
                <c:manualLayout>
                  <c:x val="-6.2756107154180341E-2"/>
                  <c:y val="-3.8109328436669414E-2"/>
                </c:manualLayout>
              </c:layout>
              <c:dLblPos val="r"/>
              <c:showLegendKey val="0"/>
              <c:showVal val="1"/>
              <c:showCatName val="0"/>
              <c:showSerName val="0"/>
              <c:showPercent val="0"/>
              <c:showBubbleSize val="0"/>
            </c:dLbl>
            <c:dLbl>
              <c:idx val="3"/>
              <c:layout>
                <c:manualLayout>
                  <c:x val="8.9048709696360837E-3"/>
                  <c:y val="-7.160559908480418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Sheet3!$C$23:$F$23</c:f>
              <c:numCache>
                <c:formatCode>General</c:formatCode>
                <c:ptCount val="4"/>
                <c:pt idx="0">
                  <c:v>2013</c:v>
                </c:pt>
                <c:pt idx="1">
                  <c:v>2014</c:v>
                </c:pt>
                <c:pt idx="2">
                  <c:v>2015</c:v>
                </c:pt>
                <c:pt idx="3">
                  <c:v>2016</c:v>
                </c:pt>
              </c:numCache>
            </c:numRef>
          </c:cat>
          <c:val>
            <c:numRef>
              <c:f>Sheet3!$C$24:$F$24</c:f>
              <c:numCache>
                <c:formatCode>General</c:formatCode>
                <c:ptCount val="4"/>
                <c:pt idx="0">
                  <c:v>4.2</c:v>
                </c:pt>
                <c:pt idx="1">
                  <c:v>4</c:v>
                </c:pt>
                <c:pt idx="2">
                  <c:v>-1.3</c:v>
                </c:pt>
                <c:pt idx="3">
                  <c:v>0.6</c:v>
                </c:pt>
              </c:numCache>
            </c:numRef>
          </c:val>
          <c:smooth val="0"/>
        </c:ser>
        <c:ser>
          <c:idx val="1"/>
          <c:order val="1"/>
          <c:tx>
            <c:strRef>
              <c:f>Sheet3!$B$25</c:f>
              <c:strCache>
                <c:ptCount val="1"/>
                <c:pt idx="0">
                  <c:v>VFPS līdzekļu ieguldījumu plānu izdevumi</c:v>
                </c:pt>
              </c:strCache>
            </c:strRef>
          </c:tx>
          <c:dLbls>
            <c:dLbl>
              <c:idx val="1"/>
              <c:layout>
                <c:manualLayout>
                  <c:x val="-3.113247339449603E-2"/>
                  <c:y val="-6.1651825484213323E-2"/>
                </c:manualLayout>
              </c:layout>
              <c:dLblPos val="r"/>
              <c:showLegendKey val="0"/>
              <c:showVal val="1"/>
              <c:showCatName val="0"/>
              <c:showSerName val="0"/>
              <c:showPercent val="0"/>
              <c:showBubbleSize val="0"/>
            </c:dLbl>
            <c:dLbl>
              <c:idx val="2"/>
              <c:layout>
                <c:manualLayout>
                  <c:x val="-1.6175210953763553E-2"/>
                  <c:y val="2.008507287938604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Sheet3!$C$23:$F$23</c:f>
              <c:numCache>
                <c:formatCode>General</c:formatCode>
                <c:ptCount val="4"/>
                <c:pt idx="0">
                  <c:v>2013</c:v>
                </c:pt>
                <c:pt idx="1">
                  <c:v>2014</c:v>
                </c:pt>
                <c:pt idx="2">
                  <c:v>2015</c:v>
                </c:pt>
                <c:pt idx="3">
                  <c:v>2016</c:v>
                </c:pt>
              </c:numCache>
            </c:numRef>
          </c:cat>
          <c:val>
            <c:numRef>
              <c:f>Sheet3!$C$25:$F$25</c:f>
              <c:numCache>
                <c:formatCode>General</c:formatCode>
                <c:ptCount val="4"/>
                <c:pt idx="0">
                  <c:v>16</c:v>
                </c:pt>
                <c:pt idx="1">
                  <c:v>18</c:v>
                </c:pt>
                <c:pt idx="2">
                  <c:v>14</c:v>
                </c:pt>
                <c:pt idx="3">
                  <c:v>24</c:v>
                </c:pt>
              </c:numCache>
            </c:numRef>
          </c:val>
          <c:smooth val="0"/>
        </c:ser>
        <c:ser>
          <c:idx val="2"/>
          <c:order val="2"/>
          <c:tx>
            <c:strRef>
              <c:f>Sheet3!$B$26</c:f>
              <c:strCache>
                <c:ptCount val="1"/>
                <c:pt idx="0">
                  <c:v>Neto aktīvi pārskata perioda beigās </c:v>
                </c:pt>
              </c:strCache>
            </c:strRef>
          </c:tx>
          <c:dLbls>
            <c:dLbl>
              <c:idx val="0"/>
              <c:layout>
                <c:manualLayout>
                  <c:x val="-3.3269225171743529E-2"/>
                  <c:y val="4.0519297470285903E-2"/>
                </c:manualLayout>
              </c:layout>
              <c:dLblPos val="r"/>
              <c:showLegendKey val="0"/>
              <c:showVal val="1"/>
              <c:showCatName val="0"/>
              <c:showSerName val="0"/>
              <c:showPercent val="0"/>
              <c:showBubbleSize val="0"/>
            </c:dLbl>
            <c:dLbl>
              <c:idx val="1"/>
              <c:layout>
                <c:manualLayout>
                  <c:x val="-3.113247339449603E-2"/>
                  <c:y val="6.435922615966906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Sheet3!$C$23:$F$23</c:f>
              <c:numCache>
                <c:formatCode>General</c:formatCode>
                <c:ptCount val="4"/>
                <c:pt idx="0">
                  <c:v>2013</c:v>
                </c:pt>
                <c:pt idx="1">
                  <c:v>2014</c:v>
                </c:pt>
                <c:pt idx="2">
                  <c:v>2015</c:v>
                </c:pt>
                <c:pt idx="3">
                  <c:v>2016</c:v>
                </c:pt>
              </c:numCache>
            </c:numRef>
          </c:cat>
          <c:val>
            <c:numRef>
              <c:f>Sheet3!$C$26:$F$26</c:f>
              <c:numCache>
                <c:formatCode>General</c:formatCode>
                <c:ptCount val="4"/>
                <c:pt idx="0">
                  <c:v>15</c:v>
                </c:pt>
                <c:pt idx="1">
                  <c:v>19</c:v>
                </c:pt>
                <c:pt idx="2">
                  <c:v>16</c:v>
                </c:pt>
                <c:pt idx="3">
                  <c:v>18</c:v>
                </c:pt>
              </c:numCache>
            </c:numRef>
          </c:val>
          <c:smooth val="0"/>
        </c:ser>
        <c:ser>
          <c:idx val="3"/>
          <c:order val="3"/>
          <c:tx>
            <c:strRef>
              <c:f>Sheet3!$B$27</c:f>
              <c:strCache>
                <c:ptCount val="1"/>
                <c:pt idx="0">
                  <c:v>Ienesīgums gadā</c:v>
                </c:pt>
              </c:strCache>
            </c:strRef>
          </c:tx>
          <c:dLbls>
            <c:dLbl>
              <c:idx val="0"/>
              <c:layout>
                <c:manualLayout>
                  <c:x val="-2.3146405689076371E-2"/>
                  <c:y val="2.68964810763526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Sheet3!$C$23:$F$23</c:f>
              <c:numCache>
                <c:formatCode>General</c:formatCode>
                <c:ptCount val="4"/>
                <c:pt idx="0">
                  <c:v>2013</c:v>
                </c:pt>
                <c:pt idx="1">
                  <c:v>2014</c:v>
                </c:pt>
                <c:pt idx="2">
                  <c:v>2015</c:v>
                </c:pt>
                <c:pt idx="3">
                  <c:v>2016</c:v>
                </c:pt>
              </c:numCache>
            </c:numRef>
          </c:cat>
          <c:val>
            <c:numRef>
              <c:f>Sheet3!$C$27:$F$27</c:f>
              <c:numCache>
                <c:formatCode>General</c:formatCode>
                <c:ptCount val="4"/>
                <c:pt idx="0">
                  <c:v>2.2999999999999998</c:v>
                </c:pt>
                <c:pt idx="1">
                  <c:v>5.3</c:v>
                </c:pt>
                <c:pt idx="2">
                  <c:v>1.9</c:v>
                </c:pt>
                <c:pt idx="3">
                  <c:v>2</c:v>
                </c:pt>
              </c:numCache>
            </c:numRef>
          </c:val>
          <c:smooth val="0"/>
        </c:ser>
        <c:dLbls>
          <c:dLblPos val="t"/>
          <c:showLegendKey val="0"/>
          <c:showVal val="1"/>
          <c:showCatName val="0"/>
          <c:showSerName val="0"/>
          <c:showPercent val="0"/>
          <c:showBubbleSize val="0"/>
        </c:dLbls>
        <c:marker val="1"/>
        <c:smooth val="0"/>
        <c:axId val="147415808"/>
        <c:axId val="147417728"/>
      </c:lineChart>
      <c:catAx>
        <c:axId val="147415808"/>
        <c:scaling>
          <c:orientation val="minMax"/>
        </c:scaling>
        <c:delete val="0"/>
        <c:axPos val="b"/>
        <c:numFmt formatCode="General" sourceLinked="1"/>
        <c:majorTickMark val="out"/>
        <c:minorTickMark val="none"/>
        <c:tickLblPos val="nextTo"/>
        <c:crossAx val="147417728"/>
        <c:crosses val="autoZero"/>
        <c:auto val="1"/>
        <c:lblAlgn val="ctr"/>
        <c:lblOffset val="100"/>
        <c:noMultiLvlLbl val="0"/>
      </c:catAx>
      <c:valAx>
        <c:axId val="147417728"/>
        <c:scaling>
          <c:orientation val="minMax"/>
        </c:scaling>
        <c:delete val="0"/>
        <c:axPos val="l"/>
        <c:majorGridlines/>
        <c:title>
          <c:tx>
            <c:rich>
              <a:bodyPr rot="0" vert="wordArtVert"/>
              <a:lstStyle/>
              <a:p>
                <a:pPr>
                  <a:defRPr/>
                </a:pPr>
                <a:r>
                  <a:rPr lang="lv-LV"/>
                  <a:t>%</a:t>
                </a:r>
              </a:p>
            </c:rich>
          </c:tx>
          <c:layout>
            <c:manualLayout>
              <c:xMode val="edge"/>
              <c:yMode val="edge"/>
              <c:x val="2.8917404662931502E-2"/>
              <c:y val="1.6545434395365873E-3"/>
            </c:manualLayout>
          </c:layout>
          <c:overlay val="0"/>
        </c:title>
        <c:numFmt formatCode="General" sourceLinked="1"/>
        <c:majorTickMark val="out"/>
        <c:minorTickMark val="none"/>
        <c:tickLblPos val="nextTo"/>
        <c:crossAx val="147415808"/>
        <c:crosses val="autoZero"/>
        <c:crossBetween val="between"/>
      </c:valAx>
    </c:plotArea>
    <c:legend>
      <c:legendPos val="b"/>
      <c:layout>
        <c:manualLayout>
          <c:xMode val="edge"/>
          <c:yMode val="edge"/>
          <c:x val="0"/>
          <c:y val="0.68780590151862786"/>
          <c:w val="0.86202571124621363"/>
          <c:h val="0.2161299230766435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8877736436792"/>
          <c:y val="9.1036868055044545E-2"/>
          <c:w val="0.80379307425281521"/>
          <c:h val="0.60436649356139338"/>
        </c:manualLayout>
      </c:layout>
      <c:barChart>
        <c:barDir val="col"/>
        <c:grouping val="clustered"/>
        <c:varyColors val="0"/>
        <c:ser>
          <c:idx val="0"/>
          <c:order val="0"/>
          <c:tx>
            <c:v>kopējās izmaksas milj.EUR</c:v>
          </c:tx>
          <c:invertIfNegative val="0"/>
          <c:dLbls>
            <c:dLbl>
              <c:idx val="0"/>
              <c:layout>
                <c:manualLayout>
                  <c:x val="1.502216069145203E-7"/>
                  <c:y val="0.25590150590150595"/>
                </c:manualLayout>
              </c:layout>
              <c:dLblPos val="outEnd"/>
              <c:showLegendKey val="0"/>
              <c:showVal val="1"/>
              <c:showCatName val="0"/>
              <c:showSerName val="0"/>
              <c:showPercent val="0"/>
              <c:showBubbleSize val="0"/>
            </c:dLbl>
            <c:dLbl>
              <c:idx val="1"/>
              <c:layout>
                <c:manualLayout>
                  <c:x val="3.0044321382904061E-7"/>
                  <c:y val="0.19612292053236935"/>
                </c:manualLayout>
              </c:layout>
              <c:dLblPos val="outEnd"/>
              <c:showLegendKey val="0"/>
              <c:showVal val="1"/>
              <c:showCatName val="0"/>
              <c:showSerName val="0"/>
              <c:showPercent val="0"/>
              <c:showBubbleSize val="0"/>
            </c:dLbl>
            <c:dLbl>
              <c:idx val="2"/>
              <c:layout>
                <c:manualLayout>
                  <c:x val="5.6101761318296754E-3"/>
                  <c:y val="0.1937942853297184"/>
                </c:manualLayout>
              </c:layout>
              <c:dLblPos val="outEnd"/>
              <c:showLegendKey val="0"/>
              <c:showVal val="1"/>
              <c:showCatName val="0"/>
              <c:showSerName val="0"/>
              <c:showPercent val="0"/>
              <c:showBubbleSize val="0"/>
            </c:dLbl>
            <c:numFmt formatCode="#,##0" sourceLinked="0"/>
            <c:spPr>
              <a:solidFill>
                <a:schemeClr val="accent1">
                  <a:lumMod val="20000"/>
                  <a:lumOff val="80000"/>
                </a:schemeClr>
              </a:solidFill>
            </c:spPr>
            <c:txPr>
              <a:bodyPr/>
              <a:lstStyle/>
              <a:p>
                <a:pPr>
                  <a:defRPr sz="1200" b="1"/>
                </a:pPr>
                <a:endParaRPr lang="lv-LV"/>
              </a:p>
            </c:txPr>
            <c:dLblPos val="inEnd"/>
            <c:showLegendKey val="0"/>
            <c:showVal val="1"/>
            <c:showCatName val="0"/>
            <c:showSerName val="0"/>
            <c:showPercent val="0"/>
            <c:showBubbleSize val="0"/>
            <c:showLeaderLines val="0"/>
          </c:dLbls>
          <c:cat>
            <c:numRef>
              <c:f>'kapitāla_izm (2)'!$C$30:$E$30</c:f>
              <c:numCache>
                <c:formatCode>General</c:formatCode>
                <c:ptCount val="3"/>
                <c:pt idx="0">
                  <c:v>2014</c:v>
                </c:pt>
                <c:pt idx="1">
                  <c:v>2015</c:v>
                </c:pt>
                <c:pt idx="2">
                  <c:v>2016</c:v>
                </c:pt>
              </c:numCache>
            </c:numRef>
          </c:cat>
          <c:val>
            <c:numRef>
              <c:f>'kapitāla_izm (2)'!$C$43:$E$43</c:f>
              <c:numCache>
                <c:formatCode>#,##0</c:formatCode>
                <c:ptCount val="3"/>
                <c:pt idx="0">
                  <c:v>10863806.618881261</c:v>
                </c:pt>
                <c:pt idx="1">
                  <c:v>11743894.609027758</c:v>
                </c:pt>
                <c:pt idx="2">
                  <c:v>13721463.004338456</c:v>
                </c:pt>
              </c:numCache>
            </c:numRef>
          </c:val>
        </c:ser>
        <c:dLbls>
          <c:showLegendKey val="0"/>
          <c:showVal val="0"/>
          <c:showCatName val="0"/>
          <c:showSerName val="0"/>
          <c:showPercent val="0"/>
          <c:showBubbleSize val="0"/>
        </c:dLbls>
        <c:gapWidth val="206"/>
        <c:axId val="217858432"/>
        <c:axId val="183954048"/>
      </c:barChart>
      <c:lineChart>
        <c:grouping val="standard"/>
        <c:varyColors val="0"/>
        <c:ser>
          <c:idx val="1"/>
          <c:order val="1"/>
          <c:tx>
            <c:v>% no izdevumiem kopā</c:v>
          </c:tx>
          <c:dLbls>
            <c:txPr>
              <a:bodyPr/>
              <a:lstStyle/>
              <a:p>
                <a:pPr>
                  <a:defRPr sz="1200" b="1"/>
                </a:pPr>
                <a:endParaRPr lang="lv-LV"/>
              </a:p>
            </c:txPr>
            <c:dLblPos val="t"/>
            <c:showLegendKey val="0"/>
            <c:showVal val="1"/>
            <c:showCatName val="0"/>
            <c:showSerName val="0"/>
            <c:showPercent val="0"/>
            <c:showBubbleSize val="0"/>
            <c:showLeaderLines val="0"/>
          </c:dLbls>
          <c:cat>
            <c:numRef>
              <c:f>'kapitāla_izm (2)'!$C$30:$E$30</c:f>
              <c:numCache>
                <c:formatCode>General</c:formatCode>
                <c:ptCount val="3"/>
                <c:pt idx="0">
                  <c:v>2014</c:v>
                </c:pt>
                <c:pt idx="1">
                  <c:v>2015</c:v>
                </c:pt>
                <c:pt idx="2">
                  <c:v>2016</c:v>
                </c:pt>
              </c:numCache>
            </c:numRef>
          </c:cat>
          <c:val>
            <c:numRef>
              <c:f>'kapitāla_izm (2)'!$C$46:$E$46</c:f>
              <c:numCache>
                <c:formatCode>0.0%</c:formatCode>
                <c:ptCount val="3"/>
                <c:pt idx="0">
                  <c:v>0.49500141563251965</c:v>
                </c:pt>
                <c:pt idx="1">
                  <c:v>0.49560960145142635</c:v>
                </c:pt>
                <c:pt idx="2">
                  <c:v>0.49888411130761229</c:v>
                </c:pt>
              </c:numCache>
            </c:numRef>
          </c:val>
          <c:smooth val="0"/>
        </c:ser>
        <c:dLbls>
          <c:showLegendKey val="0"/>
          <c:showVal val="0"/>
          <c:showCatName val="0"/>
          <c:showSerName val="0"/>
          <c:showPercent val="0"/>
          <c:showBubbleSize val="0"/>
        </c:dLbls>
        <c:marker val="1"/>
        <c:smooth val="0"/>
        <c:axId val="164928512"/>
        <c:axId val="183951360"/>
      </c:lineChart>
      <c:catAx>
        <c:axId val="164928512"/>
        <c:scaling>
          <c:orientation val="minMax"/>
        </c:scaling>
        <c:delete val="0"/>
        <c:axPos val="b"/>
        <c:numFmt formatCode="General" sourceLinked="1"/>
        <c:majorTickMark val="out"/>
        <c:minorTickMark val="none"/>
        <c:tickLblPos val="nextTo"/>
        <c:txPr>
          <a:bodyPr/>
          <a:lstStyle/>
          <a:p>
            <a:pPr>
              <a:defRPr sz="1180" baseline="0"/>
            </a:pPr>
            <a:endParaRPr lang="lv-LV"/>
          </a:p>
        </c:txPr>
        <c:crossAx val="183951360"/>
        <c:crosses val="autoZero"/>
        <c:auto val="1"/>
        <c:lblAlgn val="ctr"/>
        <c:lblOffset val="100"/>
        <c:noMultiLvlLbl val="0"/>
      </c:catAx>
      <c:valAx>
        <c:axId val="183951360"/>
        <c:scaling>
          <c:orientation val="minMax"/>
          <c:min val="0.4"/>
        </c:scaling>
        <c:delete val="0"/>
        <c:axPos val="l"/>
        <c:majorGridlines>
          <c:spPr>
            <a:ln>
              <a:noFill/>
            </a:ln>
          </c:spPr>
        </c:majorGridlines>
        <c:title>
          <c:tx>
            <c:rich>
              <a:bodyPr rot="0" vert="horz"/>
              <a:lstStyle/>
              <a:p>
                <a:pPr>
                  <a:defRPr sz="1200"/>
                </a:pPr>
                <a:r>
                  <a:rPr lang="en-US" sz="1200"/>
                  <a:t>%</a:t>
                </a:r>
              </a:p>
            </c:rich>
          </c:tx>
          <c:layout>
            <c:manualLayout>
              <c:xMode val="edge"/>
              <c:yMode val="edge"/>
              <c:x val="7.9220866622441419E-2"/>
              <c:y val="2.4525184139578111E-3"/>
            </c:manualLayout>
          </c:layout>
          <c:overlay val="0"/>
        </c:title>
        <c:numFmt formatCode="0%" sourceLinked="0"/>
        <c:majorTickMark val="out"/>
        <c:minorTickMark val="none"/>
        <c:tickLblPos val="nextTo"/>
        <c:crossAx val="164928512"/>
        <c:crosses val="autoZero"/>
        <c:crossBetween val="between"/>
      </c:valAx>
      <c:valAx>
        <c:axId val="183954048"/>
        <c:scaling>
          <c:orientation val="minMax"/>
        </c:scaling>
        <c:delete val="0"/>
        <c:axPos val="r"/>
        <c:numFmt formatCode="#,##0.0" sourceLinked="0"/>
        <c:majorTickMark val="out"/>
        <c:minorTickMark val="none"/>
        <c:tickLblPos val="nextTo"/>
        <c:crossAx val="217858432"/>
        <c:crosses val="max"/>
        <c:crossBetween val="between"/>
        <c:dispUnits>
          <c:builtInUnit val="millions"/>
          <c:dispUnitsLbl>
            <c:layout>
              <c:manualLayout>
                <c:xMode val="edge"/>
                <c:yMode val="edge"/>
                <c:x val="0.85040812206166538"/>
                <c:y val="1.2209072846353242E-3"/>
              </c:manualLayout>
            </c:layout>
            <c:tx>
              <c:rich>
                <a:bodyPr rot="0" vert="horz"/>
                <a:lstStyle/>
                <a:p>
                  <a:pPr>
                    <a:defRPr/>
                  </a:pPr>
                  <a:r>
                    <a:rPr lang="lv-LV"/>
                    <a:t>milj, EUR</a:t>
                  </a:r>
                </a:p>
              </c:rich>
            </c:tx>
          </c:dispUnitsLbl>
        </c:dispUnits>
      </c:valAx>
      <c:catAx>
        <c:axId val="217858432"/>
        <c:scaling>
          <c:orientation val="minMax"/>
        </c:scaling>
        <c:delete val="1"/>
        <c:axPos val="b"/>
        <c:numFmt formatCode="General" sourceLinked="1"/>
        <c:majorTickMark val="out"/>
        <c:minorTickMark val="none"/>
        <c:tickLblPos val="nextTo"/>
        <c:crossAx val="183954048"/>
        <c:crossesAt val="0"/>
        <c:auto val="1"/>
        <c:lblAlgn val="ctr"/>
        <c:lblOffset val="100"/>
        <c:noMultiLvlLbl val="0"/>
      </c:catAx>
    </c:plotArea>
    <c:legend>
      <c:legendPos val="b"/>
      <c:layout>
        <c:manualLayout>
          <c:xMode val="edge"/>
          <c:yMode val="edge"/>
          <c:x val="0.1755279388153404"/>
          <c:y val="0.8148349072886425"/>
          <c:w val="0.61467472547614432"/>
          <c:h val="0.11325954286295253"/>
        </c:manualLayout>
      </c:layout>
      <c:overlay val="0"/>
      <c:txPr>
        <a:bodyPr/>
        <a:lstStyle/>
        <a:p>
          <a:pPr>
            <a:defRPr sz="1000" baseline="0"/>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15</Pages>
  <Words>17714</Words>
  <Characters>10098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
  <LinksUpToDate>false</LinksUpToDate>
  <CharactersWithSpaces>27757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anotācija</dc:subject>
  <dc:creator>Dace Trusinska</dc:creator>
  <dc:description>D.Trušinska, 67021553
Dace.Trusinska@lm.gov.lv</dc:description>
  <cp:lastModifiedBy>Dace Trusinska</cp:lastModifiedBy>
  <cp:revision>70</cp:revision>
  <cp:lastPrinted>2017-09-21T10:18:00Z</cp:lastPrinted>
  <dcterms:created xsi:type="dcterms:W3CDTF">2017-09-14T08:12:00Z</dcterms:created>
  <dcterms:modified xsi:type="dcterms:W3CDTF">2017-09-28T08:29:00Z</dcterms:modified>
</cp:coreProperties>
</file>