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6E" w:rsidRPr="006707D3" w:rsidRDefault="0038666E" w:rsidP="007F3941">
      <w:pPr>
        <w:spacing w:line="240" w:lineRule="auto"/>
        <w:ind w:firstLine="0"/>
        <w:jc w:val="center"/>
        <w:rPr>
          <w:rFonts w:eastAsia="Times New Roman"/>
          <w:b/>
          <w:bCs/>
          <w:sz w:val="24"/>
          <w:szCs w:val="24"/>
          <w:lang w:eastAsia="lv-LV"/>
        </w:rPr>
      </w:pPr>
      <w:bookmarkStart w:id="0" w:name="_GoBack"/>
      <w:bookmarkEnd w:id="0"/>
      <w:r w:rsidRPr="006707D3">
        <w:rPr>
          <w:rFonts w:eastAsia="Times New Roman"/>
          <w:b/>
          <w:bCs/>
          <w:sz w:val="24"/>
          <w:szCs w:val="24"/>
          <w:lang w:eastAsia="lv-LV"/>
        </w:rPr>
        <w:t>Ministru kabineta rīkojuma projekta</w:t>
      </w:r>
    </w:p>
    <w:p w:rsidR="00E74E15" w:rsidRPr="006707D3" w:rsidRDefault="0038666E" w:rsidP="007F3941">
      <w:pPr>
        <w:spacing w:line="240" w:lineRule="auto"/>
        <w:ind w:firstLine="0"/>
        <w:jc w:val="center"/>
        <w:rPr>
          <w:rFonts w:eastAsia="Times New Roman"/>
          <w:b/>
          <w:bCs/>
          <w:sz w:val="24"/>
          <w:szCs w:val="24"/>
          <w:lang w:eastAsia="lv-LV"/>
        </w:rPr>
      </w:pPr>
      <w:r w:rsidRPr="006707D3">
        <w:rPr>
          <w:rFonts w:eastAsia="Times New Roman"/>
          <w:b/>
          <w:bCs/>
          <w:sz w:val="24"/>
          <w:szCs w:val="24"/>
          <w:lang w:eastAsia="lv-LV"/>
        </w:rPr>
        <w:t>„Par valstij dividendēs izmaksājamo valsts akciju sabiedrības „Ceļu satiksmes drošības direkcija” peļņas daļu</w:t>
      </w:r>
      <w:r w:rsidR="004A1B1D" w:rsidRPr="006707D3">
        <w:rPr>
          <w:rFonts w:eastAsia="Times New Roman"/>
          <w:b/>
          <w:bCs/>
          <w:sz w:val="24"/>
          <w:szCs w:val="24"/>
          <w:lang w:eastAsia="lv-LV"/>
        </w:rPr>
        <w:t xml:space="preserve"> par 2016</w:t>
      </w:r>
      <w:r w:rsidR="00112DC7" w:rsidRPr="006707D3">
        <w:rPr>
          <w:rFonts w:eastAsia="Times New Roman"/>
          <w:b/>
          <w:bCs/>
          <w:sz w:val="24"/>
          <w:szCs w:val="24"/>
          <w:lang w:eastAsia="lv-LV"/>
        </w:rPr>
        <w:t>.gadu</w:t>
      </w:r>
      <w:r w:rsidRPr="006707D3">
        <w:rPr>
          <w:rFonts w:eastAsia="Times New Roman"/>
          <w:b/>
          <w:bCs/>
          <w:sz w:val="24"/>
          <w:szCs w:val="24"/>
          <w:lang w:eastAsia="lv-LV"/>
        </w:rPr>
        <w:t xml:space="preserve">”” </w:t>
      </w:r>
      <w:r w:rsidR="0005135F" w:rsidRPr="006707D3">
        <w:rPr>
          <w:rFonts w:eastAsia="Times New Roman"/>
          <w:b/>
          <w:bCs/>
          <w:sz w:val="24"/>
          <w:szCs w:val="24"/>
          <w:lang w:eastAsia="lv-LV"/>
        </w:rPr>
        <w:t>sākotnējās ietekmes novērtējuma ziņojums (anotācija)</w:t>
      </w:r>
    </w:p>
    <w:tbl>
      <w:tblPr>
        <w:tblW w:w="9240"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
        <w:gridCol w:w="2842"/>
        <w:gridCol w:w="5812"/>
      </w:tblGrid>
      <w:tr w:rsidR="00B0361B" w:rsidRPr="006707D3" w:rsidTr="007F3941">
        <w:trPr>
          <w:trHeight w:val="331"/>
          <w:tblCellSpacing w:w="0" w:type="dxa"/>
        </w:trPr>
        <w:tc>
          <w:tcPr>
            <w:tcW w:w="9240" w:type="dxa"/>
            <w:gridSpan w:val="3"/>
            <w:tcBorders>
              <w:top w:val="outset" w:sz="6" w:space="0" w:color="auto"/>
              <w:left w:val="outset" w:sz="6" w:space="0" w:color="auto"/>
              <w:bottom w:val="outset" w:sz="6" w:space="0" w:color="auto"/>
              <w:right w:val="outset" w:sz="6" w:space="0" w:color="auto"/>
            </w:tcBorders>
            <w:vAlign w:val="center"/>
          </w:tcPr>
          <w:p w:rsidR="00844CA5" w:rsidRPr="006707D3" w:rsidRDefault="00B0361B" w:rsidP="007F3941">
            <w:pPr>
              <w:spacing w:line="240" w:lineRule="auto"/>
              <w:ind w:firstLine="0"/>
              <w:jc w:val="center"/>
              <w:rPr>
                <w:rFonts w:eastAsia="Times New Roman"/>
                <w:sz w:val="24"/>
                <w:szCs w:val="24"/>
                <w:lang w:eastAsia="lv-LV"/>
              </w:rPr>
            </w:pPr>
            <w:r w:rsidRPr="006707D3">
              <w:rPr>
                <w:rFonts w:eastAsia="Times New Roman"/>
                <w:b/>
                <w:bCs/>
                <w:sz w:val="24"/>
                <w:szCs w:val="24"/>
                <w:lang w:eastAsia="lv-LV"/>
              </w:rPr>
              <w:t>I. Tiesību akta projekta izstrādes nepieciešamība</w:t>
            </w:r>
          </w:p>
        </w:tc>
      </w:tr>
      <w:tr w:rsidR="00B0361B" w:rsidRPr="006707D3" w:rsidTr="007F3941">
        <w:trPr>
          <w:trHeight w:val="581"/>
          <w:tblCellSpacing w:w="0" w:type="dxa"/>
        </w:trPr>
        <w:tc>
          <w:tcPr>
            <w:tcW w:w="586" w:type="dxa"/>
            <w:tcBorders>
              <w:top w:val="outset" w:sz="6" w:space="0" w:color="auto"/>
              <w:left w:val="outset" w:sz="6" w:space="0" w:color="auto"/>
              <w:bottom w:val="outset" w:sz="6" w:space="0" w:color="auto"/>
              <w:right w:val="outset" w:sz="6" w:space="0" w:color="auto"/>
            </w:tcBorders>
          </w:tcPr>
          <w:p w:rsidR="00B0361B" w:rsidRPr="006707D3" w:rsidRDefault="00B0361B"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1.</w:t>
            </w:r>
          </w:p>
        </w:tc>
        <w:tc>
          <w:tcPr>
            <w:tcW w:w="2842" w:type="dxa"/>
            <w:tcBorders>
              <w:top w:val="outset" w:sz="6" w:space="0" w:color="auto"/>
              <w:left w:val="outset" w:sz="6" w:space="0" w:color="auto"/>
              <w:bottom w:val="outset" w:sz="6" w:space="0" w:color="auto"/>
              <w:right w:val="outset" w:sz="6" w:space="0" w:color="auto"/>
            </w:tcBorders>
          </w:tcPr>
          <w:p w:rsidR="00B0361B" w:rsidRPr="00CA7F4E" w:rsidRDefault="00B0361B" w:rsidP="007F3941">
            <w:pPr>
              <w:spacing w:line="240" w:lineRule="auto"/>
              <w:ind w:firstLine="0"/>
              <w:jc w:val="left"/>
              <w:rPr>
                <w:rFonts w:eastAsia="Times New Roman"/>
                <w:sz w:val="24"/>
                <w:szCs w:val="24"/>
                <w:lang w:eastAsia="lv-LV"/>
              </w:rPr>
            </w:pPr>
            <w:r w:rsidRPr="00CA7F4E">
              <w:rPr>
                <w:rFonts w:eastAsia="Times New Roman"/>
                <w:sz w:val="24"/>
                <w:szCs w:val="24"/>
                <w:lang w:eastAsia="lv-LV"/>
              </w:rPr>
              <w:t> Pamatojums</w:t>
            </w:r>
          </w:p>
        </w:tc>
        <w:tc>
          <w:tcPr>
            <w:tcW w:w="5812" w:type="dxa"/>
            <w:tcBorders>
              <w:top w:val="outset" w:sz="6" w:space="0" w:color="auto"/>
              <w:left w:val="outset" w:sz="6" w:space="0" w:color="auto"/>
              <w:bottom w:val="outset" w:sz="6" w:space="0" w:color="auto"/>
              <w:right w:val="outset" w:sz="6" w:space="0" w:color="auto"/>
            </w:tcBorders>
          </w:tcPr>
          <w:p w:rsidR="00106F95" w:rsidRPr="00CA7F4E" w:rsidRDefault="00106F95" w:rsidP="007F3941">
            <w:pPr>
              <w:spacing w:line="240" w:lineRule="auto"/>
              <w:ind w:firstLine="0"/>
              <w:rPr>
                <w:rFonts w:eastAsia="Times New Roman"/>
                <w:sz w:val="24"/>
                <w:szCs w:val="24"/>
                <w:lang w:eastAsia="lv-LV"/>
              </w:rPr>
            </w:pPr>
            <w:r w:rsidRPr="00CA7F4E">
              <w:rPr>
                <w:rFonts w:eastAsia="Times New Roman"/>
                <w:sz w:val="24"/>
                <w:szCs w:val="24"/>
                <w:lang w:eastAsia="lv-LV"/>
              </w:rPr>
              <w:t>Saskaņā ar likuma “Par vid</w:t>
            </w:r>
            <w:r w:rsidR="004A1B1D" w:rsidRPr="00CA7F4E">
              <w:rPr>
                <w:rFonts w:eastAsia="Times New Roman"/>
                <w:sz w:val="24"/>
                <w:szCs w:val="24"/>
                <w:lang w:eastAsia="lv-LV"/>
              </w:rPr>
              <w:t>ēja termiņa budžeta ietvaru 2017., 2018</w:t>
            </w:r>
            <w:r w:rsidRPr="00CA7F4E">
              <w:rPr>
                <w:rFonts w:eastAsia="Times New Roman"/>
                <w:sz w:val="24"/>
                <w:szCs w:val="24"/>
                <w:lang w:eastAsia="lv-LV"/>
              </w:rPr>
              <w:t>. un 201</w:t>
            </w:r>
            <w:r w:rsidR="004A1B1D" w:rsidRPr="00CA7F4E">
              <w:rPr>
                <w:rFonts w:eastAsia="Times New Roman"/>
                <w:sz w:val="24"/>
                <w:szCs w:val="24"/>
                <w:lang w:eastAsia="lv-LV"/>
              </w:rPr>
              <w:t>9.gadam” 19</w:t>
            </w:r>
            <w:r w:rsidRPr="00CA7F4E">
              <w:rPr>
                <w:rFonts w:eastAsia="Times New Roman"/>
                <w:sz w:val="24"/>
                <w:szCs w:val="24"/>
                <w:lang w:eastAsia="lv-LV"/>
              </w:rPr>
              <w:t xml:space="preserve">.pantu ir noteikts, ka </w:t>
            </w:r>
            <w:r w:rsidR="004A1B1D" w:rsidRPr="00CA7F4E">
              <w:rPr>
                <w:rFonts w:eastAsia="Times New Roman"/>
                <w:sz w:val="24"/>
                <w:szCs w:val="24"/>
                <w:lang w:eastAsia="lv-LV"/>
              </w:rPr>
              <w:t>minimālo dividendēs izmaksājamo peļņas daļu par 2016., 2017. un 2018. 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 gadā (par 2016. gada pārskata gadu) nosaka un aprēķina 85 procentu apmērā, 2018. gadā (par 2017. gada pārskata gadu) — 80 procentu apmērā un 2019. gadā (par 2018. gada pārskata gadu) — 70 procentu apmērā no attiecīgās kapitālsabiedrības tīrās peļņas, ja likumā nav noteikts citādi</w:t>
            </w:r>
            <w:r w:rsidRPr="00CA7F4E">
              <w:rPr>
                <w:rFonts w:eastAsia="Times New Roman"/>
                <w:sz w:val="24"/>
                <w:szCs w:val="24"/>
                <w:lang w:eastAsia="lv-LV"/>
              </w:rPr>
              <w:t>.</w:t>
            </w:r>
          </w:p>
          <w:p w:rsidR="00106F95" w:rsidRPr="00CA7F4E" w:rsidRDefault="00106F95" w:rsidP="007F3941">
            <w:pPr>
              <w:spacing w:line="240" w:lineRule="auto"/>
              <w:ind w:firstLine="0"/>
              <w:rPr>
                <w:rFonts w:eastAsia="Times New Roman"/>
                <w:sz w:val="24"/>
                <w:szCs w:val="24"/>
                <w:lang w:eastAsia="lv-LV"/>
              </w:rPr>
            </w:pPr>
            <w:r w:rsidRPr="00CA7F4E">
              <w:rPr>
                <w:rFonts w:eastAsia="Times New Roman"/>
                <w:sz w:val="24"/>
                <w:szCs w:val="24"/>
                <w:lang w:eastAsia="lv-LV"/>
              </w:rPr>
              <w:t>Minēto dividendēs izmaksājamo peļņas daļu attiecīgās kapitālsabiedrības ņem vērā, izstrādājot savas vidēja termiņa darbības stratēģijas.</w:t>
            </w:r>
          </w:p>
          <w:p w:rsidR="00106F95" w:rsidRPr="00CA7F4E" w:rsidRDefault="00D7696A" w:rsidP="007F3941">
            <w:pPr>
              <w:spacing w:line="240" w:lineRule="auto"/>
              <w:ind w:firstLine="0"/>
              <w:rPr>
                <w:rFonts w:eastAsia="Times New Roman"/>
                <w:sz w:val="24"/>
                <w:szCs w:val="24"/>
                <w:lang w:eastAsia="lv-LV"/>
              </w:rPr>
            </w:pPr>
            <w:r w:rsidRPr="00CA7F4E">
              <w:rPr>
                <w:rFonts w:eastAsia="Times New Roman"/>
                <w:sz w:val="24"/>
                <w:szCs w:val="24"/>
                <w:lang w:eastAsia="lv-LV"/>
              </w:rPr>
              <w:t>Saskaņā ar Publiskas personas kapitāla daļu un kapitālsabiedrību pārvaldības likuma</w:t>
            </w:r>
            <w:r w:rsidR="001118F1" w:rsidRPr="00CA7F4E">
              <w:rPr>
                <w:rFonts w:eastAsia="Times New Roman"/>
                <w:sz w:val="24"/>
                <w:szCs w:val="24"/>
                <w:lang w:eastAsia="lv-LV"/>
              </w:rPr>
              <w:t xml:space="preserve"> (turpmāk – arī likums)</w:t>
            </w:r>
            <w:r w:rsidRPr="00CA7F4E">
              <w:rPr>
                <w:rFonts w:eastAsia="Times New Roman"/>
                <w:sz w:val="24"/>
                <w:szCs w:val="24"/>
                <w:lang w:eastAsia="lv-LV"/>
              </w:rPr>
              <w:t xml:space="preserve"> 57.pantu </w:t>
            </w:r>
            <w:r w:rsidR="00106F95" w:rsidRPr="00CA7F4E">
              <w:rPr>
                <w:rFonts w:eastAsia="Times New Roman"/>
                <w:sz w:val="24"/>
                <w:szCs w:val="24"/>
                <w:lang w:eastAsia="lv-LV"/>
              </w:rPr>
              <w:t>VAS “Ceļu satiksmes drošības direkcija” darbības stratēģija 2015. – 2017.gadam tika apstiprināta ārkārtas akcionāra sapulcē 2015.gada 20.februārī (prot</w:t>
            </w:r>
            <w:r w:rsidR="00DC4129" w:rsidRPr="00CA7F4E">
              <w:rPr>
                <w:rFonts w:eastAsia="Times New Roman"/>
                <w:sz w:val="24"/>
                <w:szCs w:val="24"/>
                <w:lang w:eastAsia="lv-LV"/>
              </w:rPr>
              <w:t>okols Nr.1, lēmums Nr.1.1), kur</w:t>
            </w:r>
            <w:r w:rsidR="00106F95" w:rsidRPr="00CA7F4E">
              <w:rPr>
                <w:rFonts w:eastAsia="Times New Roman"/>
                <w:sz w:val="24"/>
                <w:szCs w:val="24"/>
                <w:lang w:eastAsia="lv-LV"/>
              </w:rPr>
              <w:t xml:space="preserve"> </w:t>
            </w:r>
            <w:r w:rsidR="00DC4129" w:rsidRPr="00CA7F4E">
              <w:rPr>
                <w:rFonts w:eastAsia="Times New Roman"/>
                <w:sz w:val="24"/>
                <w:szCs w:val="24"/>
                <w:lang w:eastAsia="lv-LV"/>
              </w:rPr>
              <w:t>paredzēts</w:t>
            </w:r>
            <w:r w:rsidR="00D440C3" w:rsidRPr="00CA7F4E">
              <w:rPr>
                <w:rFonts w:eastAsia="Times New Roman"/>
                <w:sz w:val="24"/>
                <w:szCs w:val="24"/>
                <w:lang w:eastAsia="lv-LV"/>
              </w:rPr>
              <w:t xml:space="preserve"> dividendēs izmaksājamo peļņas daļu</w:t>
            </w:r>
            <w:r w:rsidR="009B2270" w:rsidRPr="00CA7F4E">
              <w:rPr>
                <w:rFonts w:eastAsia="Times New Roman"/>
                <w:sz w:val="24"/>
                <w:szCs w:val="24"/>
                <w:lang w:eastAsia="lv-LV"/>
              </w:rPr>
              <w:t xml:space="preserve"> (70% no peļņas)</w:t>
            </w:r>
            <w:r w:rsidR="00106F95" w:rsidRPr="00CA7F4E">
              <w:rPr>
                <w:rFonts w:eastAsia="Times New Roman"/>
                <w:sz w:val="24"/>
                <w:szCs w:val="24"/>
                <w:lang w:eastAsia="lv-LV"/>
              </w:rPr>
              <w:t xml:space="preserve"> </w:t>
            </w:r>
            <w:r w:rsidR="00D440C3" w:rsidRPr="00CA7F4E">
              <w:rPr>
                <w:rFonts w:eastAsia="Times New Roman"/>
                <w:sz w:val="24"/>
                <w:szCs w:val="24"/>
                <w:lang w:eastAsia="lv-LV"/>
              </w:rPr>
              <w:t>novirzīt fotoradaru iegādei.</w:t>
            </w:r>
            <w:r w:rsidR="001118F1" w:rsidRPr="00CA7F4E">
              <w:rPr>
                <w:rFonts w:eastAsia="Times New Roman"/>
                <w:sz w:val="24"/>
                <w:szCs w:val="24"/>
                <w:lang w:eastAsia="lv-LV"/>
              </w:rPr>
              <w:t xml:space="preserve"> </w:t>
            </w:r>
          </w:p>
          <w:p w:rsidR="00EC12E9" w:rsidRPr="00CA7F4E" w:rsidRDefault="003F2ADF" w:rsidP="007F3941">
            <w:pPr>
              <w:spacing w:line="240" w:lineRule="auto"/>
              <w:ind w:firstLine="0"/>
              <w:rPr>
                <w:rFonts w:eastAsia="Times New Roman"/>
                <w:sz w:val="24"/>
                <w:szCs w:val="24"/>
                <w:lang w:eastAsia="lv-LV"/>
              </w:rPr>
            </w:pPr>
            <w:r w:rsidRPr="00CA7F4E">
              <w:rPr>
                <w:rFonts w:eastAsia="Times New Roman"/>
                <w:sz w:val="24"/>
                <w:szCs w:val="24"/>
                <w:lang w:eastAsia="lv-LV"/>
              </w:rPr>
              <w:t xml:space="preserve">Atbilstoši </w:t>
            </w:r>
            <w:r w:rsidR="00443411" w:rsidRPr="00CA7F4E">
              <w:rPr>
                <w:rFonts w:eastAsia="Times New Roman"/>
                <w:sz w:val="24"/>
                <w:szCs w:val="24"/>
                <w:lang w:eastAsia="lv-LV"/>
              </w:rPr>
              <w:t>Ministru kabineta 2015.gada 22</w:t>
            </w:r>
            <w:r w:rsidR="0038666E" w:rsidRPr="00CA7F4E">
              <w:rPr>
                <w:rFonts w:eastAsia="Times New Roman"/>
                <w:sz w:val="24"/>
                <w:szCs w:val="24"/>
                <w:lang w:eastAsia="lv-LV"/>
              </w:rPr>
              <w:t>.decembra noteikumu Nr.</w:t>
            </w:r>
            <w:r w:rsidR="00443411" w:rsidRPr="00CA7F4E">
              <w:rPr>
                <w:rFonts w:eastAsia="Times New Roman"/>
                <w:sz w:val="24"/>
                <w:szCs w:val="24"/>
                <w:lang w:eastAsia="lv-LV"/>
              </w:rPr>
              <w:t>806</w:t>
            </w:r>
            <w:r w:rsidR="0038666E" w:rsidRPr="00CA7F4E">
              <w:rPr>
                <w:rFonts w:eastAsia="Times New Roman"/>
                <w:sz w:val="24"/>
                <w:szCs w:val="24"/>
                <w:lang w:eastAsia="lv-LV"/>
              </w:rPr>
              <w:t xml:space="preserve"> „</w:t>
            </w:r>
            <w:r w:rsidR="00EA213D" w:rsidRPr="00CA7F4E">
              <w:rPr>
                <w:rFonts w:eastAsia="Times New Roman"/>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38666E" w:rsidRPr="00CA7F4E">
              <w:rPr>
                <w:rFonts w:eastAsia="Times New Roman"/>
                <w:sz w:val="24"/>
                <w:szCs w:val="24"/>
                <w:lang w:eastAsia="lv-LV"/>
              </w:rPr>
              <w:t xml:space="preserve">” </w:t>
            </w:r>
            <w:r w:rsidR="001C5AE2" w:rsidRPr="00CA7F4E">
              <w:rPr>
                <w:rFonts w:eastAsia="Times New Roman"/>
                <w:sz w:val="24"/>
                <w:szCs w:val="24"/>
                <w:lang w:eastAsia="lv-LV"/>
              </w:rPr>
              <w:t>(turpmāk</w:t>
            </w:r>
            <w:r w:rsidR="00EA213D" w:rsidRPr="00CA7F4E">
              <w:rPr>
                <w:rFonts w:eastAsia="Times New Roman"/>
                <w:sz w:val="24"/>
                <w:szCs w:val="24"/>
                <w:lang w:eastAsia="lv-LV"/>
              </w:rPr>
              <w:t xml:space="preserve"> tekstā - MK</w:t>
            </w:r>
            <w:r w:rsidR="001C5AE2" w:rsidRPr="00CA7F4E">
              <w:rPr>
                <w:rFonts w:eastAsia="Times New Roman"/>
                <w:sz w:val="24"/>
                <w:szCs w:val="24"/>
                <w:lang w:eastAsia="lv-LV"/>
              </w:rPr>
              <w:t xml:space="preserve"> noteikumi) </w:t>
            </w:r>
            <w:r w:rsidR="0038666E" w:rsidRPr="00CA7F4E">
              <w:rPr>
                <w:rFonts w:eastAsia="Times New Roman"/>
                <w:sz w:val="24"/>
                <w:szCs w:val="24"/>
                <w:lang w:eastAsia="lv-LV"/>
              </w:rPr>
              <w:t>5.punkt</w:t>
            </w:r>
            <w:r w:rsidRPr="00CA7F4E">
              <w:rPr>
                <w:rFonts w:eastAsia="Times New Roman"/>
                <w:sz w:val="24"/>
                <w:szCs w:val="24"/>
                <w:lang w:eastAsia="lv-LV"/>
              </w:rPr>
              <w:t xml:space="preserve">am, </w:t>
            </w:r>
            <w:r w:rsidR="00F3012F" w:rsidRPr="00CA7F4E">
              <w:rPr>
                <w:rFonts w:eastAsia="Times New Roman"/>
                <w:sz w:val="24"/>
                <w:szCs w:val="24"/>
                <w:lang w:eastAsia="lv-LV"/>
              </w:rPr>
              <w:t>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šo noteikumu 3. punktā vai citos tiesību aktos</w:t>
            </w:r>
            <w:r w:rsidR="00EC12E9" w:rsidRPr="00CA7F4E">
              <w:rPr>
                <w:rFonts w:eastAsia="Times New Roman"/>
                <w:sz w:val="24"/>
                <w:szCs w:val="24"/>
                <w:lang w:eastAsia="lv-LV"/>
              </w:rPr>
              <w:t>.</w:t>
            </w:r>
          </w:p>
          <w:p w:rsidR="006707D3" w:rsidRPr="00CA7F4E" w:rsidRDefault="006707D3" w:rsidP="006707D3">
            <w:pPr>
              <w:spacing w:line="240" w:lineRule="auto"/>
              <w:ind w:firstLine="0"/>
              <w:rPr>
                <w:rFonts w:eastAsia="Times New Roman"/>
                <w:sz w:val="24"/>
                <w:szCs w:val="24"/>
                <w:lang w:eastAsia="lv-LV"/>
              </w:rPr>
            </w:pPr>
            <w:r w:rsidRPr="00CA7F4E">
              <w:rPr>
                <w:sz w:val="24"/>
                <w:szCs w:val="24"/>
              </w:rPr>
              <w:t>2016.gada 14.novembra Ministru kabineta rīkojums Nr. 678 “Par konceptuālo ziņojumu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w:t>
            </w:r>
          </w:p>
        </w:tc>
      </w:tr>
      <w:tr w:rsidR="00B0361B" w:rsidRPr="006707D3" w:rsidTr="007F3941">
        <w:trPr>
          <w:trHeight w:val="1247"/>
          <w:tblCellSpacing w:w="0" w:type="dxa"/>
        </w:trPr>
        <w:tc>
          <w:tcPr>
            <w:tcW w:w="586" w:type="dxa"/>
            <w:tcBorders>
              <w:top w:val="outset" w:sz="6" w:space="0" w:color="auto"/>
              <w:left w:val="outset" w:sz="6" w:space="0" w:color="auto"/>
              <w:bottom w:val="outset" w:sz="6" w:space="0" w:color="auto"/>
              <w:right w:val="outset" w:sz="6" w:space="0" w:color="auto"/>
            </w:tcBorders>
          </w:tcPr>
          <w:p w:rsidR="00B0361B" w:rsidRPr="006707D3" w:rsidRDefault="00B0361B"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2.</w:t>
            </w:r>
          </w:p>
        </w:tc>
        <w:tc>
          <w:tcPr>
            <w:tcW w:w="2842" w:type="dxa"/>
            <w:tcBorders>
              <w:top w:val="outset" w:sz="6" w:space="0" w:color="auto"/>
              <w:left w:val="outset" w:sz="6" w:space="0" w:color="auto"/>
              <w:bottom w:val="outset" w:sz="6" w:space="0" w:color="auto"/>
              <w:right w:val="outset" w:sz="6" w:space="0" w:color="auto"/>
            </w:tcBorders>
          </w:tcPr>
          <w:p w:rsidR="00B0361B" w:rsidRPr="00CA7F4E" w:rsidRDefault="00B0361B" w:rsidP="007F3941">
            <w:pPr>
              <w:spacing w:line="240" w:lineRule="auto"/>
              <w:ind w:firstLine="0"/>
              <w:jc w:val="left"/>
              <w:rPr>
                <w:rFonts w:eastAsia="Times New Roman"/>
                <w:sz w:val="24"/>
                <w:szCs w:val="24"/>
                <w:lang w:eastAsia="lv-LV"/>
              </w:rPr>
            </w:pPr>
            <w:r w:rsidRPr="00CA7F4E">
              <w:rPr>
                <w:rFonts w:eastAsia="Times New Roman"/>
                <w:sz w:val="24"/>
                <w:szCs w:val="24"/>
                <w:lang w:eastAsia="lv-LV"/>
              </w:rPr>
              <w:t> </w:t>
            </w:r>
            <w:r w:rsidR="0083428E" w:rsidRPr="00CA7F4E">
              <w:rPr>
                <w:sz w:val="24"/>
                <w:szCs w:val="24"/>
              </w:rPr>
              <w:t xml:space="preserve">Pašreizējā situācija un problēmas, kuru risināšanai tiesību akta projekts izstrādāts, tiesiskā </w:t>
            </w:r>
            <w:r w:rsidR="0083428E" w:rsidRPr="00CA7F4E">
              <w:rPr>
                <w:sz w:val="24"/>
                <w:szCs w:val="24"/>
              </w:rPr>
              <w:lastRenderedPageBreak/>
              <w:t>regulējuma mērķis un būtība</w:t>
            </w:r>
          </w:p>
        </w:tc>
        <w:tc>
          <w:tcPr>
            <w:tcW w:w="5812" w:type="dxa"/>
            <w:tcBorders>
              <w:top w:val="outset" w:sz="6" w:space="0" w:color="auto"/>
              <w:left w:val="outset" w:sz="6" w:space="0" w:color="auto"/>
              <w:bottom w:val="outset" w:sz="6" w:space="0" w:color="auto"/>
              <w:right w:val="outset" w:sz="6" w:space="0" w:color="auto"/>
            </w:tcBorders>
          </w:tcPr>
          <w:p w:rsidR="00BD47A2" w:rsidRPr="00CA7F4E" w:rsidRDefault="00BD47A2" w:rsidP="007F3941">
            <w:pPr>
              <w:spacing w:line="240" w:lineRule="auto"/>
              <w:ind w:firstLine="269"/>
              <w:rPr>
                <w:sz w:val="24"/>
                <w:szCs w:val="24"/>
              </w:rPr>
            </w:pPr>
            <w:r w:rsidRPr="00CA7F4E">
              <w:rPr>
                <w:sz w:val="24"/>
                <w:szCs w:val="24"/>
              </w:rPr>
              <w:lastRenderedPageBreak/>
              <w:t xml:space="preserve">Valsts akciju sabiedrības „Ceļu satiksmes drošības direkcija” (turpmāk </w:t>
            </w:r>
            <w:r w:rsidR="00494069" w:rsidRPr="00CA7F4E">
              <w:rPr>
                <w:sz w:val="24"/>
                <w:szCs w:val="24"/>
              </w:rPr>
              <w:t xml:space="preserve">tekstā </w:t>
            </w:r>
            <w:r w:rsidR="00C876C5" w:rsidRPr="00CA7F4E">
              <w:rPr>
                <w:sz w:val="24"/>
                <w:szCs w:val="24"/>
              </w:rPr>
              <w:t>–</w:t>
            </w:r>
            <w:r w:rsidR="00494069" w:rsidRPr="00CA7F4E">
              <w:rPr>
                <w:sz w:val="24"/>
                <w:szCs w:val="24"/>
              </w:rPr>
              <w:t xml:space="preserve"> </w:t>
            </w:r>
            <w:r w:rsidRPr="00CA7F4E">
              <w:rPr>
                <w:sz w:val="24"/>
                <w:szCs w:val="24"/>
              </w:rPr>
              <w:t>kapitālsabiedrība</w:t>
            </w:r>
            <w:r w:rsidR="00C876C5" w:rsidRPr="00CA7F4E">
              <w:rPr>
                <w:sz w:val="24"/>
                <w:szCs w:val="24"/>
              </w:rPr>
              <w:t xml:space="preserve"> vai CSDD</w:t>
            </w:r>
            <w:r w:rsidRPr="00CA7F4E">
              <w:rPr>
                <w:sz w:val="24"/>
                <w:szCs w:val="24"/>
              </w:rPr>
              <w:t>) 201</w:t>
            </w:r>
            <w:r w:rsidR="004A1B1D" w:rsidRPr="00CA7F4E">
              <w:rPr>
                <w:sz w:val="24"/>
                <w:szCs w:val="24"/>
              </w:rPr>
              <w:t>6</w:t>
            </w:r>
            <w:r w:rsidRPr="00CA7F4E">
              <w:rPr>
                <w:sz w:val="24"/>
                <w:szCs w:val="24"/>
              </w:rPr>
              <w:t xml:space="preserve">.gada pārskata perioda peļņa pēc nodokļiem ir </w:t>
            </w:r>
            <w:r w:rsidR="004A1B1D" w:rsidRPr="00CA7F4E">
              <w:rPr>
                <w:sz w:val="24"/>
                <w:szCs w:val="24"/>
              </w:rPr>
              <w:t>2</w:t>
            </w:r>
            <w:r w:rsidR="00D9157D" w:rsidRPr="00CA7F4E">
              <w:rPr>
                <w:sz w:val="24"/>
                <w:szCs w:val="24"/>
              </w:rPr>
              <w:t> </w:t>
            </w:r>
            <w:r w:rsidR="004A1B1D" w:rsidRPr="00CA7F4E">
              <w:rPr>
                <w:sz w:val="24"/>
                <w:szCs w:val="24"/>
              </w:rPr>
              <w:t>995</w:t>
            </w:r>
            <w:r w:rsidR="00D9157D" w:rsidRPr="00CA7F4E">
              <w:rPr>
                <w:sz w:val="24"/>
                <w:szCs w:val="24"/>
              </w:rPr>
              <w:t> </w:t>
            </w:r>
            <w:r w:rsidR="004A1B1D" w:rsidRPr="00CA7F4E">
              <w:rPr>
                <w:sz w:val="24"/>
                <w:szCs w:val="24"/>
              </w:rPr>
              <w:t>822</w:t>
            </w:r>
            <w:r w:rsidR="00F519DA" w:rsidRPr="00CA7F4E">
              <w:rPr>
                <w:sz w:val="24"/>
                <w:szCs w:val="24"/>
              </w:rPr>
              <w:t> </w:t>
            </w:r>
            <w:r w:rsidRPr="00CA7F4E">
              <w:rPr>
                <w:sz w:val="24"/>
                <w:szCs w:val="24"/>
              </w:rPr>
              <w:t>EUR.</w:t>
            </w:r>
          </w:p>
          <w:p w:rsidR="00BD47A2" w:rsidRPr="00CA7F4E" w:rsidRDefault="00494069" w:rsidP="007F3941">
            <w:pPr>
              <w:spacing w:line="240" w:lineRule="auto"/>
              <w:ind w:firstLine="269"/>
              <w:rPr>
                <w:sz w:val="24"/>
                <w:szCs w:val="24"/>
              </w:rPr>
            </w:pPr>
            <w:r w:rsidRPr="00CA7F4E">
              <w:rPr>
                <w:sz w:val="24"/>
                <w:szCs w:val="24"/>
              </w:rPr>
              <w:lastRenderedPageBreak/>
              <w:t xml:space="preserve">Saskaņā ar </w:t>
            </w:r>
            <w:r w:rsidR="00E35751" w:rsidRPr="00CA7F4E">
              <w:rPr>
                <w:sz w:val="24"/>
                <w:szCs w:val="24"/>
              </w:rPr>
              <w:t>likuma “Par valsts budžetu 201</w:t>
            </w:r>
            <w:r w:rsidR="004A1B1D" w:rsidRPr="00CA7F4E">
              <w:rPr>
                <w:sz w:val="24"/>
                <w:szCs w:val="24"/>
              </w:rPr>
              <w:t>7</w:t>
            </w:r>
            <w:r w:rsidR="00E35751" w:rsidRPr="00CA7F4E">
              <w:rPr>
                <w:sz w:val="24"/>
                <w:szCs w:val="24"/>
              </w:rPr>
              <w:t>.gadam</w:t>
            </w:r>
            <w:r w:rsidR="004668B2" w:rsidRPr="00CA7F4E">
              <w:rPr>
                <w:sz w:val="24"/>
                <w:szCs w:val="24"/>
              </w:rPr>
              <w:t>”</w:t>
            </w:r>
            <w:r w:rsidR="004A1B1D" w:rsidRPr="00CA7F4E">
              <w:rPr>
                <w:sz w:val="24"/>
                <w:szCs w:val="24"/>
              </w:rPr>
              <w:t xml:space="preserve"> 43</w:t>
            </w:r>
            <w:r w:rsidR="00E35751" w:rsidRPr="00CA7F4E">
              <w:rPr>
                <w:sz w:val="24"/>
                <w:szCs w:val="24"/>
              </w:rPr>
              <w:t>.pantu minimālā</w:t>
            </w:r>
            <w:r w:rsidR="00BD47A2" w:rsidRPr="00CA7F4E">
              <w:rPr>
                <w:sz w:val="24"/>
                <w:szCs w:val="24"/>
              </w:rPr>
              <w:t xml:space="preserve"> dividendēs </w:t>
            </w:r>
            <w:r w:rsidR="00E35751" w:rsidRPr="00CA7F4E">
              <w:rPr>
                <w:sz w:val="24"/>
                <w:szCs w:val="24"/>
              </w:rPr>
              <w:t>izmaksājamā peļņas daļa</w:t>
            </w:r>
            <w:r w:rsidR="004A1B1D" w:rsidRPr="00CA7F4E">
              <w:rPr>
                <w:sz w:val="24"/>
                <w:szCs w:val="24"/>
              </w:rPr>
              <w:t xml:space="preserve"> par 2016</w:t>
            </w:r>
            <w:r w:rsidR="00BD47A2" w:rsidRPr="00CA7F4E">
              <w:rPr>
                <w:sz w:val="24"/>
                <w:szCs w:val="24"/>
              </w:rPr>
              <w:t xml:space="preserve">. pārskata gadu kapitālsabiedrībai </w:t>
            </w:r>
            <w:r w:rsidR="00E35751" w:rsidRPr="00CA7F4E">
              <w:rPr>
                <w:sz w:val="24"/>
                <w:szCs w:val="24"/>
              </w:rPr>
              <w:t xml:space="preserve">ir </w:t>
            </w:r>
            <w:r w:rsidR="004A1B1D" w:rsidRPr="00CA7F4E">
              <w:rPr>
                <w:sz w:val="24"/>
                <w:szCs w:val="24"/>
              </w:rPr>
              <w:t>85</w:t>
            </w:r>
            <w:r w:rsidR="00DC4129" w:rsidRPr="00CA7F4E">
              <w:rPr>
                <w:sz w:val="24"/>
                <w:szCs w:val="24"/>
              </w:rPr>
              <w:t xml:space="preserve"> % no pārskata perioda peļņas.</w:t>
            </w:r>
            <w:r w:rsidR="00E35751" w:rsidRPr="00CA7F4E">
              <w:rPr>
                <w:sz w:val="24"/>
                <w:szCs w:val="24"/>
              </w:rPr>
              <w:t xml:space="preserve"> </w:t>
            </w:r>
            <w:r w:rsidR="004A1B1D" w:rsidRPr="00CA7F4E">
              <w:rPr>
                <w:sz w:val="24"/>
                <w:szCs w:val="24"/>
              </w:rPr>
              <w:t>Valsts kasē par 2016</w:t>
            </w:r>
            <w:r w:rsidR="00BD47A2" w:rsidRPr="00CA7F4E">
              <w:rPr>
                <w:sz w:val="24"/>
                <w:szCs w:val="24"/>
              </w:rPr>
              <w:t xml:space="preserve">.gadu būtu jāieskaita dividendes </w:t>
            </w:r>
            <w:r w:rsidR="00D9157D" w:rsidRPr="00CA7F4E">
              <w:rPr>
                <w:sz w:val="24"/>
                <w:szCs w:val="24"/>
              </w:rPr>
              <w:t>2 546 </w:t>
            </w:r>
            <w:r w:rsidR="004A1B1D" w:rsidRPr="00CA7F4E">
              <w:rPr>
                <w:sz w:val="24"/>
                <w:szCs w:val="24"/>
              </w:rPr>
              <w:t>449</w:t>
            </w:r>
            <w:r w:rsidR="00F519DA" w:rsidRPr="00CA7F4E">
              <w:rPr>
                <w:sz w:val="24"/>
                <w:szCs w:val="24"/>
              </w:rPr>
              <w:t> </w:t>
            </w:r>
            <w:r w:rsidR="00E35751" w:rsidRPr="00CA7F4E">
              <w:rPr>
                <w:sz w:val="24"/>
                <w:szCs w:val="24"/>
              </w:rPr>
              <w:t>EUR</w:t>
            </w:r>
            <w:r w:rsidR="003D1F23" w:rsidRPr="00CA7F4E">
              <w:rPr>
                <w:sz w:val="24"/>
                <w:szCs w:val="24"/>
              </w:rPr>
              <w:t xml:space="preserve"> apmērā</w:t>
            </w:r>
            <w:r w:rsidR="00BD47A2" w:rsidRPr="00CA7F4E">
              <w:rPr>
                <w:sz w:val="24"/>
                <w:szCs w:val="24"/>
              </w:rPr>
              <w:t>.</w:t>
            </w:r>
          </w:p>
          <w:p w:rsidR="007F3941" w:rsidRPr="00CA7F4E" w:rsidRDefault="00F23D58" w:rsidP="007F3941">
            <w:pPr>
              <w:spacing w:line="240" w:lineRule="auto"/>
              <w:ind w:firstLine="269"/>
              <w:rPr>
                <w:sz w:val="24"/>
                <w:szCs w:val="24"/>
              </w:rPr>
            </w:pPr>
            <w:r w:rsidRPr="00CA7F4E">
              <w:rPr>
                <w:sz w:val="24"/>
                <w:szCs w:val="24"/>
              </w:rPr>
              <w:t xml:space="preserve">PKC sagatavotais </w:t>
            </w:r>
            <w:r w:rsidR="00BD47A2" w:rsidRPr="00CA7F4E">
              <w:rPr>
                <w:sz w:val="24"/>
                <w:szCs w:val="24"/>
              </w:rPr>
              <w:t>Ministru kabineta rīkojuma projekts “Par valstij dividendēs izmaksājamo valsts akciju sabiedrības „Ceļu satiksmes drošības</w:t>
            </w:r>
            <w:r w:rsidR="004A1B1D" w:rsidRPr="00CA7F4E">
              <w:rPr>
                <w:sz w:val="24"/>
                <w:szCs w:val="24"/>
              </w:rPr>
              <w:t xml:space="preserve"> direkcija” peļņas daļu par 2016</w:t>
            </w:r>
            <w:r w:rsidR="00BD47A2" w:rsidRPr="00CA7F4E">
              <w:rPr>
                <w:sz w:val="24"/>
                <w:szCs w:val="24"/>
              </w:rPr>
              <w:t>.gadu” nosaka</w:t>
            </w:r>
            <w:r w:rsidR="00494069" w:rsidRPr="00CA7F4E">
              <w:rPr>
                <w:sz w:val="24"/>
                <w:szCs w:val="24"/>
              </w:rPr>
              <w:t>, ka</w:t>
            </w:r>
            <w:r w:rsidR="007F3941" w:rsidRPr="00CA7F4E">
              <w:rPr>
                <w:sz w:val="24"/>
                <w:szCs w:val="24"/>
              </w:rPr>
              <w:t xml:space="preserve">: </w:t>
            </w:r>
          </w:p>
          <w:p w:rsidR="007F3941" w:rsidRPr="00CA7F4E" w:rsidRDefault="007F3941" w:rsidP="007F3941">
            <w:pPr>
              <w:spacing w:line="240" w:lineRule="auto"/>
              <w:ind w:firstLine="269"/>
              <w:rPr>
                <w:sz w:val="24"/>
                <w:szCs w:val="24"/>
              </w:rPr>
            </w:pPr>
            <w:r w:rsidRPr="00CA7F4E">
              <w:rPr>
                <w:sz w:val="24"/>
                <w:szCs w:val="24"/>
              </w:rPr>
              <w:t>1. Saskaņā ar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11.2.4.apakšpunktu un 14.punktu noteikt, ka valsts akciju sabiedrība "Ceļu satiksmes drošības direkcija" (vienotais reģistrācijas Nr. 40003345734) maksā atšķirīgu dividendēs izmaksājamo peļņas daļu no notīrās peļņas par 2016. gadu</w:t>
            </w:r>
            <w:r w:rsidR="00097D01" w:rsidRPr="00CA7F4E">
              <w:rPr>
                <w:sz w:val="24"/>
                <w:szCs w:val="24"/>
              </w:rPr>
              <w:t xml:space="preserve"> (2 995 822 </w:t>
            </w:r>
            <w:r w:rsidR="00097D01" w:rsidRPr="00CA7F4E">
              <w:rPr>
                <w:i/>
                <w:sz w:val="24"/>
                <w:szCs w:val="24"/>
              </w:rPr>
              <w:t>euro</w:t>
            </w:r>
            <w:r w:rsidR="00097D01" w:rsidRPr="00CA7F4E">
              <w:rPr>
                <w:sz w:val="24"/>
                <w:szCs w:val="24"/>
              </w:rPr>
              <w:t>)</w:t>
            </w:r>
            <w:r w:rsidRPr="00CA7F4E">
              <w:rPr>
                <w:sz w:val="24"/>
                <w:szCs w:val="24"/>
              </w:rPr>
              <w:t xml:space="preserve">. </w:t>
            </w:r>
          </w:p>
          <w:p w:rsidR="007F3941" w:rsidRPr="00CA7F4E" w:rsidRDefault="007F3941" w:rsidP="007F3941">
            <w:pPr>
              <w:spacing w:line="240" w:lineRule="auto"/>
              <w:ind w:firstLine="269"/>
              <w:rPr>
                <w:sz w:val="24"/>
                <w:szCs w:val="24"/>
              </w:rPr>
            </w:pPr>
          </w:p>
          <w:p w:rsidR="007F3941" w:rsidRPr="00CA7F4E" w:rsidRDefault="007F3941" w:rsidP="007F3941">
            <w:pPr>
              <w:spacing w:line="240" w:lineRule="auto"/>
              <w:ind w:firstLine="269"/>
              <w:rPr>
                <w:sz w:val="24"/>
                <w:szCs w:val="24"/>
              </w:rPr>
            </w:pPr>
            <w:r w:rsidRPr="00CA7F4E">
              <w:rPr>
                <w:sz w:val="24"/>
                <w:szCs w:val="24"/>
              </w:rPr>
              <w:t>2.   Satiksmes ministrijai kā valsts akciju sabiedrības "Ceļu satiksmes drošības direkcija" kapitāla daļu turētājai nodrošināt, ka 15% jeb 449</w:t>
            </w:r>
            <w:r w:rsidR="00D9157D" w:rsidRPr="00CA7F4E">
              <w:rPr>
                <w:sz w:val="24"/>
                <w:szCs w:val="24"/>
              </w:rPr>
              <w:t> </w:t>
            </w:r>
            <w:r w:rsidRPr="00CA7F4E">
              <w:rPr>
                <w:sz w:val="24"/>
                <w:szCs w:val="24"/>
              </w:rPr>
              <w:t xml:space="preserve">373 euro no valsts akciju sabiedrības "Ceļu satiksmes drošības direkcija" 2016. gada peļņas tiek novirzīti valsts akciju sabiedrības "Ceļu satiksmes drošības direkcija" attīstībai, </w:t>
            </w:r>
            <w:r w:rsidR="00D9157D" w:rsidRPr="00CA7F4E">
              <w:rPr>
                <w:sz w:val="24"/>
                <w:szCs w:val="24"/>
              </w:rPr>
              <w:t>2 370 641 euro</w:t>
            </w:r>
            <w:r w:rsidRPr="00CA7F4E">
              <w:rPr>
                <w:sz w:val="24"/>
                <w:szCs w:val="24"/>
              </w:rPr>
              <w:t xml:space="preserve"> tiek novirzīti stacionāro fotoradaru iegādei, bet atlikusī peļņas daļa </w:t>
            </w:r>
            <w:r w:rsidR="00D9157D" w:rsidRPr="00CA7F4E">
              <w:rPr>
                <w:sz w:val="24"/>
                <w:szCs w:val="24"/>
              </w:rPr>
              <w:t>175 808</w:t>
            </w:r>
            <w:r w:rsidR="00097D01" w:rsidRPr="00CA7F4E">
              <w:rPr>
                <w:sz w:val="24"/>
                <w:szCs w:val="24"/>
              </w:rPr>
              <w:t> </w:t>
            </w:r>
            <w:r w:rsidRPr="00CA7F4E">
              <w:rPr>
                <w:sz w:val="24"/>
                <w:szCs w:val="24"/>
              </w:rPr>
              <w:t>euro apmērā tiek iemaksāta valsts budžetā.</w:t>
            </w:r>
          </w:p>
          <w:p w:rsidR="007F3941" w:rsidRPr="00CA7F4E" w:rsidRDefault="007F3941" w:rsidP="007F3941">
            <w:pPr>
              <w:spacing w:line="240" w:lineRule="auto"/>
              <w:ind w:left="836" w:hanging="709"/>
              <w:rPr>
                <w:sz w:val="24"/>
                <w:szCs w:val="24"/>
              </w:rPr>
            </w:pPr>
          </w:p>
          <w:p w:rsidR="00BB5C97" w:rsidRPr="00CA7F4E" w:rsidRDefault="000364E6" w:rsidP="00BB5C97">
            <w:pPr>
              <w:spacing w:line="240" w:lineRule="auto"/>
              <w:ind w:firstLine="269"/>
              <w:rPr>
                <w:sz w:val="24"/>
                <w:szCs w:val="24"/>
              </w:rPr>
            </w:pPr>
            <w:r w:rsidRPr="00CA7F4E">
              <w:rPr>
                <w:sz w:val="24"/>
                <w:szCs w:val="24"/>
              </w:rPr>
              <w:t xml:space="preserve">3. </w:t>
            </w:r>
            <w:r w:rsidR="00D30E42" w:rsidRPr="00CA7F4E">
              <w:rPr>
                <w:sz w:val="24"/>
                <w:szCs w:val="24"/>
              </w:rPr>
              <w:t xml:space="preserve">Ar </w:t>
            </w:r>
            <w:r w:rsidR="00BD47A2" w:rsidRPr="00CA7F4E">
              <w:rPr>
                <w:sz w:val="24"/>
                <w:szCs w:val="24"/>
              </w:rPr>
              <w:t xml:space="preserve">Ministru kabineta 2013.gada 13.augusta protokollēmumu (protokols nr.44 155.§) ir pieņemts zināšanai Informatīvais ziņojums “Par pārkāpumu fiksēšanas tehnisko līdzekļu (fotoradaru) ieviešanu”, kur noteikts, ka 2013., 2014., 2015., 2016. un 2017.gadā Ministru kabinets, lemjot par Ceļu satiksmes drošības direkcijas dividenžu izmantošanu, pieņem lēmumu par samazināta apjoma dividenžu ieskaitīšanu valsts </w:t>
            </w:r>
            <w:r w:rsidR="00202F7A" w:rsidRPr="00CA7F4E">
              <w:rPr>
                <w:sz w:val="24"/>
                <w:szCs w:val="24"/>
              </w:rPr>
              <w:t>budžetā.</w:t>
            </w:r>
            <w:r w:rsidR="00BB5C97" w:rsidRPr="00CA7F4E">
              <w:rPr>
                <w:sz w:val="24"/>
                <w:szCs w:val="24"/>
              </w:rPr>
              <w:t xml:space="preserve"> Tāpat Ministru kabineta protokollēmumā norādīts sekojošais:</w:t>
            </w:r>
          </w:p>
          <w:p w:rsidR="00BB5C97" w:rsidRPr="00CA7F4E" w:rsidRDefault="00BB5C97" w:rsidP="00BB5C97">
            <w:pPr>
              <w:spacing w:line="240" w:lineRule="auto"/>
              <w:ind w:firstLine="269"/>
              <w:rPr>
                <w:rStyle w:val="spelle"/>
                <w:sz w:val="24"/>
                <w:szCs w:val="24"/>
              </w:rPr>
            </w:pPr>
            <w:r w:rsidRPr="00CA7F4E">
              <w:rPr>
                <w:rStyle w:val="spelle"/>
                <w:sz w:val="24"/>
                <w:szCs w:val="24"/>
              </w:rPr>
              <w:t>- pamatā atbalstīt pārkāpumu fiksēšanas tehnisko līdzekļu (fotoradaru) ieviešanas risinājuma 2.variantu, nosakot, ka VAS „Ceļu satiksmes drošības direkcija” ir atbildīga par fotoradaru iegādes un darbības nodrošināšanu, pakāpeniski no 2013.gada līdz 2017.gadam ik gadu iegādājoties un uzstādot 20 fotoradarus;</w:t>
            </w:r>
          </w:p>
          <w:p w:rsidR="00BB5C97" w:rsidRPr="00CA7F4E" w:rsidRDefault="00BB5C97" w:rsidP="00BB5C97">
            <w:pPr>
              <w:spacing w:line="240" w:lineRule="auto"/>
              <w:ind w:firstLine="269"/>
              <w:rPr>
                <w:rStyle w:val="spelle"/>
                <w:sz w:val="24"/>
                <w:szCs w:val="24"/>
              </w:rPr>
            </w:pPr>
            <w:r w:rsidRPr="00CA7F4E">
              <w:rPr>
                <w:rStyle w:val="spelle"/>
                <w:sz w:val="24"/>
                <w:szCs w:val="24"/>
              </w:rPr>
              <w:t xml:space="preserve">- jautājumu par atbilstošas VAS "Ceļu satiksmes drošības direkcija" peļņas daļas novirzīšanu fotoradaru iegādei un darbības uzsākšanai izskatīt Ministru kabinetā tikai pēc attiecīgu grozījumu veikšanas Ceļu satiksmes </w:t>
            </w:r>
            <w:r w:rsidRPr="00CA7F4E">
              <w:rPr>
                <w:rStyle w:val="spelle"/>
                <w:sz w:val="24"/>
                <w:szCs w:val="24"/>
              </w:rPr>
              <w:lastRenderedPageBreak/>
              <w:t>likumā un vienlaikus ar šī protokollēmuma 5.punktā minēto informāciju.</w:t>
            </w:r>
          </w:p>
          <w:p w:rsidR="00BB5C97" w:rsidRPr="00CA7F4E" w:rsidRDefault="00BB5C97" w:rsidP="00BB5C97">
            <w:pPr>
              <w:spacing w:line="240" w:lineRule="auto"/>
              <w:ind w:firstLine="269"/>
              <w:rPr>
                <w:rStyle w:val="spelle"/>
                <w:sz w:val="24"/>
                <w:szCs w:val="24"/>
              </w:rPr>
            </w:pPr>
            <w:r w:rsidRPr="00CA7F4E">
              <w:rPr>
                <w:rStyle w:val="spelle"/>
                <w:sz w:val="24"/>
                <w:szCs w:val="24"/>
              </w:rPr>
              <w:t>- Satiksmes ministrijai kopīgi ar Iekšlietu ministriju mēneša laikā sagatavot priekšlikumus likumprojektam „Grozījumi Ceļu satiksmes likumā”, nosakot VAS „Ceļu satiksmes drošības direkcija” kompetenci veikt pārkāpumu fiksēšanu ar tehniskajiem līdzekļiem, neapturot transportlīdzekli (veikt fotoradaru iegādi un darbības nodrošināšanu), kā arī pēc saskaņošanas ar Tieslietu ministriju iesniegt tos Saeimas Tautsaimniecības, agrārās, vides un reģionālās politikas komisijā;</w:t>
            </w:r>
          </w:p>
          <w:p w:rsidR="00BB5C97" w:rsidRPr="00CA7F4E" w:rsidRDefault="00BB5C97" w:rsidP="00BB5C97">
            <w:pPr>
              <w:spacing w:line="240" w:lineRule="auto"/>
              <w:ind w:firstLine="269"/>
              <w:rPr>
                <w:rStyle w:val="spelle"/>
                <w:sz w:val="24"/>
                <w:szCs w:val="24"/>
              </w:rPr>
            </w:pPr>
            <w:r w:rsidRPr="00CA7F4E">
              <w:rPr>
                <w:rStyle w:val="spelle"/>
                <w:sz w:val="24"/>
                <w:szCs w:val="24"/>
              </w:rPr>
              <w:t>-Satiksmes ministrijai kopīgi ar Iekšlietu ministriju sagatavot un satiksmes ministram iesniegt Valsts kancelejā informatīvo ziņojumu par fotoradaru tehnoloģisko risinājumu - lāzera metodes un doplera metodes - salīdzinošu izvērtējumu iegādes un uzturēšanas izmaksu, efektivitātes un funkcionalitātes (tai skaitā, cik braukšanas joslu pārbaudi katrs no tiem var ietvert, nepieciešamais skaits dažādos ceļa posmos u.tml.), sniedzot detalizētu pamatojumu atbalstāmajam tehnoloģiskajam risinājumam;</w:t>
            </w:r>
          </w:p>
          <w:p w:rsidR="00BB5C97" w:rsidRPr="00CA7F4E" w:rsidRDefault="00BB5C97" w:rsidP="00BB5C97">
            <w:pPr>
              <w:spacing w:line="240" w:lineRule="auto"/>
              <w:ind w:firstLine="269"/>
              <w:rPr>
                <w:rStyle w:val="spelle"/>
                <w:sz w:val="24"/>
                <w:szCs w:val="24"/>
              </w:rPr>
            </w:pPr>
            <w:r w:rsidRPr="00CA7F4E">
              <w:rPr>
                <w:rStyle w:val="spelle"/>
                <w:sz w:val="24"/>
                <w:szCs w:val="24"/>
              </w:rPr>
              <w:t xml:space="preserve">- Finanšu ministrijai likumprojektā "Par valsts budžetu 2014.gadam" iekļaut pantu, kas nosaka, ka Iekšlietu ministrija pēc likumprojekta „Grozījumi Ceļu satiksmes likumā” pieņemšanas var iesniegt Ministru kabinetā priekšlikumu par apropriācijas palielināšanu izdevumiem, kas saistīti ar pārkāpumu ceļu satiksmē fiksēšanu ar tehniskajiem līdzekļiem un naudas sodu uzlikšanu, kā arī par valsts pamatbudžeta ieņēmumu palielināšanu no naudas sodiem, ko uzliek Valsts policija par pārkāpumiem ceļu satiksmē, kas fiksēti ar šiem tehniskajiem līdzekļiem, un ka finanšu ministram ir tiesības atbilstoši Ministru kabineta lēmumam, pirms tam informējot Saeimu, palielināt apropriāciju Iekšlietu ministrijai, paredzot papildu dotāciju no vispārējiem ieņēmumiem un izdevumus, kā arī palielināt apstiprinātos valsts budžeta ieņēmumus, tajā skaitā paredzēt valsts pamatbudžeta ieņēmumus no nauda sodiem, ko uzliek Valsts policija par pārkāpumiem ceļu satiksmē, kas fiksēti ar tehniskajiem līdzekļiem. </w:t>
            </w:r>
          </w:p>
          <w:p w:rsidR="00BB5C97" w:rsidRPr="00CA7F4E" w:rsidRDefault="00BB5C97" w:rsidP="007F3941">
            <w:pPr>
              <w:spacing w:line="240" w:lineRule="auto"/>
              <w:ind w:firstLine="269"/>
              <w:rPr>
                <w:sz w:val="24"/>
                <w:szCs w:val="24"/>
              </w:rPr>
            </w:pPr>
          </w:p>
          <w:p w:rsidR="00F23D58" w:rsidRPr="00CA7F4E" w:rsidRDefault="00556270" w:rsidP="007F3941">
            <w:pPr>
              <w:spacing w:line="240" w:lineRule="auto"/>
              <w:ind w:firstLine="269"/>
              <w:rPr>
                <w:sz w:val="24"/>
                <w:szCs w:val="24"/>
              </w:rPr>
            </w:pPr>
            <w:r w:rsidRPr="00CA7F4E">
              <w:rPr>
                <w:sz w:val="24"/>
                <w:szCs w:val="24"/>
              </w:rPr>
              <w:t xml:space="preserve">Ar Ministru kabineta </w:t>
            </w:r>
            <w:r w:rsidR="004A727A" w:rsidRPr="00CA7F4E">
              <w:rPr>
                <w:sz w:val="24"/>
                <w:szCs w:val="24"/>
              </w:rPr>
              <w:t xml:space="preserve">2016.gada 14.novembra </w:t>
            </w:r>
            <w:r w:rsidRPr="00CA7F4E">
              <w:rPr>
                <w:sz w:val="24"/>
                <w:szCs w:val="24"/>
              </w:rPr>
              <w:t>rīkojumu Nr.</w:t>
            </w:r>
            <w:r w:rsidR="000364E6" w:rsidRPr="00CA7F4E">
              <w:rPr>
                <w:sz w:val="24"/>
                <w:szCs w:val="24"/>
              </w:rPr>
              <w:t> </w:t>
            </w:r>
            <w:r w:rsidRPr="00CA7F4E">
              <w:rPr>
                <w:sz w:val="24"/>
                <w:szCs w:val="24"/>
              </w:rPr>
              <w:t>678 “Par konceptuālo ziņojumu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ir atbalstīts</w:t>
            </w:r>
            <w:r w:rsidR="00220B3E" w:rsidRPr="00CA7F4E">
              <w:rPr>
                <w:sz w:val="24"/>
                <w:szCs w:val="24"/>
              </w:rPr>
              <w:t xml:space="preserve"> fotoradaru ieviešanas risinājuma </w:t>
            </w:r>
            <w:r w:rsidRPr="00CA7F4E">
              <w:rPr>
                <w:sz w:val="24"/>
                <w:szCs w:val="24"/>
              </w:rPr>
              <w:t xml:space="preserve"> 2.variants - pagarināt fotoradaru ieviešanas termiņu, izdevumus sedzot tikai no CSDD dividendēm (prognozētais apjoms, proti, ieviest 100 fotoradarus 4 kārtās šādos termiņos: (1.kārta - 16 (realizēta </w:t>
            </w:r>
            <w:r w:rsidRPr="00CA7F4E">
              <w:rPr>
                <w:sz w:val="24"/>
                <w:szCs w:val="24"/>
              </w:rPr>
              <w:lastRenderedPageBreak/>
              <w:t>2015.gadā), 2.kārta - 24 (tiek realizēta 2016.gada laikā), 3.kārta - 20 (2017.gadā), 4.kārta - 40 (2018.gadā).</w:t>
            </w:r>
            <w:r w:rsidR="00123A13" w:rsidRPr="00CA7F4E">
              <w:rPr>
                <w:sz w:val="24"/>
                <w:szCs w:val="24"/>
              </w:rPr>
              <w:t xml:space="preserve"> </w:t>
            </w:r>
          </w:p>
          <w:p w:rsidR="00BB5C97" w:rsidRPr="00CA7F4E" w:rsidRDefault="00BB5C97" w:rsidP="007F3941">
            <w:pPr>
              <w:spacing w:line="240" w:lineRule="auto"/>
              <w:ind w:firstLine="269"/>
              <w:rPr>
                <w:sz w:val="24"/>
                <w:szCs w:val="24"/>
              </w:rPr>
            </w:pPr>
          </w:p>
          <w:p w:rsidR="004419AB" w:rsidRPr="00CA7F4E" w:rsidRDefault="000364E6" w:rsidP="007F3941">
            <w:pPr>
              <w:spacing w:line="240" w:lineRule="auto"/>
              <w:ind w:firstLine="269"/>
              <w:rPr>
                <w:sz w:val="24"/>
                <w:szCs w:val="24"/>
              </w:rPr>
            </w:pPr>
            <w:r w:rsidRPr="00CA7F4E">
              <w:rPr>
                <w:sz w:val="24"/>
                <w:szCs w:val="24"/>
              </w:rPr>
              <w:t xml:space="preserve">4. </w:t>
            </w:r>
            <w:r w:rsidR="00F23D58" w:rsidRPr="00CA7F4E">
              <w:rPr>
                <w:sz w:val="24"/>
                <w:szCs w:val="24"/>
              </w:rPr>
              <w:t xml:space="preserve">SM sagatavotais rīkojuma projekts bija </w:t>
            </w:r>
            <w:r w:rsidR="00123A13" w:rsidRPr="00CA7F4E">
              <w:rPr>
                <w:color w:val="000000" w:themeColor="text1"/>
                <w:sz w:val="24"/>
                <w:szCs w:val="24"/>
              </w:rPr>
              <w:t xml:space="preserve">balstīts uz Iekšlietu ministrijas sagatavoto Konceptuālo ziņojumu, kurā jau tika paredzēta visu CSDD valsts budžetā maksājamo dividenžu par 2016.gadu novirzīšana fotoradaru ieviešanas plāna </w:t>
            </w:r>
            <w:r w:rsidR="00B44DA9" w:rsidRPr="00CA7F4E">
              <w:rPr>
                <w:color w:val="000000" w:themeColor="text1"/>
                <w:sz w:val="24"/>
                <w:szCs w:val="24"/>
              </w:rPr>
              <w:t>ī</w:t>
            </w:r>
            <w:r w:rsidR="00123A13" w:rsidRPr="00CA7F4E">
              <w:rPr>
                <w:color w:val="000000" w:themeColor="text1"/>
                <w:sz w:val="24"/>
                <w:szCs w:val="24"/>
              </w:rPr>
              <w:t xml:space="preserve">stenošanai. </w:t>
            </w:r>
            <w:r w:rsidR="00F23D58" w:rsidRPr="00CA7F4E">
              <w:rPr>
                <w:sz w:val="24"/>
                <w:szCs w:val="24"/>
              </w:rPr>
              <w:t xml:space="preserve">SM norādīja, ka </w:t>
            </w:r>
            <w:r w:rsidR="004419AB" w:rsidRPr="00CA7F4E">
              <w:rPr>
                <w:sz w:val="24"/>
                <w:szCs w:val="24"/>
              </w:rPr>
              <w:t>CSDD summu 2 546 449 EUR apmērā plāno</w:t>
            </w:r>
            <w:r w:rsidR="00F23D58" w:rsidRPr="00CA7F4E">
              <w:rPr>
                <w:sz w:val="24"/>
                <w:szCs w:val="24"/>
              </w:rPr>
              <w:t>ja</w:t>
            </w:r>
            <w:r w:rsidR="004419AB" w:rsidRPr="00CA7F4E">
              <w:rPr>
                <w:sz w:val="24"/>
                <w:szCs w:val="24"/>
              </w:rPr>
              <w:t xml:space="preserve"> novirzīt stacionāro fotoradaru projekta realizēšanai. No šīs summas:</w:t>
            </w:r>
          </w:p>
          <w:p w:rsidR="004419AB" w:rsidRPr="00CA7F4E" w:rsidRDefault="004419AB" w:rsidP="007F3941">
            <w:pPr>
              <w:spacing w:line="240" w:lineRule="auto"/>
              <w:ind w:firstLine="269"/>
              <w:rPr>
                <w:sz w:val="24"/>
                <w:szCs w:val="24"/>
              </w:rPr>
            </w:pPr>
            <w:r w:rsidRPr="00CA7F4E">
              <w:rPr>
                <w:sz w:val="24"/>
                <w:szCs w:val="24"/>
              </w:rPr>
              <w:t xml:space="preserve">-728 271 </w:t>
            </w:r>
            <w:r w:rsidR="000364E6" w:rsidRPr="00CA7F4E">
              <w:rPr>
                <w:sz w:val="24"/>
                <w:szCs w:val="24"/>
              </w:rPr>
              <w:t xml:space="preserve">EUR </w:t>
            </w:r>
            <w:r w:rsidRPr="00CA7F4E">
              <w:rPr>
                <w:sz w:val="24"/>
                <w:szCs w:val="24"/>
              </w:rPr>
              <w:t>paredzēti 3.kārtas finansēšanai (kopā 3.kārtai nepieciešami 1 440 878 EUR, atlikums no iepriekš novirzītās naudas ir 712 607 EUR);</w:t>
            </w:r>
          </w:p>
          <w:p w:rsidR="004419AB" w:rsidRPr="00CA7F4E" w:rsidRDefault="004419AB" w:rsidP="007F3941">
            <w:pPr>
              <w:spacing w:line="240" w:lineRule="auto"/>
              <w:ind w:firstLine="269"/>
              <w:rPr>
                <w:sz w:val="24"/>
                <w:szCs w:val="24"/>
              </w:rPr>
            </w:pPr>
            <w:r w:rsidRPr="00CA7F4E">
              <w:rPr>
                <w:sz w:val="24"/>
                <w:szCs w:val="24"/>
              </w:rPr>
              <w:t xml:space="preserve">-1 818 178 </w:t>
            </w:r>
            <w:r w:rsidR="000364E6" w:rsidRPr="00CA7F4E">
              <w:rPr>
                <w:sz w:val="24"/>
                <w:szCs w:val="24"/>
              </w:rPr>
              <w:t xml:space="preserve">EUR </w:t>
            </w:r>
            <w:r w:rsidRPr="00CA7F4E">
              <w:rPr>
                <w:sz w:val="24"/>
                <w:szCs w:val="24"/>
              </w:rPr>
              <w:t>paredzēti 4.kārtas ( 40 fotoradari) daļējai finansēšanai (kopā nepieciešami 2 881 757 EUR).</w:t>
            </w:r>
          </w:p>
          <w:p w:rsidR="004419AB" w:rsidRPr="00CA7F4E" w:rsidRDefault="00F23D58" w:rsidP="007F3941">
            <w:pPr>
              <w:spacing w:line="240" w:lineRule="auto"/>
              <w:ind w:firstLine="269"/>
              <w:rPr>
                <w:sz w:val="24"/>
                <w:szCs w:val="24"/>
              </w:rPr>
            </w:pPr>
            <w:r w:rsidRPr="00CA7F4E">
              <w:rPr>
                <w:sz w:val="24"/>
                <w:szCs w:val="24"/>
              </w:rPr>
              <w:t>Tāpat SM norādīja, ka, l</w:t>
            </w:r>
            <w:r w:rsidR="004419AB" w:rsidRPr="00CA7F4E">
              <w:rPr>
                <w:sz w:val="24"/>
                <w:szCs w:val="24"/>
              </w:rPr>
              <w:t>ai pilnībā finansētu 4.kārtu CSDD būs nepieciešamas dividendes arī par 2017.gadu – aptuveni 1,1 milj. EUR apmērā. </w:t>
            </w:r>
          </w:p>
          <w:p w:rsidR="00EB2DE0" w:rsidRPr="00CA7F4E" w:rsidRDefault="00097D01" w:rsidP="00097D01">
            <w:pPr>
              <w:spacing w:line="240" w:lineRule="auto"/>
              <w:ind w:firstLine="269"/>
              <w:rPr>
                <w:sz w:val="24"/>
                <w:szCs w:val="24"/>
              </w:rPr>
            </w:pPr>
            <w:r w:rsidRPr="00CA7F4E">
              <w:rPr>
                <w:color w:val="000000" w:themeColor="text1"/>
                <w:sz w:val="24"/>
                <w:szCs w:val="24"/>
              </w:rPr>
              <w:t>5. PKC savā 2017.gada 12.jūlija atzinumā Nr.1.2-5.1/58 norādīja, ka neatbalsta SM </w:t>
            </w:r>
            <w:r w:rsidRPr="00CA7F4E">
              <w:rPr>
                <w:sz w:val="24"/>
                <w:szCs w:val="24"/>
              </w:rPr>
              <w:t xml:space="preserve">priekšlikumu par CSDD 2016.gada tīrās peļņas 85% apmērā (2 546 449 EUR) novirzīšanu stacionāro fotoradaru iegādei, bet iesaka novirzīt peļņas daļu tikai nepieciešamajā apjomā, kas saskaņā ar Ministru kabineta 2016.gada 14.novembra rīkojumu Nr.678 “Par konceptuālo ziņojumu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2017.gadā ir 1 440 878 EUR. Pārējo peļņas daļu no 85% jeb 1 105 571 EUR būtu jāparedz izmaksāt dividendēs. PKC savā atzinumā vērsa uzmanību, ka visas peļņas novirzīšana stacionāro fotoradaru iegādei izveidos CSDD uzkrājumu vairāk kā 1 miljona EUR apmērā, kam 2017.gadā nebūs pielietojuma (pieņemot, ka radaru iegādes apjoms pa gadiem paliek plānotajā līmenī, tas ir, 20 fotoradari 2017.gadā), tādēļ 2018.gadā plānotajai fotoradaru iegādei aicinām izvērtēt citu iespējamo finansēšanas avotu piesaisti 2018.gadā (2017.gada peļņa un kredītiestāžu aizdevums), neveidojot 2017.gadā papildus naudas līdzekļu uzkrājumus. Vienlaikus PKC norādīja, ka Ministru kabinetam ir iespēja pieņemt lēmumu par lielāka stacionāro fotoradaru skaita iegādi 2017.gadā, novirzot visu pieejamo finansējumu 85% procentu apmērā no 2016.gada peļņas šim mērķim, tādā veidā atslogojot 2018.gada plānoto ieguldījumu naudas plūsmu. Šāda priekšlikuma gadījumā PKC varētu atbalstīt CSDD 2016.gada peļņas saglabāšanu kapitālsabiedrības rīcībā pilnā apmērā. Tāpat PKC norādīja, ka SM rīkojuma projektā norādītais pamatojums ar atsauci </w:t>
            </w:r>
            <w:r w:rsidRPr="00CA7F4E">
              <w:rPr>
                <w:sz w:val="24"/>
                <w:szCs w:val="24"/>
              </w:rPr>
              <w:lastRenderedPageBreak/>
              <w:t xml:space="preserve">uz noteikumu Nr.806 11.2.3.apakšpunktu “dividenžu izmaksa prognozētajā apmērā var radīt draudus kapitālsabiedrības finanšu stabilitātei;” nav atbilstošs. Gada pārskata finanšu rādītāju analīze ļauj secināt, ka CSDD ir stabila finanšu situācija, kas neprasa papildus finanšu līdzekļu piesaisti. PKC lūdza SM rīkojuma projektā iekļaut sniegtajam pamatojumam atbilstošu atsauci. </w:t>
            </w:r>
          </w:p>
          <w:p w:rsidR="00097D01" w:rsidRPr="00CA7F4E" w:rsidRDefault="00097D01" w:rsidP="00510AC3">
            <w:pPr>
              <w:spacing w:line="240" w:lineRule="auto"/>
              <w:ind w:firstLine="269"/>
              <w:rPr>
                <w:color w:val="FF0000"/>
                <w:sz w:val="24"/>
                <w:szCs w:val="24"/>
              </w:rPr>
            </w:pPr>
            <w:r w:rsidRPr="00CA7F4E">
              <w:rPr>
                <w:sz w:val="24"/>
                <w:szCs w:val="24"/>
              </w:rPr>
              <w:t>Sagatavojot informatīvo ziņojumu, PKC no CSDD</w:t>
            </w:r>
            <w:r w:rsidR="00D9157D" w:rsidRPr="00CA7F4E">
              <w:rPr>
                <w:sz w:val="24"/>
                <w:szCs w:val="24"/>
              </w:rPr>
              <w:t xml:space="preserve"> un SM</w:t>
            </w:r>
            <w:r w:rsidRPr="00CA7F4E">
              <w:rPr>
                <w:sz w:val="24"/>
                <w:szCs w:val="24"/>
              </w:rPr>
              <w:t xml:space="preserve"> saņēma papildu informāciju par plānotajiem 2017.gada darbības rezultātiem</w:t>
            </w:r>
            <w:r w:rsidR="00D9157D" w:rsidRPr="00CA7F4E">
              <w:rPr>
                <w:sz w:val="24"/>
                <w:szCs w:val="24"/>
              </w:rPr>
              <w:t xml:space="preserve"> un papildu izdevumiem radaru uzstādīšanai</w:t>
            </w:r>
            <w:r w:rsidRPr="00CA7F4E">
              <w:rPr>
                <w:sz w:val="24"/>
                <w:szCs w:val="24"/>
              </w:rPr>
              <w:t>, tādēļ ie</w:t>
            </w:r>
            <w:r w:rsidR="00510AC3" w:rsidRPr="00CA7F4E">
              <w:rPr>
                <w:sz w:val="24"/>
                <w:szCs w:val="24"/>
              </w:rPr>
              <w:t xml:space="preserve">saka novirzīt lielāku peļņas daļu, t.i., </w:t>
            </w:r>
            <w:r w:rsidR="00D9157D" w:rsidRPr="00CA7F4E">
              <w:rPr>
                <w:sz w:val="24"/>
                <w:szCs w:val="24"/>
              </w:rPr>
              <w:t>2 370 641 </w:t>
            </w:r>
            <w:r w:rsidR="00510AC3" w:rsidRPr="00CA7F4E">
              <w:rPr>
                <w:i/>
                <w:sz w:val="24"/>
                <w:szCs w:val="24"/>
              </w:rPr>
              <w:t xml:space="preserve">euro, </w:t>
            </w:r>
            <w:r w:rsidR="00510AC3" w:rsidRPr="00CA7F4E">
              <w:rPr>
                <w:sz w:val="24"/>
                <w:szCs w:val="24"/>
              </w:rPr>
              <w:t xml:space="preserve">kas nodrošinātu stacionāro fotoradaru iegādi pilnā apjomā 2018.gadā. </w:t>
            </w:r>
          </w:p>
        </w:tc>
      </w:tr>
      <w:tr w:rsidR="00B0361B" w:rsidRPr="006707D3" w:rsidTr="007F3941">
        <w:trPr>
          <w:trHeight w:val="507"/>
          <w:tblCellSpacing w:w="0" w:type="dxa"/>
        </w:trPr>
        <w:tc>
          <w:tcPr>
            <w:tcW w:w="586" w:type="dxa"/>
            <w:tcBorders>
              <w:top w:val="outset" w:sz="6" w:space="0" w:color="auto"/>
              <w:left w:val="outset" w:sz="6" w:space="0" w:color="auto"/>
              <w:bottom w:val="outset" w:sz="6" w:space="0" w:color="auto"/>
              <w:right w:val="outset" w:sz="6" w:space="0" w:color="auto"/>
            </w:tcBorders>
          </w:tcPr>
          <w:p w:rsidR="00B0361B" w:rsidRPr="006707D3" w:rsidRDefault="00B0361B"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lastRenderedPageBreak/>
              <w:t> 3.</w:t>
            </w:r>
          </w:p>
        </w:tc>
        <w:tc>
          <w:tcPr>
            <w:tcW w:w="2842" w:type="dxa"/>
            <w:tcBorders>
              <w:top w:val="outset" w:sz="6" w:space="0" w:color="auto"/>
              <w:left w:val="outset" w:sz="6" w:space="0" w:color="auto"/>
              <w:bottom w:val="outset" w:sz="6" w:space="0" w:color="auto"/>
              <w:right w:val="outset" w:sz="6" w:space="0" w:color="auto"/>
            </w:tcBorders>
          </w:tcPr>
          <w:p w:rsidR="00B0361B" w:rsidRPr="006707D3" w:rsidRDefault="00B0361B"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w:t>
            </w:r>
            <w:r w:rsidR="0083428E" w:rsidRPr="006707D3">
              <w:rPr>
                <w:rFonts w:eastAsia="Times New Roman"/>
                <w:sz w:val="24"/>
                <w:szCs w:val="24"/>
                <w:lang w:eastAsia="lv-LV"/>
              </w:rPr>
              <w:t>Projekta izstrādē iesaistītās institūcijas</w:t>
            </w:r>
          </w:p>
        </w:tc>
        <w:tc>
          <w:tcPr>
            <w:tcW w:w="5812" w:type="dxa"/>
            <w:tcBorders>
              <w:top w:val="outset" w:sz="6" w:space="0" w:color="auto"/>
              <w:left w:val="outset" w:sz="6" w:space="0" w:color="auto"/>
              <w:bottom w:val="outset" w:sz="6" w:space="0" w:color="auto"/>
              <w:right w:val="outset" w:sz="6" w:space="0" w:color="auto"/>
            </w:tcBorders>
          </w:tcPr>
          <w:p w:rsidR="007F3941" w:rsidRPr="006707D3" w:rsidRDefault="006C6ADC" w:rsidP="00F23D58">
            <w:pPr>
              <w:spacing w:line="240" w:lineRule="auto"/>
              <w:ind w:firstLine="0"/>
              <w:jc w:val="left"/>
              <w:rPr>
                <w:rFonts w:eastAsia="Times New Roman"/>
                <w:sz w:val="24"/>
                <w:szCs w:val="24"/>
                <w:lang w:eastAsia="lv-LV"/>
              </w:rPr>
            </w:pPr>
            <w:r w:rsidRPr="006707D3">
              <w:rPr>
                <w:rFonts w:eastAsia="Times New Roman"/>
                <w:sz w:val="24"/>
                <w:szCs w:val="24"/>
                <w:lang w:eastAsia="lv-LV"/>
              </w:rPr>
              <w:t>Satiksmes ministrija</w:t>
            </w:r>
            <w:r w:rsidR="00F23D58" w:rsidRPr="006707D3">
              <w:rPr>
                <w:rFonts w:eastAsia="Times New Roman"/>
                <w:sz w:val="24"/>
                <w:szCs w:val="24"/>
                <w:lang w:eastAsia="lv-LV"/>
              </w:rPr>
              <w:t xml:space="preserve">, CSDD, </w:t>
            </w:r>
            <w:r w:rsidR="007F3941" w:rsidRPr="006707D3">
              <w:rPr>
                <w:rFonts w:eastAsia="Times New Roman"/>
                <w:sz w:val="24"/>
                <w:szCs w:val="24"/>
                <w:lang w:eastAsia="lv-LV"/>
              </w:rPr>
              <w:t xml:space="preserve">Pārresoru koordinācijas centrs </w:t>
            </w:r>
          </w:p>
        </w:tc>
      </w:tr>
      <w:tr w:rsidR="00B0361B" w:rsidRPr="006707D3" w:rsidTr="007F3941">
        <w:trPr>
          <w:tblCellSpacing w:w="0" w:type="dxa"/>
        </w:trPr>
        <w:tc>
          <w:tcPr>
            <w:tcW w:w="586" w:type="dxa"/>
            <w:tcBorders>
              <w:top w:val="outset" w:sz="6" w:space="0" w:color="auto"/>
              <w:left w:val="outset" w:sz="6" w:space="0" w:color="auto"/>
              <w:bottom w:val="outset" w:sz="6" w:space="0" w:color="auto"/>
              <w:right w:val="outset" w:sz="6" w:space="0" w:color="auto"/>
            </w:tcBorders>
          </w:tcPr>
          <w:p w:rsidR="00B0361B" w:rsidRPr="006707D3" w:rsidRDefault="00B0361B"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w:t>
            </w:r>
            <w:r w:rsidR="0083428E" w:rsidRPr="006707D3">
              <w:rPr>
                <w:rFonts w:eastAsia="Times New Roman"/>
                <w:sz w:val="24"/>
                <w:szCs w:val="24"/>
                <w:lang w:eastAsia="lv-LV"/>
              </w:rPr>
              <w:t>4</w:t>
            </w:r>
            <w:r w:rsidRPr="006707D3">
              <w:rPr>
                <w:rFonts w:eastAsia="Times New Roman"/>
                <w:sz w:val="24"/>
                <w:szCs w:val="24"/>
                <w:lang w:eastAsia="lv-LV"/>
              </w:rPr>
              <w:t>.</w:t>
            </w:r>
          </w:p>
        </w:tc>
        <w:tc>
          <w:tcPr>
            <w:tcW w:w="2842" w:type="dxa"/>
            <w:tcBorders>
              <w:top w:val="outset" w:sz="6" w:space="0" w:color="auto"/>
              <w:left w:val="outset" w:sz="6" w:space="0" w:color="auto"/>
              <w:bottom w:val="outset" w:sz="6" w:space="0" w:color="auto"/>
              <w:right w:val="outset" w:sz="6" w:space="0" w:color="auto"/>
            </w:tcBorders>
          </w:tcPr>
          <w:p w:rsidR="00B0361B" w:rsidRPr="006707D3" w:rsidRDefault="00B0361B"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Cita informācija</w:t>
            </w:r>
          </w:p>
        </w:tc>
        <w:tc>
          <w:tcPr>
            <w:tcW w:w="5812" w:type="dxa"/>
            <w:tcBorders>
              <w:top w:val="outset" w:sz="6" w:space="0" w:color="auto"/>
              <w:left w:val="outset" w:sz="6" w:space="0" w:color="auto"/>
              <w:bottom w:val="outset" w:sz="6" w:space="0" w:color="auto"/>
              <w:right w:val="outset" w:sz="6" w:space="0" w:color="auto"/>
            </w:tcBorders>
          </w:tcPr>
          <w:p w:rsidR="00B0361B" w:rsidRPr="006707D3" w:rsidRDefault="0083428E" w:rsidP="007F3941">
            <w:pPr>
              <w:spacing w:line="240" w:lineRule="auto"/>
              <w:ind w:firstLine="0"/>
              <w:rPr>
                <w:rFonts w:eastAsia="Times New Roman"/>
                <w:sz w:val="24"/>
                <w:szCs w:val="24"/>
                <w:lang w:eastAsia="lv-LV"/>
              </w:rPr>
            </w:pPr>
            <w:r w:rsidRPr="006707D3">
              <w:rPr>
                <w:rFonts w:eastAsia="Times New Roman"/>
                <w:sz w:val="24"/>
                <w:szCs w:val="24"/>
                <w:lang w:eastAsia="lv-LV"/>
              </w:rPr>
              <w:t>Nav</w:t>
            </w:r>
          </w:p>
        </w:tc>
      </w:tr>
    </w:tbl>
    <w:p w:rsidR="00C1051F" w:rsidRPr="006707D3" w:rsidRDefault="00C1051F" w:rsidP="007F3941">
      <w:pPr>
        <w:spacing w:line="240" w:lineRule="auto"/>
        <w:ind w:firstLine="0"/>
        <w:jc w:val="left"/>
        <w:rPr>
          <w:rFonts w:eastAsia="Times New Roman"/>
          <w:sz w:val="24"/>
          <w:szCs w:val="24"/>
          <w:lang w:eastAsia="lv-LV"/>
        </w:rPr>
      </w:pPr>
    </w:p>
    <w:tbl>
      <w:tblPr>
        <w:tblW w:w="4811"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FFFFFF"/>
        <w:tblCellMar>
          <w:top w:w="30" w:type="dxa"/>
          <w:left w:w="30" w:type="dxa"/>
          <w:bottom w:w="30" w:type="dxa"/>
          <w:right w:w="30" w:type="dxa"/>
        </w:tblCellMar>
        <w:tblLook w:val="04A0" w:firstRow="1" w:lastRow="0" w:firstColumn="1" w:lastColumn="0" w:noHBand="0" w:noVBand="1"/>
      </w:tblPr>
      <w:tblGrid>
        <w:gridCol w:w="2823"/>
        <w:gridCol w:w="1441"/>
        <w:gridCol w:w="1427"/>
        <w:gridCol w:w="1208"/>
        <w:gridCol w:w="1208"/>
        <w:gridCol w:w="994"/>
      </w:tblGrid>
      <w:tr w:rsidR="00AD2DE5" w:rsidRPr="006707D3" w:rsidTr="007F3941">
        <w:trPr>
          <w:trHeight w:val="360"/>
        </w:trPr>
        <w:tc>
          <w:tcPr>
            <w:tcW w:w="5000" w:type="pct"/>
            <w:gridSpan w:val="6"/>
            <w:shd w:val="clear" w:color="auto" w:fill="FFFFFF"/>
            <w:vAlign w:val="center"/>
            <w:hideMark/>
          </w:tcPr>
          <w:p w:rsidR="00AD2DE5" w:rsidRPr="006707D3" w:rsidRDefault="00AD2DE5" w:rsidP="007F3941">
            <w:pPr>
              <w:spacing w:line="240" w:lineRule="auto"/>
              <w:ind w:firstLine="0"/>
              <w:jc w:val="center"/>
              <w:rPr>
                <w:rFonts w:eastAsia="Times New Roman"/>
                <w:b/>
                <w:bCs/>
                <w:sz w:val="24"/>
                <w:szCs w:val="24"/>
                <w:lang w:eastAsia="lv-LV"/>
              </w:rPr>
            </w:pPr>
            <w:r w:rsidRPr="006707D3">
              <w:rPr>
                <w:rFonts w:eastAsia="Times New Roman"/>
                <w:b/>
                <w:bCs/>
                <w:sz w:val="24"/>
                <w:szCs w:val="24"/>
                <w:lang w:eastAsia="lv-LV"/>
              </w:rPr>
              <w:t>III. Tiesību akta projekta ietekme uz valsts budžetu un pašvaldību budžetiem</w:t>
            </w:r>
          </w:p>
        </w:tc>
      </w:tr>
      <w:tr w:rsidR="00AD2DE5" w:rsidRPr="006707D3" w:rsidTr="007F3941">
        <w:tc>
          <w:tcPr>
            <w:tcW w:w="1586" w:type="pct"/>
            <w:vMerge w:val="restart"/>
            <w:shd w:val="clear" w:color="auto" w:fill="FFFFFF"/>
            <w:vAlign w:val="center"/>
            <w:hideMark/>
          </w:tcPr>
          <w:p w:rsidR="00AD2DE5" w:rsidRPr="006707D3" w:rsidRDefault="00AD2DE5" w:rsidP="007F3941">
            <w:pPr>
              <w:spacing w:line="240" w:lineRule="auto"/>
              <w:ind w:firstLine="0"/>
              <w:jc w:val="center"/>
              <w:rPr>
                <w:rFonts w:eastAsia="Times New Roman"/>
                <w:b/>
                <w:bCs/>
                <w:sz w:val="24"/>
                <w:szCs w:val="24"/>
                <w:lang w:eastAsia="lv-LV"/>
              </w:rPr>
            </w:pPr>
            <w:r w:rsidRPr="006707D3">
              <w:rPr>
                <w:rFonts w:eastAsia="Times New Roman"/>
                <w:b/>
                <w:bCs/>
                <w:sz w:val="24"/>
                <w:szCs w:val="24"/>
                <w:lang w:eastAsia="lv-LV"/>
              </w:rPr>
              <w:t>Rādītāji</w:t>
            </w:r>
          </w:p>
        </w:tc>
        <w:tc>
          <w:tcPr>
            <w:tcW w:w="1645" w:type="pct"/>
            <w:gridSpan w:val="2"/>
            <w:vMerge w:val="restart"/>
            <w:shd w:val="clear" w:color="auto" w:fill="FFFFFF"/>
            <w:vAlign w:val="center"/>
            <w:hideMark/>
          </w:tcPr>
          <w:p w:rsidR="00AD2DE5" w:rsidRPr="006707D3" w:rsidRDefault="00434234" w:rsidP="007F3941">
            <w:pPr>
              <w:spacing w:line="240" w:lineRule="auto"/>
              <w:ind w:firstLine="0"/>
              <w:jc w:val="center"/>
              <w:rPr>
                <w:rFonts w:eastAsia="Times New Roman"/>
                <w:b/>
                <w:bCs/>
                <w:sz w:val="24"/>
                <w:szCs w:val="24"/>
                <w:lang w:eastAsia="lv-LV"/>
              </w:rPr>
            </w:pPr>
            <w:r w:rsidRPr="006707D3">
              <w:rPr>
                <w:rFonts w:eastAsia="Times New Roman"/>
                <w:b/>
                <w:bCs/>
                <w:sz w:val="24"/>
                <w:szCs w:val="24"/>
                <w:lang w:eastAsia="lv-LV"/>
              </w:rPr>
              <w:t>2017</w:t>
            </w:r>
            <w:r w:rsidR="00EB2DE0" w:rsidRPr="006707D3">
              <w:rPr>
                <w:rFonts w:eastAsia="Times New Roman"/>
                <w:b/>
                <w:bCs/>
                <w:sz w:val="24"/>
                <w:szCs w:val="24"/>
                <w:lang w:eastAsia="lv-LV"/>
              </w:rPr>
              <w:t>.</w:t>
            </w:r>
            <w:r w:rsidR="00AD2DE5" w:rsidRPr="006707D3">
              <w:rPr>
                <w:rFonts w:eastAsia="Times New Roman"/>
                <w:b/>
                <w:bCs/>
                <w:sz w:val="24"/>
                <w:szCs w:val="24"/>
                <w:lang w:eastAsia="lv-LV"/>
              </w:rPr>
              <w:t xml:space="preserve"> gads</w:t>
            </w:r>
          </w:p>
        </w:tc>
        <w:tc>
          <w:tcPr>
            <w:tcW w:w="1769" w:type="pct"/>
            <w:gridSpan w:val="3"/>
            <w:shd w:val="clear" w:color="auto" w:fill="FFFFFF"/>
            <w:vAlign w:val="center"/>
            <w:hideMark/>
          </w:tcPr>
          <w:p w:rsidR="00AD2DE5" w:rsidRPr="006707D3" w:rsidRDefault="00AD2DE5"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Turpmākie trīs gadi (</w:t>
            </w:r>
            <w:r w:rsidRPr="006707D3">
              <w:rPr>
                <w:rFonts w:eastAsia="Times New Roman"/>
                <w:i/>
                <w:iCs/>
                <w:sz w:val="24"/>
                <w:szCs w:val="24"/>
                <w:lang w:eastAsia="lv-LV"/>
              </w:rPr>
              <w:t>euro</w:t>
            </w:r>
            <w:r w:rsidRPr="006707D3">
              <w:rPr>
                <w:rFonts w:eastAsia="Times New Roman"/>
                <w:sz w:val="24"/>
                <w:szCs w:val="24"/>
                <w:lang w:eastAsia="lv-LV"/>
              </w:rPr>
              <w:t>)</w:t>
            </w:r>
          </w:p>
        </w:tc>
      </w:tr>
      <w:tr w:rsidR="00AD2DE5" w:rsidRPr="006707D3" w:rsidTr="007F3941">
        <w:tc>
          <w:tcPr>
            <w:tcW w:w="1586" w:type="pct"/>
            <w:vMerge/>
            <w:shd w:val="clear" w:color="auto" w:fill="FFFFFF"/>
            <w:vAlign w:val="center"/>
            <w:hideMark/>
          </w:tcPr>
          <w:p w:rsidR="00AD2DE5" w:rsidRPr="006707D3" w:rsidRDefault="00AD2DE5" w:rsidP="007F3941">
            <w:pPr>
              <w:spacing w:line="240" w:lineRule="auto"/>
              <w:ind w:firstLine="0"/>
              <w:jc w:val="left"/>
              <w:rPr>
                <w:rFonts w:eastAsia="Times New Roman"/>
                <w:b/>
                <w:bCs/>
                <w:sz w:val="24"/>
                <w:szCs w:val="24"/>
                <w:lang w:eastAsia="lv-LV"/>
              </w:rPr>
            </w:pPr>
          </w:p>
        </w:tc>
        <w:tc>
          <w:tcPr>
            <w:tcW w:w="1645" w:type="pct"/>
            <w:gridSpan w:val="2"/>
            <w:vMerge/>
            <w:shd w:val="clear" w:color="auto" w:fill="FFFFFF"/>
            <w:vAlign w:val="center"/>
            <w:hideMark/>
          </w:tcPr>
          <w:p w:rsidR="00AD2DE5" w:rsidRPr="006707D3" w:rsidRDefault="00AD2DE5" w:rsidP="007F3941">
            <w:pPr>
              <w:spacing w:line="240" w:lineRule="auto"/>
              <w:ind w:firstLine="0"/>
              <w:jc w:val="left"/>
              <w:rPr>
                <w:rFonts w:eastAsia="Times New Roman"/>
                <w:b/>
                <w:bCs/>
                <w:sz w:val="24"/>
                <w:szCs w:val="24"/>
                <w:lang w:eastAsia="lv-LV"/>
              </w:rPr>
            </w:pPr>
          </w:p>
        </w:tc>
        <w:tc>
          <w:tcPr>
            <w:tcW w:w="699" w:type="pct"/>
            <w:shd w:val="clear" w:color="auto" w:fill="FFFFFF"/>
            <w:vAlign w:val="center"/>
            <w:hideMark/>
          </w:tcPr>
          <w:p w:rsidR="00AD2DE5" w:rsidRPr="006707D3" w:rsidRDefault="00EB2DE0" w:rsidP="007F3941">
            <w:pPr>
              <w:spacing w:line="240" w:lineRule="auto"/>
              <w:ind w:firstLine="0"/>
              <w:jc w:val="center"/>
              <w:rPr>
                <w:rFonts w:eastAsia="Times New Roman"/>
                <w:b/>
                <w:bCs/>
                <w:sz w:val="24"/>
                <w:szCs w:val="24"/>
                <w:lang w:eastAsia="lv-LV"/>
              </w:rPr>
            </w:pPr>
            <w:r w:rsidRPr="006707D3">
              <w:rPr>
                <w:rFonts w:eastAsia="Times New Roman"/>
                <w:b/>
                <w:bCs/>
                <w:sz w:val="24"/>
                <w:szCs w:val="24"/>
                <w:lang w:eastAsia="lv-LV"/>
              </w:rPr>
              <w:t>201</w:t>
            </w:r>
            <w:r w:rsidR="00434234" w:rsidRPr="006707D3">
              <w:rPr>
                <w:rFonts w:eastAsia="Times New Roman"/>
                <w:b/>
                <w:bCs/>
                <w:sz w:val="24"/>
                <w:szCs w:val="24"/>
                <w:lang w:eastAsia="lv-LV"/>
              </w:rPr>
              <w:t>8</w:t>
            </w:r>
          </w:p>
        </w:tc>
        <w:tc>
          <w:tcPr>
            <w:tcW w:w="699" w:type="pct"/>
            <w:shd w:val="clear" w:color="auto" w:fill="FFFFFF"/>
            <w:vAlign w:val="center"/>
            <w:hideMark/>
          </w:tcPr>
          <w:p w:rsidR="00AD2DE5" w:rsidRPr="006707D3" w:rsidRDefault="00434234" w:rsidP="007F3941">
            <w:pPr>
              <w:spacing w:line="240" w:lineRule="auto"/>
              <w:ind w:firstLine="0"/>
              <w:jc w:val="center"/>
              <w:rPr>
                <w:rFonts w:eastAsia="Times New Roman"/>
                <w:b/>
                <w:bCs/>
                <w:sz w:val="24"/>
                <w:szCs w:val="24"/>
                <w:lang w:eastAsia="lv-LV"/>
              </w:rPr>
            </w:pPr>
            <w:r w:rsidRPr="006707D3">
              <w:rPr>
                <w:rFonts w:eastAsia="Times New Roman"/>
                <w:b/>
                <w:bCs/>
                <w:sz w:val="24"/>
                <w:szCs w:val="24"/>
                <w:lang w:eastAsia="lv-LV"/>
              </w:rPr>
              <w:t>2019</w:t>
            </w:r>
          </w:p>
        </w:tc>
        <w:tc>
          <w:tcPr>
            <w:tcW w:w="371" w:type="pct"/>
            <w:shd w:val="clear" w:color="auto" w:fill="FFFFFF"/>
            <w:vAlign w:val="center"/>
            <w:hideMark/>
          </w:tcPr>
          <w:p w:rsidR="00AD2DE5" w:rsidRPr="006707D3" w:rsidRDefault="00434234" w:rsidP="007F3941">
            <w:pPr>
              <w:spacing w:line="240" w:lineRule="auto"/>
              <w:ind w:firstLine="0"/>
              <w:jc w:val="center"/>
              <w:rPr>
                <w:rFonts w:eastAsia="Times New Roman"/>
                <w:b/>
                <w:bCs/>
                <w:sz w:val="24"/>
                <w:szCs w:val="24"/>
                <w:lang w:eastAsia="lv-LV"/>
              </w:rPr>
            </w:pPr>
            <w:r w:rsidRPr="006707D3">
              <w:rPr>
                <w:rFonts w:eastAsia="Times New Roman"/>
                <w:b/>
                <w:bCs/>
                <w:sz w:val="24"/>
                <w:szCs w:val="24"/>
                <w:lang w:eastAsia="lv-LV"/>
              </w:rPr>
              <w:t>2020</w:t>
            </w:r>
          </w:p>
        </w:tc>
      </w:tr>
      <w:tr w:rsidR="00AD2DE5" w:rsidRPr="006707D3" w:rsidTr="007F3941">
        <w:tc>
          <w:tcPr>
            <w:tcW w:w="1586" w:type="pct"/>
            <w:vMerge/>
            <w:shd w:val="clear" w:color="auto" w:fill="FFFFFF"/>
            <w:vAlign w:val="center"/>
            <w:hideMark/>
          </w:tcPr>
          <w:p w:rsidR="00AD2DE5" w:rsidRPr="006707D3" w:rsidRDefault="00AD2DE5" w:rsidP="007F3941">
            <w:pPr>
              <w:spacing w:line="240" w:lineRule="auto"/>
              <w:ind w:firstLine="0"/>
              <w:jc w:val="left"/>
              <w:rPr>
                <w:rFonts w:eastAsia="Times New Roman"/>
                <w:b/>
                <w:bCs/>
                <w:sz w:val="24"/>
                <w:szCs w:val="24"/>
                <w:lang w:eastAsia="lv-LV"/>
              </w:rPr>
            </w:pPr>
          </w:p>
        </w:tc>
        <w:tc>
          <w:tcPr>
            <w:tcW w:w="827" w:type="pct"/>
            <w:shd w:val="clear" w:color="auto" w:fill="FFFFFF"/>
            <w:vAlign w:val="center"/>
            <w:hideMark/>
          </w:tcPr>
          <w:p w:rsidR="00AD2DE5" w:rsidRPr="006707D3" w:rsidRDefault="00AD2DE5"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saskaņā ar valsts budžetu kārtējam gadam</w:t>
            </w:r>
          </w:p>
        </w:tc>
        <w:tc>
          <w:tcPr>
            <w:tcW w:w="819" w:type="pct"/>
            <w:shd w:val="clear" w:color="auto" w:fill="FFFFFF"/>
            <w:vAlign w:val="center"/>
            <w:hideMark/>
          </w:tcPr>
          <w:p w:rsidR="00AD2DE5" w:rsidRPr="006707D3" w:rsidRDefault="00AD2DE5"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izmaiņas kārtējā gadā, salīdzinot ar valsts budžetu kārtējam gadam</w:t>
            </w:r>
          </w:p>
        </w:tc>
        <w:tc>
          <w:tcPr>
            <w:tcW w:w="699" w:type="pct"/>
            <w:shd w:val="clear" w:color="auto" w:fill="FFFFFF"/>
            <w:vAlign w:val="center"/>
            <w:hideMark/>
          </w:tcPr>
          <w:p w:rsidR="00AD2DE5" w:rsidRPr="006707D3" w:rsidRDefault="00AD2DE5"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izmaiņas, salīdzinot ar kārtējo (n) gadu</w:t>
            </w:r>
          </w:p>
        </w:tc>
        <w:tc>
          <w:tcPr>
            <w:tcW w:w="699" w:type="pct"/>
            <w:shd w:val="clear" w:color="auto" w:fill="FFFFFF"/>
            <w:vAlign w:val="center"/>
            <w:hideMark/>
          </w:tcPr>
          <w:p w:rsidR="00AD2DE5" w:rsidRPr="006707D3" w:rsidRDefault="00AD2DE5"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izmaiņas, salīdzinot ar kārtējo (n) gadu</w:t>
            </w:r>
          </w:p>
        </w:tc>
        <w:tc>
          <w:tcPr>
            <w:tcW w:w="371" w:type="pct"/>
            <w:shd w:val="clear" w:color="auto" w:fill="FFFFFF"/>
            <w:vAlign w:val="center"/>
            <w:hideMark/>
          </w:tcPr>
          <w:p w:rsidR="00AD2DE5" w:rsidRPr="006707D3" w:rsidRDefault="00AD2DE5"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izmaiņas, salīdzinot ar kārtējo (n) gadu</w:t>
            </w:r>
          </w:p>
        </w:tc>
      </w:tr>
      <w:tr w:rsidR="00AD2DE5" w:rsidRPr="006707D3" w:rsidTr="007F3941">
        <w:tc>
          <w:tcPr>
            <w:tcW w:w="1586" w:type="pct"/>
            <w:shd w:val="clear" w:color="auto" w:fill="FFFFFF"/>
            <w:vAlign w:val="center"/>
            <w:hideMark/>
          </w:tcPr>
          <w:p w:rsidR="00AD2DE5" w:rsidRPr="006707D3" w:rsidRDefault="00AD2DE5"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1</w:t>
            </w:r>
          </w:p>
        </w:tc>
        <w:tc>
          <w:tcPr>
            <w:tcW w:w="827" w:type="pct"/>
            <w:shd w:val="clear" w:color="auto" w:fill="FFFFFF"/>
            <w:vAlign w:val="center"/>
            <w:hideMark/>
          </w:tcPr>
          <w:p w:rsidR="00AD2DE5" w:rsidRPr="006707D3" w:rsidRDefault="00AD2DE5"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2</w:t>
            </w:r>
          </w:p>
        </w:tc>
        <w:tc>
          <w:tcPr>
            <w:tcW w:w="819" w:type="pct"/>
            <w:shd w:val="clear" w:color="auto" w:fill="FFFFFF"/>
            <w:vAlign w:val="center"/>
            <w:hideMark/>
          </w:tcPr>
          <w:p w:rsidR="00AD2DE5" w:rsidRPr="006707D3" w:rsidRDefault="00AD2DE5"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3</w:t>
            </w:r>
          </w:p>
        </w:tc>
        <w:tc>
          <w:tcPr>
            <w:tcW w:w="699" w:type="pct"/>
            <w:shd w:val="clear" w:color="auto" w:fill="FFFFFF"/>
            <w:vAlign w:val="center"/>
            <w:hideMark/>
          </w:tcPr>
          <w:p w:rsidR="00AD2DE5" w:rsidRPr="006707D3" w:rsidRDefault="00AD2DE5"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4</w:t>
            </w:r>
          </w:p>
        </w:tc>
        <w:tc>
          <w:tcPr>
            <w:tcW w:w="699" w:type="pct"/>
            <w:shd w:val="clear" w:color="auto" w:fill="FFFFFF"/>
            <w:vAlign w:val="center"/>
            <w:hideMark/>
          </w:tcPr>
          <w:p w:rsidR="00AD2DE5" w:rsidRPr="006707D3" w:rsidRDefault="00AD2DE5"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5</w:t>
            </w:r>
          </w:p>
        </w:tc>
        <w:tc>
          <w:tcPr>
            <w:tcW w:w="371" w:type="pct"/>
            <w:shd w:val="clear" w:color="auto" w:fill="FFFFFF"/>
            <w:vAlign w:val="center"/>
            <w:hideMark/>
          </w:tcPr>
          <w:p w:rsidR="00AD2DE5" w:rsidRPr="006707D3" w:rsidRDefault="00AD2DE5"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6</w:t>
            </w:r>
          </w:p>
        </w:tc>
      </w:tr>
      <w:tr w:rsidR="00955C92" w:rsidRPr="006707D3" w:rsidTr="007F3941">
        <w:tc>
          <w:tcPr>
            <w:tcW w:w="1586" w:type="pct"/>
            <w:shd w:val="clear" w:color="auto" w:fill="FFFFFF"/>
            <w:hideMark/>
          </w:tcPr>
          <w:p w:rsidR="00955C92" w:rsidRPr="006707D3" w:rsidRDefault="00955C92"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1. Budžeta ieņēmumi:</w:t>
            </w:r>
          </w:p>
        </w:tc>
        <w:tc>
          <w:tcPr>
            <w:tcW w:w="827" w:type="pct"/>
            <w:shd w:val="clear" w:color="auto" w:fill="FFFFFF"/>
            <w:hideMark/>
          </w:tcPr>
          <w:p w:rsidR="00955C92" w:rsidRPr="006707D3" w:rsidRDefault="00955C92" w:rsidP="00BC67BA">
            <w:pPr>
              <w:spacing w:line="240" w:lineRule="auto"/>
              <w:ind w:firstLine="0"/>
              <w:jc w:val="left"/>
              <w:rPr>
                <w:rFonts w:eastAsia="Times New Roman"/>
                <w:color w:val="000000" w:themeColor="text1"/>
                <w:sz w:val="24"/>
                <w:szCs w:val="24"/>
                <w:lang w:eastAsia="lv-LV"/>
              </w:rPr>
            </w:pPr>
            <w:r w:rsidRPr="006707D3">
              <w:rPr>
                <w:rFonts w:eastAsia="Times New Roman"/>
                <w:color w:val="000000" w:themeColor="text1"/>
                <w:sz w:val="24"/>
                <w:szCs w:val="24"/>
                <w:lang w:eastAsia="lv-LV"/>
              </w:rPr>
              <w:t> </w:t>
            </w:r>
            <w:r w:rsidR="00E74E15" w:rsidRPr="006707D3">
              <w:rPr>
                <w:rFonts w:eastAsia="Times New Roman"/>
                <w:color w:val="000000" w:themeColor="text1"/>
                <w:sz w:val="24"/>
                <w:szCs w:val="24"/>
                <w:lang w:eastAsia="lv-LV"/>
              </w:rPr>
              <w:t>1</w:t>
            </w:r>
            <w:r w:rsidR="00BC67BA" w:rsidRPr="006707D3">
              <w:rPr>
                <w:rFonts w:eastAsia="Times New Roman"/>
                <w:color w:val="000000" w:themeColor="text1"/>
                <w:sz w:val="24"/>
                <w:szCs w:val="24"/>
                <w:lang w:eastAsia="lv-LV"/>
              </w:rPr>
              <w:t> 105 571</w:t>
            </w:r>
          </w:p>
        </w:tc>
        <w:tc>
          <w:tcPr>
            <w:tcW w:w="819" w:type="pct"/>
            <w:shd w:val="clear" w:color="auto" w:fill="FFFFFF"/>
            <w:hideMark/>
          </w:tcPr>
          <w:p w:rsidR="00955C92" w:rsidRPr="006707D3" w:rsidRDefault="00955C92" w:rsidP="00550FCD">
            <w:pPr>
              <w:spacing w:line="240" w:lineRule="auto"/>
              <w:ind w:firstLine="0"/>
              <w:jc w:val="left"/>
              <w:rPr>
                <w:color w:val="000000" w:themeColor="text1"/>
                <w:sz w:val="24"/>
                <w:szCs w:val="24"/>
                <w:lang w:eastAsia="lv-LV"/>
              </w:rPr>
            </w:pPr>
            <w:r w:rsidRPr="006707D3">
              <w:rPr>
                <w:rFonts w:eastAsia="Times New Roman"/>
                <w:color w:val="000000" w:themeColor="text1"/>
                <w:sz w:val="24"/>
                <w:szCs w:val="24"/>
                <w:lang w:eastAsia="lv-LV"/>
              </w:rPr>
              <w:t> </w:t>
            </w:r>
            <w:r w:rsidR="00065F5F" w:rsidRPr="006707D3">
              <w:rPr>
                <w:rFonts w:eastAsia="Times New Roman"/>
                <w:color w:val="000000" w:themeColor="text1"/>
                <w:sz w:val="24"/>
                <w:szCs w:val="24"/>
                <w:lang w:eastAsia="lv-LV"/>
              </w:rPr>
              <w:t>-</w:t>
            </w:r>
            <w:r w:rsidR="00550FCD">
              <w:rPr>
                <w:color w:val="000000" w:themeColor="text1"/>
                <w:sz w:val="24"/>
                <w:szCs w:val="24"/>
              </w:rPr>
              <w:t>92</w:t>
            </w:r>
            <w:r w:rsidR="00550FCD" w:rsidRPr="00550FCD">
              <w:rPr>
                <w:color w:val="000000" w:themeColor="text1"/>
                <w:sz w:val="24"/>
                <w:szCs w:val="24"/>
              </w:rPr>
              <w:t>9</w:t>
            </w:r>
            <w:r w:rsidR="00550FCD">
              <w:rPr>
                <w:color w:val="000000" w:themeColor="text1"/>
                <w:sz w:val="24"/>
                <w:szCs w:val="24"/>
              </w:rPr>
              <w:t> </w:t>
            </w:r>
            <w:r w:rsidR="00550FCD" w:rsidRPr="00550FCD">
              <w:rPr>
                <w:color w:val="000000" w:themeColor="text1"/>
                <w:sz w:val="24"/>
                <w:szCs w:val="24"/>
              </w:rPr>
              <w:t>763</w:t>
            </w:r>
          </w:p>
        </w:tc>
        <w:tc>
          <w:tcPr>
            <w:tcW w:w="699" w:type="pct"/>
            <w:shd w:val="clear" w:color="auto" w:fill="FFFFFF"/>
            <w:hideMark/>
          </w:tcPr>
          <w:p w:rsidR="00955C92" w:rsidRPr="006707D3" w:rsidRDefault="00EB2DE0" w:rsidP="007F3941">
            <w:pPr>
              <w:spacing w:line="240" w:lineRule="auto"/>
              <w:ind w:firstLine="0"/>
              <w:jc w:val="center"/>
              <w:rPr>
                <w:sz w:val="24"/>
                <w:szCs w:val="24"/>
                <w:lang w:eastAsia="lv-LV"/>
              </w:rPr>
            </w:pPr>
            <w:r w:rsidRPr="006707D3">
              <w:rPr>
                <w:sz w:val="24"/>
                <w:szCs w:val="24"/>
                <w:lang w:eastAsia="lv-LV"/>
              </w:rPr>
              <w:t>-</w:t>
            </w:r>
          </w:p>
        </w:tc>
        <w:tc>
          <w:tcPr>
            <w:tcW w:w="699" w:type="pct"/>
            <w:shd w:val="clear" w:color="auto" w:fill="FFFFFF"/>
            <w:hideMark/>
          </w:tcPr>
          <w:p w:rsidR="00955C92" w:rsidRPr="006707D3" w:rsidRDefault="00EB2DE0" w:rsidP="007F3941">
            <w:pPr>
              <w:spacing w:line="240" w:lineRule="auto"/>
              <w:ind w:firstLine="0"/>
              <w:jc w:val="center"/>
              <w:rPr>
                <w:sz w:val="24"/>
                <w:szCs w:val="24"/>
                <w:lang w:eastAsia="lv-LV"/>
              </w:rPr>
            </w:pPr>
            <w:r w:rsidRPr="006707D3">
              <w:rPr>
                <w:sz w:val="24"/>
                <w:szCs w:val="24"/>
                <w:lang w:eastAsia="lv-LV"/>
              </w:rPr>
              <w:t>-</w:t>
            </w:r>
          </w:p>
        </w:tc>
        <w:tc>
          <w:tcPr>
            <w:tcW w:w="371" w:type="pct"/>
            <w:shd w:val="clear" w:color="auto" w:fill="FFFFFF"/>
            <w:hideMark/>
          </w:tcPr>
          <w:p w:rsidR="00955C92" w:rsidRPr="006707D3" w:rsidRDefault="00EB2DE0" w:rsidP="007F3941">
            <w:pPr>
              <w:spacing w:line="240" w:lineRule="auto"/>
              <w:ind w:firstLine="0"/>
              <w:jc w:val="center"/>
              <w:rPr>
                <w:sz w:val="24"/>
                <w:szCs w:val="24"/>
                <w:lang w:eastAsia="lv-LV"/>
              </w:rPr>
            </w:pPr>
            <w:r w:rsidRPr="006707D3">
              <w:rPr>
                <w:sz w:val="24"/>
                <w:szCs w:val="24"/>
                <w:lang w:eastAsia="lv-LV"/>
              </w:rPr>
              <w:t>-</w:t>
            </w:r>
          </w:p>
        </w:tc>
      </w:tr>
      <w:tr w:rsidR="00AD2DE5" w:rsidRPr="006707D3" w:rsidTr="007F3941">
        <w:tc>
          <w:tcPr>
            <w:tcW w:w="1586"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1.1. valsts pamatbudžets, tai skaitā ieņēmumi no maksas pakalpojumiem un citi pašu ieņēmumi</w:t>
            </w:r>
          </w:p>
        </w:tc>
        <w:tc>
          <w:tcPr>
            <w:tcW w:w="827" w:type="pct"/>
            <w:shd w:val="clear" w:color="auto" w:fill="FFFFFF"/>
            <w:hideMark/>
          </w:tcPr>
          <w:p w:rsidR="00AD2DE5" w:rsidRPr="006707D3" w:rsidRDefault="00AD2DE5" w:rsidP="00BC67BA">
            <w:pPr>
              <w:spacing w:line="240" w:lineRule="auto"/>
              <w:ind w:firstLine="0"/>
              <w:jc w:val="left"/>
              <w:rPr>
                <w:rFonts w:eastAsia="Times New Roman"/>
                <w:color w:val="000000" w:themeColor="text1"/>
                <w:sz w:val="24"/>
                <w:szCs w:val="24"/>
                <w:lang w:eastAsia="lv-LV"/>
              </w:rPr>
            </w:pPr>
            <w:r w:rsidRPr="006707D3">
              <w:rPr>
                <w:rFonts w:eastAsia="Times New Roman"/>
                <w:color w:val="000000" w:themeColor="text1"/>
                <w:sz w:val="24"/>
                <w:szCs w:val="24"/>
                <w:lang w:eastAsia="lv-LV"/>
              </w:rPr>
              <w:t> </w:t>
            </w:r>
            <w:r w:rsidR="00BC67BA" w:rsidRPr="006707D3">
              <w:rPr>
                <w:rFonts w:eastAsia="Times New Roman"/>
                <w:color w:val="000000" w:themeColor="text1"/>
                <w:sz w:val="24"/>
                <w:szCs w:val="24"/>
                <w:lang w:eastAsia="lv-LV"/>
              </w:rPr>
              <w:t>1 105 571</w:t>
            </w:r>
          </w:p>
        </w:tc>
        <w:tc>
          <w:tcPr>
            <w:tcW w:w="819" w:type="pct"/>
            <w:shd w:val="clear" w:color="auto" w:fill="FFFFFF"/>
            <w:hideMark/>
          </w:tcPr>
          <w:p w:rsidR="00AD2DE5" w:rsidRPr="006707D3" w:rsidRDefault="00AD2DE5" w:rsidP="00550FCD">
            <w:pPr>
              <w:spacing w:line="240" w:lineRule="auto"/>
              <w:ind w:firstLine="0"/>
              <w:jc w:val="left"/>
              <w:rPr>
                <w:rFonts w:eastAsia="Times New Roman"/>
                <w:color w:val="000000" w:themeColor="text1"/>
                <w:sz w:val="24"/>
                <w:szCs w:val="24"/>
                <w:lang w:eastAsia="lv-LV"/>
              </w:rPr>
            </w:pPr>
            <w:r w:rsidRPr="006707D3">
              <w:rPr>
                <w:rFonts w:eastAsia="Times New Roman"/>
                <w:color w:val="000000" w:themeColor="text1"/>
                <w:sz w:val="24"/>
                <w:szCs w:val="24"/>
                <w:lang w:eastAsia="lv-LV"/>
              </w:rPr>
              <w:t> </w:t>
            </w:r>
            <w:r w:rsidR="00097D01" w:rsidRPr="006707D3">
              <w:rPr>
                <w:rFonts w:eastAsia="Times New Roman"/>
                <w:color w:val="000000" w:themeColor="text1"/>
                <w:sz w:val="24"/>
                <w:szCs w:val="24"/>
                <w:lang w:eastAsia="lv-LV"/>
              </w:rPr>
              <w:t>-</w:t>
            </w:r>
            <w:r w:rsidR="00550FCD" w:rsidRPr="00550FCD">
              <w:rPr>
                <w:color w:val="000000" w:themeColor="text1"/>
                <w:sz w:val="24"/>
                <w:szCs w:val="24"/>
              </w:rPr>
              <w:t>929</w:t>
            </w:r>
            <w:r w:rsidR="00550FCD">
              <w:rPr>
                <w:color w:val="000000" w:themeColor="text1"/>
                <w:sz w:val="24"/>
                <w:szCs w:val="24"/>
              </w:rPr>
              <w:t> </w:t>
            </w:r>
            <w:r w:rsidR="00550FCD" w:rsidRPr="00550FCD">
              <w:rPr>
                <w:color w:val="000000" w:themeColor="text1"/>
                <w:sz w:val="24"/>
                <w:szCs w:val="24"/>
              </w:rPr>
              <w:t>763</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AD2DE5" w:rsidRPr="006707D3" w:rsidTr="007F3941">
        <w:tc>
          <w:tcPr>
            <w:tcW w:w="1586"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1.2. valsts speciālais budžets</w:t>
            </w:r>
          </w:p>
        </w:tc>
        <w:tc>
          <w:tcPr>
            <w:tcW w:w="827" w:type="pct"/>
            <w:shd w:val="clear" w:color="auto" w:fill="FFFFFF"/>
            <w:hideMark/>
          </w:tcPr>
          <w:p w:rsidR="00AD2DE5" w:rsidRPr="006707D3" w:rsidRDefault="00AD2DE5" w:rsidP="007F3941">
            <w:pPr>
              <w:spacing w:line="240" w:lineRule="auto"/>
              <w:ind w:firstLine="0"/>
              <w:jc w:val="left"/>
              <w:rPr>
                <w:rFonts w:eastAsia="Times New Roman"/>
                <w:color w:val="000000" w:themeColor="text1"/>
                <w:sz w:val="24"/>
                <w:szCs w:val="24"/>
                <w:lang w:eastAsia="lv-LV"/>
              </w:rPr>
            </w:pPr>
            <w:r w:rsidRPr="006707D3">
              <w:rPr>
                <w:rFonts w:eastAsia="Times New Roman"/>
                <w:color w:val="000000" w:themeColor="text1"/>
                <w:sz w:val="24"/>
                <w:szCs w:val="24"/>
                <w:lang w:eastAsia="lv-LV"/>
              </w:rPr>
              <w:t> </w:t>
            </w:r>
            <w:r w:rsidR="005D2463" w:rsidRPr="006707D3">
              <w:rPr>
                <w:rFonts w:eastAsia="Times New Roman"/>
                <w:color w:val="000000" w:themeColor="text1"/>
                <w:sz w:val="24"/>
                <w:szCs w:val="24"/>
                <w:lang w:eastAsia="lv-LV"/>
              </w:rPr>
              <w:t>0</w:t>
            </w:r>
          </w:p>
        </w:tc>
        <w:tc>
          <w:tcPr>
            <w:tcW w:w="819"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w:t>
            </w:r>
            <w:r w:rsidR="005D2463" w:rsidRPr="006707D3">
              <w:rPr>
                <w:rFonts w:eastAsia="Times New Roman"/>
                <w:sz w:val="24"/>
                <w:szCs w:val="24"/>
                <w:lang w:eastAsia="lv-LV"/>
              </w:rPr>
              <w:t>0</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AD2DE5" w:rsidRPr="006707D3" w:rsidTr="007F3941">
        <w:tc>
          <w:tcPr>
            <w:tcW w:w="1586"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1.3. pašvaldību budžets</w:t>
            </w:r>
          </w:p>
        </w:tc>
        <w:tc>
          <w:tcPr>
            <w:tcW w:w="827" w:type="pct"/>
            <w:shd w:val="clear" w:color="auto" w:fill="FFFFFF"/>
            <w:hideMark/>
          </w:tcPr>
          <w:p w:rsidR="00AD2DE5" w:rsidRPr="006707D3" w:rsidRDefault="00AD2DE5" w:rsidP="007F3941">
            <w:pPr>
              <w:spacing w:line="240" w:lineRule="auto"/>
              <w:ind w:firstLine="0"/>
              <w:jc w:val="left"/>
              <w:rPr>
                <w:rFonts w:eastAsia="Times New Roman"/>
                <w:color w:val="000000" w:themeColor="text1"/>
                <w:sz w:val="24"/>
                <w:szCs w:val="24"/>
                <w:lang w:eastAsia="lv-LV"/>
              </w:rPr>
            </w:pPr>
            <w:r w:rsidRPr="006707D3">
              <w:rPr>
                <w:rFonts w:eastAsia="Times New Roman"/>
                <w:color w:val="000000" w:themeColor="text1"/>
                <w:sz w:val="24"/>
                <w:szCs w:val="24"/>
                <w:lang w:eastAsia="lv-LV"/>
              </w:rPr>
              <w:t> </w:t>
            </w:r>
            <w:r w:rsidR="005D2463" w:rsidRPr="006707D3">
              <w:rPr>
                <w:rFonts w:eastAsia="Times New Roman"/>
                <w:color w:val="000000" w:themeColor="text1"/>
                <w:sz w:val="24"/>
                <w:szCs w:val="24"/>
                <w:lang w:eastAsia="lv-LV"/>
              </w:rPr>
              <w:t>0</w:t>
            </w:r>
          </w:p>
        </w:tc>
        <w:tc>
          <w:tcPr>
            <w:tcW w:w="819"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w:t>
            </w:r>
            <w:r w:rsidR="005D2463" w:rsidRPr="006707D3">
              <w:rPr>
                <w:rFonts w:eastAsia="Times New Roman"/>
                <w:sz w:val="24"/>
                <w:szCs w:val="24"/>
                <w:lang w:eastAsia="lv-LV"/>
              </w:rPr>
              <w:t>0</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AD2DE5" w:rsidRPr="006707D3" w:rsidTr="007F3941">
        <w:tc>
          <w:tcPr>
            <w:tcW w:w="1586"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2. Budžeta izdevumi:</w:t>
            </w:r>
          </w:p>
        </w:tc>
        <w:tc>
          <w:tcPr>
            <w:tcW w:w="827" w:type="pct"/>
            <w:shd w:val="clear" w:color="auto" w:fill="FFFFFF"/>
            <w:hideMark/>
          </w:tcPr>
          <w:p w:rsidR="00AD2DE5" w:rsidRPr="006707D3" w:rsidRDefault="00AD2DE5" w:rsidP="007F3941">
            <w:pPr>
              <w:spacing w:line="240" w:lineRule="auto"/>
              <w:ind w:firstLine="0"/>
              <w:jc w:val="left"/>
              <w:rPr>
                <w:rFonts w:eastAsia="Times New Roman"/>
                <w:color w:val="000000" w:themeColor="text1"/>
                <w:sz w:val="24"/>
                <w:szCs w:val="24"/>
                <w:lang w:eastAsia="lv-LV"/>
              </w:rPr>
            </w:pPr>
            <w:r w:rsidRPr="006707D3">
              <w:rPr>
                <w:rFonts w:eastAsia="Times New Roman"/>
                <w:color w:val="000000" w:themeColor="text1"/>
                <w:sz w:val="24"/>
                <w:szCs w:val="24"/>
                <w:lang w:eastAsia="lv-LV"/>
              </w:rPr>
              <w:t> </w:t>
            </w:r>
          </w:p>
        </w:tc>
        <w:tc>
          <w:tcPr>
            <w:tcW w:w="819"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AD2DE5" w:rsidRPr="006707D3" w:rsidTr="007F3941">
        <w:tc>
          <w:tcPr>
            <w:tcW w:w="1586"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2.1. valsts pamatbudžets</w:t>
            </w:r>
          </w:p>
        </w:tc>
        <w:tc>
          <w:tcPr>
            <w:tcW w:w="827" w:type="pct"/>
            <w:shd w:val="clear" w:color="auto" w:fill="FFFFFF"/>
            <w:hideMark/>
          </w:tcPr>
          <w:p w:rsidR="00AD2DE5" w:rsidRPr="006707D3" w:rsidRDefault="00AD2DE5" w:rsidP="00BC67BA">
            <w:pPr>
              <w:spacing w:line="240" w:lineRule="auto"/>
              <w:ind w:firstLine="0"/>
              <w:jc w:val="left"/>
              <w:rPr>
                <w:rFonts w:eastAsia="Times New Roman"/>
                <w:color w:val="000000" w:themeColor="text1"/>
                <w:sz w:val="24"/>
                <w:szCs w:val="24"/>
                <w:lang w:eastAsia="lv-LV"/>
              </w:rPr>
            </w:pPr>
          </w:p>
        </w:tc>
        <w:tc>
          <w:tcPr>
            <w:tcW w:w="819" w:type="pct"/>
            <w:shd w:val="clear" w:color="auto" w:fill="FFFFFF"/>
            <w:hideMark/>
          </w:tcPr>
          <w:p w:rsidR="00AD2DE5" w:rsidRPr="006707D3" w:rsidRDefault="00AD2DE5" w:rsidP="00065F5F">
            <w:pPr>
              <w:spacing w:line="240" w:lineRule="auto"/>
              <w:ind w:firstLine="0"/>
              <w:jc w:val="left"/>
              <w:rPr>
                <w:rFonts w:eastAsia="Times New Roman"/>
                <w:sz w:val="24"/>
                <w:szCs w:val="24"/>
                <w:lang w:eastAsia="lv-LV"/>
              </w:rPr>
            </w:pPr>
            <w:r w:rsidRPr="006707D3">
              <w:rPr>
                <w:rFonts w:eastAsia="Times New Roman"/>
                <w:sz w:val="24"/>
                <w:szCs w:val="24"/>
                <w:lang w:eastAsia="lv-LV"/>
              </w:rPr>
              <w:t> </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AD2DE5" w:rsidRPr="006707D3" w:rsidTr="007F3941">
        <w:tc>
          <w:tcPr>
            <w:tcW w:w="1586"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2.2. valsts speciālais budžets</w:t>
            </w:r>
          </w:p>
        </w:tc>
        <w:tc>
          <w:tcPr>
            <w:tcW w:w="827"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w:t>
            </w:r>
            <w:r w:rsidR="005D2463" w:rsidRPr="006707D3">
              <w:rPr>
                <w:rFonts w:eastAsia="Times New Roman"/>
                <w:sz w:val="24"/>
                <w:szCs w:val="24"/>
                <w:lang w:eastAsia="lv-LV"/>
              </w:rPr>
              <w:t>0</w:t>
            </w:r>
          </w:p>
        </w:tc>
        <w:tc>
          <w:tcPr>
            <w:tcW w:w="819"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w:t>
            </w:r>
            <w:r w:rsidR="005D2463" w:rsidRPr="006707D3">
              <w:rPr>
                <w:rFonts w:eastAsia="Times New Roman"/>
                <w:sz w:val="24"/>
                <w:szCs w:val="24"/>
                <w:lang w:eastAsia="lv-LV"/>
              </w:rPr>
              <w:t>0</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AD2DE5" w:rsidRPr="006707D3" w:rsidTr="007F3941">
        <w:tc>
          <w:tcPr>
            <w:tcW w:w="1586"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2.3. pašvaldību budžets</w:t>
            </w:r>
          </w:p>
        </w:tc>
        <w:tc>
          <w:tcPr>
            <w:tcW w:w="827"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w:t>
            </w:r>
            <w:r w:rsidR="005D2463" w:rsidRPr="006707D3">
              <w:rPr>
                <w:rFonts w:eastAsia="Times New Roman"/>
                <w:sz w:val="24"/>
                <w:szCs w:val="24"/>
                <w:lang w:eastAsia="lv-LV"/>
              </w:rPr>
              <w:t>0</w:t>
            </w:r>
          </w:p>
        </w:tc>
        <w:tc>
          <w:tcPr>
            <w:tcW w:w="819"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w:t>
            </w:r>
            <w:r w:rsidR="005D2463" w:rsidRPr="006707D3">
              <w:rPr>
                <w:rFonts w:eastAsia="Times New Roman"/>
                <w:sz w:val="24"/>
                <w:szCs w:val="24"/>
                <w:lang w:eastAsia="lv-LV"/>
              </w:rPr>
              <w:t>0</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AD2DE5" w:rsidRPr="006707D3" w:rsidRDefault="00EB2DE0"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AD2DE5" w:rsidRPr="006707D3" w:rsidTr="007F3941">
        <w:tc>
          <w:tcPr>
            <w:tcW w:w="1586" w:type="pct"/>
            <w:shd w:val="clear" w:color="auto" w:fill="FFFFFF"/>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3. Finansiālā ietekme:</w:t>
            </w:r>
          </w:p>
        </w:tc>
        <w:tc>
          <w:tcPr>
            <w:tcW w:w="827" w:type="pct"/>
            <w:shd w:val="clear" w:color="auto" w:fill="FFFFFF"/>
            <w:vAlign w:val="center"/>
            <w:hideMark/>
          </w:tcPr>
          <w:p w:rsidR="00AD2DE5" w:rsidRPr="006707D3" w:rsidRDefault="00AD2DE5"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w:t>
            </w:r>
            <w:r w:rsidR="00097D01" w:rsidRPr="006707D3">
              <w:rPr>
                <w:rFonts w:eastAsia="Times New Roman"/>
                <w:color w:val="000000" w:themeColor="text1"/>
                <w:sz w:val="24"/>
                <w:szCs w:val="24"/>
                <w:lang w:eastAsia="lv-LV"/>
              </w:rPr>
              <w:t> 1 105 571</w:t>
            </w:r>
          </w:p>
        </w:tc>
        <w:tc>
          <w:tcPr>
            <w:tcW w:w="819" w:type="pct"/>
            <w:shd w:val="clear" w:color="auto" w:fill="FFFFFF"/>
            <w:hideMark/>
          </w:tcPr>
          <w:p w:rsidR="00AD2DE5" w:rsidRPr="006707D3" w:rsidRDefault="00AD2DE5" w:rsidP="00550FCD">
            <w:pPr>
              <w:spacing w:line="240" w:lineRule="auto"/>
              <w:ind w:firstLine="0"/>
              <w:jc w:val="left"/>
              <w:rPr>
                <w:rFonts w:eastAsia="Times New Roman"/>
                <w:color w:val="000000" w:themeColor="text1"/>
                <w:sz w:val="24"/>
                <w:szCs w:val="24"/>
                <w:lang w:eastAsia="lv-LV"/>
              </w:rPr>
            </w:pPr>
            <w:r w:rsidRPr="006707D3">
              <w:rPr>
                <w:rFonts w:eastAsia="Times New Roman"/>
                <w:color w:val="000000" w:themeColor="text1"/>
                <w:sz w:val="24"/>
                <w:szCs w:val="24"/>
                <w:lang w:eastAsia="lv-LV"/>
              </w:rPr>
              <w:t> </w:t>
            </w:r>
            <w:r w:rsidR="00097D01" w:rsidRPr="006707D3">
              <w:rPr>
                <w:rFonts w:eastAsia="Times New Roman"/>
                <w:color w:val="000000" w:themeColor="text1"/>
                <w:sz w:val="24"/>
                <w:szCs w:val="24"/>
                <w:lang w:eastAsia="lv-LV"/>
              </w:rPr>
              <w:t>-</w:t>
            </w:r>
            <w:r w:rsidR="00550FCD">
              <w:rPr>
                <w:color w:val="000000" w:themeColor="text1"/>
                <w:sz w:val="24"/>
                <w:szCs w:val="24"/>
              </w:rPr>
              <w:t>92</w:t>
            </w:r>
            <w:r w:rsidR="00550FCD" w:rsidRPr="00550FCD">
              <w:rPr>
                <w:color w:val="000000" w:themeColor="text1"/>
                <w:sz w:val="24"/>
                <w:szCs w:val="24"/>
              </w:rPr>
              <w:t>9</w:t>
            </w:r>
            <w:r w:rsidR="00550FCD">
              <w:rPr>
                <w:color w:val="000000" w:themeColor="text1"/>
                <w:sz w:val="24"/>
                <w:szCs w:val="24"/>
              </w:rPr>
              <w:t> </w:t>
            </w:r>
            <w:r w:rsidR="00550FCD" w:rsidRPr="00550FCD">
              <w:rPr>
                <w:color w:val="000000" w:themeColor="text1"/>
                <w:sz w:val="24"/>
                <w:szCs w:val="24"/>
              </w:rPr>
              <w:t>763</w:t>
            </w:r>
          </w:p>
        </w:tc>
        <w:tc>
          <w:tcPr>
            <w:tcW w:w="699" w:type="pct"/>
            <w:shd w:val="clear" w:color="auto" w:fill="FFFFFF"/>
            <w:hideMark/>
          </w:tcPr>
          <w:p w:rsidR="00AD2DE5" w:rsidRPr="006707D3" w:rsidRDefault="00AD2DE5" w:rsidP="007F3941">
            <w:pPr>
              <w:spacing w:line="240" w:lineRule="auto"/>
              <w:ind w:firstLine="0"/>
              <w:jc w:val="center"/>
              <w:rPr>
                <w:rFonts w:eastAsia="Times New Roman"/>
                <w:sz w:val="24"/>
                <w:szCs w:val="24"/>
                <w:lang w:eastAsia="lv-LV"/>
              </w:rPr>
            </w:pPr>
          </w:p>
        </w:tc>
        <w:tc>
          <w:tcPr>
            <w:tcW w:w="699" w:type="pct"/>
            <w:shd w:val="clear" w:color="auto" w:fill="FFFFFF"/>
            <w:hideMark/>
          </w:tcPr>
          <w:p w:rsidR="00AD2DE5" w:rsidRPr="006707D3" w:rsidRDefault="00AD2DE5" w:rsidP="007F3941">
            <w:pPr>
              <w:spacing w:line="240" w:lineRule="auto"/>
              <w:ind w:firstLine="0"/>
              <w:jc w:val="center"/>
              <w:rPr>
                <w:rFonts w:eastAsia="Times New Roman"/>
                <w:sz w:val="24"/>
                <w:szCs w:val="24"/>
                <w:lang w:eastAsia="lv-LV"/>
              </w:rPr>
            </w:pPr>
          </w:p>
        </w:tc>
        <w:tc>
          <w:tcPr>
            <w:tcW w:w="371" w:type="pct"/>
            <w:shd w:val="clear" w:color="auto" w:fill="FFFFFF"/>
            <w:hideMark/>
          </w:tcPr>
          <w:p w:rsidR="00AD2DE5" w:rsidRPr="006707D3" w:rsidRDefault="00AD2DE5" w:rsidP="007F3941">
            <w:pPr>
              <w:spacing w:line="240" w:lineRule="auto"/>
              <w:ind w:firstLine="0"/>
              <w:jc w:val="center"/>
              <w:rPr>
                <w:rFonts w:eastAsia="Times New Roman"/>
                <w:sz w:val="24"/>
                <w:szCs w:val="24"/>
                <w:lang w:eastAsia="lv-LV"/>
              </w:rPr>
            </w:pPr>
          </w:p>
        </w:tc>
      </w:tr>
      <w:tr w:rsidR="00045253" w:rsidRPr="006707D3" w:rsidTr="007F3941">
        <w:tc>
          <w:tcPr>
            <w:tcW w:w="1586"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3.1. valsts pamatbudžets</w:t>
            </w:r>
          </w:p>
        </w:tc>
        <w:tc>
          <w:tcPr>
            <w:tcW w:w="827" w:type="pct"/>
            <w:shd w:val="clear" w:color="auto" w:fill="FFFFFF"/>
            <w:hideMark/>
          </w:tcPr>
          <w:p w:rsidR="00045253" w:rsidRPr="006707D3" w:rsidRDefault="00045253" w:rsidP="008F5FEB">
            <w:pPr>
              <w:spacing w:line="240" w:lineRule="auto"/>
              <w:ind w:firstLine="0"/>
              <w:jc w:val="left"/>
              <w:rPr>
                <w:rFonts w:eastAsia="Times New Roman"/>
                <w:sz w:val="24"/>
                <w:szCs w:val="24"/>
                <w:lang w:eastAsia="lv-LV"/>
              </w:rPr>
            </w:pPr>
            <w:r w:rsidRPr="006707D3">
              <w:rPr>
                <w:rFonts w:eastAsia="Times New Roman"/>
                <w:sz w:val="24"/>
                <w:szCs w:val="24"/>
                <w:lang w:eastAsia="lv-LV"/>
              </w:rPr>
              <w:t> </w:t>
            </w:r>
            <w:r w:rsidR="00097D01" w:rsidRPr="006707D3">
              <w:rPr>
                <w:rFonts w:eastAsia="Times New Roman"/>
                <w:color w:val="000000" w:themeColor="text1"/>
                <w:sz w:val="24"/>
                <w:szCs w:val="24"/>
                <w:lang w:eastAsia="lv-LV"/>
              </w:rPr>
              <w:t> 1 105 571</w:t>
            </w:r>
          </w:p>
        </w:tc>
        <w:tc>
          <w:tcPr>
            <w:tcW w:w="819" w:type="pct"/>
            <w:shd w:val="clear" w:color="auto" w:fill="FFFFFF"/>
            <w:hideMark/>
          </w:tcPr>
          <w:p w:rsidR="00045253" w:rsidRPr="006707D3" w:rsidRDefault="00045253" w:rsidP="00BC67BA">
            <w:pPr>
              <w:spacing w:line="240" w:lineRule="auto"/>
              <w:ind w:firstLine="0"/>
              <w:jc w:val="left"/>
              <w:rPr>
                <w:rFonts w:eastAsia="Times New Roman"/>
                <w:color w:val="000000" w:themeColor="text1"/>
                <w:sz w:val="24"/>
                <w:szCs w:val="24"/>
                <w:lang w:eastAsia="lv-LV"/>
              </w:rPr>
            </w:pPr>
            <w:r w:rsidRPr="006707D3">
              <w:rPr>
                <w:rFonts w:eastAsia="Times New Roman"/>
                <w:color w:val="000000" w:themeColor="text1"/>
                <w:sz w:val="24"/>
                <w:szCs w:val="24"/>
                <w:lang w:eastAsia="lv-LV"/>
              </w:rPr>
              <w:t> </w:t>
            </w:r>
            <w:r w:rsidR="00097D01" w:rsidRPr="006707D3">
              <w:rPr>
                <w:rFonts w:eastAsia="Times New Roman"/>
                <w:color w:val="000000" w:themeColor="text1"/>
                <w:sz w:val="24"/>
                <w:szCs w:val="24"/>
                <w:lang w:eastAsia="lv-LV"/>
              </w:rPr>
              <w:t>-</w:t>
            </w:r>
            <w:r w:rsidR="00550FCD">
              <w:rPr>
                <w:color w:val="000000" w:themeColor="text1"/>
                <w:sz w:val="24"/>
                <w:szCs w:val="24"/>
              </w:rPr>
              <w:t>92</w:t>
            </w:r>
            <w:r w:rsidR="00550FCD" w:rsidRPr="00550FCD">
              <w:rPr>
                <w:color w:val="000000" w:themeColor="text1"/>
                <w:sz w:val="24"/>
                <w:szCs w:val="24"/>
              </w:rPr>
              <w:t>9</w:t>
            </w:r>
            <w:r w:rsidR="00550FCD">
              <w:rPr>
                <w:color w:val="000000" w:themeColor="text1"/>
                <w:sz w:val="24"/>
                <w:szCs w:val="24"/>
              </w:rPr>
              <w:t> </w:t>
            </w:r>
            <w:r w:rsidR="00550FCD" w:rsidRPr="00550FCD">
              <w:rPr>
                <w:color w:val="000000" w:themeColor="text1"/>
                <w:sz w:val="24"/>
                <w:szCs w:val="24"/>
              </w:rPr>
              <w:t>763</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045253" w:rsidRPr="006707D3" w:rsidTr="007F3941">
        <w:tc>
          <w:tcPr>
            <w:tcW w:w="1586"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3.2. speciālais budžets</w:t>
            </w:r>
          </w:p>
        </w:tc>
        <w:tc>
          <w:tcPr>
            <w:tcW w:w="827"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0</w:t>
            </w:r>
          </w:p>
        </w:tc>
        <w:tc>
          <w:tcPr>
            <w:tcW w:w="819"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0</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045253" w:rsidRPr="006707D3" w:rsidTr="007F3941">
        <w:tc>
          <w:tcPr>
            <w:tcW w:w="1586"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3.3. pašvaldību budžets</w:t>
            </w:r>
          </w:p>
        </w:tc>
        <w:tc>
          <w:tcPr>
            <w:tcW w:w="827"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0</w:t>
            </w:r>
          </w:p>
        </w:tc>
        <w:tc>
          <w:tcPr>
            <w:tcW w:w="819"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0</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p>
        </w:tc>
      </w:tr>
      <w:tr w:rsidR="00045253" w:rsidRPr="006707D3" w:rsidTr="007F3941">
        <w:tc>
          <w:tcPr>
            <w:tcW w:w="1586" w:type="pct"/>
            <w:vMerge w:val="restar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xml:space="preserve">4. Finanšu līdzekļi papildu izdevumu finansēšanai (kompensējošu izdevumu samazinājumu norāda ar "+" </w:t>
            </w:r>
            <w:r w:rsidRPr="006707D3">
              <w:rPr>
                <w:rFonts w:eastAsia="Times New Roman"/>
                <w:sz w:val="24"/>
                <w:szCs w:val="24"/>
                <w:lang w:eastAsia="lv-LV"/>
              </w:rPr>
              <w:lastRenderedPageBreak/>
              <w:t>zīmi)</w:t>
            </w:r>
          </w:p>
        </w:tc>
        <w:tc>
          <w:tcPr>
            <w:tcW w:w="827" w:type="pct"/>
            <w:vMerge w:val="restar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lastRenderedPageBreak/>
              <w:t>X</w:t>
            </w:r>
          </w:p>
        </w:tc>
        <w:tc>
          <w:tcPr>
            <w:tcW w:w="819"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0</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045253" w:rsidRPr="006707D3" w:rsidTr="007F3941">
        <w:tc>
          <w:tcPr>
            <w:tcW w:w="1586" w:type="pct"/>
            <w:vMerge/>
            <w:shd w:val="clear" w:color="auto" w:fill="FFFFFF"/>
            <w:vAlign w:val="center"/>
            <w:hideMark/>
          </w:tcPr>
          <w:p w:rsidR="00045253" w:rsidRPr="006707D3" w:rsidRDefault="00045253" w:rsidP="007F3941">
            <w:pPr>
              <w:spacing w:line="240" w:lineRule="auto"/>
              <w:ind w:firstLine="0"/>
              <w:jc w:val="left"/>
              <w:rPr>
                <w:rFonts w:eastAsia="Times New Roman"/>
                <w:sz w:val="24"/>
                <w:szCs w:val="24"/>
                <w:lang w:eastAsia="lv-LV"/>
              </w:rPr>
            </w:pPr>
          </w:p>
        </w:tc>
        <w:tc>
          <w:tcPr>
            <w:tcW w:w="827" w:type="pct"/>
            <w:vMerge/>
            <w:shd w:val="clear" w:color="auto" w:fill="FFFFFF"/>
            <w:vAlign w:val="center"/>
            <w:hideMark/>
          </w:tcPr>
          <w:p w:rsidR="00045253" w:rsidRPr="006707D3" w:rsidRDefault="00045253" w:rsidP="007F3941">
            <w:pPr>
              <w:spacing w:line="240" w:lineRule="auto"/>
              <w:ind w:firstLine="0"/>
              <w:jc w:val="left"/>
              <w:rPr>
                <w:rFonts w:eastAsia="Times New Roman"/>
                <w:sz w:val="24"/>
                <w:szCs w:val="24"/>
                <w:lang w:eastAsia="lv-LV"/>
              </w:rPr>
            </w:pPr>
          </w:p>
        </w:tc>
        <w:tc>
          <w:tcPr>
            <w:tcW w:w="819"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0</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045253" w:rsidRPr="006707D3" w:rsidTr="007F3941">
        <w:tc>
          <w:tcPr>
            <w:tcW w:w="1586" w:type="pct"/>
            <w:vMerge/>
            <w:shd w:val="clear" w:color="auto" w:fill="FFFFFF"/>
            <w:vAlign w:val="center"/>
            <w:hideMark/>
          </w:tcPr>
          <w:p w:rsidR="00045253" w:rsidRPr="006707D3" w:rsidRDefault="00045253" w:rsidP="007F3941">
            <w:pPr>
              <w:spacing w:line="240" w:lineRule="auto"/>
              <w:ind w:firstLine="0"/>
              <w:jc w:val="left"/>
              <w:rPr>
                <w:rFonts w:eastAsia="Times New Roman"/>
                <w:sz w:val="24"/>
                <w:szCs w:val="24"/>
                <w:lang w:eastAsia="lv-LV"/>
              </w:rPr>
            </w:pPr>
          </w:p>
        </w:tc>
        <w:tc>
          <w:tcPr>
            <w:tcW w:w="827" w:type="pct"/>
            <w:vMerge/>
            <w:shd w:val="clear" w:color="auto" w:fill="FFFFFF"/>
            <w:vAlign w:val="center"/>
            <w:hideMark/>
          </w:tcPr>
          <w:p w:rsidR="00045253" w:rsidRPr="006707D3" w:rsidRDefault="00045253" w:rsidP="007F3941">
            <w:pPr>
              <w:spacing w:line="240" w:lineRule="auto"/>
              <w:ind w:firstLine="0"/>
              <w:jc w:val="left"/>
              <w:rPr>
                <w:rFonts w:eastAsia="Times New Roman"/>
                <w:sz w:val="24"/>
                <w:szCs w:val="24"/>
                <w:lang w:eastAsia="lv-LV"/>
              </w:rPr>
            </w:pPr>
          </w:p>
        </w:tc>
        <w:tc>
          <w:tcPr>
            <w:tcW w:w="819"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0</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045253" w:rsidRPr="006707D3" w:rsidTr="007F3941">
        <w:tc>
          <w:tcPr>
            <w:tcW w:w="1586"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lastRenderedPageBreak/>
              <w:t>5. Precizēta finansiālā ietekme:</w:t>
            </w:r>
          </w:p>
        </w:tc>
        <w:tc>
          <w:tcPr>
            <w:tcW w:w="827" w:type="pct"/>
            <w:vMerge w:val="restar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X</w:t>
            </w:r>
          </w:p>
        </w:tc>
        <w:tc>
          <w:tcPr>
            <w:tcW w:w="819"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0</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045253" w:rsidRPr="006707D3" w:rsidTr="007F3941">
        <w:tc>
          <w:tcPr>
            <w:tcW w:w="1586"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5.1. valsts pamatbudžets</w:t>
            </w:r>
          </w:p>
        </w:tc>
        <w:tc>
          <w:tcPr>
            <w:tcW w:w="827" w:type="pct"/>
            <w:vMerge/>
            <w:shd w:val="clear" w:color="auto" w:fill="FFFFFF"/>
            <w:vAlign w:val="center"/>
            <w:hideMark/>
          </w:tcPr>
          <w:p w:rsidR="00045253" w:rsidRPr="006707D3" w:rsidRDefault="00045253" w:rsidP="007F3941">
            <w:pPr>
              <w:spacing w:line="240" w:lineRule="auto"/>
              <w:ind w:firstLine="0"/>
              <w:jc w:val="left"/>
              <w:rPr>
                <w:rFonts w:eastAsia="Times New Roman"/>
                <w:sz w:val="24"/>
                <w:szCs w:val="24"/>
                <w:lang w:eastAsia="lv-LV"/>
              </w:rPr>
            </w:pPr>
          </w:p>
        </w:tc>
        <w:tc>
          <w:tcPr>
            <w:tcW w:w="819"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0</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045253" w:rsidRPr="006707D3" w:rsidTr="007F3941">
        <w:tc>
          <w:tcPr>
            <w:tcW w:w="1586"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5.2. speciālais budžets</w:t>
            </w:r>
          </w:p>
        </w:tc>
        <w:tc>
          <w:tcPr>
            <w:tcW w:w="827" w:type="pct"/>
            <w:vMerge/>
            <w:shd w:val="clear" w:color="auto" w:fill="FFFFFF"/>
            <w:vAlign w:val="center"/>
            <w:hideMark/>
          </w:tcPr>
          <w:p w:rsidR="00045253" w:rsidRPr="006707D3" w:rsidRDefault="00045253" w:rsidP="007F3941">
            <w:pPr>
              <w:spacing w:line="240" w:lineRule="auto"/>
              <w:ind w:firstLine="0"/>
              <w:jc w:val="left"/>
              <w:rPr>
                <w:rFonts w:eastAsia="Times New Roman"/>
                <w:sz w:val="24"/>
                <w:szCs w:val="24"/>
                <w:lang w:eastAsia="lv-LV"/>
              </w:rPr>
            </w:pPr>
          </w:p>
        </w:tc>
        <w:tc>
          <w:tcPr>
            <w:tcW w:w="819"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0</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045253" w:rsidRPr="006707D3" w:rsidTr="007F3941">
        <w:tc>
          <w:tcPr>
            <w:tcW w:w="1586"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5.3. pašvaldību budžets</w:t>
            </w:r>
          </w:p>
        </w:tc>
        <w:tc>
          <w:tcPr>
            <w:tcW w:w="827" w:type="pct"/>
            <w:vMerge/>
            <w:shd w:val="clear" w:color="auto" w:fill="FFFFFF"/>
            <w:vAlign w:val="center"/>
            <w:hideMark/>
          </w:tcPr>
          <w:p w:rsidR="00045253" w:rsidRPr="006707D3" w:rsidRDefault="00045253" w:rsidP="007F3941">
            <w:pPr>
              <w:spacing w:line="240" w:lineRule="auto"/>
              <w:ind w:firstLine="0"/>
              <w:jc w:val="left"/>
              <w:rPr>
                <w:rFonts w:eastAsia="Times New Roman"/>
                <w:sz w:val="24"/>
                <w:szCs w:val="24"/>
                <w:lang w:eastAsia="lv-LV"/>
              </w:rPr>
            </w:pPr>
          </w:p>
        </w:tc>
        <w:tc>
          <w:tcPr>
            <w:tcW w:w="819"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0</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699"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c>
          <w:tcPr>
            <w:tcW w:w="371" w:type="pct"/>
            <w:shd w:val="clear" w:color="auto" w:fill="FFFFFF"/>
            <w:hideMark/>
          </w:tcPr>
          <w:p w:rsidR="00045253" w:rsidRPr="006707D3" w:rsidRDefault="00045253" w:rsidP="007F3941">
            <w:pPr>
              <w:spacing w:line="240" w:lineRule="auto"/>
              <w:ind w:firstLine="0"/>
              <w:jc w:val="center"/>
              <w:rPr>
                <w:rFonts w:eastAsia="Times New Roman"/>
                <w:sz w:val="24"/>
                <w:szCs w:val="24"/>
                <w:lang w:eastAsia="lv-LV"/>
              </w:rPr>
            </w:pPr>
            <w:r w:rsidRPr="006707D3">
              <w:rPr>
                <w:rFonts w:eastAsia="Times New Roman"/>
                <w:sz w:val="24"/>
                <w:szCs w:val="24"/>
                <w:lang w:eastAsia="lv-LV"/>
              </w:rPr>
              <w:t>-</w:t>
            </w:r>
          </w:p>
        </w:tc>
      </w:tr>
      <w:tr w:rsidR="00045253" w:rsidRPr="006707D3" w:rsidTr="007F3941">
        <w:tc>
          <w:tcPr>
            <w:tcW w:w="1586"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6. Detalizēts ieņēmumu un izdevumu aprēķins (ja nepieciešams, detalizētu ieņēmumu un izdevumu aprēķinu var pievienot anotācijas pielikumā):</w:t>
            </w:r>
          </w:p>
        </w:tc>
        <w:tc>
          <w:tcPr>
            <w:tcW w:w="3414" w:type="pct"/>
            <w:gridSpan w:val="5"/>
            <w:vMerge w:val="restart"/>
            <w:shd w:val="clear" w:color="auto" w:fill="FFFFFF"/>
            <w:vAlign w:val="center"/>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Nav attiecināms</w:t>
            </w:r>
          </w:p>
        </w:tc>
      </w:tr>
      <w:tr w:rsidR="00045253" w:rsidRPr="006707D3" w:rsidTr="007F3941">
        <w:tc>
          <w:tcPr>
            <w:tcW w:w="1586"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6.1. detalizēts ieņēmumu aprēķins</w:t>
            </w:r>
          </w:p>
        </w:tc>
        <w:tc>
          <w:tcPr>
            <w:tcW w:w="3414" w:type="pct"/>
            <w:gridSpan w:val="5"/>
            <w:vMerge/>
            <w:shd w:val="clear" w:color="auto" w:fill="FFFFFF"/>
            <w:vAlign w:val="center"/>
            <w:hideMark/>
          </w:tcPr>
          <w:p w:rsidR="00045253" w:rsidRPr="006707D3" w:rsidRDefault="00045253" w:rsidP="007F3941">
            <w:pPr>
              <w:spacing w:line="240" w:lineRule="auto"/>
              <w:ind w:firstLine="0"/>
              <w:jc w:val="left"/>
              <w:rPr>
                <w:rFonts w:eastAsia="Times New Roman"/>
                <w:sz w:val="24"/>
                <w:szCs w:val="24"/>
                <w:lang w:eastAsia="lv-LV"/>
              </w:rPr>
            </w:pPr>
          </w:p>
        </w:tc>
      </w:tr>
      <w:tr w:rsidR="00045253" w:rsidRPr="006707D3" w:rsidTr="007F3941">
        <w:tc>
          <w:tcPr>
            <w:tcW w:w="1586"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6.2. detalizēts izdevumu aprēķins</w:t>
            </w:r>
          </w:p>
        </w:tc>
        <w:tc>
          <w:tcPr>
            <w:tcW w:w="3414" w:type="pct"/>
            <w:gridSpan w:val="5"/>
            <w:vMerge/>
            <w:shd w:val="clear" w:color="auto" w:fill="FFFFFF"/>
            <w:vAlign w:val="center"/>
            <w:hideMark/>
          </w:tcPr>
          <w:p w:rsidR="00045253" w:rsidRPr="006707D3" w:rsidRDefault="00045253" w:rsidP="007F3941">
            <w:pPr>
              <w:spacing w:line="240" w:lineRule="auto"/>
              <w:ind w:firstLine="0"/>
              <w:jc w:val="left"/>
              <w:rPr>
                <w:rFonts w:eastAsia="Times New Roman"/>
                <w:sz w:val="24"/>
                <w:szCs w:val="24"/>
                <w:lang w:eastAsia="lv-LV"/>
              </w:rPr>
            </w:pPr>
          </w:p>
        </w:tc>
      </w:tr>
      <w:tr w:rsidR="00045253" w:rsidRPr="006707D3" w:rsidTr="007F3941">
        <w:trPr>
          <w:trHeight w:val="306"/>
        </w:trPr>
        <w:tc>
          <w:tcPr>
            <w:tcW w:w="1586" w:type="pct"/>
            <w:shd w:val="clear" w:color="auto" w:fill="FFFFFF"/>
            <w:hideMark/>
          </w:tcPr>
          <w:p w:rsidR="00045253" w:rsidRPr="006707D3" w:rsidRDefault="00045253"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7. Cita informācija</w:t>
            </w:r>
          </w:p>
        </w:tc>
        <w:tc>
          <w:tcPr>
            <w:tcW w:w="3414" w:type="pct"/>
            <w:gridSpan w:val="5"/>
            <w:shd w:val="clear" w:color="auto" w:fill="FFFFFF"/>
            <w:hideMark/>
          </w:tcPr>
          <w:p w:rsidR="00045253" w:rsidRPr="006707D3" w:rsidRDefault="00045253" w:rsidP="007F3941">
            <w:pPr>
              <w:spacing w:line="240" w:lineRule="auto"/>
              <w:ind w:firstLine="0"/>
              <w:rPr>
                <w:rFonts w:eastAsia="Times New Roman"/>
                <w:sz w:val="24"/>
                <w:szCs w:val="24"/>
                <w:lang w:eastAsia="lv-LV"/>
              </w:rPr>
            </w:pPr>
            <w:r w:rsidRPr="006707D3">
              <w:rPr>
                <w:rFonts w:eastAsia="Times New Roman"/>
                <w:sz w:val="24"/>
                <w:szCs w:val="24"/>
                <w:lang w:eastAsia="lv-LV"/>
              </w:rPr>
              <w:t>Nav</w:t>
            </w:r>
          </w:p>
        </w:tc>
      </w:tr>
    </w:tbl>
    <w:p w:rsidR="00AD2DE5" w:rsidRPr="006707D3" w:rsidRDefault="00AD2DE5" w:rsidP="007F3941">
      <w:pPr>
        <w:spacing w:line="240" w:lineRule="auto"/>
        <w:ind w:firstLine="0"/>
        <w:jc w:val="left"/>
        <w:rPr>
          <w:rFonts w:eastAsia="Times New Roman"/>
          <w:sz w:val="24"/>
          <w:szCs w:val="24"/>
          <w:lang w:eastAsia="lv-LV"/>
        </w:rPr>
      </w:pPr>
    </w:p>
    <w:tbl>
      <w:tblPr>
        <w:tblW w:w="9098"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3500"/>
        <w:gridCol w:w="5146"/>
      </w:tblGrid>
      <w:tr w:rsidR="00021E9A" w:rsidRPr="006707D3" w:rsidTr="00021E9A">
        <w:trPr>
          <w:tblCellSpacing w:w="0" w:type="dxa"/>
        </w:trPr>
        <w:tc>
          <w:tcPr>
            <w:tcW w:w="452" w:type="dxa"/>
            <w:tcBorders>
              <w:top w:val="outset" w:sz="6" w:space="0" w:color="auto"/>
              <w:left w:val="outset" w:sz="6" w:space="0" w:color="auto"/>
              <w:bottom w:val="outset" w:sz="6" w:space="0" w:color="auto"/>
              <w:right w:val="outset" w:sz="6" w:space="0" w:color="auto"/>
            </w:tcBorders>
          </w:tcPr>
          <w:p w:rsidR="00021E9A" w:rsidRPr="006707D3" w:rsidRDefault="00021E9A" w:rsidP="007F3941">
            <w:pPr>
              <w:spacing w:line="240" w:lineRule="auto"/>
              <w:ind w:firstLine="0"/>
              <w:jc w:val="center"/>
              <w:rPr>
                <w:rFonts w:eastAsia="Times New Roman"/>
                <w:b/>
                <w:bCs/>
                <w:sz w:val="24"/>
                <w:szCs w:val="24"/>
                <w:lang w:eastAsia="lv-LV"/>
              </w:rPr>
            </w:pPr>
          </w:p>
        </w:tc>
        <w:tc>
          <w:tcPr>
            <w:tcW w:w="8646" w:type="dxa"/>
            <w:gridSpan w:val="2"/>
            <w:tcBorders>
              <w:top w:val="outset" w:sz="6" w:space="0" w:color="auto"/>
              <w:left w:val="outset" w:sz="6" w:space="0" w:color="auto"/>
              <w:bottom w:val="outset" w:sz="6" w:space="0" w:color="auto"/>
              <w:right w:val="outset" w:sz="6" w:space="0" w:color="auto"/>
            </w:tcBorders>
          </w:tcPr>
          <w:p w:rsidR="00021E9A" w:rsidRPr="006707D3" w:rsidRDefault="00021E9A" w:rsidP="007F3941">
            <w:pPr>
              <w:spacing w:line="240" w:lineRule="auto"/>
              <w:ind w:firstLine="0"/>
              <w:jc w:val="center"/>
              <w:rPr>
                <w:rFonts w:eastAsia="Times New Roman"/>
                <w:b/>
                <w:bCs/>
                <w:sz w:val="24"/>
                <w:szCs w:val="24"/>
                <w:lang w:eastAsia="lv-LV"/>
              </w:rPr>
            </w:pPr>
            <w:r w:rsidRPr="006707D3">
              <w:rPr>
                <w:rFonts w:eastAsia="Times New Roman"/>
                <w:b/>
                <w:bCs/>
                <w:sz w:val="24"/>
                <w:szCs w:val="24"/>
                <w:lang w:eastAsia="lv-LV"/>
              </w:rPr>
              <w:t>VII. Tiesību akta projekta izpildes nodrošināšana un tās ietekme uz institūcijām</w:t>
            </w:r>
          </w:p>
        </w:tc>
      </w:tr>
      <w:tr w:rsidR="00021E9A" w:rsidRPr="006707D3" w:rsidTr="00021E9A">
        <w:trPr>
          <w:trHeight w:val="340"/>
          <w:tblCellSpacing w:w="0" w:type="dxa"/>
        </w:trPr>
        <w:tc>
          <w:tcPr>
            <w:tcW w:w="452" w:type="dxa"/>
            <w:tcBorders>
              <w:top w:val="outset" w:sz="6" w:space="0" w:color="auto"/>
              <w:left w:val="outset" w:sz="6" w:space="0" w:color="auto"/>
              <w:bottom w:val="outset" w:sz="6" w:space="0" w:color="auto"/>
              <w:right w:val="outset" w:sz="6" w:space="0" w:color="auto"/>
            </w:tcBorders>
          </w:tcPr>
          <w:p w:rsidR="00021E9A" w:rsidRPr="006707D3" w:rsidRDefault="00021E9A"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1.</w:t>
            </w:r>
          </w:p>
        </w:tc>
        <w:tc>
          <w:tcPr>
            <w:tcW w:w="3500" w:type="dxa"/>
            <w:tcBorders>
              <w:top w:val="outset" w:sz="6" w:space="0" w:color="auto"/>
              <w:left w:val="outset" w:sz="6" w:space="0" w:color="auto"/>
              <w:bottom w:val="outset" w:sz="6" w:space="0" w:color="auto"/>
              <w:right w:val="outset" w:sz="6" w:space="0" w:color="auto"/>
            </w:tcBorders>
          </w:tcPr>
          <w:p w:rsidR="00021E9A" w:rsidRPr="006707D3" w:rsidRDefault="00021E9A" w:rsidP="007F3941">
            <w:pPr>
              <w:spacing w:line="240" w:lineRule="auto"/>
              <w:ind w:firstLine="0"/>
              <w:jc w:val="left"/>
              <w:rPr>
                <w:sz w:val="24"/>
                <w:szCs w:val="24"/>
              </w:rPr>
            </w:pPr>
            <w:r w:rsidRPr="006707D3">
              <w:rPr>
                <w:rFonts w:eastAsia="Times New Roman"/>
                <w:sz w:val="24"/>
                <w:szCs w:val="24"/>
                <w:lang w:eastAsia="lv-LV"/>
              </w:rPr>
              <w:t>Projekta izpildē iesaistītās institūcijas</w:t>
            </w:r>
          </w:p>
        </w:tc>
        <w:tc>
          <w:tcPr>
            <w:tcW w:w="5146" w:type="dxa"/>
            <w:tcBorders>
              <w:top w:val="outset" w:sz="6" w:space="0" w:color="auto"/>
              <w:left w:val="outset" w:sz="6" w:space="0" w:color="auto"/>
              <w:bottom w:val="outset" w:sz="6" w:space="0" w:color="auto"/>
              <w:right w:val="outset" w:sz="6" w:space="0" w:color="auto"/>
            </w:tcBorders>
          </w:tcPr>
          <w:p w:rsidR="005D797E" w:rsidRPr="006707D3" w:rsidRDefault="005D797E" w:rsidP="007F3941">
            <w:pPr>
              <w:spacing w:line="240" w:lineRule="auto"/>
              <w:ind w:firstLine="0"/>
              <w:rPr>
                <w:rFonts w:eastAsia="Times New Roman"/>
                <w:sz w:val="24"/>
                <w:szCs w:val="24"/>
                <w:lang w:eastAsia="lv-LV"/>
              </w:rPr>
            </w:pPr>
            <w:r w:rsidRPr="006707D3">
              <w:rPr>
                <w:rFonts w:eastAsia="Times New Roman"/>
                <w:sz w:val="24"/>
                <w:szCs w:val="24"/>
                <w:lang w:eastAsia="lv-LV"/>
              </w:rPr>
              <w:t xml:space="preserve">CSDD </w:t>
            </w:r>
          </w:p>
          <w:p w:rsidR="00021E9A" w:rsidRPr="006707D3" w:rsidRDefault="00021E9A" w:rsidP="007F3941">
            <w:pPr>
              <w:spacing w:line="240" w:lineRule="auto"/>
              <w:ind w:firstLine="0"/>
              <w:rPr>
                <w:rFonts w:eastAsia="Times New Roman"/>
                <w:sz w:val="24"/>
                <w:szCs w:val="24"/>
                <w:lang w:eastAsia="lv-LV"/>
              </w:rPr>
            </w:pPr>
          </w:p>
        </w:tc>
      </w:tr>
      <w:tr w:rsidR="00021E9A" w:rsidRPr="006707D3" w:rsidTr="00021E9A">
        <w:trPr>
          <w:trHeight w:val="1911"/>
          <w:tblCellSpacing w:w="0" w:type="dxa"/>
        </w:trPr>
        <w:tc>
          <w:tcPr>
            <w:tcW w:w="452" w:type="dxa"/>
            <w:tcBorders>
              <w:top w:val="outset" w:sz="6" w:space="0" w:color="auto"/>
              <w:left w:val="outset" w:sz="6" w:space="0" w:color="auto"/>
              <w:bottom w:val="outset" w:sz="6" w:space="0" w:color="auto"/>
              <w:right w:val="outset" w:sz="6" w:space="0" w:color="auto"/>
            </w:tcBorders>
          </w:tcPr>
          <w:p w:rsidR="00021E9A" w:rsidRPr="006707D3" w:rsidRDefault="00021E9A"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2.</w:t>
            </w:r>
          </w:p>
        </w:tc>
        <w:tc>
          <w:tcPr>
            <w:tcW w:w="3500" w:type="dxa"/>
            <w:tcBorders>
              <w:top w:val="outset" w:sz="6" w:space="0" w:color="auto"/>
              <w:left w:val="outset" w:sz="6" w:space="0" w:color="auto"/>
              <w:bottom w:val="outset" w:sz="6" w:space="0" w:color="auto"/>
              <w:right w:val="outset" w:sz="6" w:space="0" w:color="auto"/>
            </w:tcBorders>
          </w:tcPr>
          <w:p w:rsidR="00021E9A" w:rsidRPr="006707D3" w:rsidRDefault="00021E9A"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146" w:type="dxa"/>
            <w:tcBorders>
              <w:top w:val="outset" w:sz="6" w:space="0" w:color="auto"/>
              <w:left w:val="outset" w:sz="6" w:space="0" w:color="auto"/>
              <w:bottom w:val="outset" w:sz="6" w:space="0" w:color="auto"/>
              <w:right w:val="outset" w:sz="6" w:space="0" w:color="auto"/>
            </w:tcBorders>
          </w:tcPr>
          <w:p w:rsidR="00021E9A" w:rsidRPr="006707D3" w:rsidRDefault="00021E9A" w:rsidP="007F3941">
            <w:pPr>
              <w:spacing w:line="240" w:lineRule="auto"/>
              <w:ind w:firstLine="0"/>
              <w:rPr>
                <w:sz w:val="24"/>
                <w:szCs w:val="24"/>
              </w:rPr>
            </w:pPr>
            <w:r w:rsidRPr="006707D3">
              <w:rPr>
                <w:rFonts w:eastAsia="Times New Roman"/>
                <w:sz w:val="24"/>
                <w:szCs w:val="24"/>
                <w:lang w:eastAsia="lv-LV"/>
              </w:rPr>
              <w:t xml:space="preserve">Nav attiecināms. </w:t>
            </w:r>
          </w:p>
        </w:tc>
      </w:tr>
      <w:tr w:rsidR="00021E9A" w:rsidRPr="006707D3" w:rsidTr="00021E9A">
        <w:trPr>
          <w:trHeight w:val="228"/>
          <w:tblCellSpacing w:w="0" w:type="dxa"/>
        </w:trPr>
        <w:tc>
          <w:tcPr>
            <w:tcW w:w="452" w:type="dxa"/>
            <w:tcBorders>
              <w:top w:val="outset" w:sz="6" w:space="0" w:color="auto"/>
              <w:left w:val="outset" w:sz="6" w:space="0" w:color="auto"/>
              <w:bottom w:val="outset" w:sz="6" w:space="0" w:color="auto"/>
              <w:right w:val="outset" w:sz="6" w:space="0" w:color="auto"/>
            </w:tcBorders>
          </w:tcPr>
          <w:p w:rsidR="00021E9A" w:rsidRPr="006707D3" w:rsidRDefault="00021E9A"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3.</w:t>
            </w:r>
          </w:p>
        </w:tc>
        <w:tc>
          <w:tcPr>
            <w:tcW w:w="3500" w:type="dxa"/>
            <w:tcBorders>
              <w:top w:val="outset" w:sz="6" w:space="0" w:color="auto"/>
              <w:left w:val="outset" w:sz="6" w:space="0" w:color="auto"/>
              <w:bottom w:val="outset" w:sz="6" w:space="0" w:color="auto"/>
              <w:right w:val="outset" w:sz="6" w:space="0" w:color="auto"/>
            </w:tcBorders>
          </w:tcPr>
          <w:p w:rsidR="00021E9A" w:rsidRPr="006707D3" w:rsidRDefault="00021E9A"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Cita informācija</w:t>
            </w:r>
          </w:p>
        </w:tc>
        <w:tc>
          <w:tcPr>
            <w:tcW w:w="5146" w:type="dxa"/>
            <w:tcBorders>
              <w:top w:val="outset" w:sz="6" w:space="0" w:color="auto"/>
              <w:left w:val="outset" w:sz="6" w:space="0" w:color="auto"/>
              <w:bottom w:val="outset" w:sz="6" w:space="0" w:color="auto"/>
              <w:right w:val="outset" w:sz="6" w:space="0" w:color="auto"/>
            </w:tcBorders>
          </w:tcPr>
          <w:p w:rsidR="00021E9A" w:rsidRPr="006707D3" w:rsidRDefault="00021E9A" w:rsidP="007F3941">
            <w:pPr>
              <w:spacing w:line="240" w:lineRule="auto"/>
              <w:ind w:firstLine="0"/>
              <w:jc w:val="left"/>
              <w:rPr>
                <w:rFonts w:eastAsia="Times New Roman"/>
                <w:sz w:val="24"/>
                <w:szCs w:val="24"/>
                <w:lang w:eastAsia="lv-LV"/>
              </w:rPr>
            </w:pPr>
            <w:r w:rsidRPr="006707D3">
              <w:rPr>
                <w:rFonts w:eastAsia="Times New Roman"/>
                <w:sz w:val="24"/>
                <w:szCs w:val="24"/>
                <w:lang w:eastAsia="lv-LV"/>
              </w:rPr>
              <w:t> Nav.</w:t>
            </w:r>
          </w:p>
        </w:tc>
      </w:tr>
    </w:tbl>
    <w:p w:rsidR="00C1051F" w:rsidRPr="006707D3" w:rsidRDefault="0083428E" w:rsidP="007F3941">
      <w:pPr>
        <w:tabs>
          <w:tab w:val="left" w:pos="426"/>
        </w:tabs>
        <w:spacing w:line="240" w:lineRule="auto"/>
        <w:ind w:firstLine="0"/>
        <w:jc w:val="center"/>
        <w:rPr>
          <w:rFonts w:eastAsia="Times New Roman"/>
          <w:sz w:val="24"/>
          <w:szCs w:val="24"/>
          <w:lang w:eastAsia="lv-LV"/>
        </w:rPr>
      </w:pPr>
      <w:r w:rsidRPr="006707D3">
        <w:rPr>
          <w:rFonts w:eastAsia="Times New Roman"/>
          <w:sz w:val="24"/>
          <w:szCs w:val="24"/>
          <w:lang w:eastAsia="lv-LV"/>
        </w:rPr>
        <w:t xml:space="preserve">Anotācijas </w:t>
      </w:r>
      <w:r w:rsidR="006C6ADC" w:rsidRPr="006707D3">
        <w:rPr>
          <w:rFonts w:eastAsia="Times New Roman"/>
          <w:sz w:val="24"/>
          <w:szCs w:val="24"/>
          <w:lang w:eastAsia="lv-LV"/>
        </w:rPr>
        <w:t xml:space="preserve">II, </w:t>
      </w:r>
      <w:r w:rsidRPr="006707D3">
        <w:rPr>
          <w:rFonts w:eastAsia="Times New Roman"/>
          <w:sz w:val="24"/>
          <w:szCs w:val="24"/>
          <w:lang w:eastAsia="lv-LV"/>
        </w:rPr>
        <w:t xml:space="preserve"> IV, </w:t>
      </w:r>
      <w:r w:rsidR="006C6ADC" w:rsidRPr="006707D3">
        <w:rPr>
          <w:rFonts w:eastAsia="Times New Roman"/>
          <w:sz w:val="24"/>
          <w:szCs w:val="24"/>
          <w:lang w:eastAsia="lv-LV"/>
        </w:rPr>
        <w:t xml:space="preserve">V </w:t>
      </w:r>
      <w:r w:rsidRPr="006707D3">
        <w:rPr>
          <w:rFonts w:eastAsia="Times New Roman"/>
          <w:sz w:val="24"/>
          <w:szCs w:val="24"/>
          <w:lang w:eastAsia="lv-LV"/>
        </w:rPr>
        <w:t>un VI sadaļas – projekts šīs jomas neskar.</w:t>
      </w:r>
    </w:p>
    <w:p w:rsidR="007F3941" w:rsidRPr="006707D3" w:rsidRDefault="007F3941" w:rsidP="007F3941">
      <w:pPr>
        <w:spacing w:line="240" w:lineRule="auto"/>
        <w:ind w:right="-340" w:firstLine="709"/>
        <w:rPr>
          <w:sz w:val="24"/>
          <w:szCs w:val="24"/>
        </w:rPr>
      </w:pPr>
    </w:p>
    <w:p w:rsidR="007F3941" w:rsidRPr="006707D3" w:rsidRDefault="007F3941" w:rsidP="009909B4">
      <w:pPr>
        <w:ind w:firstLine="0"/>
        <w:rPr>
          <w:sz w:val="24"/>
          <w:szCs w:val="24"/>
        </w:rPr>
      </w:pPr>
      <w:r w:rsidRPr="006707D3">
        <w:rPr>
          <w:sz w:val="24"/>
          <w:szCs w:val="24"/>
        </w:rPr>
        <w:t>Ministru prezidents</w:t>
      </w:r>
      <w:r w:rsidRPr="006707D3">
        <w:rPr>
          <w:sz w:val="24"/>
          <w:szCs w:val="24"/>
        </w:rPr>
        <w:tab/>
      </w:r>
      <w:r w:rsidRPr="006707D3">
        <w:rPr>
          <w:sz w:val="24"/>
          <w:szCs w:val="24"/>
        </w:rPr>
        <w:tab/>
      </w:r>
      <w:r w:rsidRPr="006707D3">
        <w:rPr>
          <w:sz w:val="24"/>
          <w:szCs w:val="24"/>
        </w:rPr>
        <w:tab/>
      </w:r>
      <w:r w:rsidRPr="006707D3">
        <w:rPr>
          <w:sz w:val="24"/>
          <w:szCs w:val="24"/>
        </w:rPr>
        <w:tab/>
      </w:r>
      <w:r w:rsidR="009909B4" w:rsidRPr="006707D3">
        <w:rPr>
          <w:sz w:val="24"/>
          <w:szCs w:val="24"/>
        </w:rPr>
        <w:tab/>
      </w:r>
      <w:r w:rsidRPr="006707D3">
        <w:rPr>
          <w:sz w:val="24"/>
          <w:szCs w:val="24"/>
        </w:rPr>
        <w:tab/>
      </w:r>
      <w:r w:rsidR="00CC49AA" w:rsidRPr="006707D3">
        <w:rPr>
          <w:sz w:val="24"/>
          <w:szCs w:val="24"/>
        </w:rPr>
        <w:tab/>
      </w:r>
      <w:r w:rsidR="009909B4" w:rsidRPr="006707D3">
        <w:rPr>
          <w:sz w:val="24"/>
          <w:szCs w:val="24"/>
        </w:rPr>
        <w:tab/>
      </w:r>
      <w:r w:rsidRPr="006707D3">
        <w:rPr>
          <w:sz w:val="24"/>
          <w:szCs w:val="24"/>
        </w:rPr>
        <w:tab/>
        <w:t>M.Kučinskis</w:t>
      </w:r>
    </w:p>
    <w:p w:rsidR="007F3941" w:rsidRPr="006707D3" w:rsidRDefault="007F3941" w:rsidP="009909B4">
      <w:pPr>
        <w:ind w:firstLine="0"/>
        <w:rPr>
          <w:sz w:val="24"/>
          <w:szCs w:val="24"/>
        </w:rPr>
      </w:pPr>
    </w:p>
    <w:p w:rsidR="007F3941" w:rsidRPr="006707D3" w:rsidRDefault="007F3941" w:rsidP="009909B4">
      <w:pPr>
        <w:ind w:firstLine="0"/>
        <w:rPr>
          <w:sz w:val="24"/>
          <w:szCs w:val="24"/>
        </w:rPr>
      </w:pPr>
      <w:r w:rsidRPr="006707D3">
        <w:rPr>
          <w:sz w:val="24"/>
          <w:szCs w:val="24"/>
        </w:rPr>
        <w:t>Finanšu ministre</w:t>
      </w:r>
      <w:r w:rsidRPr="006707D3">
        <w:rPr>
          <w:sz w:val="24"/>
          <w:szCs w:val="24"/>
        </w:rPr>
        <w:tab/>
      </w:r>
      <w:r w:rsidRPr="006707D3">
        <w:rPr>
          <w:sz w:val="24"/>
          <w:szCs w:val="24"/>
        </w:rPr>
        <w:tab/>
      </w:r>
      <w:r w:rsidRPr="006707D3">
        <w:rPr>
          <w:sz w:val="24"/>
          <w:szCs w:val="24"/>
        </w:rPr>
        <w:tab/>
      </w:r>
      <w:r w:rsidRPr="006707D3">
        <w:rPr>
          <w:sz w:val="24"/>
          <w:szCs w:val="24"/>
        </w:rPr>
        <w:tab/>
      </w:r>
      <w:r w:rsidRPr="006707D3">
        <w:rPr>
          <w:sz w:val="24"/>
          <w:szCs w:val="24"/>
        </w:rPr>
        <w:tab/>
      </w:r>
      <w:r w:rsidR="009909B4" w:rsidRPr="006707D3">
        <w:rPr>
          <w:sz w:val="24"/>
          <w:szCs w:val="24"/>
        </w:rPr>
        <w:tab/>
      </w:r>
      <w:r w:rsidRPr="006707D3">
        <w:rPr>
          <w:sz w:val="24"/>
          <w:szCs w:val="24"/>
        </w:rPr>
        <w:tab/>
      </w:r>
      <w:r w:rsidR="009909B4" w:rsidRPr="006707D3">
        <w:rPr>
          <w:sz w:val="24"/>
          <w:szCs w:val="24"/>
        </w:rPr>
        <w:tab/>
      </w:r>
      <w:r w:rsidRPr="006707D3">
        <w:rPr>
          <w:sz w:val="24"/>
          <w:szCs w:val="24"/>
        </w:rPr>
        <w:t>D.Reizniece-Ozola</w:t>
      </w:r>
    </w:p>
    <w:p w:rsidR="007F3941" w:rsidRPr="006707D3" w:rsidRDefault="007F3941" w:rsidP="009909B4">
      <w:pPr>
        <w:ind w:firstLine="0"/>
        <w:rPr>
          <w:sz w:val="24"/>
          <w:szCs w:val="24"/>
        </w:rPr>
      </w:pPr>
    </w:p>
    <w:p w:rsidR="007F3941" w:rsidRPr="006707D3" w:rsidRDefault="007F3941" w:rsidP="009909B4">
      <w:pPr>
        <w:ind w:firstLine="0"/>
        <w:rPr>
          <w:sz w:val="24"/>
          <w:szCs w:val="24"/>
        </w:rPr>
      </w:pPr>
      <w:r w:rsidRPr="006707D3">
        <w:rPr>
          <w:sz w:val="24"/>
          <w:szCs w:val="24"/>
        </w:rPr>
        <w:t>Vīza:</w:t>
      </w:r>
    </w:p>
    <w:p w:rsidR="007F3941" w:rsidRPr="006707D3" w:rsidRDefault="007F3941" w:rsidP="009909B4">
      <w:pPr>
        <w:ind w:firstLine="0"/>
        <w:rPr>
          <w:sz w:val="24"/>
          <w:szCs w:val="24"/>
        </w:rPr>
      </w:pPr>
      <w:r w:rsidRPr="006707D3">
        <w:rPr>
          <w:sz w:val="24"/>
          <w:szCs w:val="24"/>
        </w:rPr>
        <w:t xml:space="preserve">Pārresoru koordinācijas centra </w:t>
      </w:r>
    </w:p>
    <w:p w:rsidR="007F3941" w:rsidRPr="006707D3" w:rsidRDefault="007F3941" w:rsidP="00CC49AA">
      <w:pPr>
        <w:ind w:right="185" w:firstLine="0"/>
        <w:rPr>
          <w:sz w:val="24"/>
          <w:szCs w:val="24"/>
        </w:rPr>
      </w:pPr>
      <w:r w:rsidRPr="006707D3">
        <w:rPr>
          <w:sz w:val="24"/>
          <w:szCs w:val="24"/>
        </w:rPr>
        <w:t xml:space="preserve">vadītājs </w:t>
      </w:r>
      <w:r w:rsidRPr="006707D3">
        <w:rPr>
          <w:sz w:val="24"/>
          <w:szCs w:val="24"/>
        </w:rPr>
        <w:tab/>
      </w:r>
      <w:r w:rsidRPr="006707D3">
        <w:rPr>
          <w:sz w:val="24"/>
          <w:szCs w:val="24"/>
        </w:rPr>
        <w:tab/>
      </w:r>
      <w:r w:rsidRPr="006707D3">
        <w:rPr>
          <w:sz w:val="24"/>
          <w:szCs w:val="24"/>
        </w:rPr>
        <w:tab/>
      </w:r>
      <w:r w:rsidRPr="006707D3">
        <w:rPr>
          <w:sz w:val="24"/>
          <w:szCs w:val="24"/>
        </w:rPr>
        <w:tab/>
      </w:r>
      <w:r w:rsidRPr="006707D3">
        <w:rPr>
          <w:sz w:val="24"/>
          <w:szCs w:val="24"/>
        </w:rPr>
        <w:tab/>
      </w:r>
      <w:r w:rsidRPr="006707D3">
        <w:rPr>
          <w:sz w:val="24"/>
          <w:szCs w:val="24"/>
        </w:rPr>
        <w:tab/>
      </w:r>
      <w:r w:rsidRPr="006707D3">
        <w:rPr>
          <w:sz w:val="24"/>
          <w:szCs w:val="24"/>
        </w:rPr>
        <w:tab/>
      </w:r>
      <w:r w:rsidRPr="006707D3">
        <w:rPr>
          <w:sz w:val="24"/>
          <w:szCs w:val="24"/>
        </w:rPr>
        <w:tab/>
      </w:r>
      <w:r w:rsidR="00CC49AA" w:rsidRPr="006707D3">
        <w:rPr>
          <w:sz w:val="24"/>
          <w:szCs w:val="24"/>
        </w:rPr>
        <w:tab/>
      </w:r>
      <w:r w:rsidR="009909B4" w:rsidRPr="006707D3">
        <w:rPr>
          <w:sz w:val="24"/>
          <w:szCs w:val="24"/>
        </w:rPr>
        <w:tab/>
      </w:r>
      <w:r w:rsidRPr="006707D3">
        <w:rPr>
          <w:sz w:val="24"/>
          <w:szCs w:val="24"/>
        </w:rPr>
        <w:t>P.Vilks</w:t>
      </w:r>
    </w:p>
    <w:p w:rsidR="007F3941" w:rsidRPr="006707D3" w:rsidRDefault="007F3941" w:rsidP="009909B4">
      <w:pPr>
        <w:ind w:firstLine="0"/>
        <w:rPr>
          <w:sz w:val="24"/>
          <w:szCs w:val="24"/>
        </w:rPr>
      </w:pPr>
    </w:p>
    <w:p w:rsidR="007F3941" w:rsidRPr="00BB5C97" w:rsidRDefault="007F3941" w:rsidP="009909B4">
      <w:pPr>
        <w:ind w:firstLine="0"/>
        <w:rPr>
          <w:sz w:val="16"/>
          <w:szCs w:val="16"/>
        </w:rPr>
      </w:pPr>
      <w:r w:rsidRPr="00BB5C97">
        <w:rPr>
          <w:sz w:val="16"/>
          <w:szCs w:val="16"/>
        </w:rPr>
        <w:t>0</w:t>
      </w:r>
      <w:r w:rsidR="00CA7F4E">
        <w:rPr>
          <w:sz w:val="16"/>
          <w:szCs w:val="16"/>
        </w:rPr>
        <w:t>6</w:t>
      </w:r>
      <w:r w:rsidRPr="00BB5C97">
        <w:rPr>
          <w:sz w:val="16"/>
          <w:szCs w:val="16"/>
        </w:rPr>
        <w:t>.0</w:t>
      </w:r>
      <w:r w:rsidR="00BB5C97">
        <w:rPr>
          <w:sz w:val="16"/>
          <w:szCs w:val="16"/>
        </w:rPr>
        <w:t>9</w:t>
      </w:r>
      <w:r w:rsidR="00CA7F4E">
        <w:rPr>
          <w:sz w:val="16"/>
          <w:szCs w:val="16"/>
        </w:rPr>
        <w:t>.2017. 16</w:t>
      </w:r>
      <w:r w:rsidRPr="00BB5C97">
        <w:rPr>
          <w:sz w:val="16"/>
          <w:szCs w:val="16"/>
        </w:rPr>
        <w:t>:00</w:t>
      </w:r>
    </w:p>
    <w:p w:rsidR="007F3941" w:rsidRPr="00BB5C97" w:rsidRDefault="007F3941" w:rsidP="009909B4">
      <w:pPr>
        <w:ind w:firstLine="0"/>
        <w:rPr>
          <w:sz w:val="16"/>
          <w:szCs w:val="16"/>
        </w:rPr>
      </w:pPr>
      <w:r w:rsidRPr="00BB5C97">
        <w:rPr>
          <w:sz w:val="16"/>
          <w:szCs w:val="16"/>
        </w:rPr>
        <w:t>1</w:t>
      </w:r>
      <w:r w:rsidR="000364E6" w:rsidRPr="00BB5C97">
        <w:rPr>
          <w:sz w:val="16"/>
          <w:szCs w:val="16"/>
        </w:rPr>
        <w:t xml:space="preserve"> </w:t>
      </w:r>
      <w:r w:rsidR="00DA777E">
        <w:rPr>
          <w:sz w:val="16"/>
          <w:szCs w:val="16"/>
        </w:rPr>
        <w:t>773</w:t>
      </w:r>
    </w:p>
    <w:p w:rsidR="00BB5C97" w:rsidRDefault="00BB5C97" w:rsidP="009909B4">
      <w:pPr>
        <w:tabs>
          <w:tab w:val="left" w:pos="1786"/>
        </w:tabs>
        <w:ind w:firstLine="0"/>
        <w:rPr>
          <w:sz w:val="16"/>
          <w:szCs w:val="16"/>
        </w:rPr>
      </w:pPr>
      <w:r>
        <w:rPr>
          <w:sz w:val="16"/>
          <w:szCs w:val="16"/>
        </w:rPr>
        <w:t>Dzintra Gasūne</w:t>
      </w:r>
    </w:p>
    <w:p w:rsidR="00BB5C97" w:rsidRDefault="007F3941" w:rsidP="009909B4">
      <w:pPr>
        <w:tabs>
          <w:tab w:val="left" w:pos="1786"/>
        </w:tabs>
        <w:ind w:firstLine="0"/>
        <w:rPr>
          <w:sz w:val="16"/>
          <w:szCs w:val="16"/>
        </w:rPr>
      </w:pPr>
      <w:r w:rsidRPr="00BB5C97">
        <w:rPr>
          <w:sz w:val="16"/>
          <w:szCs w:val="16"/>
        </w:rPr>
        <w:t>6708292</w:t>
      </w:r>
      <w:r w:rsidR="00BB5C97">
        <w:rPr>
          <w:sz w:val="16"/>
          <w:szCs w:val="16"/>
        </w:rPr>
        <w:t>1</w:t>
      </w:r>
    </w:p>
    <w:p w:rsidR="00BB5C97" w:rsidRDefault="0068530E" w:rsidP="009909B4">
      <w:pPr>
        <w:tabs>
          <w:tab w:val="left" w:pos="1786"/>
        </w:tabs>
        <w:ind w:firstLine="0"/>
        <w:rPr>
          <w:sz w:val="16"/>
          <w:szCs w:val="16"/>
        </w:rPr>
      </w:pPr>
      <w:hyperlink r:id="rId9" w:history="1">
        <w:r w:rsidR="00BB5C97" w:rsidRPr="0047243E">
          <w:rPr>
            <w:rStyle w:val="Hyperlink"/>
            <w:sz w:val="16"/>
            <w:szCs w:val="16"/>
          </w:rPr>
          <w:t>Dzintra.Gasune@pkc.mk.gov.lv</w:t>
        </w:r>
      </w:hyperlink>
    </w:p>
    <w:sectPr w:rsidR="00BB5C97" w:rsidSect="007F3941">
      <w:headerReference w:type="default" r:id="rId10"/>
      <w:footerReference w:type="default" r:id="rId11"/>
      <w:footerReference w:type="first" r:id="rId12"/>
      <w:pgSz w:w="11906" w:h="16838"/>
      <w:pgMar w:top="851" w:right="707" w:bottom="1276" w:left="1800" w:header="708" w:footer="18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1F" w:rsidRDefault="0077651F" w:rsidP="00E65F54">
      <w:pPr>
        <w:spacing w:line="240" w:lineRule="auto"/>
      </w:pPr>
      <w:r>
        <w:separator/>
      </w:r>
    </w:p>
  </w:endnote>
  <w:endnote w:type="continuationSeparator" w:id="0">
    <w:p w:rsidR="0077651F" w:rsidRDefault="0077651F"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D3" w:rsidRPr="001D3CBE" w:rsidRDefault="006707D3" w:rsidP="006707D3">
    <w:pPr>
      <w:pStyle w:val="Footer"/>
      <w:ind w:firstLine="0"/>
      <w:rPr>
        <w:sz w:val="20"/>
        <w:szCs w:val="20"/>
      </w:rPr>
    </w:pPr>
    <w:r>
      <w:rPr>
        <w:sz w:val="20"/>
        <w:szCs w:val="20"/>
        <w:lang w:val="lv-LV"/>
      </w:rPr>
      <w:t>PKCAnot_0</w:t>
    </w:r>
    <w:r w:rsidR="00CA7F4E">
      <w:rPr>
        <w:sz w:val="20"/>
        <w:szCs w:val="20"/>
        <w:lang w:val="lv-LV"/>
      </w:rPr>
      <w:t>6</w:t>
    </w:r>
    <w:r>
      <w:rPr>
        <w:sz w:val="20"/>
        <w:szCs w:val="20"/>
        <w:lang w:val="lv-LV"/>
      </w:rPr>
      <w:t>0917</w:t>
    </w:r>
    <w:r w:rsidRPr="00F70B54">
      <w:rPr>
        <w:sz w:val="20"/>
        <w:szCs w:val="20"/>
        <w:lang w:val="lv-LV"/>
      </w:rPr>
      <w:t xml:space="preserve">_CSDD; </w:t>
    </w:r>
  </w:p>
  <w:p w:rsidR="001C5E81" w:rsidRPr="001C5E81" w:rsidRDefault="001C5E81" w:rsidP="001C5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B2" w:rsidRPr="001D3CBE" w:rsidRDefault="007F3941" w:rsidP="00F70B54">
    <w:pPr>
      <w:pStyle w:val="Footer"/>
      <w:ind w:firstLine="0"/>
      <w:rPr>
        <w:sz w:val="20"/>
        <w:szCs w:val="20"/>
      </w:rPr>
    </w:pPr>
    <w:r>
      <w:rPr>
        <w:sz w:val="20"/>
        <w:szCs w:val="20"/>
        <w:lang w:val="lv-LV"/>
      </w:rPr>
      <w:t>PKCAnot</w:t>
    </w:r>
    <w:r w:rsidR="00C8492A">
      <w:rPr>
        <w:sz w:val="20"/>
        <w:szCs w:val="20"/>
        <w:lang w:val="lv-LV"/>
      </w:rPr>
      <w:t>_</w:t>
    </w:r>
    <w:r>
      <w:rPr>
        <w:sz w:val="20"/>
        <w:szCs w:val="20"/>
        <w:lang w:val="lv-LV"/>
      </w:rPr>
      <w:t>0</w:t>
    </w:r>
    <w:r w:rsidR="00CA7F4E">
      <w:rPr>
        <w:sz w:val="20"/>
        <w:szCs w:val="20"/>
        <w:lang w:val="lv-LV"/>
      </w:rPr>
      <w:t>6</w:t>
    </w:r>
    <w:r>
      <w:rPr>
        <w:sz w:val="20"/>
        <w:szCs w:val="20"/>
        <w:lang w:val="lv-LV"/>
      </w:rPr>
      <w:t>0</w:t>
    </w:r>
    <w:r w:rsidR="006707D3">
      <w:rPr>
        <w:sz w:val="20"/>
        <w:szCs w:val="20"/>
        <w:lang w:val="lv-LV"/>
      </w:rPr>
      <w:t>9</w:t>
    </w:r>
    <w:r>
      <w:rPr>
        <w:sz w:val="20"/>
        <w:szCs w:val="20"/>
        <w:lang w:val="lv-LV"/>
      </w:rPr>
      <w:t>17</w:t>
    </w:r>
    <w:r w:rsidR="00F70B54" w:rsidRPr="00F70B54">
      <w:rPr>
        <w:sz w:val="20"/>
        <w:szCs w:val="20"/>
        <w:lang w:val="lv-LV"/>
      </w:rPr>
      <w:t xml:space="preserve">_CSDD;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1F" w:rsidRDefault="0077651F" w:rsidP="00E65F54">
      <w:pPr>
        <w:spacing w:line="240" w:lineRule="auto"/>
      </w:pPr>
      <w:r>
        <w:separator/>
      </w:r>
    </w:p>
  </w:footnote>
  <w:footnote w:type="continuationSeparator" w:id="0">
    <w:p w:rsidR="0077651F" w:rsidRDefault="0077651F"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4C" w:rsidRDefault="000A204C" w:rsidP="0047322B">
    <w:pPr>
      <w:pStyle w:val="Header"/>
      <w:ind w:firstLine="0"/>
      <w:jc w:val="center"/>
    </w:pPr>
    <w:r>
      <w:fldChar w:fldCharType="begin"/>
    </w:r>
    <w:r>
      <w:instrText xml:space="preserve"> PAGE   \* MERGEFORMAT </w:instrText>
    </w:r>
    <w:r>
      <w:fldChar w:fldCharType="separate"/>
    </w:r>
    <w:r w:rsidR="0068530E">
      <w:rPr>
        <w:noProof/>
      </w:rPr>
      <w:t>2</w:t>
    </w:r>
    <w:r>
      <w:fldChar w:fldCharType="end"/>
    </w:r>
  </w:p>
  <w:p w:rsidR="000A204C" w:rsidRDefault="000A2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0D1FBC"/>
    <w:multiLevelType w:val="hybridMultilevel"/>
    <w:tmpl w:val="56EC386E"/>
    <w:lvl w:ilvl="0" w:tplc="9AAE7470">
      <w:start w:val="1"/>
      <w:numFmt w:val="decimal"/>
      <w:lvlText w:val="%1."/>
      <w:lvlJc w:val="left"/>
      <w:pPr>
        <w:ind w:left="754" w:hanging="420"/>
      </w:pPr>
      <w:rPr>
        <w:rFonts w:hint="default"/>
        <w:color w:val="auto"/>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2">
    <w:nsid w:val="167A7049"/>
    <w:multiLevelType w:val="hybridMultilevel"/>
    <w:tmpl w:val="9DEAC484"/>
    <w:lvl w:ilvl="0" w:tplc="31D644F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859492C"/>
    <w:multiLevelType w:val="multilevel"/>
    <w:tmpl w:val="D63E8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F2A7880"/>
    <w:multiLevelType w:val="hybridMultilevel"/>
    <w:tmpl w:val="F558F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414539C"/>
    <w:multiLevelType w:val="hybridMultilevel"/>
    <w:tmpl w:val="5D60A2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F9C2E5D"/>
    <w:multiLevelType w:val="hybridMultilevel"/>
    <w:tmpl w:val="C8AAD694"/>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
    <w:nsid w:val="609E6B4D"/>
    <w:multiLevelType w:val="hybridMultilevel"/>
    <w:tmpl w:val="C64E5198"/>
    <w:lvl w:ilvl="0" w:tplc="9FBC65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8"/>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5D91"/>
    <w:rsid w:val="0000712B"/>
    <w:rsid w:val="00007EEF"/>
    <w:rsid w:val="000179C0"/>
    <w:rsid w:val="00021E9A"/>
    <w:rsid w:val="000240B2"/>
    <w:rsid w:val="0002755E"/>
    <w:rsid w:val="00036272"/>
    <w:rsid w:val="000364E6"/>
    <w:rsid w:val="00040810"/>
    <w:rsid w:val="0004524B"/>
    <w:rsid w:val="00045253"/>
    <w:rsid w:val="0005135F"/>
    <w:rsid w:val="00052DB2"/>
    <w:rsid w:val="0005308A"/>
    <w:rsid w:val="00056AAB"/>
    <w:rsid w:val="00056D4D"/>
    <w:rsid w:val="000576BA"/>
    <w:rsid w:val="00064759"/>
    <w:rsid w:val="0006501B"/>
    <w:rsid w:val="00065F5F"/>
    <w:rsid w:val="000663C5"/>
    <w:rsid w:val="0006748D"/>
    <w:rsid w:val="00091E6C"/>
    <w:rsid w:val="00094458"/>
    <w:rsid w:val="00096E19"/>
    <w:rsid w:val="00097D01"/>
    <w:rsid w:val="000A204C"/>
    <w:rsid w:val="000A26F1"/>
    <w:rsid w:val="000A2ABA"/>
    <w:rsid w:val="000A2DE7"/>
    <w:rsid w:val="000A307A"/>
    <w:rsid w:val="000A4071"/>
    <w:rsid w:val="000B2913"/>
    <w:rsid w:val="000B7137"/>
    <w:rsid w:val="000B7533"/>
    <w:rsid w:val="000C049D"/>
    <w:rsid w:val="000C6A5A"/>
    <w:rsid w:val="000D1D5A"/>
    <w:rsid w:val="000D243B"/>
    <w:rsid w:val="000D36CD"/>
    <w:rsid w:val="000D3F6C"/>
    <w:rsid w:val="000E20D4"/>
    <w:rsid w:val="000E419E"/>
    <w:rsid w:val="000E467D"/>
    <w:rsid w:val="000E72D7"/>
    <w:rsid w:val="000F1476"/>
    <w:rsid w:val="000F4E77"/>
    <w:rsid w:val="000F61A4"/>
    <w:rsid w:val="00100CF6"/>
    <w:rsid w:val="00106F95"/>
    <w:rsid w:val="00110616"/>
    <w:rsid w:val="001118F1"/>
    <w:rsid w:val="00112DC7"/>
    <w:rsid w:val="001214FA"/>
    <w:rsid w:val="00122C18"/>
    <w:rsid w:val="00123A13"/>
    <w:rsid w:val="00126375"/>
    <w:rsid w:val="0013108F"/>
    <w:rsid w:val="00141B0D"/>
    <w:rsid w:val="00142AD0"/>
    <w:rsid w:val="001471D3"/>
    <w:rsid w:val="00155154"/>
    <w:rsid w:val="00167D64"/>
    <w:rsid w:val="00171F18"/>
    <w:rsid w:val="00172009"/>
    <w:rsid w:val="001730AE"/>
    <w:rsid w:val="0017730B"/>
    <w:rsid w:val="00177BCA"/>
    <w:rsid w:val="00181860"/>
    <w:rsid w:val="00183CEC"/>
    <w:rsid w:val="001844CC"/>
    <w:rsid w:val="00186915"/>
    <w:rsid w:val="0019254C"/>
    <w:rsid w:val="001954F7"/>
    <w:rsid w:val="00196AC6"/>
    <w:rsid w:val="001A05E0"/>
    <w:rsid w:val="001A127C"/>
    <w:rsid w:val="001A285E"/>
    <w:rsid w:val="001A3DD6"/>
    <w:rsid w:val="001A5340"/>
    <w:rsid w:val="001A56A7"/>
    <w:rsid w:val="001A69E2"/>
    <w:rsid w:val="001B24BB"/>
    <w:rsid w:val="001B46BB"/>
    <w:rsid w:val="001C5AE2"/>
    <w:rsid w:val="001C5E81"/>
    <w:rsid w:val="001D35B7"/>
    <w:rsid w:val="001D3CBE"/>
    <w:rsid w:val="001D550D"/>
    <w:rsid w:val="001D64DA"/>
    <w:rsid w:val="001E2EDF"/>
    <w:rsid w:val="001E685A"/>
    <w:rsid w:val="001E707E"/>
    <w:rsid w:val="001E7275"/>
    <w:rsid w:val="001F2E67"/>
    <w:rsid w:val="001F7D74"/>
    <w:rsid w:val="00200D00"/>
    <w:rsid w:val="00202F7A"/>
    <w:rsid w:val="00203BFE"/>
    <w:rsid w:val="00203DF6"/>
    <w:rsid w:val="002040EB"/>
    <w:rsid w:val="00204AE3"/>
    <w:rsid w:val="0020589F"/>
    <w:rsid w:val="002121C1"/>
    <w:rsid w:val="0021249F"/>
    <w:rsid w:val="00220B3E"/>
    <w:rsid w:val="00227D24"/>
    <w:rsid w:val="002333FB"/>
    <w:rsid w:val="00235583"/>
    <w:rsid w:val="002431F8"/>
    <w:rsid w:val="00246D0A"/>
    <w:rsid w:val="002511A0"/>
    <w:rsid w:val="002528F8"/>
    <w:rsid w:val="00253663"/>
    <w:rsid w:val="00254AAA"/>
    <w:rsid w:val="00254E6C"/>
    <w:rsid w:val="00255CA8"/>
    <w:rsid w:val="002620AA"/>
    <w:rsid w:val="0027189F"/>
    <w:rsid w:val="002723AB"/>
    <w:rsid w:val="00272789"/>
    <w:rsid w:val="00272C08"/>
    <w:rsid w:val="00274CA1"/>
    <w:rsid w:val="00282ABD"/>
    <w:rsid w:val="002868E5"/>
    <w:rsid w:val="00287FD2"/>
    <w:rsid w:val="00291BEF"/>
    <w:rsid w:val="0029276A"/>
    <w:rsid w:val="002954F6"/>
    <w:rsid w:val="002A469E"/>
    <w:rsid w:val="002A7E61"/>
    <w:rsid w:val="002C009C"/>
    <w:rsid w:val="002C5EB8"/>
    <w:rsid w:val="002C74C8"/>
    <w:rsid w:val="002D0145"/>
    <w:rsid w:val="002D40FD"/>
    <w:rsid w:val="002D728B"/>
    <w:rsid w:val="002E01C2"/>
    <w:rsid w:val="002E61AA"/>
    <w:rsid w:val="002F7C16"/>
    <w:rsid w:val="003145D0"/>
    <w:rsid w:val="00331B69"/>
    <w:rsid w:val="00332A51"/>
    <w:rsid w:val="00333D07"/>
    <w:rsid w:val="0033441D"/>
    <w:rsid w:val="00350EF3"/>
    <w:rsid w:val="00354129"/>
    <w:rsid w:val="00363705"/>
    <w:rsid w:val="00363B2E"/>
    <w:rsid w:val="00363B6C"/>
    <w:rsid w:val="003704C4"/>
    <w:rsid w:val="00376572"/>
    <w:rsid w:val="003808DC"/>
    <w:rsid w:val="0038666E"/>
    <w:rsid w:val="00394EB3"/>
    <w:rsid w:val="003A2595"/>
    <w:rsid w:val="003A639F"/>
    <w:rsid w:val="003B3844"/>
    <w:rsid w:val="003C25DC"/>
    <w:rsid w:val="003C78BC"/>
    <w:rsid w:val="003D1F23"/>
    <w:rsid w:val="003D6AB8"/>
    <w:rsid w:val="003E176C"/>
    <w:rsid w:val="003E1A6C"/>
    <w:rsid w:val="003E2CEA"/>
    <w:rsid w:val="003E34EB"/>
    <w:rsid w:val="003E6B9C"/>
    <w:rsid w:val="003F1D0B"/>
    <w:rsid w:val="003F2ADF"/>
    <w:rsid w:val="003F3F9B"/>
    <w:rsid w:val="003F68AC"/>
    <w:rsid w:val="00401786"/>
    <w:rsid w:val="004023CD"/>
    <w:rsid w:val="00410D4D"/>
    <w:rsid w:val="004146B9"/>
    <w:rsid w:val="00416B05"/>
    <w:rsid w:val="0042147A"/>
    <w:rsid w:val="00421A23"/>
    <w:rsid w:val="004234BA"/>
    <w:rsid w:val="00431C58"/>
    <w:rsid w:val="00434234"/>
    <w:rsid w:val="00434CD6"/>
    <w:rsid w:val="0043743D"/>
    <w:rsid w:val="00437917"/>
    <w:rsid w:val="004419AB"/>
    <w:rsid w:val="004430AD"/>
    <w:rsid w:val="00443411"/>
    <w:rsid w:val="00447C10"/>
    <w:rsid w:val="00453383"/>
    <w:rsid w:val="004668B2"/>
    <w:rsid w:val="00471594"/>
    <w:rsid w:val="0047322B"/>
    <w:rsid w:val="00481CBC"/>
    <w:rsid w:val="004837F3"/>
    <w:rsid w:val="004869E6"/>
    <w:rsid w:val="004871FD"/>
    <w:rsid w:val="004934DF"/>
    <w:rsid w:val="00494069"/>
    <w:rsid w:val="00497897"/>
    <w:rsid w:val="004A01ED"/>
    <w:rsid w:val="004A09DA"/>
    <w:rsid w:val="004A1B1D"/>
    <w:rsid w:val="004A5D15"/>
    <w:rsid w:val="004A727A"/>
    <w:rsid w:val="004B14CA"/>
    <w:rsid w:val="004B2FAA"/>
    <w:rsid w:val="004C15CB"/>
    <w:rsid w:val="004C7582"/>
    <w:rsid w:val="004E2F88"/>
    <w:rsid w:val="004E53A0"/>
    <w:rsid w:val="004E75E2"/>
    <w:rsid w:val="004E7ED1"/>
    <w:rsid w:val="004F4838"/>
    <w:rsid w:val="004F4EAC"/>
    <w:rsid w:val="00503578"/>
    <w:rsid w:val="005037D2"/>
    <w:rsid w:val="00505E87"/>
    <w:rsid w:val="00506092"/>
    <w:rsid w:val="00506340"/>
    <w:rsid w:val="00510AC3"/>
    <w:rsid w:val="0051129B"/>
    <w:rsid w:val="005124B1"/>
    <w:rsid w:val="00513991"/>
    <w:rsid w:val="005140BF"/>
    <w:rsid w:val="005143C7"/>
    <w:rsid w:val="00515848"/>
    <w:rsid w:val="00526F3A"/>
    <w:rsid w:val="00536A82"/>
    <w:rsid w:val="00543D75"/>
    <w:rsid w:val="00550601"/>
    <w:rsid w:val="00550FCD"/>
    <w:rsid w:val="00556270"/>
    <w:rsid w:val="005565BE"/>
    <w:rsid w:val="00556F00"/>
    <w:rsid w:val="00557A00"/>
    <w:rsid w:val="00560829"/>
    <w:rsid w:val="00560AED"/>
    <w:rsid w:val="0056545F"/>
    <w:rsid w:val="00565973"/>
    <w:rsid w:val="005822C3"/>
    <w:rsid w:val="00585852"/>
    <w:rsid w:val="00591A7F"/>
    <w:rsid w:val="005922A7"/>
    <w:rsid w:val="005A0227"/>
    <w:rsid w:val="005A2687"/>
    <w:rsid w:val="005A6005"/>
    <w:rsid w:val="005B1B46"/>
    <w:rsid w:val="005D2463"/>
    <w:rsid w:val="005D4495"/>
    <w:rsid w:val="005D65E5"/>
    <w:rsid w:val="005D797E"/>
    <w:rsid w:val="005E45C1"/>
    <w:rsid w:val="006016C6"/>
    <w:rsid w:val="0060264C"/>
    <w:rsid w:val="00606CFD"/>
    <w:rsid w:val="00614105"/>
    <w:rsid w:val="006145A2"/>
    <w:rsid w:val="00615D4B"/>
    <w:rsid w:val="00615F2D"/>
    <w:rsid w:val="00616733"/>
    <w:rsid w:val="0062641A"/>
    <w:rsid w:val="006270F1"/>
    <w:rsid w:val="00632330"/>
    <w:rsid w:val="00632DFC"/>
    <w:rsid w:val="00641170"/>
    <w:rsid w:val="006428AB"/>
    <w:rsid w:val="006474AB"/>
    <w:rsid w:val="00655313"/>
    <w:rsid w:val="0066319E"/>
    <w:rsid w:val="006707D3"/>
    <w:rsid w:val="0067242E"/>
    <w:rsid w:val="00672C29"/>
    <w:rsid w:val="00681A6F"/>
    <w:rsid w:val="0068314D"/>
    <w:rsid w:val="0068530E"/>
    <w:rsid w:val="006863E5"/>
    <w:rsid w:val="00686E9C"/>
    <w:rsid w:val="00690C83"/>
    <w:rsid w:val="00694430"/>
    <w:rsid w:val="006946B7"/>
    <w:rsid w:val="0069642A"/>
    <w:rsid w:val="00697153"/>
    <w:rsid w:val="006B281B"/>
    <w:rsid w:val="006C6ADC"/>
    <w:rsid w:val="006D0693"/>
    <w:rsid w:val="006D0E7B"/>
    <w:rsid w:val="006D5823"/>
    <w:rsid w:val="006E0766"/>
    <w:rsid w:val="006E0BE4"/>
    <w:rsid w:val="006E2924"/>
    <w:rsid w:val="006E531B"/>
    <w:rsid w:val="006E6B2E"/>
    <w:rsid w:val="006F020E"/>
    <w:rsid w:val="006F2DBC"/>
    <w:rsid w:val="00700077"/>
    <w:rsid w:val="00701879"/>
    <w:rsid w:val="007030AF"/>
    <w:rsid w:val="007034AE"/>
    <w:rsid w:val="00704E8D"/>
    <w:rsid w:val="00705DB3"/>
    <w:rsid w:val="007066FD"/>
    <w:rsid w:val="00706A25"/>
    <w:rsid w:val="00707F21"/>
    <w:rsid w:val="00710C9A"/>
    <w:rsid w:val="00716594"/>
    <w:rsid w:val="00721962"/>
    <w:rsid w:val="00721B24"/>
    <w:rsid w:val="0072606B"/>
    <w:rsid w:val="00730F54"/>
    <w:rsid w:val="0073167E"/>
    <w:rsid w:val="007323E8"/>
    <w:rsid w:val="0074150F"/>
    <w:rsid w:val="00745558"/>
    <w:rsid w:val="00747735"/>
    <w:rsid w:val="00751EC7"/>
    <w:rsid w:val="00752546"/>
    <w:rsid w:val="00756D89"/>
    <w:rsid w:val="00757000"/>
    <w:rsid w:val="00761D38"/>
    <w:rsid w:val="00767A00"/>
    <w:rsid w:val="00771608"/>
    <w:rsid w:val="007749B3"/>
    <w:rsid w:val="00774D34"/>
    <w:rsid w:val="0077555E"/>
    <w:rsid w:val="0077651F"/>
    <w:rsid w:val="00776EC4"/>
    <w:rsid w:val="0078706B"/>
    <w:rsid w:val="0078785B"/>
    <w:rsid w:val="0079006F"/>
    <w:rsid w:val="00790764"/>
    <w:rsid w:val="00790A91"/>
    <w:rsid w:val="007940BE"/>
    <w:rsid w:val="007942AE"/>
    <w:rsid w:val="007A002E"/>
    <w:rsid w:val="007B00B9"/>
    <w:rsid w:val="007B2D40"/>
    <w:rsid w:val="007C60A2"/>
    <w:rsid w:val="007C6727"/>
    <w:rsid w:val="007D089C"/>
    <w:rsid w:val="007D28F5"/>
    <w:rsid w:val="007D487B"/>
    <w:rsid w:val="007D4C1A"/>
    <w:rsid w:val="007D6C45"/>
    <w:rsid w:val="007E124D"/>
    <w:rsid w:val="007F3941"/>
    <w:rsid w:val="007F47D0"/>
    <w:rsid w:val="00802083"/>
    <w:rsid w:val="008057EB"/>
    <w:rsid w:val="00815AEC"/>
    <w:rsid w:val="008234E9"/>
    <w:rsid w:val="00824AC5"/>
    <w:rsid w:val="0083428E"/>
    <w:rsid w:val="008352A4"/>
    <w:rsid w:val="00835472"/>
    <w:rsid w:val="00836607"/>
    <w:rsid w:val="00836739"/>
    <w:rsid w:val="00844CA5"/>
    <w:rsid w:val="00847D49"/>
    <w:rsid w:val="00850010"/>
    <w:rsid w:val="00851060"/>
    <w:rsid w:val="00851B2B"/>
    <w:rsid w:val="00863DFA"/>
    <w:rsid w:val="00866F64"/>
    <w:rsid w:val="00870478"/>
    <w:rsid w:val="00882B12"/>
    <w:rsid w:val="0088321C"/>
    <w:rsid w:val="00890FA1"/>
    <w:rsid w:val="008B0CE6"/>
    <w:rsid w:val="008C3594"/>
    <w:rsid w:val="008D460A"/>
    <w:rsid w:val="008E03F2"/>
    <w:rsid w:val="008E0849"/>
    <w:rsid w:val="008E33C4"/>
    <w:rsid w:val="008E4E9E"/>
    <w:rsid w:val="008F3C11"/>
    <w:rsid w:val="008F5FEB"/>
    <w:rsid w:val="008F66F6"/>
    <w:rsid w:val="008F7840"/>
    <w:rsid w:val="008F7DF9"/>
    <w:rsid w:val="00901F1D"/>
    <w:rsid w:val="00903C74"/>
    <w:rsid w:val="009062EF"/>
    <w:rsid w:val="009068C0"/>
    <w:rsid w:val="00907343"/>
    <w:rsid w:val="009105E0"/>
    <w:rsid w:val="009106B5"/>
    <w:rsid w:val="00912417"/>
    <w:rsid w:val="009126F8"/>
    <w:rsid w:val="0091377F"/>
    <w:rsid w:val="00915BF7"/>
    <w:rsid w:val="009232BF"/>
    <w:rsid w:val="00923AB3"/>
    <w:rsid w:val="00927A4C"/>
    <w:rsid w:val="00940895"/>
    <w:rsid w:val="009467F5"/>
    <w:rsid w:val="00955C92"/>
    <w:rsid w:val="00963005"/>
    <w:rsid w:val="00964B88"/>
    <w:rsid w:val="00974550"/>
    <w:rsid w:val="00980690"/>
    <w:rsid w:val="00980BBA"/>
    <w:rsid w:val="00982781"/>
    <w:rsid w:val="00986FAE"/>
    <w:rsid w:val="009909B4"/>
    <w:rsid w:val="00997F78"/>
    <w:rsid w:val="009A4CC3"/>
    <w:rsid w:val="009A64A0"/>
    <w:rsid w:val="009A6A32"/>
    <w:rsid w:val="009B2270"/>
    <w:rsid w:val="009C103B"/>
    <w:rsid w:val="009C1631"/>
    <w:rsid w:val="009C54B3"/>
    <w:rsid w:val="009C6E23"/>
    <w:rsid w:val="009D3518"/>
    <w:rsid w:val="009E510B"/>
    <w:rsid w:val="009F5F30"/>
    <w:rsid w:val="009F60E1"/>
    <w:rsid w:val="009F620D"/>
    <w:rsid w:val="00A01523"/>
    <w:rsid w:val="00A13069"/>
    <w:rsid w:val="00A213F0"/>
    <w:rsid w:val="00A25E9A"/>
    <w:rsid w:val="00A30CB6"/>
    <w:rsid w:val="00A31204"/>
    <w:rsid w:val="00A37CC3"/>
    <w:rsid w:val="00A51089"/>
    <w:rsid w:val="00A542DE"/>
    <w:rsid w:val="00A55810"/>
    <w:rsid w:val="00A61594"/>
    <w:rsid w:val="00A6408F"/>
    <w:rsid w:val="00A671C5"/>
    <w:rsid w:val="00A70CD2"/>
    <w:rsid w:val="00A84B58"/>
    <w:rsid w:val="00A91BD9"/>
    <w:rsid w:val="00A91D84"/>
    <w:rsid w:val="00AA1C2D"/>
    <w:rsid w:val="00AA778A"/>
    <w:rsid w:val="00AB2517"/>
    <w:rsid w:val="00AB3A67"/>
    <w:rsid w:val="00AC6A6B"/>
    <w:rsid w:val="00AC6ADF"/>
    <w:rsid w:val="00AD28B2"/>
    <w:rsid w:val="00AD2DE5"/>
    <w:rsid w:val="00AD59B6"/>
    <w:rsid w:val="00AD7A9B"/>
    <w:rsid w:val="00AD7B47"/>
    <w:rsid w:val="00B013AA"/>
    <w:rsid w:val="00B0361B"/>
    <w:rsid w:val="00B0711B"/>
    <w:rsid w:val="00B10BFA"/>
    <w:rsid w:val="00B150E5"/>
    <w:rsid w:val="00B167D1"/>
    <w:rsid w:val="00B244CE"/>
    <w:rsid w:val="00B27C37"/>
    <w:rsid w:val="00B30FC5"/>
    <w:rsid w:val="00B35BBE"/>
    <w:rsid w:val="00B441B9"/>
    <w:rsid w:val="00B44DA9"/>
    <w:rsid w:val="00B46203"/>
    <w:rsid w:val="00B511FA"/>
    <w:rsid w:val="00B521A4"/>
    <w:rsid w:val="00B523E7"/>
    <w:rsid w:val="00B52F5E"/>
    <w:rsid w:val="00B53BB5"/>
    <w:rsid w:val="00B54261"/>
    <w:rsid w:val="00B555F1"/>
    <w:rsid w:val="00B61248"/>
    <w:rsid w:val="00B628C1"/>
    <w:rsid w:val="00B63B7A"/>
    <w:rsid w:val="00B65DE3"/>
    <w:rsid w:val="00B669A9"/>
    <w:rsid w:val="00B712DA"/>
    <w:rsid w:val="00B714DB"/>
    <w:rsid w:val="00B77A26"/>
    <w:rsid w:val="00B873F9"/>
    <w:rsid w:val="00B91075"/>
    <w:rsid w:val="00B92D4F"/>
    <w:rsid w:val="00B9438D"/>
    <w:rsid w:val="00B94AAF"/>
    <w:rsid w:val="00B94DED"/>
    <w:rsid w:val="00BA031B"/>
    <w:rsid w:val="00BA117F"/>
    <w:rsid w:val="00BA2FFA"/>
    <w:rsid w:val="00BA719A"/>
    <w:rsid w:val="00BB5C97"/>
    <w:rsid w:val="00BB634E"/>
    <w:rsid w:val="00BC5919"/>
    <w:rsid w:val="00BC67BA"/>
    <w:rsid w:val="00BC6FFB"/>
    <w:rsid w:val="00BD3ED8"/>
    <w:rsid w:val="00BD47A2"/>
    <w:rsid w:val="00BE12DF"/>
    <w:rsid w:val="00BE3EA5"/>
    <w:rsid w:val="00BE5F5D"/>
    <w:rsid w:val="00BF0E50"/>
    <w:rsid w:val="00C02AC5"/>
    <w:rsid w:val="00C0473F"/>
    <w:rsid w:val="00C05E54"/>
    <w:rsid w:val="00C1051F"/>
    <w:rsid w:val="00C1496F"/>
    <w:rsid w:val="00C1626C"/>
    <w:rsid w:val="00C17339"/>
    <w:rsid w:val="00C23DE7"/>
    <w:rsid w:val="00C2420E"/>
    <w:rsid w:val="00C25EDD"/>
    <w:rsid w:val="00C2614C"/>
    <w:rsid w:val="00C26760"/>
    <w:rsid w:val="00C3190C"/>
    <w:rsid w:val="00C32077"/>
    <w:rsid w:val="00C371A7"/>
    <w:rsid w:val="00C40873"/>
    <w:rsid w:val="00C505C6"/>
    <w:rsid w:val="00C515F0"/>
    <w:rsid w:val="00C52324"/>
    <w:rsid w:val="00C5629F"/>
    <w:rsid w:val="00C56382"/>
    <w:rsid w:val="00C57FD8"/>
    <w:rsid w:val="00C72642"/>
    <w:rsid w:val="00C8074F"/>
    <w:rsid w:val="00C808FF"/>
    <w:rsid w:val="00C83517"/>
    <w:rsid w:val="00C8492A"/>
    <w:rsid w:val="00C876C5"/>
    <w:rsid w:val="00C96F98"/>
    <w:rsid w:val="00CA1A4D"/>
    <w:rsid w:val="00CA1E38"/>
    <w:rsid w:val="00CA620A"/>
    <w:rsid w:val="00CA7F4E"/>
    <w:rsid w:val="00CB0ABA"/>
    <w:rsid w:val="00CB6380"/>
    <w:rsid w:val="00CC171D"/>
    <w:rsid w:val="00CC1A72"/>
    <w:rsid w:val="00CC1F7D"/>
    <w:rsid w:val="00CC3C26"/>
    <w:rsid w:val="00CC41E5"/>
    <w:rsid w:val="00CC49AA"/>
    <w:rsid w:val="00CC5C0A"/>
    <w:rsid w:val="00CC6000"/>
    <w:rsid w:val="00CC62E3"/>
    <w:rsid w:val="00CD6D2B"/>
    <w:rsid w:val="00CE183A"/>
    <w:rsid w:val="00CE422F"/>
    <w:rsid w:val="00CF3B6C"/>
    <w:rsid w:val="00CF5369"/>
    <w:rsid w:val="00D01041"/>
    <w:rsid w:val="00D10F5A"/>
    <w:rsid w:val="00D12520"/>
    <w:rsid w:val="00D172CD"/>
    <w:rsid w:val="00D17C7D"/>
    <w:rsid w:val="00D30E42"/>
    <w:rsid w:val="00D332B2"/>
    <w:rsid w:val="00D33E56"/>
    <w:rsid w:val="00D36C4A"/>
    <w:rsid w:val="00D40B9D"/>
    <w:rsid w:val="00D430AA"/>
    <w:rsid w:val="00D440C3"/>
    <w:rsid w:val="00D462B8"/>
    <w:rsid w:val="00D50E2C"/>
    <w:rsid w:val="00D50EE9"/>
    <w:rsid w:val="00D57220"/>
    <w:rsid w:val="00D70506"/>
    <w:rsid w:val="00D74A91"/>
    <w:rsid w:val="00D7696A"/>
    <w:rsid w:val="00D77917"/>
    <w:rsid w:val="00D81582"/>
    <w:rsid w:val="00D91529"/>
    <w:rsid w:val="00D9157D"/>
    <w:rsid w:val="00D92789"/>
    <w:rsid w:val="00D932F7"/>
    <w:rsid w:val="00D93F76"/>
    <w:rsid w:val="00D958B0"/>
    <w:rsid w:val="00DA1601"/>
    <w:rsid w:val="00DA1738"/>
    <w:rsid w:val="00DA3E35"/>
    <w:rsid w:val="00DA777E"/>
    <w:rsid w:val="00DB42EB"/>
    <w:rsid w:val="00DB7A96"/>
    <w:rsid w:val="00DC2F9A"/>
    <w:rsid w:val="00DC4129"/>
    <w:rsid w:val="00DC4775"/>
    <w:rsid w:val="00DD2D04"/>
    <w:rsid w:val="00DD5752"/>
    <w:rsid w:val="00DE2162"/>
    <w:rsid w:val="00DE2F7E"/>
    <w:rsid w:val="00DE4A48"/>
    <w:rsid w:val="00DE58CC"/>
    <w:rsid w:val="00DE6125"/>
    <w:rsid w:val="00DF62FE"/>
    <w:rsid w:val="00E039C4"/>
    <w:rsid w:val="00E07A31"/>
    <w:rsid w:val="00E135D7"/>
    <w:rsid w:val="00E14F94"/>
    <w:rsid w:val="00E15490"/>
    <w:rsid w:val="00E20375"/>
    <w:rsid w:val="00E213EF"/>
    <w:rsid w:val="00E3164A"/>
    <w:rsid w:val="00E32F2A"/>
    <w:rsid w:val="00E35751"/>
    <w:rsid w:val="00E35DAD"/>
    <w:rsid w:val="00E362E9"/>
    <w:rsid w:val="00E43933"/>
    <w:rsid w:val="00E4575E"/>
    <w:rsid w:val="00E4685F"/>
    <w:rsid w:val="00E478C8"/>
    <w:rsid w:val="00E5467C"/>
    <w:rsid w:val="00E5622B"/>
    <w:rsid w:val="00E60DB5"/>
    <w:rsid w:val="00E623D9"/>
    <w:rsid w:val="00E65F54"/>
    <w:rsid w:val="00E668D0"/>
    <w:rsid w:val="00E6691A"/>
    <w:rsid w:val="00E74A04"/>
    <w:rsid w:val="00E74E15"/>
    <w:rsid w:val="00E84F60"/>
    <w:rsid w:val="00E853AD"/>
    <w:rsid w:val="00E90A80"/>
    <w:rsid w:val="00E93554"/>
    <w:rsid w:val="00EA213D"/>
    <w:rsid w:val="00EB207A"/>
    <w:rsid w:val="00EB2DE0"/>
    <w:rsid w:val="00EC12E9"/>
    <w:rsid w:val="00EC20CA"/>
    <w:rsid w:val="00ED018F"/>
    <w:rsid w:val="00ED424F"/>
    <w:rsid w:val="00ED72A7"/>
    <w:rsid w:val="00EE0D7C"/>
    <w:rsid w:val="00EE3AAB"/>
    <w:rsid w:val="00EF4E1A"/>
    <w:rsid w:val="00F03118"/>
    <w:rsid w:val="00F03A0B"/>
    <w:rsid w:val="00F04300"/>
    <w:rsid w:val="00F06AF9"/>
    <w:rsid w:val="00F1388D"/>
    <w:rsid w:val="00F1660A"/>
    <w:rsid w:val="00F21982"/>
    <w:rsid w:val="00F23A9E"/>
    <w:rsid w:val="00F23D58"/>
    <w:rsid w:val="00F24F4C"/>
    <w:rsid w:val="00F3012F"/>
    <w:rsid w:val="00F34505"/>
    <w:rsid w:val="00F41197"/>
    <w:rsid w:val="00F417EB"/>
    <w:rsid w:val="00F42BC4"/>
    <w:rsid w:val="00F46B09"/>
    <w:rsid w:val="00F519DA"/>
    <w:rsid w:val="00F53C38"/>
    <w:rsid w:val="00F57D32"/>
    <w:rsid w:val="00F64AC1"/>
    <w:rsid w:val="00F6543D"/>
    <w:rsid w:val="00F65A72"/>
    <w:rsid w:val="00F67BFB"/>
    <w:rsid w:val="00F67D4B"/>
    <w:rsid w:val="00F70519"/>
    <w:rsid w:val="00F70B54"/>
    <w:rsid w:val="00F71BAA"/>
    <w:rsid w:val="00F7323A"/>
    <w:rsid w:val="00F73B5F"/>
    <w:rsid w:val="00F77785"/>
    <w:rsid w:val="00F84216"/>
    <w:rsid w:val="00F95821"/>
    <w:rsid w:val="00FA0805"/>
    <w:rsid w:val="00FA250F"/>
    <w:rsid w:val="00FA252C"/>
    <w:rsid w:val="00FA3B48"/>
    <w:rsid w:val="00FA5938"/>
    <w:rsid w:val="00FA70D0"/>
    <w:rsid w:val="00FB092C"/>
    <w:rsid w:val="00FB1A67"/>
    <w:rsid w:val="00FB2013"/>
    <w:rsid w:val="00FB4504"/>
    <w:rsid w:val="00FB6014"/>
    <w:rsid w:val="00FC2928"/>
    <w:rsid w:val="00FC34CE"/>
    <w:rsid w:val="00FD02AC"/>
    <w:rsid w:val="00FD0D3B"/>
    <w:rsid w:val="00FD1156"/>
    <w:rsid w:val="00FD6D0F"/>
    <w:rsid w:val="00FE6D75"/>
    <w:rsid w:val="00FF3A41"/>
    <w:rsid w:val="00FF51BC"/>
    <w:rsid w:val="00FF6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uiPriority w:val="99"/>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nhideWhenUsed/>
    <w:rsid w:val="003B3844"/>
    <w:pPr>
      <w:tabs>
        <w:tab w:val="center" w:pos="4153"/>
        <w:tab w:val="right" w:pos="8306"/>
      </w:tabs>
    </w:pPr>
    <w:rPr>
      <w:lang w:val="x-none"/>
    </w:rPr>
  </w:style>
  <w:style w:type="character" w:customStyle="1" w:styleId="HeaderChar">
    <w:name w:val="Header Char"/>
    <w:link w:val="Header"/>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nhideWhenUsed/>
    <w:rsid w:val="00E213EF"/>
    <w:rPr>
      <w:color w:val="0000FF"/>
      <w:u w:val="single"/>
    </w:rPr>
  </w:style>
  <w:style w:type="character" w:styleId="CommentReference">
    <w:name w:val="annotation reference"/>
    <w:semiHidden/>
    <w:unhideWhenUsed/>
    <w:rsid w:val="009F5F30"/>
    <w:rPr>
      <w:sz w:val="16"/>
      <w:szCs w:val="16"/>
    </w:rPr>
  </w:style>
  <w:style w:type="paragraph" w:styleId="CommentText">
    <w:name w:val="annotation text"/>
    <w:basedOn w:val="Normal"/>
    <w:link w:val="CommentTextChar"/>
    <w:uiPriority w:val="99"/>
    <w:semiHidden/>
    <w:unhideWhenUsed/>
    <w:rsid w:val="009F5F30"/>
    <w:rPr>
      <w:sz w:val="20"/>
      <w:szCs w:val="20"/>
      <w:lang w:val="x-none"/>
    </w:rPr>
  </w:style>
  <w:style w:type="character" w:customStyle="1" w:styleId="CommentTextChar">
    <w:name w:val="Comment Text Char"/>
    <w:link w:val="CommentText"/>
    <w:uiPriority w:val="99"/>
    <w:semiHidden/>
    <w:rsid w:val="009F5F30"/>
    <w:rPr>
      <w:lang w:eastAsia="en-US"/>
    </w:rPr>
  </w:style>
  <w:style w:type="paragraph" w:styleId="CommentSubject">
    <w:name w:val="annotation subject"/>
    <w:basedOn w:val="CommentText"/>
    <w:next w:val="CommentText"/>
    <w:link w:val="CommentSubjectChar"/>
    <w:uiPriority w:val="99"/>
    <w:semiHidden/>
    <w:unhideWhenUsed/>
    <w:rsid w:val="009F5F30"/>
    <w:rPr>
      <w:b/>
      <w:bCs/>
    </w:rPr>
  </w:style>
  <w:style w:type="character" w:customStyle="1" w:styleId="CommentSubjectChar">
    <w:name w:val="Comment Subject Char"/>
    <w:link w:val="CommentSubject"/>
    <w:uiPriority w:val="99"/>
    <w:semiHidden/>
    <w:rsid w:val="009F5F30"/>
    <w:rPr>
      <w:b/>
      <w:bCs/>
      <w:lang w:eastAsia="en-US"/>
    </w:rPr>
  </w:style>
  <w:style w:type="paragraph" w:customStyle="1" w:styleId="tvhtmlmktable">
    <w:name w:val="tv_html mk_table"/>
    <w:basedOn w:val="Normal"/>
    <w:rsid w:val="0005308A"/>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ListParagraph">
    <w:name w:val="List Paragraph"/>
    <w:basedOn w:val="Normal"/>
    <w:uiPriority w:val="34"/>
    <w:qFormat/>
    <w:rsid w:val="000A204C"/>
    <w:pPr>
      <w:spacing w:line="240" w:lineRule="auto"/>
      <w:ind w:left="720" w:firstLine="0"/>
      <w:contextualSpacing/>
      <w:jc w:val="left"/>
    </w:pPr>
    <w:rPr>
      <w:rFonts w:eastAsia="Times New Roman"/>
      <w:sz w:val="24"/>
      <w:szCs w:val="24"/>
      <w:lang w:eastAsia="lv-LV"/>
    </w:rPr>
  </w:style>
  <w:style w:type="paragraph" w:styleId="NormalWeb">
    <w:name w:val="Normal (Web)"/>
    <w:basedOn w:val="Normal"/>
    <w:link w:val="NormalWebChar"/>
    <w:uiPriority w:val="99"/>
    <w:rsid w:val="000A204C"/>
    <w:pPr>
      <w:spacing w:before="100" w:beforeAutospacing="1" w:after="100" w:afterAutospacing="1" w:line="240" w:lineRule="auto"/>
      <w:ind w:firstLine="0"/>
      <w:jc w:val="left"/>
    </w:pPr>
    <w:rPr>
      <w:rFonts w:ascii="Verdana" w:eastAsia="Times New Roman" w:hAnsi="Verdana"/>
      <w:sz w:val="24"/>
      <w:szCs w:val="24"/>
      <w:lang w:eastAsia="lv-LV"/>
    </w:rPr>
  </w:style>
  <w:style w:type="character" w:customStyle="1" w:styleId="NormalWebChar">
    <w:name w:val="Normal (Web) Char"/>
    <w:link w:val="NormalWeb"/>
    <w:locked/>
    <w:rsid w:val="000A204C"/>
    <w:rPr>
      <w:rFonts w:ascii="Verdana" w:eastAsia="Times New Roman" w:hAnsi="Verdana"/>
      <w:sz w:val="24"/>
      <w:szCs w:val="24"/>
    </w:rPr>
  </w:style>
  <w:style w:type="paragraph" w:customStyle="1" w:styleId="tvhtml1">
    <w:name w:val="tv_html1"/>
    <w:basedOn w:val="Normal"/>
    <w:rsid w:val="008F66F6"/>
    <w:pPr>
      <w:spacing w:before="100" w:beforeAutospacing="1" w:line="360" w:lineRule="auto"/>
      <w:ind w:firstLine="0"/>
      <w:jc w:val="left"/>
    </w:pPr>
    <w:rPr>
      <w:rFonts w:ascii="Verdana" w:eastAsia="Times New Roman" w:hAnsi="Verdana"/>
      <w:sz w:val="18"/>
      <w:szCs w:val="18"/>
      <w:lang w:eastAsia="lv-LV"/>
    </w:rPr>
  </w:style>
  <w:style w:type="paragraph" w:customStyle="1" w:styleId="tvhtml">
    <w:name w:val="tv_html"/>
    <w:basedOn w:val="Normal"/>
    <w:rsid w:val="00AD2DE5"/>
    <w:pPr>
      <w:spacing w:before="100" w:beforeAutospacing="1" w:after="100" w:afterAutospacing="1" w:line="240" w:lineRule="auto"/>
      <w:ind w:firstLine="0"/>
      <w:jc w:val="left"/>
    </w:pPr>
    <w:rPr>
      <w:rFonts w:eastAsia="Times New Roman"/>
      <w:sz w:val="24"/>
      <w:szCs w:val="24"/>
      <w:lang w:eastAsia="lv-LV"/>
    </w:rPr>
  </w:style>
  <w:style w:type="paragraph" w:styleId="BodyText2">
    <w:name w:val="Body Text 2"/>
    <w:basedOn w:val="Normal"/>
    <w:link w:val="BodyText2Char"/>
    <w:uiPriority w:val="99"/>
    <w:semiHidden/>
    <w:unhideWhenUsed/>
    <w:rsid w:val="00110616"/>
    <w:pPr>
      <w:spacing w:after="120" w:line="480" w:lineRule="auto"/>
    </w:pPr>
  </w:style>
  <w:style w:type="character" w:customStyle="1" w:styleId="BodyText2Char">
    <w:name w:val="Body Text 2 Char"/>
    <w:basedOn w:val="DefaultParagraphFont"/>
    <w:link w:val="BodyText2"/>
    <w:uiPriority w:val="99"/>
    <w:semiHidden/>
    <w:rsid w:val="00110616"/>
    <w:rPr>
      <w:sz w:val="28"/>
      <w:szCs w:val="22"/>
      <w:lang w:eastAsia="en-US"/>
    </w:rPr>
  </w:style>
  <w:style w:type="paragraph" w:styleId="BodyText">
    <w:name w:val="Body Text"/>
    <w:basedOn w:val="Normal"/>
    <w:link w:val="BodyTextChar"/>
    <w:uiPriority w:val="99"/>
    <w:semiHidden/>
    <w:unhideWhenUsed/>
    <w:rsid w:val="006707D3"/>
    <w:pPr>
      <w:spacing w:after="120"/>
    </w:pPr>
  </w:style>
  <w:style w:type="character" w:customStyle="1" w:styleId="BodyTextChar">
    <w:name w:val="Body Text Char"/>
    <w:basedOn w:val="DefaultParagraphFont"/>
    <w:link w:val="BodyText"/>
    <w:uiPriority w:val="99"/>
    <w:semiHidden/>
    <w:rsid w:val="006707D3"/>
    <w:rPr>
      <w:sz w:val="28"/>
      <w:szCs w:val="22"/>
      <w:lang w:eastAsia="en-US"/>
    </w:rPr>
  </w:style>
  <w:style w:type="character" w:customStyle="1" w:styleId="spelle">
    <w:name w:val="spelle"/>
    <w:basedOn w:val="DefaultParagraphFont"/>
    <w:rsid w:val="00670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uiPriority w:val="99"/>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nhideWhenUsed/>
    <w:rsid w:val="003B3844"/>
    <w:pPr>
      <w:tabs>
        <w:tab w:val="center" w:pos="4153"/>
        <w:tab w:val="right" w:pos="8306"/>
      </w:tabs>
    </w:pPr>
    <w:rPr>
      <w:lang w:val="x-none"/>
    </w:rPr>
  </w:style>
  <w:style w:type="character" w:customStyle="1" w:styleId="HeaderChar">
    <w:name w:val="Header Char"/>
    <w:link w:val="Header"/>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nhideWhenUsed/>
    <w:rsid w:val="00E213EF"/>
    <w:rPr>
      <w:color w:val="0000FF"/>
      <w:u w:val="single"/>
    </w:rPr>
  </w:style>
  <w:style w:type="character" w:styleId="CommentReference">
    <w:name w:val="annotation reference"/>
    <w:semiHidden/>
    <w:unhideWhenUsed/>
    <w:rsid w:val="009F5F30"/>
    <w:rPr>
      <w:sz w:val="16"/>
      <w:szCs w:val="16"/>
    </w:rPr>
  </w:style>
  <w:style w:type="paragraph" w:styleId="CommentText">
    <w:name w:val="annotation text"/>
    <w:basedOn w:val="Normal"/>
    <w:link w:val="CommentTextChar"/>
    <w:uiPriority w:val="99"/>
    <w:semiHidden/>
    <w:unhideWhenUsed/>
    <w:rsid w:val="009F5F30"/>
    <w:rPr>
      <w:sz w:val="20"/>
      <w:szCs w:val="20"/>
      <w:lang w:val="x-none"/>
    </w:rPr>
  </w:style>
  <w:style w:type="character" w:customStyle="1" w:styleId="CommentTextChar">
    <w:name w:val="Comment Text Char"/>
    <w:link w:val="CommentText"/>
    <w:uiPriority w:val="99"/>
    <w:semiHidden/>
    <w:rsid w:val="009F5F30"/>
    <w:rPr>
      <w:lang w:eastAsia="en-US"/>
    </w:rPr>
  </w:style>
  <w:style w:type="paragraph" w:styleId="CommentSubject">
    <w:name w:val="annotation subject"/>
    <w:basedOn w:val="CommentText"/>
    <w:next w:val="CommentText"/>
    <w:link w:val="CommentSubjectChar"/>
    <w:uiPriority w:val="99"/>
    <w:semiHidden/>
    <w:unhideWhenUsed/>
    <w:rsid w:val="009F5F30"/>
    <w:rPr>
      <w:b/>
      <w:bCs/>
    </w:rPr>
  </w:style>
  <w:style w:type="character" w:customStyle="1" w:styleId="CommentSubjectChar">
    <w:name w:val="Comment Subject Char"/>
    <w:link w:val="CommentSubject"/>
    <w:uiPriority w:val="99"/>
    <w:semiHidden/>
    <w:rsid w:val="009F5F30"/>
    <w:rPr>
      <w:b/>
      <w:bCs/>
      <w:lang w:eastAsia="en-US"/>
    </w:rPr>
  </w:style>
  <w:style w:type="paragraph" w:customStyle="1" w:styleId="tvhtmlmktable">
    <w:name w:val="tv_html mk_table"/>
    <w:basedOn w:val="Normal"/>
    <w:rsid w:val="0005308A"/>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ListParagraph">
    <w:name w:val="List Paragraph"/>
    <w:basedOn w:val="Normal"/>
    <w:uiPriority w:val="34"/>
    <w:qFormat/>
    <w:rsid w:val="000A204C"/>
    <w:pPr>
      <w:spacing w:line="240" w:lineRule="auto"/>
      <w:ind w:left="720" w:firstLine="0"/>
      <w:contextualSpacing/>
      <w:jc w:val="left"/>
    </w:pPr>
    <w:rPr>
      <w:rFonts w:eastAsia="Times New Roman"/>
      <w:sz w:val="24"/>
      <w:szCs w:val="24"/>
      <w:lang w:eastAsia="lv-LV"/>
    </w:rPr>
  </w:style>
  <w:style w:type="paragraph" w:styleId="NormalWeb">
    <w:name w:val="Normal (Web)"/>
    <w:basedOn w:val="Normal"/>
    <w:link w:val="NormalWebChar"/>
    <w:uiPriority w:val="99"/>
    <w:rsid w:val="000A204C"/>
    <w:pPr>
      <w:spacing w:before="100" w:beforeAutospacing="1" w:after="100" w:afterAutospacing="1" w:line="240" w:lineRule="auto"/>
      <w:ind w:firstLine="0"/>
      <w:jc w:val="left"/>
    </w:pPr>
    <w:rPr>
      <w:rFonts w:ascii="Verdana" w:eastAsia="Times New Roman" w:hAnsi="Verdana"/>
      <w:sz w:val="24"/>
      <w:szCs w:val="24"/>
      <w:lang w:eastAsia="lv-LV"/>
    </w:rPr>
  </w:style>
  <w:style w:type="character" w:customStyle="1" w:styleId="NormalWebChar">
    <w:name w:val="Normal (Web) Char"/>
    <w:link w:val="NormalWeb"/>
    <w:locked/>
    <w:rsid w:val="000A204C"/>
    <w:rPr>
      <w:rFonts w:ascii="Verdana" w:eastAsia="Times New Roman" w:hAnsi="Verdana"/>
      <w:sz w:val="24"/>
      <w:szCs w:val="24"/>
    </w:rPr>
  </w:style>
  <w:style w:type="paragraph" w:customStyle="1" w:styleId="tvhtml1">
    <w:name w:val="tv_html1"/>
    <w:basedOn w:val="Normal"/>
    <w:rsid w:val="008F66F6"/>
    <w:pPr>
      <w:spacing w:before="100" w:beforeAutospacing="1" w:line="360" w:lineRule="auto"/>
      <w:ind w:firstLine="0"/>
      <w:jc w:val="left"/>
    </w:pPr>
    <w:rPr>
      <w:rFonts w:ascii="Verdana" w:eastAsia="Times New Roman" w:hAnsi="Verdana"/>
      <w:sz w:val="18"/>
      <w:szCs w:val="18"/>
      <w:lang w:eastAsia="lv-LV"/>
    </w:rPr>
  </w:style>
  <w:style w:type="paragraph" w:customStyle="1" w:styleId="tvhtml">
    <w:name w:val="tv_html"/>
    <w:basedOn w:val="Normal"/>
    <w:rsid w:val="00AD2DE5"/>
    <w:pPr>
      <w:spacing w:before="100" w:beforeAutospacing="1" w:after="100" w:afterAutospacing="1" w:line="240" w:lineRule="auto"/>
      <w:ind w:firstLine="0"/>
      <w:jc w:val="left"/>
    </w:pPr>
    <w:rPr>
      <w:rFonts w:eastAsia="Times New Roman"/>
      <w:sz w:val="24"/>
      <w:szCs w:val="24"/>
      <w:lang w:eastAsia="lv-LV"/>
    </w:rPr>
  </w:style>
  <w:style w:type="paragraph" w:styleId="BodyText2">
    <w:name w:val="Body Text 2"/>
    <w:basedOn w:val="Normal"/>
    <w:link w:val="BodyText2Char"/>
    <w:uiPriority w:val="99"/>
    <w:semiHidden/>
    <w:unhideWhenUsed/>
    <w:rsid w:val="00110616"/>
    <w:pPr>
      <w:spacing w:after="120" w:line="480" w:lineRule="auto"/>
    </w:pPr>
  </w:style>
  <w:style w:type="character" w:customStyle="1" w:styleId="BodyText2Char">
    <w:name w:val="Body Text 2 Char"/>
    <w:basedOn w:val="DefaultParagraphFont"/>
    <w:link w:val="BodyText2"/>
    <w:uiPriority w:val="99"/>
    <w:semiHidden/>
    <w:rsid w:val="00110616"/>
    <w:rPr>
      <w:sz w:val="28"/>
      <w:szCs w:val="22"/>
      <w:lang w:eastAsia="en-US"/>
    </w:rPr>
  </w:style>
  <w:style w:type="paragraph" w:styleId="BodyText">
    <w:name w:val="Body Text"/>
    <w:basedOn w:val="Normal"/>
    <w:link w:val="BodyTextChar"/>
    <w:uiPriority w:val="99"/>
    <w:semiHidden/>
    <w:unhideWhenUsed/>
    <w:rsid w:val="006707D3"/>
    <w:pPr>
      <w:spacing w:after="120"/>
    </w:pPr>
  </w:style>
  <w:style w:type="character" w:customStyle="1" w:styleId="BodyTextChar">
    <w:name w:val="Body Text Char"/>
    <w:basedOn w:val="DefaultParagraphFont"/>
    <w:link w:val="BodyText"/>
    <w:uiPriority w:val="99"/>
    <w:semiHidden/>
    <w:rsid w:val="006707D3"/>
    <w:rPr>
      <w:sz w:val="28"/>
      <w:szCs w:val="22"/>
      <w:lang w:eastAsia="en-US"/>
    </w:rPr>
  </w:style>
  <w:style w:type="character" w:customStyle="1" w:styleId="spelle">
    <w:name w:val="spelle"/>
    <w:basedOn w:val="DefaultParagraphFont"/>
    <w:rsid w:val="0067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265694458">
      <w:bodyDiv w:val="1"/>
      <w:marLeft w:val="0"/>
      <w:marRight w:val="0"/>
      <w:marTop w:val="0"/>
      <w:marBottom w:val="0"/>
      <w:divBdr>
        <w:top w:val="none" w:sz="0" w:space="0" w:color="auto"/>
        <w:left w:val="none" w:sz="0" w:space="0" w:color="auto"/>
        <w:bottom w:val="none" w:sz="0" w:space="0" w:color="auto"/>
        <w:right w:val="none" w:sz="0" w:space="0" w:color="auto"/>
      </w:divBdr>
    </w:div>
    <w:div w:id="452093762">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818497538">
      <w:bodyDiv w:val="1"/>
      <w:marLeft w:val="0"/>
      <w:marRight w:val="0"/>
      <w:marTop w:val="0"/>
      <w:marBottom w:val="0"/>
      <w:divBdr>
        <w:top w:val="none" w:sz="0" w:space="0" w:color="auto"/>
        <w:left w:val="none" w:sz="0" w:space="0" w:color="auto"/>
        <w:bottom w:val="none" w:sz="0" w:space="0" w:color="auto"/>
        <w:right w:val="none" w:sz="0" w:space="0" w:color="auto"/>
      </w:divBdr>
    </w:div>
    <w:div w:id="856576894">
      <w:bodyDiv w:val="1"/>
      <w:marLeft w:val="0"/>
      <w:marRight w:val="0"/>
      <w:marTop w:val="0"/>
      <w:marBottom w:val="0"/>
      <w:divBdr>
        <w:top w:val="none" w:sz="0" w:space="0" w:color="auto"/>
        <w:left w:val="none" w:sz="0" w:space="0" w:color="auto"/>
        <w:bottom w:val="none" w:sz="0" w:space="0" w:color="auto"/>
        <w:right w:val="none" w:sz="0" w:space="0" w:color="auto"/>
      </w:divBdr>
    </w:div>
    <w:div w:id="1019235130">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32567873">
      <w:bodyDiv w:val="1"/>
      <w:marLeft w:val="0"/>
      <w:marRight w:val="0"/>
      <w:marTop w:val="0"/>
      <w:marBottom w:val="0"/>
      <w:divBdr>
        <w:top w:val="none" w:sz="0" w:space="0" w:color="auto"/>
        <w:left w:val="none" w:sz="0" w:space="0" w:color="auto"/>
        <w:bottom w:val="none" w:sz="0" w:space="0" w:color="auto"/>
        <w:right w:val="none" w:sz="0" w:space="0" w:color="auto"/>
      </w:divBdr>
    </w:div>
    <w:div w:id="1782530890">
      <w:bodyDiv w:val="1"/>
      <w:marLeft w:val="0"/>
      <w:marRight w:val="0"/>
      <w:marTop w:val="0"/>
      <w:marBottom w:val="0"/>
      <w:divBdr>
        <w:top w:val="none" w:sz="0" w:space="0" w:color="auto"/>
        <w:left w:val="none" w:sz="0" w:space="0" w:color="auto"/>
        <w:bottom w:val="none" w:sz="0" w:space="0" w:color="auto"/>
        <w:right w:val="none" w:sz="0" w:space="0" w:color="auto"/>
      </w:divBdr>
    </w:div>
    <w:div w:id="1824152793">
      <w:bodyDiv w:val="1"/>
      <w:marLeft w:val="0"/>
      <w:marRight w:val="0"/>
      <w:marTop w:val="0"/>
      <w:marBottom w:val="0"/>
      <w:divBdr>
        <w:top w:val="none" w:sz="0" w:space="0" w:color="auto"/>
        <w:left w:val="none" w:sz="0" w:space="0" w:color="auto"/>
        <w:bottom w:val="none" w:sz="0" w:space="0" w:color="auto"/>
        <w:right w:val="none" w:sz="0" w:space="0" w:color="auto"/>
      </w:divBdr>
    </w:div>
    <w:div w:id="1941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zintra.Gasune@pkc.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evienotās datnes" ma:contentTypeID="0x0101001671B77A5C5B4F9BAD3DEC82AC1AFAD700ADD5365895C7C64696D8B8EDA8E5BC83" ma:contentTypeVersion="0" ma:contentTypeDescription="" ma:contentTypeScope="" ma:versionID="bdecb6ebdfdd0159d0d4bb3cadcc7116">
  <xsd:schema xmlns:xsd="http://www.w3.org/2001/XMLSchema" xmlns:xs="http://www.w3.org/2001/XMLSchema" xmlns:p="http://schemas.microsoft.com/office/2006/metadata/properties" xmlns:ns1="http://schemas.microsoft.com/sharepoint/v3" xmlns:ns2="D63A58CE-8F56-4518-B5AD-FF553E962DE5" targetNamespace="http://schemas.microsoft.com/office/2006/metadata/properties" ma:root="true" ma:fieldsID="0c0d368718eb1490bf29305ad870fde2" ns1:_="" ns2:_="">
    <xsd:import namespace="http://schemas.microsoft.com/sharepoint/v3"/>
    <xsd:import namespace="D63A58CE-8F56-4518-B5AD-FF553E962DE5"/>
    <xsd:element name="properties">
      <xsd:complexType>
        <xsd:sequence>
          <xsd:element name="documentManagement">
            <xsd:complexType>
              <xsd:all>
                <xsd:element ref="ns2:DpaDMSDocumentItemUrl"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9" nillable="true" ma:displayName="Piezīme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A58CE-8F56-4518-B5AD-FF553E962DE5" elementFormDefault="qualified">
    <xsd:import namespace="http://schemas.microsoft.com/office/2006/documentManagement/types"/>
    <xsd:import namespace="http://schemas.microsoft.com/office/infopath/2007/PartnerControls"/>
    <xsd:element name="DpaDMSDocumentItemUrl" ma:index="8" nillable="true" ma:displayName="Dokuments" ma:internalName="DpaDMSDocumentItem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7"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aDMSDocumentItemUrl xmlns="D63A58CE-8F56-4518-B5AD-FF553E962DE5">
      <Url>http://dvs/Lists/DpaDMSDocRegister8/DispForm.aspx?ID=133</Url>
      <Description xsi:nil="true"/>
    </DpaDMSDocumentItemUrl>
    <Comments xmlns="http://schemas.microsoft.com/sharepoint/v3" xsi:nil="true"/>
  </documentManagement>
</p:properties>
</file>

<file path=customXml/itemProps1.xml><?xml version="1.0" encoding="utf-8"?>
<ds:datastoreItem xmlns:ds="http://schemas.openxmlformats.org/officeDocument/2006/customXml" ds:itemID="{EE48FFBE-A5EA-45CC-9E6A-84593EFF871C}"/>
</file>

<file path=customXml/itemProps2.xml><?xml version="1.0" encoding="utf-8"?>
<ds:datastoreItem xmlns:ds="http://schemas.openxmlformats.org/officeDocument/2006/customXml" ds:itemID="{9229BB1A-6936-454A-917C-27BFED0ABA7B}"/>
</file>

<file path=customXml/itemProps3.xml><?xml version="1.0" encoding="utf-8"?>
<ds:datastoreItem xmlns:ds="http://schemas.openxmlformats.org/officeDocument/2006/customXml" ds:itemID="{2E7BFB65-BEB2-4CE4-8B56-6B564B73C456}"/>
</file>

<file path=customXml/itemProps4.xml><?xml version="1.0" encoding="utf-8"?>
<ds:datastoreItem xmlns:ds="http://schemas.openxmlformats.org/officeDocument/2006/customXml" ds:itemID="{50C97926-4D7D-4B49-868A-43ADD894BEF0}"/>
</file>

<file path=docProps/app.xml><?xml version="1.0" encoding="utf-8"?>
<Properties xmlns="http://schemas.openxmlformats.org/officeDocument/2006/extended-properties" xmlns:vt="http://schemas.openxmlformats.org/officeDocument/2006/docPropsVTypes">
  <Template>Normal.dotm</Template>
  <TotalTime>1</TotalTime>
  <Pages>6</Pages>
  <Words>8720</Words>
  <Characters>4971</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PKCAnot_CSDD_divid</vt:lpstr>
    </vt:vector>
  </TitlesOfParts>
  <Manager>Ī.Kalniņa</Manager>
  <Company>Satiksmes ministrija</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PKCAnot_CSDD_divid</dc:title>
  <dc:subject>anotācija</dc:subject>
  <dc:creator>Solvita.Strale@pkc.mk.gov.lv</dc:creator>
  <cp:lastModifiedBy>Gunta Lejiete</cp:lastModifiedBy>
  <cp:revision>2</cp:revision>
  <cp:lastPrinted>2017-07-25T07:17:00Z</cp:lastPrinted>
  <dcterms:created xsi:type="dcterms:W3CDTF">2017-09-06T13:38:00Z</dcterms:created>
  <dcterms:modified xsi:type="dcterms:W3CDTF">2017-09-06T13:38:00Z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0x0101001671B77A5C5B4F9BAD3DEC82AC1AFAD700ADD5365895C7C64696D8B8EDA8E5BC83</vt:lpwstr>
  </property>
</Properties>
</file>