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28" w:rsidRDefault="00B61C28" w:rsidP="00CB2598">
      <w:pPr>
        <w:jc w:val="right"/>
        <w:rPr>
          <w:i/>
          <w:szCs w:val="24"/>
        </w:rPr>
      </w:pPr>
    </w:p>
    <w:p w:rsidR="00B61C28" w:rsidRDefault="00B61C28" w:rsidP="00CB2598">
      <w:pPr>
        <w:jc w:val="right"/>
        <w:rPr>
          <w:i/>
          <w:szCs w:val="24"/>
        </w:rPr>
      </w:pPr>
    </w:p>
    <w:p w:rsidR="00CB2598" w:rsidRPr="00B31F95" w:rsidRDefault="00B31F95" w:rsidP="00CB2598">
      <w:pPr>
        <w:jc w:val="right"/>
        <w:rPr>
          <w:i/>
          <w:szCs w:val="24"/>
        </w:rPr>
      </w:pPr>
      <w:r w:rsidRPr="00B31F95">
        <w:rPr>
          <w:i/>
          <w:szCs w:val="24"/>
        </w:rPr>
        <w:t>Likump</w:t>
      </w:r>
      <w:r w:rsidR="00CB2598" w:rsidRPr="00B31F95">
        <w:rPr>
          <w:i/>
          <w:szCs w:val="24"/>
        </w:rPr>
        <w:t>rojekts</w:t>
      </w:r>
    </w:p>
    <w:p w:rsidR="00F754A5" w:rsidRDefault="00F754A5" w:rsidP="00F754A5">
      <w:pPr>
        <w:jc w:val="center"/>
        <w:rPr>
          <w:b/>
          <w:szCs w:val="24"/>
        </w:rPr>
      </w:pPr>
    </w:p>
    <w:p w:rsidR="00B61C28" w:rsidRDefault="00B61C28" w:rsidP="00F754A5">
      <w:pPr>
        <w:jc w:val="center"/>
        <w:rPr>
          <w:b/>
          <w:szCs w:val="24"/>
        </w:rPr>
      </w:pPr>
    </w:p>
    <w:p w:rsidR="00267B7E" w:rsidRPr="00B31F95" w:rsidRDefault="003A3BBF" w:rsidP="00F754A5">
      <w:pPr>
        <w:jc w:val="center"/>
        <w:rPr>
          <w:b/>
          <w:szCs w:val="24"/>
        </w:rPr>
      </w:pPr>
      <w:r>
        <w:rPr>
          <w:b/>
          <w:szCs w:val="24"/>
        </w:rPr>
        <w:t>Grozījumi</w:t>
      </w:r>
      <w:r w:rsidR="00267B7E" w:rsidRPr="00B31F95">
        <w:rPr>
          <w:b/>
          <w:szCs w:val="24"/>
        </w:rPr>
        <w:t xml:space="preserve"> </w:t>
      </w:r>
      <w:r w:rsidR="00EB61A9">
        <w:rPr>
          <w:b/>
          <w:szCs w:val="24"/>
        </w:rPr>
        <w:t>Elektronisko sakaru</w:t>
      </w:r>
      <w:r w:rsidR="00CE131C" w:rsidRPr="00B31F95">
        <w:rPr>
          <w:b/>
          <w:szCs w:val="24"/>
        </w:rPr>
        <w:t xml:space="preserve"> likum</w:t>
      </w:r>
      <w:r w:rsidR="00C931B2" w:rsidRPr="00B31F95">
        <w:rPr>
          <w:b/>
          <w:szCs w:val="24"/>
        </w:rPr>
        <w:t>ā</w:t>
      </w:r>
    </w:p>
    <w:p w:rsidR="00F754A5" w:rsidRDefault="00F754A5" w:rsidP="00F754A5">
      <w:pPr>
        <w:ind w:firstLine="709"/>
        <w:jc w:val="both"/>
        <w:rPr>
          <w:rFonts w:cs="Times New Roman"/>
          <w:szCs w:val="24"/>
        </w:rPr>
      </w:pPr>
    </w:p>
    <w:p w:rsidR="00B61C28" w:rsidRDefault="00B61C28" w:rsidP="00F754A5">
      <w:pPr>
        <w:ind w:firstLine="709"/>
        <w:jc w:val="both"/>
        <w:rPr>
          <w:rFonts w:cs="Times New Roman"/>
          <w:szCs w:val="24"/>
        </w:rPr>
      </w:pPr>
    </w:p>
    <w:p w:rsidR="006D2BF7" w:rsidRDefault="00EB61A9" w:rsidP="00F754A5">
      <w:pPr>
        <w:ind w:firstLine="709"/>
        <w:jc w:val="both"/>
        <w:rPr>
          <w:rFonts w:cs="Times New Roman"/>
          <w:szCs w:val="24"/>
        </w:rPr>
      </w:pPr>
      <w:r w:rsidRPr="00EB61A9">
        <w:rPr>
          <w:rFonts w:cs="Times New Roman"/>
          <w:szCs w:val="24"/>
        </w:rPr>
        <w:t>Izdarīt Elektronisko sakaru likumā (Latvijas Republikas Saeimas un Ministru Kabineta Ziņotājs, 2004, 23. nr.; 2005, 12. nr.; 2006, 24. nr.; 2007, 12. nr.; 2008, 15. nr.; 2009, 14. nr.; Latvijas Vēstnesis, 2010, 102., 206. nr.; 2011, 88. nr.; 2013, 232. nr.; 2014, 17., 60. nr.; 2015, 222., 251. nr.; 2016, 108. nr.</w:t>
      </w:r>
      <w:r w:rsidR="005B6BE4">
        <w:rPr>
          <w:rFonts w:cs="Times New Roman"/>
          <w:szCs w:val="24"/>
        </w:rPr>
        <w:t>, 241. nr.; 2017, 70.nr.</w:t>
      </w:r>
      <w:r w:rsidRPr="00EB61A9">
        <w:rPr>
          <w:rFonts w:cs="Times New Roman"/>
          <w:szCs w:val="24"/>
        </w:rPr>
        <w:t>) šādus grozījumus:</w:t>
      </w:r>
    </w:p>
    <w:p w:rsidR="002F4261" w:rsidRDefault="002F4261" w:rsidP="00F754A5">
      <w:pPr>
        <w:ind w:firstLine="709"/>
        <w:jc w:val="both"/>
        <w:rPr>
          <w:rFonts w:cs="Times New Roman"/>
          <w:szCs w:val="24"/>
        </w:rPr>
      </w:pPr>
    </w:p>
    <w:p w:rsidR="002F4261" w:rsidRDefault="002F4261" w:rsidP="00E176E4">
      <w:pPr>
        <w:numPr>
          <w:ilvl w:val="0"/>
          <w:numId w:val="6"/>
        </w:numPr>
        <w:ind w:left="284" w:hanging="284"/>
        <w:contextualSpacing/>
        <w:jc w:val="both"/>
        <w:rPr>
          <w:rFonts w:cs="Times New Roman"/>
          <w:szCs w:val="24"/>
        </w:rPr>
      </w:pPr>
      <w:r>
        <w:rPr>
          <w:rFonts w:cs="Times New Roman"/>
          <w:szCs w:val="24"/>
        </w:rPr>
        <w:t>Aizstāt 8.panta pirmās daļas 1.punktā vārdu “invalīdiem” ar vārdiem “personām ar invaliditāti”.</w:t>
      </w:r>
    </w:p>
    <w:p w:rsidR="00B61C28" w:rsidRDefault="00B61C28" w:rsidP="00B61C28">
      <w:pPr>
        <w:ind w:left="284"/>
        <w:contextualSpacing/>
        <w:jc w:val="both"/>
        <w:rPr>
          <w:rFonts w:cs="Times New Roman"/>
          <w:szCs w:val="24"/>
        </w:rPr>
      </w:pPr>
    </w:p>
    <w:p w:rsidR="002F0F54" w:rsidRPr="002F0F54" w:rsidRDefault="002F0F54" w:rsidP="00E176E4">
      <w:pPr>
        <w:pStyle w:val="ListParagraph"/>
        <w:numPr>
          <w:ilvl w:val="0"/>
          <w:numId w:val="6"/>
        </w:numPr>
        <w:ind w:left="284" w:hanging="284"/>
        <w:jc w:val="both"/>
        <w:rPr>
          <w:rFonts w:cs="Times New Roman"/>
          <w:szCs w:val="24"/>
        </w:rPr>
      </w:pPr>
      <w:r>
        <w:rPr>
          <w:rFonts w:cs="Times New Roman"/>
          <w:szCs w:val="24"/>
        </w:rPr>
        <w:t>Aizstāt 63.panta nosaukumā un panta tekstā vārdu “invalīdiem” ar vārdiem “personām ar invaliditāti”.</w:t>
      </w:r>
    </w:p>
    <w:p w:rsidR="00EB61A9" w:rsidRDefault="00EB61A9" w:rsidP="00F754A5">
      <w:pPr>
        <w:ind w:firstLine="360"/>
        <w:jc w:val="both"/>
        <w:rPr>
          <w:rFonts w:cs="Times New Roman"/>
          <w:szCs w:val="24"/>
        </w:rPr>
      </w:pPr>
    </w:p>
    <w:p w:rsidR="005B6BE4" w:rsidRDefault="00751B00" w:rsidP="00ED1765">
      <w:pPr>
        <w:numPr>
          <w:ilvl w:val="0"/>
          <w:numId w:val="6"/>
        </w:numPr>
        <w:ind w:left="284" w:hanging="284"/>
        <w:contextualSpacing/>
        <w:jc w:val="both"/>
        <w:rPr>
          <w:rFonts w:eastAsia="Calibri"/>
        </w:rPr>
      </w:pPr>
      <w:r>
        <w:rPr>
          <w:rFonts w:eastAsia="Calibri"/>
        </w:rPr>
        <w:t>64.pant</w:t>
      </w:r>
      <w:r w:rsidR="005B6BE4">
        <w:rPr>
          <w:rFonts w:eastAsia="Calibri"/>
        </w:rPr>
        <w:t>ā:</w:t>
      </w:r>
    </w:p>
    <w:p w:rsidR="00751B00" w:rsidRDefault="005B6BE4" w:rsidP="005B6BE4">
      <w:pPr>
        <w:ind w:left="284"/>
        <w:contextualSpacing/>
        <w:jc w:val="both"/>
        <w:rPr>
          <w:rFonts w:eastAsia="Calibri"/>
        </w:rPr>
      </w:pPr>
      <w:r>
        <w:rPr>
          <w:rFonts w:eastAsia="Calibri"/>
        </w:rPr>
        <w:t>papildināt</w:t>
      </w:r>
      <w:r w:rsidR="00751B00">
        <w:rPr>
          <w:rFonts w:eastAsia="Calibri"/>
        </w:rPr>
        <w:t xml:space="preserve"> pirmo daļu </w:t>
      </w:r>
      <w:r>
        <w:rPr>
          <w:rFonts w:eastAsia="Calibri"/>
        </w:rPr>
        <w:t>pēc vārda “lai” ar vārdu “visā”;</w:t>
      </w:r>
    </w:p>
    <w:p w:rsidR="00751B00" w:rsidRDefault="005B6BE4" w:rsidP="003C6B7D">
      <w:pPr>
        <w:ind w:firstLine="284"/>
        <w:contextualSpacing/>
        <w:jc w:val="both"/>
        <w:rPr>
          <w:rFonts w:eastAsia="Calibri"/>
        </w:rPr>
      </w:pPr>
      <w:r>
        <w:rPr>
          <w:rFonts w:eastAsia="Calibri"/>
        </w:rPr>
        <w:t xml:space="preserve">papildināt </w:t>
      </w:r>
      <w:r w:rsidR="00751B00">
        <w:rPr>
          <w:rFonts w:eastAsia="Calibri"/>
        </w:rPr>
        <w:t>otro daļu pēc vārdiem “izdevīgākajā veidā” ar vārd</w:t>
      </w:r>
      <w:r>
        <w:rPr>
          <w:rFonts w:eastAsia="Calibri"/>
        </w:rPr>
        <w:t>iem “pastāvīgi un nepārtraukti”;</w:t>
      </w:r>
    </w:p>
    <w:p w:rsidR="00ED1765" w:rsidRDefault="005B6BE4" w:rsidP="003C6B7D">
      <w:pPr>
        <w:pStyle w:val="ListParagraph"/>
        <w:ind w:left="0" w:firstLine="284"/>
        <w:jc w:val="both"/>
        <w:rPr>
          <w:rFonts w:eastAsia="Calibri"/>
        </w:rPr>
      </w:pPr>
      <w:r>
        <w:rPr>
          <w:rFonts w:eastAsia="Calibri"/>
        </w:rPr>
        <w:t>i</w:t>
      </w:r>
      <w:r w:rsidR="00751B00" w:rsidRPr="00751B00">
        <w:rPr>
          <w:rFonts w:eastAsia="Calibri"/>
        </w:rPr>
        <w:t>zslēgt treš</w:t>
      </w:r>
      <w:r>
        <w:rPr>
          <w:rFonts w:eastAsia="Calibri"/>
        </w:rPr>
        <w:t>ajā</w:t>
      </w:r>
      <w:r w:rsidR="00751B00" w:rsidRPr="00751B00">
        <w:rPr>
          <w:rFonts w:eastAsia="Calibri"/>
        </w:rPr>
        <w:t xml:space="preserve"> </w:t>
      </w:r>
      <w:r w:rsidR="00F754A5">
        <w:rPr>
          <w:rFonts w:eastAsia="Calibri"/>
        </w:rPr>
        <w:t>daļ</w:t>
      </w:r>
      <w:r>
        <w:rPr>
          <w:rFonts w:eastAsia="Calibri"/>
        </w:rPr>
        <w:t>ā</w:t>
      </w:r>
      <w:r w:rsidR="00F754A5">
        <w:rPr>
          <w:rFonts w:eastAsia="Calibri"/>
        </w:rPr>
        <w:t xml:space="preserve"> vārdus “vai kādā tās daļā,</w:t>
      </w:r>
      <w:r w:rsidR="00751B00" w:rsidRPr="00751B00">
        <w:rPr>
          <w:rFonts w:eastAsia="Calibri"/>
        </w:rPr>
        <w:t xml:space="preserve"> un nodrošina to, ka elektronisko sakaru komersantam nav liegta iespēja tikt noteiktam par universālā pakalpojuma sniedzēju”.</w:t>
      </w:r>
    </w:p>
    <w:p w:rsidR="005B6BE4" w:rsidRDefault="005B6BE4" w:rsidP="005B6BE4">
      <w:pPr>
        <w:pStyle w:val="ListParagraph"/>
        <w:ind w:left="284"/>
        <w:jc w:val="both"/>
        <w:rPr>
          <w:rFonts w:eastAsia="Calibri"/>
        </w:rPr>
      </w:pPr>
    </w:p>
    <w:p w:rsidR="00751B00" w:rsidRDefault="00751B00" w:rsidP="00ED1765">
      <w:pPr>
        <w:pStyle w:val="ListParagraph"/>
        <w:numPr>
          <w:ilvl w:val="0"/>
          <w:numId w:val="6"/>
        </w:numPr>
        <w:ind w:left="284" w:hanging="284"/>
        <w:jc w:val="both"/>
        <w:rPr>
          <w:rFonts w:eastAsia="Calibri"/>
        </w:rPr>
      </w:pPr>
      <w:r w:rsidRPr="00ED1765">
        <w:rPr>
          <w:rFonts w:eastAsia="Calibri"/>
        </w:rPr>
        <w:t xml:space="preserve">Papildināt </w:t>
      </w:r>
      <w:r w:rsidR="005B6BE4">
        <w:rPr>
          <w:rFonts w:eastAsia="Calibri"/>
        </w:rPr>
        <w:t xml:space="preserve">likumu </w:t>
      </w:r>
      <w:r w:rsidRPr="00ED1765">
        <w:rPr>
          <w:rFonts w:eastAsia="Calibri"/>
        </w:rPr>
        <w:t>ar 64.</w:t>
      </w:r>
      <w:r w:rsidRPr="00ED1765">
        <w:rPr>
          <w:rFonts w:eastAsia="Calibri"/>
          <w:vertAlign w:val="superscript"/>
        </w:rPr>
        <w:t xml:space="preserve">1 </w:t>
      </w:r>
      <w:r w:rsidRPr="00ED1765">
        <w:rPr>
          <w:rFonts w:eastAsia="Calibri"/>
        </w:rPr>
        <w:t>pantu šādā redakcijā:</w:t>
      </w:r>
    </w:p>
    <w:p w:rsidR="00B61C28" w:rsidRPr="00ED1765" w:rsidRDefault="00B61C28" w:rsidP="00B61C28">
      <w:pPr>
        <w:pStyle w:val="ListParagraph"/>
        <w:ind w:left="284"/>
        <w:jc w:val="both"/>
        <w:rPr>
          <w:rFonts w:eastAsia="Calibri"/>
        </w:rPr>
      </w:pPr>
    </w:p>
    <w:p w:rsidR="00751B00" w:rsidRDefault="00ED1765" w:rsidP="00ED1765">
      <w:pPr>
        <w:ind w:left="851" w:hanging="720"/>
        <w:contextualSpacing/>
        <w:jc w:val="both"/>
        <w:rPr>
          <w:rFonts w:eastAsia="Calibri"/>
          <w:b/>
        </w:rPr>
      </w:pPr>
      <w:r>
        <w:rPr>
          <w:rFonts w:eastAsia="Calibri"/>
        </w:rPr>
        <w:t xml:space="preserve">  </w:t>
      </w:r>
      <w:r w:rsidR="00751B00">
        <w:rPr>
          <w:rFonts w:eastAsia="Calibri"/>
        </w:rPr>
        <w:t>“64.</w:t>
      </w:r>
      <w:r w:rsidR="00751B00">
        <w:rPr>
          <w:rFonts w:eastAsia="Calibri"/>
          <w:vertAlign w:val="superscript"/>
        </w:rPr>
        <w:t>1</w:t>
      </w:r>
      <w:r w:rsidR="00751B00">
        <w:rPr>
          <w:rFonts w:eastAsia="Calibri"/>
        </w:rPr>
        <w:t xml:space="preserve"> </w:t>
      </w:r>
      <w:r w:rsidR="00751B00">
        <w:rPr>
          <w:rFonts w:eastAsia="Calibri"/>
          <w:b/>
        </w:rPr>
        <w:t>Universālā pakalpojuma sniedzēja izvēle</w:t>
      </w:r>
    </w:p>
    <w:p w:rsidR="00751B00" w:rsidRPr="00E90686" w:rsidRDefault="00951759" w:rsidP="00B61C28">
      <w:pPr>
        <w:pStyle w:val="ListParagraph"/>
        <w:numPr>
          <w:ilvl w:val="0"/>
          <w:numId w:val="9"/>
        </w:numPr>
        <w:jc w:val="both"/>
      </w:pPr>
      <w:r w:rsidRPr="00E90686">
        <w:t>Regulators izdod noteikumus, saskaņā ar kuriem rīko konkursu, lai noteiktu universālā pakalpojuma sniedzēju. Noteikumos nosaka konkursa priekšmetu, prasības pretendentiem un universālā pakalpojuma sniedzējam, konkursa norises kārtību, izvērtēšanās kārtību, vērtēšanas kritērijus, kārtību, kādā Regulators rīkojas gadījumos, ja Regulatora noteiktais universālā pakalpojuma sniedzējs nepilda tam noteiktās universālā pakalpojuma saistības un citus ar konkursa norisi saistītos jautājumus.</w:t>
      </w:r>
      <w:r w:rsidRPr="00E90686">
        <w:rPr>
          <w:color w:val="00B0F0"/>
        </w:rPr>
        <w:t xml:space="preserve"> </w:t>
      </w:r>
      <w:r w:rsidRPr="00E90686">
        <w:t>Uz konkursa norisi nav attiecināms Publisko iepirkumu likums.</w:t>
      </w:r>
    </w:p>
    <w:p w:rsidR="00B61C28" w:rsidRPr="00B61C28" w:rsidRDefault="00B61C28" w:rsidP="00B61C28">
      <w:pPr>
        <w:pStyle w:val="ListParagraph"/>
        <w:ind w:left="836"/>
        <w:jc w:val="both"/>
        <w:rPr>
          <w:rFonts w:eastAsia="Calibri"/>
        </w:rPr>
      </w:pPr>
    </w:p>
    <w:p w:rsidR="00751B00" w:rsidRPr="00B61C28" w:rsidRDefault="00751B00" w:rsidP="00B61C28">
      <w:pPr>
        <w:pStyle w:val="ListParagraph"/>
        <w:numPr>
          <w:ilvl w:val="0"/>
          <w:numId w:val="9"/>
        </w:numPr>
        <w:jc w:val="both"/>
        <w:rPr>
          <w:rFonts w:eastAsia="Calibri"/>
        </w:rPr>
      </w:pPr>
      <w:r w:rsidRPr="00B61C28">
        <w:rPr>
          <w:rFonts w:eastAsia="Calibri"/>
        </w:rPr>
        <w:t>Regulators nodrošina vienlīdzīgu attieksmi pret visiem konkursa dalībniekiem, nevienam konkursa dalībniekam nerada labvēlīgākus apstākļus un nodrošina to, ka elektronisko sakaru komersantam nav liegta iespēja tikt noteiktam par universālā pakalpojuma sniedzēju, ja tas atbilst Regulatora noteiktajām konkursa prasībām pretendentiem.</w:t>
      </w:r>
    </w:p>
    <w:p w:rsidR="00B61C28" w:rsidRPr="00B61C28" w:rsidRDefault="00B61C28" w:rsidP="00B61C28">
      <w:pPr>
        <w:pStyle w:val="ListParagraph"/>
        <w:rPr>
          <w:rFonts w:eastAsia="Calibri"/>
        </w:rPr>
      </w:pPr>
    </w:p>
    <w:p w:rsidR="00751B00" w:rsidRDefault="00751B00" w:rsidP="00ED1765">
      <w:pPr>
        <w:ind w:left="851" w:hanging="567"/>
        <w:contextualSpacing/>
        <w:jc w:val="both"/>
        <w:rPr>
          <w:rFonts w:eastAsia="Calibri"/>
        </w:rPr>
      </w:pPr>
      <w:r>
        <w:rPr>
          <w:rFonts w:eastAsia="Calibri"/>
        </w:rPr>
        <w:t>(3) Ja šā panta pirmajā daļā minētais konkurss noslēdzas bez rezultāta, Regulators:</w:t>
      </w:r>
    </w:p>
    <w:p w:rsidR="00751B00" w:rsidRDefault="00751B00" w:rsidP="003C6B7D">
      <w:pPr>
        <w:ind w:firstLine="720"/>
        <w:contextualSpacing/>
        <w:jc w:val="both"/>
        <w:rPr>
          <w:rFonts w:eastAsia="Calibri"/>
        </w:rPr>
      </w:pPr>
      <w:r>
        <w:rPr>
          <w:rFonts w:eastAsia="Calibri"/>
        </w:rPr>
        <w:t>1) divu gadu laikā rīko atkārtotu konkursu;</w:t>
      </w:r>
    </w:p>
    <w:p w:rsidR="00751B00" w:rsidRDefault="00751B00" w:rsidP="003C6B7D">
      <w:pPr>
        <w:ind w:firstLine="720"/>
        <w:contextualSpacing/>
        <w:jc w:val="both"/>
        <w:rPr>
          <w:rFonts w:eastAsia="Calibri"/>
        </w:rPr>
      </w:pPr>
      <w:r>
        <w:rPr>
          <w:rFonts w:eastAsia="Calibri"/>
        </w:rPr>
        <w:t>2) līdz nākamā konkursa rezultātu paziņošanai, bet ne ilgāk kā uz diviem gadiem</w:t>
      </w:r>
      <w:r w:rsidR="00F754A5">
        <w:rPr>
          <w:rFonts w:eastAsia="Calibri"/>
        </w:rPr>
        <w:t>,</w:t>
      </w:r>
      <w:r>
        <w:rPr>
          <w:rFonts w:eastAsia="Calibri"/>
        </w:rPr>
        <w:t xml:space="preserve"> pagarina universāla pakalpojuma saistības tam elektronisko sakaru komersantam, kurš pildīja universālā pakalpojuma saistības līdz konkursa izsludināšanas dienai.</w:t>
      </w:r>
    </w:p>
    <w:p w:rsidR="00B61C28" w:rsidRDefault="00B61C28" w:rsidP="003C6B7D">
      <w:pPr>
        <w:ind w:firstLine="720"/>
        <w:contextualSpacing/>
        <w:jc w:val="both"/>
        <w:rPr>
          <w:rFonts w:eastAsia="Calibri"/>
        </w:rPr>
      </w:pPr>
    </w:p>
    <w:p w:rsidR="00751B00" w:rsidRDefault="00ED1765" w:rsidP="00ED1765">
      <w:pPr>
        <w:ind w:left="851" w:hanging="720"/>
        <w:contextualSpacing/>
        <w:jc w:val="both"/>
        <w:rPr>
          <w:rFonts w:eastAsia="Calibri"/>
        </w:rPr>
      </w:pPr>
      <w:r>
        <w:rPr>
          <w:rFonts w:eastAsia="Calibri"/>
        </w:rPr>
        <w:lastRenderedPageBreak/>
        <w:t xml:space="preserve">   </w:t>
      </w:r>
      <w:r w:rsidR="00751B00">
        <w:rPr>
          <w:rFonts w:eastAsia="Calibri"/>
        </w:rPr>
        <w:t>(</w:t>
      </w:r>
      <w:r w:rsidR="003C6B7D">
        <w:rPr>
          <w:rFonts w:eastAsia="Calibri"/>
        </w:rPr>
        <w:t>4</w:t>
      </w:r>
      <w:r w:rsidR="00751B00">
        <w:rPr>
          <w:rFonts w:eastAsia="Calibri"/>
        </w:rPr>
        <w:t>) Universālā pakalpojuma sniedzēju Regulators nosaka uz trīs gadiem.”.</w:t>
      </w:r>
    </w:p>
    <w:p w:rsidR="005B6BE4" w:rsidRDefault="005B6BE4" w:rsidP="00ED1765">
      <w:pPr>
        <w:ind w:left="851" w:hanging="720"/>
        <w:contextualSpacing/>
        <w:jc w:val="both"/>
        <w:rPr>
          <w:rFonts w:eastAsia="Calibri"/>
        </w:rPr>
      </w:pPr>
    </w:p>
    <w:p w:rsidR="00751B00" w:rsidRPr="00F754A5" w:rsidRDefault="00751B00" w:rsidP="00ED1765">
      <w:pPr>
        <w:pStyle w:val="tv2132"/>
        <w:numPr>
          <w:ilvl w:val="0"/>
          <w:numId w:val="6"/>
        </w:numPr>
        <w:spacing w:line="240" w:lineRule="auto"/>
        <w:ind w:left="284" w:hanging="284"/>
        <w:jc w:val="both"/>
        <w:rPr>
          <w:color w:val="auto"/>
          <w:sz w:val="24"/>
          <w:szCs w:val="24"/>
        </w:rPr>
      </w:pPr>
      <w:r w:rsidRPr="00F754A5">
        <w:rPr>
          <w:color w:val="auto"/>
          <w:sz w:val="24"/>
          <w:szCs w:val="24"/>
        </w:rPr>
        <w:t>Aizstāt pārejas noteikumu 14.punktā vārdus un skaitļus “2018.gada 1.janvārim” ar vārdiem un skaitļiem “2022.gada 1.janvārim”</w:t>
      </w:r>
      <w:r w:rsidR="003A6617" w:rsidRPr="00F754A5">
        <w:rPr>
          <w:color w:val="auto"/>
          <w:sz w:val="24"/>
          <w:szCs w:val="24"/>
        </w:rPr>
        <w:t>.</w:t>
      </w:r>
    </w:p>
    <w:p w:rsidR="00B31F95" w:rsidRDefault="00B31F95" w:rsidP="00F754A5">
      <w:pPr>
        <w:jc w:val="both"/>
        <w:rPr>
          <w:rFonts w:eastAsia="Times New Roman" w:cs="Times New Roman"/>
          <w:szCs w:val="24"/>
        </w:rPr>
      </w:pPr>
    </w:p>
    <w:p w:rsidR="00F754A5" w:rsidRPr="00B31F95" w:rsidRDefault="00F754A5" w:rsidP="00F754A5">
      <w:pPr>
        <w:jc w:val="both"/>
        <w:rPr>
          <w:rFonts w:eastAsia="Times New Roman" w:cs="Times New Roman"/>
          <w:szCs w:val="24"/>
        </w:rPr>
      </w:pPr>
    </w:p>
    <w:p w:rsidR="00515BF5" w:rsidRDefault="00515BF5" w:rsidP="00F754A5">
      <w:pPr>
        <w:jc w:val="both"/>
        <w:rPr>
          <w:rFonts w:eastAsia="Times New Roman" w:cs="Times New Roman"/>
          <w:szCs w:val="24"/>
        </w:rPr>
      </w:pPr>
      <w:r>
        <w:rPr>
          <w:rFonts w:eastAsia="Times New Roman" w:cs="Times New Roman"/>
          <w:szCs w:val="24"/>
        </w:rPr>
        <w:t>Iesniedzējs:</w:t>
      </w:r>
    </w:p>
    <w:p w:rsidR="00B31F95" w:rsidRPr="00B31F95" w:rsidRDefault="00B31F95" w:rsidP="00F754A5">
      <w:pPr>
        <w:jc w:val="both"/>
        <w:rPr>
          <w:rFonts w:eastAsia="Times New Roman" w:cs="Times New Roman"/>
          <w:szCs w:val="24"/>
        </w:rPr>
      </w:pPr>
      <w:r w:rsidRPr="00B31F95">
        <w:rPr>
          <w:rFonts w:eastAsia="Times New Roman" w:cs="Times New Roman"/>
          <w:szCs w:val="24"/>
        </w:rPr>
        <w:t>Satiksmes ministr</w:t>
      </w:r>
      <w:r w:rsidR="00A10C4E">
        <w:rPr>
          <w:rFonts w:eastAsia="Times New Roman" w:cs="Times New Roman"/>
          <w:szCs w:val="24"/>
        </w:rPr>
        <w:t>s</w:t>
      </w:r>
      <w:r w:rsidR="00A10C4E">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00A10C4E">
        <w:rPr>
          <w:rFonts w:eastAsia="Times New Roman" w:cs="Times New Roman"/>
          <w:szCs w:val="24"/>
        </w:rPr>
        <w:t>U.Augulis</w:t>
      </w:r>
    </w:p>
    <w:p w:rsidR="00B31F95" w:rsidRPr="00B31F95" w:rsidRDefault="00B31F95" w:rsidP="00F754A5">
      <w:pPr>
        <w:ind w:firstLine="700"/>
        <w:jc w:val="both"/>
        <w:rPr>
          <w:rFonts w:eastAsia="Times New Roman" w:cs="Times New Roman"/>
          <w:szCs w:val="24"/>
        </w:rPr>
      </w:pPr>
    </w:p>
    <w:p w:rsidR="00030502" w:rsidRDefault="00030502" w:rsidP="00F754A5">
      <w:pPr>
        <w:jc w:val="both"/>
        <w:rPr>
          <w:rFonts w:eastAsia="Times New Roman" w:cs="Times New Roman"/>
          <w:szCs w:val="24"/>
        </w:rPr>
      </w:pPr>
    </w:p>
    <w:p w:rsidR="00B31F95" w:rsidRPr="00B31F95" w:rsidRDefault="00B31F95" w:rsidP="00F754A5">
      <w:pPr>
        <w:jc w:val="both"/>
        <w:rPr>
          <w:rFonts w:eastAsia="Times New Roman" w:cs="Times New Roman"/>
          <w:szCs w:val="24"/>
        </w:rPr>
      </w:pPr>
      <w:r w:rsidRPr="00B31F95">
        <w:rPr>
          <w:rFonts w:eastAsia="Times New Roman" w:cs="Times New Roman"/>
          <w:szCs w:val="24"/>
        </w:rPr>
        <w:t>Vīza:</w:t>
      </w:r>
    </w:p>
    <w:p w:rsidR="00B31F95" w:rsidRPr="00B31F95" w:rsidRDefault="00B31F95" w:rsidP="00F754A5">
      <w:pPr>
        <w:jc w:val="both"/>
        <w:rPr>
          <w:rFonts w:eastAsia="Times New Roman" w:cs="Times New Roman"/>
          <w:szCs w:val="24"/>
        </w:rPr>
      </w:pPr>
      <w:r w:rsidRPr="00B31F95">
        <w:rPr>
          <w:rFonts w:eastAsia="Times New Roman" w:cs="Times New Roman"/>
          <w:szCs w:val="24"/>
        </w:rPr>
        <w:t>Valsts sekretārs</w:t>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sidRPr="00B31F95">
        <w:rPr>
          <w:rFonts w:eastAsia="Times New Roman" w:cs="Times New Roman"/>
          <w:szCs w:val="24"/>
        </w:rPr>
        <w:tab/>
      </w:r>
      <w:r>
        <w:rPr>
          <w:rFonts w:eastAsia="Times New Roman" w:cs="Times New Roman"/>
          <w:szCs w:val="24"/>
        </w:rPr>
        <w:tab/>
      </w:r>
      <w:r w:rsidRPr="00B31F95">
        <w:rPr>
          <w:rFonts w:eastAsia="Times New Roman" w:cs="Times New Roman"/>
          <w:bCs/>
          <w:szCs w:val="24"/>
        </w:rPr>
        <w:t>K.Ozoliņš</w:t>
      </w:r>
    </w:p>
    <w:p w:rsidR="00B31F95" w:rsidRDefault="00B31F95" w:rsidP="00F754A5">
      <w:pPr>
        <w:jc w:val="both"/>
      </w:pPr>
    </w:p>
    <w:p w:rsidR="00030502" w:rsidRDefault="00030502" w:rsidP="00F754A5">
      <w:pPr>
        <w:jc w:val="both"/>
      </w:pPr>
      <w:bookmarkStart w:id="0" w:name="_GoBack"/>
      <w:bookmarkEnd w:id="0"/>
    </w:p>
    <w:p w:rsidR="002D3B2B" w:rsidRDefault="002D3B2B" w:rsidP="00F754A5">
      <w:pPr>
        <w:shd w:val="clear" w:color="auto" w:fill="FFFFFF"/>
        <w:tabs>
          <w:tab w:val="left" w:pos="6394"/>
        </w:tabs>
        <w:jc w:val="both"/>
        <w:rPr>
          <w:rFonts w:eastAsia="Calibri" w:cs="Times New Roman"/>
          <w:sz w:val="20"/>
          <w:szCs w:val="20"/>
        </w:rPr>
      </w:pPr>
      <w:r>
        <w:rPr>
          <w:rFonts w:eastAsia="Calibri" w:cs="Times New Roman"/>
          <w:sz w:val="20"/>
          <w:szCs w:val="20"/>
        </w:rPr>
        <w:t>18.09.2017. 14:37</w:t>
      </w:r>
    </w:p>
    <w:p w:rsidR="00B31F95" w:rsidRPr="00B31F95" w:rsidRDefault="00D938D6" w:rsidP="00F754A5">
      <w:pPr>
        <w:shd w:val="clear" w:color="auto" w:fill="FFFFFF"/>
        <w:tabs>
          <w:tab w:val="left" w:pos="6394"/>
        </w:tabs>
        <w:jc w:val="both"/>
        <w:rPr>
          <w:rFonts w:eastAsia="Times New Roman" w:cs="Times New Roman"/>
          <w:sz w:val="20"/>
          <w:szCs w:val="20"/>
        </w:rPr>
      </w:pPr>
      <w:r>
        <w:rPr>
          <w:rFonts w:eastAsia="Times New Roman" w:cs="Times New Roman"/>
          <w:sz w:val="20"/>
          <w:szCs w:val="20"/>
        </w:rPr>
        <w:t>340</w:t>
      </w:r>
    </w:p>
    <w:p w:rsidR="00B31F95" w:rsidRPr="00B31F95" w:rsidRDefault="008F0498" w:rsidP="00F754A5">
      <w:pPr>
        <w:shd w:val="clear" w:color="auto" w:fill="FFFFFF"/>
        <w:tabs>
          <w:tab w:val="left" w:pos="6394"/>
        </w:tabs>
        <w:jc w:val="both"/>
        <w:rPr>
          <w:rFonts w:eastAsia="Times New Roman" w:cs="Times New Roman"/>
          <w:sz w:val="20"/>
          <w:szCs w:val="20"/>
        </w:rPr>
      </w:pPr>
      <w:r>
        <w:rPr>
          <w:rFonts w:eastAsia="Times New Roman" w:cs="Times New Roman"/>
          <w:sz w:val="20"/>
          <w:szCs w:val="20"/>
        </w:rPr>
        <w:t>Bankoviča 67028111</w:t>
      </w:r>
    </w:p>
    <w:p w:rsidR="00AC3D72" w:rsidRDefault="002D3B2B" w:rsidP="005B6BE4">
      <w:pPr>
        <w:shd w:val="clear" w:color="auto" w:fill="FFFFFF"/>
        <w:tabs>
          <w:tab w:val="left" w:pos="6394"/>
        </w:tabs>
        <w:jc w:val="both"/>
      </w:pPr>
      <w:hyperlink r:id="rId9" w:history="1">
        <w:r w:rsidR="00AC3D72" w:rsidRPr="006E08BC">
          <w:rPr>
            <w:rStyle w:val="Hyperlink"/>
            <w:rFonts w:eastAsia="Times New Roman" w:cs="Times New Roman"/>
            <w:sz w:val="20"/>
            <w:szCs w:val="20"/>
          </w:rPr>
          <w:t>Dace.Bankovica@sam.gov.lv</w:t>
        </w:r>
      </w:hyperlink>
    </w:p>
    <w:sectPr w:rsidR="00AC3D72" w:rsidSect="001915A5">
      <w:headerReference w:type="default" r:id="rId10"/>
      <w:footerReference w:type="default" r:id="rId11"/>
      <w:footerReference w:type="first" r:id="rId12"/>
      <w:pgSz w:w="11906" w:h="16838"/>
      <w:pgMar w:top="1134" w:right="1700"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F2" w:rsidRDefault="002B60F2" w:rsidP="00E5415B">
      <w:r>
        <w:separator/>
      </w:r>
    </w:p>
  </w:endnote>
  <w:endnote w:type="continuationSeparator" w:id="0">
    <w:p w:rsidR="002B60F2" w:rsidRDefault="002B60F2" w:rsidP="00E5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5B" w:rsidRPr="00E5415B" w:rsidRDefault="00E5415B" w:rsidP="00E5415B">
    <w:pPr>
      <w:pStyle w:val="Footer"/>
      <w:rPr>
        <w:sz w:val="20"/>
        <w:szCs w:val="20"/>
      </w:rPr>
    </w:pPr>
    <w:r w:rsidRPr="00E5415B">
      <w:rPr>
        <w:sz w:val="20"/>
        <w:szCs w:val="20"/>
      </w:rPr>
      <w:t>SAMLik_</w:t>
    </w:r>
    <w:r w:rsidR="00117CD8">
      <w:rPr>
        <w:sz w:val="20"/>
        <w:szCs w:val="20"/>
      </w:rPr>
      <w:t>20</w:t>
    </w:r>
    <w:r w:rsidR="00A46539">
      <w:rPr>
        <w:sz w:val="20"/>
        <w:szCs w:val="20"/>
      </w:rPr>
      <w:t>09</w:t>
    </w:r>
    <w:r w:rsidRPr="00E5415B">
      <w:rPr>
        <w:sz w:val="20"/>
        <w:szCs w:val="20"/>
      </w:rPr>
      <w:t>1</w:t>
    </w:r>
    <w:r w:rsidR="00F37F74">
      <w:rPr>
        <w:sz w:val="20"/>
        <w:szCs w:val="20"/>
      </w:rPr>
      <w:t>7</w:t>
    </w:r>
    <w:r w:rsidRPr="00E5415B">
      <w:rPr>
        <w:sz w:val="20"/>
        <w:szCs w:val="20"/>
      </w:rPr>
      <w:t>_</w:t>
    </w:r>
    <w:r w:rsidR="001D3725">
      <w:rPr>
        <w:sz w:val="20"/>
        <w:szCs w:val="20"/>
      </w:rPr>
      <w:t>Groz</w:t>
    </w:r>
    <w:r w:rsidR="0044520E">
      <w:rPr>
        <w:sz w:val="20"/>
        <w:szCs w:val="20"/>
      </w:rPr>
      <w:t>ES</w:t>
    </w:r>
    <w:r w:rsidR="001D3725">
      <w:rPr>
        <w:sz w:val="20"/>
        <w:szCs w:val="20"/>
      </w:rPr>
      <w:t>L</w:t>
    </w:r>
    <w:r w:rsidRPr="00E5415B">
      <w:rPr>
        <w:sz w:val="20"/>
        <w:szCs w:val="20"/>
      </w:rPr>
      <w:t xml:space="preserve">; Likumprojekts „Grozījumi </w:t>
    </w:r>
    <w:r w:rsidR="0044520E">
      <w:rPr>
        <w:sz w:val="20"/>
        <w:szCs w:val="20"/>
      </w:rPr>
      <w:t>Elektronisko sakaru</w:t>
    </w:r>
    <w:r w:rsidRPr="00E5415B">
      <w:rPr>
        <w:sz w:val="20"/>
        <w:szCs w:val="20"/>
      </w:rPr>
      <w:t xml:space="preserve"> likumā”</w:t>
    </w:r>
  </w:p>
  <w:p w:rsidR="00E5415B" w:rsidRPr="00E5415B" w:rsidRDefault="00E5415B" w:rsidP="00E5415B">
    <w:pPr>
      <w:pStyle w:val="Footer"/>
    </w:pPr>
  </w:p>
  <w:p w:rsidR="00E5415B" w:rsidRDefault="00E5415B">
    <w:pPr>
      <w:pStyle w:val="Footer"/>
    </w:pPr>
  </w:p>
  <w:p w:rsidR="00E5415B" w:rsidRDefault="00E54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A5" w:rsidRDefault="001915A5">
    <w:pPr>
      <w:pStyle w:val="Footer"/>
    </w:pPr>
    <w:r w:rsidRPr="00E5415B">
      <w:rPr>
        <w:sz w:val="20"/>
        <w:szCs w:val="20"/>
      </w:rPr>
      <w:t>SAMLik_</w:t>
    </w:r>
    <w:r w:rsidR="00117CD8">
      <w:rPr>
        <w:sz w:val="20"/>
        <w:szCs w:val="20"/>
      </w:rPr>
      <w:t>20</w:t>
    </w:r>
    <w:r>
      <w:rPr>
        <w:sz w:val="20"/>
        <w:szCs w:val="20"/>
      </w:rPr>
      <w:t>09</w:t>
    </w:r>
    <w:r w:rsidRPr="00E5415B">
      <w:rPr>
        <w:sz w:val="20"/>
        <w:szCs w:val="20"/>
      </w:rPr>
      <w:t>1</w:t>
    </w:r>
    <w:r>
      <w:rPr>
        <w:sz w:val="20"/>
        <w:szCs w:val="20"/>
      </w:rPr>
      <w:t>7</w:t>
    </w:r>
    <w:r w:rsidRPr="00E5415B">
      <w:rPr>
        <w:sz w:val="20"/>
        <w:szCs w:val="20"/>
      </w:rPr>
      <w:t>_</w:t>
    </w:r>
    <w:r>
      <w:rPr>
        <w:sz w:val="20"/>
        <w:szCs w:val="20"/>
      </w:rPr>
      <w:t>GrozESL</w:t>
    </w:r>
    <w:r w:rsidRPr="00E5415B">
      <w:rPr>
        <w:sz w:val="20"/>
        <w:szCs w:val="20"/>
      </w:rPr>
      <w:t xml:space="preserve">; Likumprojekts „Grozījumi </w:t>
    </w:r>
    <w:r>
      <w:rPr>
        <w:sz w:val="20"/>
        <w:szCs w:val="20"/>
      </w:rPr>
      <w:t>Elektronisko sakaru</w:t>
    </w:r>
    <w:r w:rsidRPr="00E5415B">
      <w:rPr>
        <w:sz w:val="20"/>
        <w:szCs w:val="20"/>
      </w:rPr>
      <w:t xml:space="preserve">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F2" w:rsidRDefault="002B60F2" w:rsidP="00E5415B">
      <w:r>
        <w:separator/>
      </w:r>
    </w:p>
  </w:footnote>
  <w:footnote w:type="continuationSeparator" w:id="0">
    <w:p w:rsidR="002B60F2" w:rsidRDefault="002B60F2" w:rsidP="00E5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6768"/>
      <w:docPartObj>
        <w:docPartGallery w:val="Page Numbers (Top of Page)"/>
        <w:docPartUnique/>
      </w:docPartObj>
    </w:sdtPr>
    <w:sdtEndPr>
      <w:rPr>
        <w:noProof/>
      </w:rPr>
    </w:sdtEndPr>
    <w:sdtContent>
      <w:p w:rsidR="00103122" w:rsidRDefault="00103122">
        <w:pPr>
          <w:pStyle w:val="Header"/>
          <w:jc w:val="center"/>
        </w:pPr>
        <w:r>
          <w:fldChar w:fldCharType="begin"/>
        </w:r>
        <w:r>
          <w:instrText xml:space="preserve"> PAGE   \* MERGEFORMAT </w:instrText>
        </w:r>
        <w:r>
          <w:fldChar w:fldCharType="separate"/>
        </w:r>
        <w:r w:rsidR="002D3B2B">
          <w:rPr>
            <w:noProof/>
          </w:rPr>
          <w:t>2</w:t>
        </w:r>
        <w:r>
          <w:rPr>
            <w:noProof/>
          </w:rPr>
          <w:fldChar w:fldCharType="end"/>
        </w:r>
      </w:p>
    </w:sdtContent>
  </w:sdt>
  <w:p w:rsidR="00103122" w:rsidRDefault="00103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0AE"/>
    <w:multiLevelType w:val="hybridMultilevel"/>
    <w:tmpl w:val="917A5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A060E7"/>
    <w:multiLevelType w:val="hybridMultilevel"/>
    <w:tmpl w:val="5E3A569C"/>
    <w:lvl w:ilvl="0" w:tplc="BFEC5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386229"/>
    <w:multiLevelType w:val="hybridMultilevel"/>
    <w:tmpl w:val="C2B8C25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201DB5"/>
    <w:multiLevelType w:val="hybridMultilevel"/>
    <w:tmpl w:val="4D30A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E2B196F"/>
    <w:multiLevelType w:val="hybridMultilevel"/>
    <w:tmpl w:val="3C10C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266B51"/>
    <w:multiLevelType w:val="hybridMultilevel"/>
    <w:tmpl w:val="18920390"/>
    <w:lvl w:ilvl="0" w:tplc="9FF87FE0">
      <w:start w:val="1"/>
      <w:numFmt w:val="decimal"/>
      <w:lvlText w:val="(%1)"/>
      <w:lvlJc w:val="left"/>
      <w:pPr>
        <w:ind w:left="836" w:hanging="525"/>
      </w:pPr>
      <w:rPr>
        <w:rFonts w:eastAsia="Calibri"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6">
    <w:nsid w:val="6B126D4A"/>
    <w:multiLevelType w:val="hybridMultilevel"/>
    <w:tmpl w:val="431E5412"/>
    <w:lvl w:ilvl="0" w:tplc="34CA79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72C1A71"/>
    <w:multiLevelType w:val="hybridMultilevel"/>
    <w:tmpl w:val="6AEEC110"/>
    <w:lvl w:ilvl="0" w:tplc="0DB41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7E"/>
    <w:rsid w:val="000068D4"/>
    <w:rsid w:val="00030502"/>
    <w:rsid w:val="00032A14"/>
    <w:rsid w:val="000459FC"/>
    <w:rsid w:val="00051C6D"/>
    <w:rsid w:val="00056874"/>
    <w:rsid w:val="00064BB6"/>
    <w:rsid w:val="0008612C"/>
    <w:rsid w:val="00093CF6"/>
    <w:rsid w:val="000E761E"/>
    <w:rsid w:val="00103122"/>
    <w:rsid w:val="00112789"/>
    <w:rsid w:val="001164FB"/>
    <w:rsid w:val="00117CD8"/>
    <w:rsid w:val="00145428"/>
    <w:rsid w:val="00150769"/>
    <w:rsid w:val="001541A5"/>
    <w:rsid w:val="001915A5"/>
    <w:rsid w:val="001C35C0"/>
    <w:rsid w:val="001D362E"/>
    <w:rsid w:val="001D3725"/>
    <w:rsid w:val="001E0CB4"/>
    <w:rsid w:val="001E3A1B"/>
    <w:rsid w:val="0020401B"/>
    <w:rsid w:val="0024311A"/>
    <w:rsid w:val="00246673"/>
    <w:rsid w:val="00260127"/>
    <w:rsid w:val="00267B7E"/>
    <w:rsid w:val="002B60F2"/>
    <w:rsid w:val="002C36BE"/>
    <w:rsid w:val="002D14C8"/>
    <w:rsid w:val="002D3B2B"/>
    <w:rsid w:val="002F0F54"/>
    <w:rsid w:val="002F4261"/>
    <w:rsid w:val="00325B09"/>
    <w:rsid w:val="003301AD"/>
    <w:rsid w:val="003528DB"/>
    <w:rsid w:val="003561E4"/>
    <w:rsid w:val="00362388"/>
    <w:rsid w:val="003638D8"/>
    <w:rsid w:val="00385FB7"/>
    <w:rsid w:val="003A3BBF"/>
    <w:rsid w:val="003A6617"/>
    <w:rsid w:val="003C6B7D"/>
    <w:rsid w:val="003F2830"/>
    <w:rsid w:val="00422751"/>
    <w:rsid w:val="0044520E"/>
    <w:rsid w:val="00452213"/>
    <w:rsid w:val="00462D25"/>
    <w:rsid w:val="004C064D"/>
    <w:rsid w:val="0050066A"/>
    <w:rsid w:val="00500A51"/>
    <w:rsid w:val="00515BF5"/>
    <w:rsid w:val="00526A40"/>
    <w:rsid w:val="005B5059"/>
    <w:rsid w:val="005B6BE4"/>
    <w:rsid w:val="005D10F8"/>
    <w:rsid w:val="005D70E2"/>
    <w:rsid w:val="00621CB1"/>
    <w:rsid w:val="006847D5"/>
    <w:rsid w:val="006872C2"/>
    <w:rsid w:val="006B1466"/>
    <w:rsid w:val="006D2BF7"/>
    <w:rsid w:val="00744468"/>
    <w:rsid w:val="00751B00"/>
    <w:rsid w:val="0077065F"/>
    <w:rsid w:val="007741EE"/>
    <w:rsid w:val="007E076C"/>
    <w:rsid w:val="007E75AC"/>
    <w:rsid w:val="007F78DB"/>
    <w:rsid w:val="008135CC"/>
    <w:rsid w:val="0089414A"/>
    <w:rsid w:val="008C6001"/>
    <w:rsid w:val="008E2379"/>
    <w:rsid w:val="008F0498"/>
    <w:rsid w:val="008F1B68"/>
    <w:rsid w:val="008F5517"/>
    <w:rsid w:val="00912D8F"/>
    <w:rsid w:val="00916FF9"/>
    <w:rsid w:val="00925065"/>
    <w:rsid w:val="00934B9B"/>
    <w:rsid w:val="00951759"/>
    <w:rsid w:val="00962E0E"/>
    <w:rsid w:val="00980A1E"/>
    <w:rsid w:val="009877C8"/>
    <w:rsid w:val="009C32A5"/>
    <w:rsid w:val="009F48A5"/>
    <w:rsid w:val="00A045CC"/>
    <w:rsid w:val="00A10C4E"/>
    <w:rsid w:val="00A46539"/>
    <w:rsid w:val="00AB59CA"/>
    <w:rsid w:val="00AB6109"/>
    <w:rsid w:val="00AC3D72"/>
    <w:rsid w:val="00AC524D"/>
    <w:rsid w:val="00AF6B24"/>
    <w:rsid w:val="00B0570B"/>
    <w:rsid w:val="00B1285D"/>
    <w:rsid w:val="00B1571C"/>
    <w:rsid w:val="00B15C4B"/>
    <w:rsid w:val="00B31F95"/>
    <w:rsid w:val="00B3528B"/>
    <w:rsid w:val="00B61C28"/>
    <w:rsid w:val="00B74429"/>
    <w:rsid w:val="00B82E85"/>
    <w:rsid w:val="00B87E00"/>
    <w:rsid w:val="00BB0B32"/>
    <w:rsid w:val="00BC70FF"/>
    <w:rsid w:val="00C00D95"/>
    <w:rsid w:val="00C44CC9"/>
    <w:rsid w:val="00C6375A"/>
    <w:rsid w:val="00C931B2"/>
    <w:rsid w:val="00CB2598"/>
    <w:rsid w:val="00CB52EF"/>
    <w:rsid w:val="00CC60FF"/>
    <w:rsid w:val="00CC6C3D"/>
    <w:rsid w:val="00CD4547"/>
    <w:rsid w:val="00CE131C"/>
    <w:rsid w:val="00CF126E"/>
    <w:rsid w:val="00D2024F"/>
    <w:rsid w:val="00D278AF"/>
    <w:rsid w:val="00D302C1"/>
    <w:rsid w:val="00D333AB"/>
    <w:rsid w:val="00D352E8"/>
    <w:rsid w:val="00D62F03"/>
    <w:rsid w:val="00D74B05"/>
    <w:rsid w:val="00D938D6"/>
    <w:rsid w:val="00DA3F0C"/>
    <w:rsid w:val="00DB6C66"/>
    <w:rsid w:val="00DB73F3"/>
    <w:rsid w:val="00DC1955"/>
    <w:rsid w:val="00DC690C"/>
    <w:rsid w:val="00E176E4"/>
    <w:rsid w:val="00E20561"/>
    <w:rsid w:val="00E20E3E"/>
    <w:rsid w:val="00E22CD9"/>
    <w:rsid w:val="00E22DC7"/>
    <w:rsid w:val="00E258BF"/>
    <w:rsid w:val="00E45235"/>
    <w:rsid w:val="00E5415B"/>
    <w:rsid w:val="00E54F1B"/>
    <w:rsid w:val="00E6412C"/>
    <w:rsid w:val="00E72831"/>
    <w:rsid w:val="00E90686"/>
    <w:rsid w:val="00E90F74"/>
    <w:rsid w:val="00EB61A9"/>
    <w:rsid w:val="00EC7A26"/>
    <w:rsid w:val="00ED1765"/>
    <w:rsid w:val="00ED1AD5"/>
    <w:rsid w:val="00EF7A19"/>
    <w:rsid w:val="00F07414"/>
    <w:rsid w:val="00F10C55"/>
    <w:rsid w:val="00F269DD"/>
    <w:rsid w:val="00F37F74"/>
    <w:rsid w:val="00F52463"/>
    <w:rsid w:val="00F754A5"/>
    <w:rsid w:val="00FE223A"/>
    <w:rsid w:val="00FE6C13"/>
    <w:rsid w:val="00FF79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E5415B"/>
    <w:pPr>
      <w:tabs>
        <w:tab w:val="center" w:pos="4153"/>
        <w:tab w:val="right" w:pos="8306"/>
      </w:tabs>
    </w:pPr>
  </w:style>
  <w:style w:type="character" w:customStyle="1" w:styleId="HeaderChar">
    <w:name w:val="Header Char"/>
    <w:basedOn w:val="DefaultParagraphFont"/>
    <w:link w:val="Header"/>
    <w:uiPriority w:val="99"/>
    <w:rsid w:val="00E5415B"/>
  </w:style>
  <w:style w:type="paragraph" w:styleId="Footer">
    <w:name w:val="footer"/>
    <w:basedOn w:val="Normal"/>
    <w:link w:val="FooterChar"/>
    <w:uiPriority w:val="99"/>
    <w:unhideWhenUsed/>
    <w:rsid w:val="00E5415B"/>
    <w:pPr>
      <w:tabs>
        <w:tab w:val="center" w:pos="4153"/>
        <w:tab w:val="right" w:pos="8306"/>
      </w:tabs>
    </w:pPr>
  </w:style>
  <w:style w:type="character" w:customStyle="1" w:styleId="FooterChar">
    <w:name w:val="Footer Char"/>
    <w:basedOn w:val="DefaultParagraphFont"/>
    <w:link w:val="Footer"/>
    <w:uiPriority w:val="99"/>
    <w:rsid w:val="00E5415B"/>
  </w:style>
  <w:style w:type="paragraph" w:styleId="BalloonText">
    <w:name w:val="Balloon Text"/>
    <w:basedOn w:val="Normal"/>
    <w:link w:val="BalloonTextChar"/>
    <w:uiPriority w:val="99"/>
    <w:semiHidden/>
    <w:unhideWhenUsed/>
    <w:rsid w:val="00E5415B"/>
    <w:rPr>
      <w:rFonts w:ascii="Tahoma" w:hAnsi="Tahoma" w:cs="Tahoma"/>
      <w:sz w:val="16"/>
      <w:szCs w:val="16"/>
    </w:rPr>
  </w:style>
  <w:style w:type="character" w:customStyle="1" w:styleId="BalloonTextChar">
    <w:name w:val="Balloon Text Char"/>
    <w:basedOn w:val="DefaultParagraphFont"/>
    <w:link w:val="BalloonText"/>
    <w:uiPriority w:val="99"/>
    <w:semiHidden/>
    <w:rsid w:val="00E5415B"/>
    <w:rPr>
      <w:rFonts w:ascii="Tahoma" w:hAnsi="Tahoma" w:cs="Tahoma"/>
      <w:sz w:val="16"/>
      <w:szCs w:val="16"/>
    </w:rPr>
  </w:style>
  <w:style w:type="character" w:styleId="CommentReference">
    <w:name w:val="annotation reference"/>
    <w:basedOn w:val="DefaultParagraphFont"/>
    <w:uiPriority w:val="99"/>
    <w:semiHidden/>
    <w:unhideWhenUsed/>
    <w:rsid w:val="006872C2"/>
    <w:rPr>
      <w:sz w:val="16"/>
      <w:szCs w:val="16"/>
    </w:rPr>
  </w:style>
  <w:style w:type="paragraph" w:styleId="CommentText">
    <w:name w:val="annotation text"/>
    <w:basedOn w:val="Normal"/>
    <w:link w:val="CommentTextChar"/>
    <w:uiPriority w:val="99"/>
    <w:semiHidden/>
    <w:unhideWhenUsed/>
    <w:rsid w:val="006872C2"/>
    <w:rPr>
      <w:sz w:val="20"/>
      <w:szCs w:val="20"/>
    </w:rPr>
  </w:style>
  <w:style w:type="character" w:customStyle="1" w:styleId="CommentTextChar">
    <w:name w:val="Comment Text Char"/>
    <w:basedOn w:val="DefaultParagraphFont"/>
    <w:link w:val="CommentText"/>
    <w:uiPriority w:val="99"/>
    <w:semiHidden/>
    <w:rsid w:val="006872C2"/>
    <w:rPr>
      <w:sz w:val="20"/>
      <w:szCs w:val="20"/>
    </w:rPr>
  </w:style>
  <w:style w:type="paragraph" w:styleId="CommentSubject">
    <w:name w:val="annotation subject"/>
    <w:basedOn w:val="CommentText"/>
    <w:next w:val="CommentText"/>
    <w:link w:val="CommentSubjectChar"/>
    <w:uiPriority w:val="99"/>
    <w:semiHidden/>
    <w:unhideWhenUsed/>
    <w:rsid w:val="006872C2"/>
    <w:rPr>
      <w:b/>
      <w:bCs/>
    </w:rPr>
  </w:style>
  <w:style w:type="character" w:customStyle="1" w:styleId="CommentSubjectChar">
    <w:name w:val="Comment Subject Char"/>
    <w:basedOn w:val="CommentTextChar"/>
    <w:link w:val="CommentSubject"/>
    <w:uiPriority w:val="99"/>
    <w:semiHidden/>
    <w:rsid w:val="006872C2"/>
    <w:rPr>
      <w:b/>
      <w:bCs/>
      <w:sz w:val="20"/>
      <w:szCs w:val="20"/>
    </w:rPr>
  </w:style>
  <w:style w:type="paragraph" w:customStyle="1" w:styleId="tv2132">
    <w:name w:val="tv2132"/>
    <w:basedOn w:val="Normal"/>
    <w:rsid w:val="00D2024F"/>
    <w:pPr>
      <w:spacing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E5415B"/>
    <w:pPr>
      <w:tabs>
        <w:tab w:val="center" w:pos="4153"/>
        <w:tab w:val="right" w:pos="8306"/>
      </w:tabs>
    </w:pPr>
  </w:style>
  <w:style w:type="character" w:customStyle="1" w:styleId="HeaderChar">
    <w:name w:val="Header Char"/>
    <w:basedOn w:val="DefaultParagraphFont"/>
    <w:link w:val="Header"/>
    <w:uiPriority w:val="99"/>
    <w:rsid w:val="00E5415B"/>
  </w:style>
  <w:style w:type="paragraph" w:styleId="Footer">
    <w:name w:val="footer"/>
    <w:basedOn w:val="Normal"/>
    <w:link w:val="FooterChar"/>
    <w:uiPriority w:val="99"/>
    <w:unhideWhenUsed/>
    <w:rsid w:val="00E5415B"/>
    <w:pPr>
      <w:tabs>
        <w:tab w:val="center" w:pos="4153"/>
        <w:tab w:val="right" w:pos="8306"/>
      </w:tabs>
    </w:pPr>
  </w:style>
  <w:style w:type="character" w:customStyle="1" w:styleId="FooterChar">
    <w:name w:val="Footer Char"/>
    <w:basedOn w:val="DefaultParagraphFont"/>
    <w:link w:val="Footer"/>
    <w:uiPriority w:val="99"/>
    <w:rsid w:val="00E5415B"/>
  </w:style>
  <w:style w:type="paragraph" w:styleId="BalloonText">
    <w:name w:val="Balloon Text"/>
    <w:basedOn w:val="Normal"/>
    <w:link w:val="BalloonTextChar"/>
    <w:uiPriority w:val="99"/>
    <w:semiHidden/>
    <w:unhideWhenUsed/>
    <w:rsid w:val="00E5415B"/>
    <w:rPr>
      <w:rFonts w:ascii="Tahoma" w:hAnsi="Tahoma" w:cs="Tahoma"/>
      <w:sz w:val="16"/>
      <w:szCs w:val="16"/>
    </w:rPr>
  </w:style>
  <w:style w:type="character" w:customStyle="1" w:styleId="BalloonTextChar">
    <w:name w:val="Balloon Text Char"/>
    <w:basedOn w:val="DefaultParagraphFont"/>
    <w:link w:val="BalloonText"/>
    <w:uiPriority w:val="99"/>
    <w:semiHidden/>
    <w:rsid w:val="00E5415B"/>
    <w:rPr>
      <w:rFonts w:ascii="Tahoma" w:hAnsi="Tahoma" w:cs="Tahoma"/>
      <w:sz w:val="16"/>
      <w:szCs w:val="16"/>
    </w:rPr>
  </w:style>
  <w:style w:type="character" w:styleId="CommentReference">
    <w:name w:val="annotation reference"/>
    <w:basedOn w:val="DefaultParagraphFont"/>
    <w:uiPriority w:val="99"/>
    <w:semiHidden/>
    <w:unhideWhenUsed/>
    <w:rsid w:val="006872C2"/>
    <w:rPr>
      <w:sz w:val="16"/>
      <w:szCs w:val="16"/>
    </w:rPr>
  </w:style>
  <w:style w:type="paragraph" w:styleId="CommentText">
    <w:name w:val="annotation text"/>
    <w:basedOn w:val="Normal"/>
    <w:link w:val="CommentTextChar"/>
    <w:uiPriority w:val="99"/>
    <w:semiHidden/>
    <w:unhideWhenUsed/>
    <w:rsid w:val="006872C2"/>
    <w:rPr>
      <w:sz w:val="20"/>
      <w:szCs w:val="20"/>
    </w:rPr>
  </w:style>
  <w:style w:type="character" w:customStyle="1" w:styleId="CommentTextChar">
    <w:name w:val="Comment Text Char"/>
    <w:basedOn w:val="DefaultParagraphFont"/>
    <w:link w:val="CommentText"/>
    <w:uiPriority w:val="99"/>
    <w:semiHidden/>
    <w:rsid w:val="006872C2"/>
    <w:rPr>
      <w:sz w:val="20"/>
      <w:szCs w:val="20"/>
    </w:rPr>
  </w:style>
  <w:style w:type="paragraph" w:styleId="CommentSubject">
    <w:name w:val="annotation subject"/>
    <w:basedOn w:val="CommentText"/>
    <w:next w:val="CommentText"/>
    <w:link w:val="CommentSubjectChar"/>
    <w:uiPriority w:val="99"/>
    <w:semiHidden/>
    <w:unhideWhenUsed/>
    <w:rsid w:val="006872C2"/>
    <w:rPr>
      <w:b/>
      <w:bCs/>
    </w:rPr>
  </w:style>
  <w:style w:type="character" w:customStyle="1" w:styleId="CommentSubjectChar">
    <w:name w:val="Comment Subject Char"/>
    <w:basedOn w:val="CommentTextChar"/>
    <w:link w:val="CommentSubject"/>
    <w:uiPriority w:val="99"/>
    <w:semiHidden/>
    <w:rsid w:val="006872C2"/>
    <w:rPr>
      <w:b/>
      <w:bCs/>
      <w:sz w:val="20"/>
      <w:szCs w:val="20"/>
    </w:rPr>
  </w:style>
  <w:style w:type="paragraph" w:customStyle="1" w:styleId="tv2132">
    <w:name w:val="tv2132"/>
    <w:basedOn w:val="Normal"/>
    <w:rsid w:val="00D2024F"/>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3218">
      <w:bodyDiv w:val="1"/>
      <w:marLeft w:val="0"/>
      <w:marRight w:val="0"/>
      <w:marTop w:val="0"/>
      <w:marBottom w:val="0"/>
      <w:divBdr>
        <w:top w:val="none" w:sz="0" w:space="0" w:color="auto"/>
        <w:left w:val="none" w:sz="0" w:space="0" w:color="auto"/>
        <w:bottom w:val="none" w:sz="0" w:space="0" w:color="auto"/>
        <w:right w:val="none" w:sz="0" w:space="0" w:color="auto"/>
      </w:divBdr>
    </w:div>
    <w:div w:id="1043552818">
      <w:bodyDiv w:val="1"/>
      <w:marLeft w:val="0"/>
      <w:marRight w:val="0"/>
      <w:marTop w:val="0"/>
      <w:marBottom w:val="0"/>
      <w:divBdr>
        <w:top w:val="none" w:sz="0" w:space="0" w:color="auto"/>
        <w:left w:val="none" w:sz="0" w:space="0" w:color="auto"/>
        <w:bottom w:val="none" w:sz="0" w:space="0" w:color="auto"/>
        <w:right w:val="none" w:sz="0" w:space="0" w:color="auto"/>
      </w:divBdr>
      <w:divsChild>
        <w:div w:id="1563054878">
          <w:marLeft w:val="0"/>
          <w:marRight w:val="0"/>
          <w:marTop w:val="0"/>
          <w:marBottom w:val="0"/>
          <w:divBdr>
            <w:top w:val="none" w:sz="0" w:space="0" w:color="auto"/>
            <w:left w:val="none" w:sz="0" w:space="0" w:color="auto"/>
            <w:bottom w:val="none" w:sz="0" w:space="0" w:color="auto"/>
            <w:right w:val="none" w:sz="0" w:space="0" w:color="auto"/>
          </w:divBdr>
          <w:divsChild>
            <w:div w:id="620649010">
              <w:marLeft w:val="0"/>
              <w:marRight w:val="0"/>
              <w:marTop w:val="0"/>
              <w:marBottom w:val="0"/>
              <w:divBdr>
                <w:top w:val="none" w:sz="0" w:space="0" w:color="auto"/>
                <w:left w:val="none" w:sz="0" w:space="0" w:color="auto"/>
                <w:bottom w:val="none" w:sz="0" w:space="0" w:color="auto"/>
                <w:right w:val="none" w:sz="0" w:space="0" w:color="auto"/>
              </w:divBdr>
              <w:divsChild>
                <w:div w:id="818038506">
                  <w:marLeft w:val="0"/>
                  <w:marRight w:val="0"/>
                  <w:marTop w:val="0"/>
                  <w:marBottom w:val="0"/>
                  <w:divBdr>
                    <w:top w:val="none" w:sz="0" w:space="0" w:color="auto"/>
                    <w:left w:val="none" w:sz="0" w:space="0" w:color="auto"/>
                    <w:bottom w:val="none" w:sz="0" w:space="0" w:color="auto"/>
                    <w:right w:val="none" w:sz="0" w:space="0" w:color="auto"/>
                  </w:divBdr>
                  <w:divsChild>
                    <w:div w:id="288827926">
                      <w:marLeft w:val="0"/>
                      <w:marRight w:val="0"/>
                      <w:marTop w:val="0"/>
                      <w:marBottom w:val="0"/>
                      <w:divBdr>
                        <w:top w:val="none" w:sz="0" w:space="0" w:color="auto"/>
                        <w:left w:val="none" w:sz="0" w:space="0" w:color="auto"/>
                        <w:bottom w:val="none" w:sz="0" w:space="0" w:color="auto"/>
                        <w:right w:val="none" w:sz="0" w:space="0" w:color="auto"/>
                      </w:divBdr>
                      <w:divsChild>
                        <w:div w:id="298339802">
                          <w:marLeft w:val="0"/>
                          <w:marRight w:val="0"/>
                          <w:marTop w:val="0"/>
                          <w:marBottom w:val="0"/>
                          <w:divBdr>
                            <w:top w:val="none" w:sz="0" w:space="0" w:color="auto"/>
                            <w:left w:val="none" w:sz="0" w:space="0" w:color="auto"/>
                            <w:bottom w:val="none" w:sz="0" w:space="0" w:color="auto"/>
                            <w:right w:val="none" w:sz="0" w:space="0" w:color="auto"/>
                          </w:divBdr>
                          <w:divsChild>
                            <w:div w:id="727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3824">
      <w:bodyDiv w:val="1"/>
      <w:marLeft w:val="0"/>
      <w:marRight w:val="0"/>
      <w:marTop w:val="0"/>
      <w:marBottom w:val="0"/>
      <w:divBdr>
        <w:top w:val="none" w:sz="0" w:space="0" w:color="auto"/>
        <w:left w:val="none" w:sz="0" w:space="0" w:color="auto"/>
        <w:bottom w:val="none" w:sz="0" w:space="0" w:color="auto"/>
        <w:right w:val="none" w:sz="0" w:space="0" w:color="auto"/>
      </w:divBdr>
      <w:divsChild>
        <w:div w:id="528105015">
          <w:marLeft w:val="0"/>
          <w:marRight w:val="0"/>
          <w:marTop w:val="0"/>
          <w:marBottom w:val="0"/>
          <w:divBdr>
            <w:top w:val="none" w:sz="0" w:space="0" w:color="auto"/>
            <w:left w:val="none" w:sz="0" w:space="0" w:color="auto"/>
            <w:bottom w:val="none" w:sz="0" w:space="0" w:color="auto"/>
            <w:right w:val="none" w:sz="0" w:space="0" w:color="auto"/>
          </w:divBdr>
          <w:divsChild>
            <w:div w:id="749426468">
              <w:marLeft w:val="0"/>
              <w:marRight w:val="0"/>
              <w:marTop w:val="0"/>
              <w:marBottom w:val="0"/>
              <w:divBdr>
                <w:top w:val="none" w:sz="0" w:space="0" w:color="auto"/>
                <w:left w:val="none" w:sz="0" w:space="0" w:color="auto"/>
                <w:bottom w:val="none" w:sz="0" w:space="0" w:color="auto"/>
                <w:right w:val="none" w:sz="0" w:space="0" w:color="auto"/>
              </w:divBdr>
              <w:divsChild>
                <w:div w:id="123625586">
                  <w:marLeft w:val="0"/>
                  <w:marRight w:val="0"/>
                  <w:marTop w:val="0"/>
                  <w:marBottom w:val="0"/>
                  <w:divBdr>
                    <w:top w:val="none" w:sz="0" w:space="0" w:color="auto"/>
                    <w:left w:val="none" w:sz="0" w:space="0" w:color="auto"/>
                    <w:bottom w:val="none" w:sz="0" w:space="0" w:color="auto"/>
                    <w:right w:val="none" w:sz="0" w:space="0" w:color="auto"/>
                  </w:divBdr>
                  <w:divsChild>
                    <w:div w:id="1058628011">
                      <w:marLeft w:val="0"/>
                      <w:marRight w:val="0"/>
                      <w:marTop w:val="0"/>
                      <w:marBottom w:val="0"/>
                      <w:divBdr>
                        <w:top w:val="none" w:sz="0" w:space="0" w:color="auto"/>
                        <w:left w:val="none" w:sz="0" w:space="0" w:color="auto"/>
                        <w:bottom w:val="none" w:sz="0" w:space="0" w:color="auto"/>
                        <w:right w:val="none" w:sz="0" w:space="0" w:color="auto"/>
                      </w:divBdr>
                      <w:divsChild>
                        <w:div w:id="1904826172">
                          <w:marLeft w:val="0"/>
                          <w:marRight w:val="0"/>
                          <w:marTop w:val="0"/>
                          <w:marBottom w:val="0"/>
                          <w:divBdr>
                            <w:top w:val="none" w:sz="0" w:space="0" w:color="auto"/>
                            <w:left w:val="none" w:sz="0" w:space="0" w:color="auto"/>
                            <w:bottom w:val="none" w:sz="0" w:space="0" w:color="auto"/>
                            <w:right w:val="none" w:sz="0" w:space="0" w:color="auto"/>
                          </w:divBdr>
                          <w:divsChild>
                            <w:div w:id="9958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Bankovic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304A-EB1A-4083-A022-BDBA0462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1729</Words>
  <Characters>986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Elektronisko sakaru likumā</vt:lpstr>
    </vt:vector>
  </TitlesOfParts>
  <Company>Satiksmes ministrija</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sakaru likumā</dc:title>
  <dc:subject>likumrpojekts</dc:subject>
  <dc:creator>D.Bankoviča</dc:creator>
  <dc:description>t.67028111</dc:description>
  <cp:lastModifiedBy>Dace Bankoviča</cp:lastModifiedBy>
  <cp:revision>12</cp:revision>
  <cp:lastPrinted>2017-07-03T06:29:00Z</cp:lastPrinted>
  <dcterms:created xsi:type="dcterms:W3CDTF">2017-09-01T07:19:00Z</dcterms:created>
  <dcterms:modified xsi:type="dcterms:W3CDTF">2017-09-18T11:37:00Z</dcterms:modified>
</cp:coreProperties>
</file>