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5DBDE" w14:textId="77777777" w:rsidR="00CE3FA6" w:rsidRDefault="00CE3FA6" w:rsidP="008E07E8">
      <w:pPr>
        <w:pStyle w:val="BodyText"/>
        <w:tabs>
          <w:tab w:val="left" w:pos="6480"/>
        </w:tabs>
        <w:ind w:right="-1"/>
        <w:jc w:val="left"/>
        <w:rPr>
          <w:b w:val="0"/>
          <w:bCs w:val="0"/>
          <w:lang w:val="lv-LV" w:eastAsia="lv-LV"/>
        </w:rPr>
      </w:pPr>
    </w:p>
    <w:p w14:paraId="3A747970" w14:textId="77777777" w:rsidR="001F1FCE" w:rsidRPr="001F1FCE" w:rsidRDefault="001F1FCE" w:rsidP="008E07E8">
      <w:pPr>
        <w:pStyle w:val="BodyText"/>
        <w:tabs>
          <w:tab w:val="left" w:pos="6480"/>
        </w:tabs>
        <w:ind w:right="-1"/>
        <w:jc w:val="left"/>
        <w:rPr>
          <w:b w:val="0"/>
          <w:bCs w:val="0"/>
          <w:lang w:val="lv-LV" w:eastAsia="lv-LV"/>
        </w:rPr>
      </w:pPr>
    </w:p>
    <w:p w14:paraId="2420935C" w14:textId="28765CEF" w:rsidR="001F1FCE" w:rsidRPr="001F1FCE" w:rsidRDefault="001F1FCE" w:rsidP="00693240">
      <w:pPr>
        <w:tabs>
          <w:tab w:val="left" w:pos="6804"/>
        </w:tabs>
        <w:rPr>
          <w:rFonts w:ascii="Times New Roman" w:hAnsi="Times New Roman"/>
          <w:sz w:val="28"/>
          <w:szCs w:val="28"/>
        </w:rPr>
      </w:pPr>
      <w:r w:rsidRPr="001F1FCE">
        <w:rPr>
          <w:rFonts w:ascii="Times New Roman" w:hAnsi="Times New Roman"/>
          <w:sz w:val="28"/>
          <w:szCs w:val="28"/>
        </w:rPr>
        <w:t xml:space="preserve">2017. gada </w:t>
      </w:r>
      <w:r w:rsidR="00420FF6">
        <w:rPr>
          <w:rFonts w:ascii="Times New Roman" w:hAnsi="Times New Roman"/>
          <w:sz w:val="28"/>
          <w:szCs w:val="28"/>
        </w:rPr>
        <w:t>17. oktobrī</w:t>
      </w:r>
      <w:r w:rsidRPr="001F1FCE">
        <w:rPr>
          <w:rFonts w:ascii="Times New Roman" w:hAnsi="Times New Roman"/>
          <w:sz w:val="28"/>
          <w:szCs w:val="28"/>
        </w:rPr>
        <w:tab/>
        <w:t>Noteikumi Nr.</w:t>
      </w:r>
      <w:r w:rsidR="00420FF6">
        <w:rPr>
          <w:rFonts w:ascii="Times New Roman" w:hAnsi="Times New Roman"/>
          <w:sz w:val="28"/>
          <w:szCs w:val="28"/>
        </w:rPr>
        <w:t> 626</w:t>
      </w:r>
    </w:p>
    <w:p w14:paraId="10C1EF37" w14:textId="56840DE1" w:rsidR="001F1FCE" w:rsidRPr="001F1FCE" w:rsidRDefault="001F1FCE" w:rsidP="00693240">
      <w:pPr>
        <w:tabs>
          <w:tab w:val="left" w:pos="6804"/>
        </w:tabs>
        <w:rPr>
          <w:rFonts w:ascii="Times New Roman" w:hAnsi="Times New Roman"/>
          <w:sz w:val="28"/>
          <w:szCs w:val="28"/>
        </w:rPr>
      </w:pPr>
      <w:r w:rsidRPr="001F1FCE">
        <w:rPr>
          <w:rFonts w:ascii="Times New Roman" w:hAnsi="Times New Roman"/>
          <w:sz w:val="28"/>
          <w:szCs w:val="28"/>
        </w:rPr>
        <w:t>Rīgā</w:t>
      </w:r>
      <w:r w:rsidRPr="001F1FCE">
        <w:rPr>
          <w:rFonts w:ascii="Times New Roman" w:hAnsi="Times New Roman"/>
          <w:sz w:val="28"/>
          <w:szCs w:val="28"/>
        </w:rPr>
        <w:tab/>
        <w:t>(prot. Nr. </w:t>
      </w:r>
      <w:r w:rsidR="00420FF6">
        <w:rPr>
          <w:rFonts w:ascii="Times New Roman" w:hAnsi="Times New Roman"/>
          <w:sz w:val="28"/>
          <w:szCs w:val="28"/>
        </w:rPr>
        <w:t>51</w:t>
      </w:r>
      <w:r w:rsidRPr="001F1FCE">
        <w:rPr>
          <w:rFonts w:ascii="Times New Roman" w:hAnsi="Times New Roman"/>
          <w:sz w:val="28"/>
          <w:szCs w:val="28"/>
        </w:rPr>
        <w:t> </w:t>
      </w:r>
      <w:r w:rsidR="00420FF6">
        <w:rPr>
          <w:rFonts w:ascii="Times New Roman" w:hAnsi="Times New Roman"/>
          <w:sz w:val="28"/>
          <w:szCs w:val="28"/>
        </w:rPr>
        <w:t>14</w:t>
      </w:r>
      <w:bookmarkStart w:id="0" w:name="_GoBack"/>
      <w:bookmarkEnd w:id="0"/>
      <w:r w:rsidRPr="001F1FCE">
        <w:rPr>
          <w:rFonts w:ascii="Times New Roman" w:hAnsi="Times New Roman"/>
          <w:sz w:val="28"/>
          <w:szCs w:val="28"/>
        </w:rPr>
        <w:t>. §)</w:t>
      </w:r>
    </w:p>
    <w:p w14:paraId="57B5887D" w14:textId="77777777" w:rsidR="00344FCE" w:rsidRPr="001F1FCE" w:rsidRDefault="00344FCE" w:rsidP="008E07E8">
      <w:pPr>
        <w:ind w:right="-1"/>
        <w:jc w:val="center"/>
        <w:rPr>
          <w:rFonts w:ascii="Times New Roman" w:hAnsi="Times New Roman"/>
          <w:szCs w:val="28"/>
        </w:rPr>
      </w:pPr>
    </w:p>
    <w:p w14:paraId="04A31B5A" w14:textId="77777777" w:rsidR="004E6C34" w:rsidRDefault="00344FCE" w:rsidP="008E07E8">
      <w:pPr>
        <w:ind w:right="-1"/>
        <w:jc w:val="center"/>
        <w:rPr>
          <w:rFonts w:ascii="Times New Roman" w:hAnsi="Times New Roman"/>
          <w:b/>
          <w:sz w:val="28"/>
          <w:szCs w:val="28"/>
        </w:rPr>
      </w:pPr>
      <w:r w:rsidRPr="001511DF">
        <w:rPr>
          <w:rFonts w:ascii="Times New Roman" w:hAnsi="Times New Roman"/>
          <w:b/>
          <w:sz w:val="28"/>
          <w:szCs w:val="28"/>
        </w:rPr>
        <w:t>Grozījum</w:t>
      </w:r>
      <w:r w:rsidR="000B4597" w:rsidRPr="001511DF">
        <w:rPr>
          <w:rFonts w:ascii="Times New Roman" w:hAnsi="Times New Roman"/>
          <w:b/>
          <w:sz w:val="28"/>
          <w:szCs w:val="28"/>
        </w:rPr>
        <w:t>s</w:t>
      </w:r>
      <w:r w:rsidRPr="001511DF">
        <w:rPr>
          <w:rFonts w:ascii="Times New Roman" w:hAnsi="Times New Roman"/>
          <w:b/>
          <w:sz w:val="28"/>
          <w:szCs w:val="28"/>
        </w:rPr>
        <w:t xml:space="preserve"> Ministru kabineta 2016.</w:t>
      </w:r>
      <w:r w:rsidR="00CE3FA6" w:rsidRPr="001511DF">
        <w:rPr>
          <w:rFonts w:ascii="Times New Roman" w:hAnsi="Times New Roman"/>
          <w:b/>
          <w:sz w:val="28"/>
          <w:szCs w:val="28"/>
        </w:rPr>
        <w:t xml:space="preserve"> </w:t>
      </w:r>
      <w:r w:rsidRPr="001511DF">
        <w:rPr>
          <w:rFonts w:ascii="Times New Roman" w:hAnsi="Times New Roman"/>
          <w:b/>
          <w:sz w:val="28"/>
          <w:szCs w:val="28"/>
        </w:rPr>
        <w:t>gada 30.</w:t>
      </w:r>
      <w:r w:rsidR="00CE3FA6" w:rsidRPr="001511DF">
        <w:rPr>
          <w:rFonts w:ascii="Times New Roman" w:hAnsi="Times New Roman"/>
          <w:b/>
          <w:sz w:val="28"/>
          <w:szCs w:val="28"/>
        </w:rPr>
        <w:t xml:space="preserve"> </w:t>
      </w:r>
      <w:r w:rsidRPr="001511DF">
        <w:rPr>
          <w:rFonts w:ascii="Times New Roman" w:hAnsi="Times New Roman"/>
          <w:b/>
          <w:sz w:val="28"/>
          <w:szCs w:val="28"/>
        </w:rPr>
        <w:t>augusta noteikumos Nr.</w:t>
      </w:r>
      <w:r w:rsidR="004E6C34">
        <w:rPr>
          <w:rFonts w:ascii="Times New Roman" w:hAnsi="Times New Roman"/>
          <w:b/>
          <w:sz w:val="28"/>
          <w:szCs w:val="28"/>
        </w:rPr>
        <w:t> </w:t>
      </w:r>
      <w:r w:rsidRPr="001511DF">
        <w:rPr>
          <w:rFonts w:ascii="Times New Roman" w:hAnsi="Times New Roman"/>
          <w:b/>
          <w:sz w:val="28"/>
          <w:szCs w:val="28"/>
        </w:rPr>
        <w:t>587 "</w:t>
      </w:r>
      <w:r w:rsidR="00CE3FA6" w:rsidRPr="001511DF">
        <w:rPr>
          <w:rFonts w:ascii="Times New Roman" w:hAnsi="Times New Roman"/>
          <w:b/>
          <w:sz w:val="28"/>
          <w:szCs w:val="28"/>
        </w:rPr>
        <w:t>Darbības programmas "Izaugsme un nodarbinātība" 6.1.4. specifiskā atbalsta mērķa "Pilsētu infrastruktūras sa</w:t>
      </w:r>
      <w:r w:rsidR="004E6C34">
        <w:rPr>
          <w:rFonts w:ascii="Times New Roman" w:hAnsi="Times New Roman"/>
          <w:b/>
          <w:sz w:val="28"/>
          <w:szCs w:val="28"/>
        </w:rPr>
        <w:t>saiste ar TEN-T tīklu" 6.1.4.2. </w:t>
      </w:r>
      <w:r w:rsidR="00CE3FA6" w:rsidRPr="001511DF">
        <w:rPr>
          <w:rFonts w:ascii="Times New Roman" w:hAnsi="Times New Roman"/>
          <w:b/>
          <w:sz w:val="28"/>
          <w:szCs w:val="28"/>
        </w:rPr>
        <w:t xml:space="preserve">pasākuma "Nacionālas nozīmes attīstības centru integrēšana </w:t>
      </w:r>
    </w:p>
    <w:p w14:paraId="6A421021" w14:textId="005D0911" w:rsidR="00344FCE" w:rsidRPr="001511DF" w:rsidRDefault="00CE3FA6" w:rsidP="008E07E8">
      <w:pPr>
        <w:ind w:right="-1"/>
        <w:jc w:val="center"/>
        <w:rPr>
          <w:rFonts w:ascii="Times New Roman" w:hAnsi="Times New Roman"/>
          <w:b/>
          <w:sz w:val="28"/>
          <w:szCs w:val="28"/>
        </w:rPr>
      </w:pPr>
      <w:r w:rsidRPr="001511DF">
        <w:rPr>
          <w:rFonts w:ascii="Times New Roman" w:hAnsi="Times New Roman"/>
          <w:b/>
          <w:sz w:val="28"/>
          <w:szCs w:val="28"/>
        </w:rPr>
        <w:t>TEN-T tīklā" īstenošanas noteikumi</w:t>
      </w:r>
      <w:r w:rsidR="00E6500E" w:rsidRPr="001511DF">
        <w:rPr>
          <w:rFonts w:ascii="Times New Roman" w:hAnsi="Times New Roman"/>
          <w:b/>
          <w:sz w:val="28"/>
          <w:szCs w:val="28"/>
        </w:rPr>
        <w:t>"</w:t>
      </w:r>
    </w:p>
    <w:p w14:paraId="3BACE092" w14:textId="77777777" w:rsidR="003C50BD" w:rsidRPr="001511DF" w:rsidRDefault="003C50BD" w:rsidP="008E07E8">
      <w:pPr>
        <w:ind w:right="-1"/>
        <w:jc w:val="right"/>
        <w:rPr>
          <w:rFonts w:ascii="Times New Roman" w:hAnsi="Times New Roman"/>
          <w:sz w:val="28"/>
          <w:szCs w:val="28"/>
        </w:rPr>
      </w:pPr>
    </w:p>
    <w:p w14:paraId="723020F2" w14:textId="77777777" w:rsidR="00344FCE" w:rsidRPr="001F1FCE" w:rsidRDefault="00344FCE" w:rsidP="00CE3FA6">
      <w:pPr>
        <w:ind w:right="-1"/>
        <w:jc w:val="right"/>
        <w:rPr>
          <w:rFonts w:ascii="Times New Roman" w:hAnsi="Times New Roman"/>
          <w:sz w:val="28"/>
          <w:szCs w:val="28"/>
        </w:rPr>
      </w:pPr>
      <w:r w:rsidRPr="001F1FCE">
        <w:rPr>
          <w:rFonts w:ascii="Times New Roman" w:hAnsi="Times New Roman"/>
          <w:sz w:val="28"/>
          <w:szCs w:val="28"/>
        </w:rPr>
        <w:t>Izdoti saskaņā ar</w:t>
      </w:r>
      <w:r w:rsidR="00CE3FA6" w:rsidRPr="001F1FCE">
        <w:rPr>
          <w:rFonts w:ascii="Times New Roman" w:hAnsi="Times New Roman"/>
          <w:sz w:val="28"/>
          <w:szCs w:val="28"/>
        </w:rPr>
        <w:t xml:space="preserve"> </w:t>
      </w:r>
      <w:r w:rsidRPr="001F1FCE">
        <w:rPr>
          <w:rFonts w:ascii="Times New Roman" w:hAnsi="Times New Roman"/>
          <w:sz w:val="28"/>
          <w:szCs w:val="28"/>
        </w:rPr>
        <w:t>Eiropas Savienības struktūrfondu un</w:t>
      </w:r>
    </w:p>
    <w:p w14:paraId="3B6CD0EF" w14:textId="77777777" w:rsidR="00344FCE" w:rsidRPr="001F1FCE" w:rsidRDefault="00344FCE" w:rsidP="008E07E8">
      <w:pPr>
        <w:ind w:right="-1"/>
        <w:jc w:val="right"/>
        <w:rPr>
          <w:rFonts w:ascii="Times New Roman" w:hAnsi="Times New Roman"/>
          <w:sz w:val="28"/>
          <w:szCs w:val="28"/>
        </w:rPr>
      </w:pPr>
      <w:r w:rsidRPr="001F1FCE">
        <w:rPr>
          <w:rFonts w:ascii="Times New Roman" w:hAnsi="Times New Roman"/>
          <w:sz w:val="28"/>
          <w:szCs w:val="28"/>
        </w:rPr>
        <w:t>Kohēzijas fonda 2014.–2020. gada plānošanas perioda</w:t>
      </w:r>
    </w:p>
    <w:p w14:paraId="589845C0" w14:textId="77777777" w:rsidR="00344FCE" w:rsidRPr="001F1FCE" w:rsidRDefault="00344FCE" w:rsidP="008E07E8">
      <w:pPr>
        <w:ind w:right="-1"/>
        <w:jc w:val="right"/>
        <w:rPr>
          <w:rFonts w:ascii="Times New Roman" w:hAnsi="Times New Roman"/>
          <w:sz w:val="28"/>
          <w:szCs w:val="28"/>
        </w:rPr>
      </w:pPr>
      <w:r w:rsidRPr="001F1FCE">
        <w:rPr>
          <w:rFonts w:ascii="Times New Roman" w:hAnsi="Times New Roman"/>
          <w:sz w:val="28"/>
          <w:szCs w:val="28"/>
        </w:rPr>
        <w:t>vadības likuma 20. panta 6. un 13. punktu</w:t>
      </w:r>
    </w:p>
    <w:p w14:paraId="64B8CA4A" w14:textId="77777777" w:rsidR="00344FCE" w:rsidRPr="001F1FCE" w:rsidRDefault="00344FCE" w:rsidP="008E07E8">
      <w:pPr>
        <w:pStyle w:val="naisc"/>
        <w:spacing w:before="0" w:beforeAutospacing="0" w:after="0" w:afterAutospacing="0"/>
        <w:ind w:right="-1"/>
        <w:jc w:val="left"/>
        <w:rPr>
          <w:bCs/>
          <w:sz w:val="24"/>
          <w:szCs w:val="24"/>
          <w:lang w:val="lv-LV"/>
        </w:rPr>
      </w:pPr>
    </w:p>
    <w:p w14:paraId="2035562C" w14:textId="4538E2BA" w:rsidR="003C50BD" w:rsidRPr="001511DF" w:rsidRDefault="00344FCE" w:rsidP="008E07E8">
      <w:pPr>
        <w:pStyle w:val="naisf"/>
        <w:spacing w:before="0" w:beforeAutospacing="0" w:after="0" w:afterAutospacing="0"/>
        <w:ind w:right="-1" w:firstLine="720"/>
        <w:rPr>
          <w:sz w:val="28"/>
          <w:szCs w:val="28"/>
          <w:lang w:val="lv-LV"/>
        </w:rPr>
      </w:pPr>
      <w:r w:rsidRPr="001511DF">
        <w:rPr>
          <w:sz w:val="28"/>
          <w:szCs w:val="28"/>
          <w:lang w:val="lv-LV"/>
        </w:rPr>
        <w:t xml:space="preserve">Izdarīt Ministru kabineta 2016. gada 30. augusta noteikumos Nr. 587 </w:t>
      </w:r>
      <w:r w:rsidR="00CE3FA6" w:rsidRPr="001511DF">
        <w:rPr>
          <w:sz w:val="28"/>
          <w:szCs w:val="28"/>
          <w:lang w:val="lv-LV"/>
        </w:rPr>
        <w:t>"Darbības programmas "Izaugsme un nodarbinātība" 6.1.4. specifiskā atbalsta mērķa "Pilsētu infrastruktūras sasaiste ar TEN-T tīklu" 6.1.4.2. pasākuma "Nacionālas nozīmes attīstības centru integrēšana TEN-T tīklā" īstenošanas noteikumi"</w:t>
      </w:r>
      <w:r w:rsidRPr="001511DF">
        <w:rPr>
          <w:sz w:val="28"/>
          <w:szCs w:val="28"/>
          <w:lang w:val="lv-LV"/>
        </w:rPr>
        <w:t xml:space="preserve"> (Latvijas Vēstnesis, 2016, 182</w:t>
      </w:r>
      <w:r w:rsidR="003C50BD" w:rsidRPr="001511DF">
        <w:rPr>
          <w:sz w:val="28"/>
          <w:szCs w:val="28"/>
          <w:lang w:val="lv-LV"/>
        </w:rPr>
        <w:t>.</w:t>
      </w:r>
      <w:r w:rsidR="004E6C34">
        <w:rPr>
          <w:sz w:val="28"/>
          <w:szCs w:val="28"/>
          <w:lang w:val="lv-LV"/>
        </w:rPr>
        <w:t> </w:t>
      </w:r>
      <w:r w:rsidR="003C50BD" w:rsidRPr="001511DF">
        <w:rPr>
          <w:sz w:val="28"/>
          <w:szCs w:val="28"/>
          <w:lang w:val="lv-LV"/>
        </w:rPr>
        <w:t>nr.; 2017, 114.</w:t>
      </w:r>
      <w:r w:rsidR="004E6C34">
        <w:rPr>
          <w:sz w:val="28"/>
          <w:szCs w:val="28"/>
          <w:lang w:val="lv-LV"/>
        </w:rPr>
        <w:t> </w:t>
      </w:r>
      <w:r w:rsidR="003C50BD" w:rsidRPr="001511DF">
        <w:rPr>
          <w:sz w:val="28"/>
          <w:szCs w:val="28"/>
          <w:lang w:val="lv-LV"/>
        </w:rPr>
        <w:t>nr.</w:t>
      </w:r>
      <w:r w:rsidRPr="001511DF">
        <w:rPr>
          <w:sz w:val="28"/>
          <w:szCs w:val="28"/>
          <w:lang w:val="lv-LV"/>
        </w:rPr>
        <w:t>) grozījumu un izteikt 30.</w:t>
      </w:r>
      <w:r w:rsidR="007A22B3">
        <w:rPr>
          <w:sz w:val="28"/>
          <w:szCs w:val="28"/>
          <w:lang w:val="lv-LV"/>
        </w:rPr>
        <w:t> </w:t>
      </w:r>
      <w:r w:rsidRPr="001511DF">
        <w:rPr>
          <w:sz w:val="28"/>
          <w:szCs w:val="28"/>
          <w:lang w:val="lv-LV"/>
        </w:rPr>
        <w:t>punktu šādā redakcijā:</w:t>
      </w:r>
    </w:p>
    <w:p w14:paraId="39378EEE" w14:textId="77777777" w:rsidR="003C50BD" w:rsidRPr="001511DF" w:rsidRDefault="003C50BD" w:rsidP="008E07E8">
      <w:pPr>
        <w:pStyle w:val="naisf"/>
        <w:spacing w:before="0" w:beforeAutospacing="0" w:after="0" w:afterAutospacing="0"/>
        <w:ind w:right="-1" w:firstLine="720"/>
        <w:rPr>
          <w:sz w:val="28"/>
          <w:szCs w:val="28"/>
          <w:lang w:val="lv-LV"/>
        </w:rPr>
      </w:pPr>
    </w:p>
    <w:p w14:paraId="23731C1A" w14:textId="16B03CA7" w:rsidR="00344FCE" w:rsidRPr="001511DF" w:rsidRDefault="00CE3FA6" w:rsidP="008E07E8">
      <w:pPr>
        <w:pStyle w:val="naisf"/>
        <w:spacing w:before="0" w:beforeAutospacing="0" w:after="0" w:afterAutospacing="0"/>
        <w:ind w:right="-1" w:firstLine="720"/>
        <w:rPr>
          <w:sz w:val="28"/>
          <w:szCs w:val="28"/>
          <w:lang w:val="lv-LV"/>
        </w:rPr>
      </w:pPr>
      <w:r w:rsidRPr="001511DF">
        <w:rPr>
          <w:sz w:val="28"/>
          <w:szCs w:val="28"/>
          <w:lang w:val="lv-LV"/>
        </w:rPr>
        <w:t>"</w:t>
      </w:r>
      <w:r w:rsidR="007A22B3">
        <w:rPr>
          <w:sz w:val="28"/>
          <w:szCs w:val="28"/>
          <w:lang w:val="lv-LV"/>
        </w:rPr>
        <w:t>30. </w:t>
      </w:r>
      <w:r w:rsidR="00344FCE" w:rsidRPr="001511DF">
        <w:rPr>
          <w:sz w:val="28"/>
          <w:szCs w:val="28"/>
          <w:lang w:val="lv-LV"/>
        </w:rPr>
        <w:t>Pasākuma atbalstāmo darbību ietvaros radušās izmaksas ir attiecināmās izmaksas finansēšanai no Kohēzijas fonda, ja tās atbilst šo noteikumu 23. punktā ietvertajām izmaksu pozīcijām, šo noteikumu 23.4., 23.7., 23.9., 23.15. un 23.18. apakšpunktā un 25., 26. un 27. punktā noteiktajiem ierobežojumiem un ir radušās ne agrāk kā 2016. gada 1. janvārī, izņemot šo noteikumu 23.5., 23.6., 23.7., 23.8., 23.9., 23.12.,</w:t>
      </w:r>
      <w:r w:rsidR="004E6C34">
        <w:rPr>
          <w:sz w:val="28"/>
          <w:szCs w:val="28"/>
          <w:lang w:val="lv-LV"/>
        </w:rPr>
        <w:t xml:space="preserve"> 23.13., 23.14., 23.15., 23.16. </w:t>
      </w:r>
      <w:r w:rsidR="00344FCE" w:rsidRPr="001511DF">
        <w:rPr>
          <w:sz w:val="28"/>
          <w:szCs w:val="28"/>
          <w:lang w:val="lv-LV"/>
        </w:rPr>
        <w:t>un 23.19. apakšpunktā minētās izmaksas, kas ir attiecināmas no dienas, kad projekta iesniedzējs ir iesniedzis projekta iesniegumu sadarbības iestādē.</w:t>
      </w:r>
      <w:r w:rsidRPr="001511DF">
        <w:rPr>
          <w:sz w:val="28"/>
          <w:szCs w:val="28"/>
          <w:lang w:val="lv-LV"/>
        </w:rPr>
        <w:t>"</w:t>
      </w:r>
    </w:p>
    <w:p w14:paraId="1209CA8B" w14:textId="77777777" w:rsidR="00344FCE" w:rsidRPr="001511DF" w:rsidRDefault="00344FCE" w:rsidP="008E07E8">
      <w:pPr>
        <w:ind w:right="-1"/>
        <w:jc w:val="both"/>
        <w:rPr>
          <w:rFonts w:ascii="Times New Roman" w:hAnsi="Times New Roman"/>
          <w:sz w:val="28"/>
          <w:szCs w:val="28"/>
        </w:rPr>
      </w:pPr>
      <w:bookmarkStart w:id="1" w:name="p7"/>
      <w:bookmarkEnd w:id="1"/>
    </w:p>
    <w:p w14:paraId="1CABF9B6" w14:textId="77777777" w:rsidR="003C50BD" w:rsidRDefault="003C50BD" w:rsidP="008E07E8">
      <w:pPr>
        <w:ind w:right="-1"/>
        <w:jc w:val="both"/>
        <w:rPr>
          <w:rFonts w:ascii="Times New Roman" w:hAnsi="Times New Roman"/>
          <w:sz w:val="28"/>
          <w:szCs w:val="28"/>
        </w:rPr>
      </w:pPr>
    </w:p>
    <w:p w14:paraId="736148AE" w14:textId="77777777" w:rsidR="001F1FCE" w:rsidRPr="001511DF" w:rsidRDefault="001F1FCE" w:rsidP="008E07E8">
      <w:pPr>
        <w:ind w:right="-1"/>
        <w:jc w:val="both"/>
        <w:rPr>
          <w:rFonts w:ascii="Times New Roman" w:hAnsi="Times New Roman"/>
          <w:sz w:val="28"/>
          <w:szCs w:val="28"/>
        </w:rPr>
      </w:pPr>
    </w:p>
    <w:p w14:paraId="1E6AD8AA" w14:textId="77777777" w:rsidR="001F1FCE" w:rsidRPr="001F1FCE" w:rsidRDefault="001F1FCE" w:rsidP="00640887">
      <w:pPr>
        <w:tabs>
          <w:tab w:val="left" w:pos="6237"/>
          <w:tab w:val="left" w:pos="6663"/>
        </w:tabs>
        <w:ind w:firstLine="709"/>
        <w:rPr>
          <w:rFonts w:ascii="Times New Roman" w:hAnsi="Times New Roman"/>
          <w:sz w:val="28"/>
        </w:rPr>
      </w:pPr>
      <w:r w:rsidRPr="001F1FCE">
        <w:rPr>
          <w:rFonts w:ascii="Times New Roman" w:hAnsi="Times New Roman"/>
          <w:sz w:val="28"/>
        </w:rPr>
        <w:t>Ministru prezidents</w:t>
      </w:r>
      <w:r w:rsidRPr="001F1FCE">
        <w:rPr>
          <w:rFonts w:ascii="Times New Roman" w:hAnsi="Times New Roman"/>
          <w:sz w:val="28"/>
        </w:rPr>
        <w:tab/>
        <w:t>Māris Kučinskis</w:t>
      </w:r>
    </w:p>
    <w:p w14:paraId="0406B38D" w14:textId="77777777" w:rsidR="001F1FCE" w:rsidRPr="001F1FCE" w:rsidRDefault="001F1FCE" w:rsidP="00331ED4">
      <w:pPr>
        <w:tabs>
          <w:tab w:val="left" w:pos="4678"/>
        </w:tabs>
        <w:rPr>
          <w:rFonts w:ascii="Times New Roman" w:hAnsi="Times New Roman"/>
          <w:sz w:val="28"/>
        </w:rPr>
      </w:pPr>
    </w:p>
    <w:p w14:paraId="1022C7C5" w14:textId="77777777" w:rsidR="001F1FCE" w:rsidRPr="001F1FCE" w:rsidRDefault="001F1FCE" w:rsidP="00331ED4">
      <w:pPr>
        <w:tabs>
          <w:tab w:val="left" w:pos="4678"/>
        </w:tabs>
        <w:rPr>
          <w:rFonts w:ascii="Times New Roman" w:hAnsi="Times New Roman"/>
          <w:sz w:val="28"/>
        </w:rPr>
      </w:pPr>
    </w:p>
    <w:p w14:paraId="2156961A" w14:textId="77777777" w:rsidR="001F1FCE" w:rsidRPr="001F1FCE" w:rsidRDefault="001F1FCE" w:rsidP="00331ED4">
      <w:pPr>
        <w:tabs>
          <w:tab w:val="left" w:pos="4678"/>
        </w:tabs>
        <w:rPr>
          <w:rFonts w:ascii="Times New Roman" w:hAnsi="Times New Roman"/>
          <w:sz w:val="28"/>
        </w:rPr>
      </w:pPr>
    </w:p>
    <w:p w14:paraId="11C92C81" w14:textId="77777777" w:rsidR="001F1FCE" w:rsidRPr="001F1FCE" w:rsidRDefault="001F1FCE" w:rsidP="00640887">
      <w:pPr>
        <w:tabs>
          <w:tab w:val="left" w:pos="2552"/>
          <w:tab w:val="left" w:pos="2694"/>
          <w:tab w:val="left" w:pos="6237"/>
        </w:tabs>
        <w:ind w:firstLine="709"/>
        <w:rPr>
          <w:rFonts w:ascii="Times New Roman" w:hAnsi="Times New Roman"/>
          <w:sz w:val="28"/>
        </w:rPr>
      </w:pPr>
      <w:r w:rsidRPr="001F1FCE">
        <w:rPr>
          <w:rFonts w:ascii="Times New Roman" w:hAnsi="Times New Roman"/>
          <w:sz w:val="28"/>
        </w:rPr>
        <w:t xml:space="preserve">Satiksmes ministrs </w:t>
      </w:r>
      <w:r w:rsidRPr="001F1FCE">
        <w:rPr>
          <w:rFonts w:ascii="Times New Roman" w:hAnsi="Times New Roman"/>
          <w:sz w:val="28"/>
        </w:rPr>
        <w:tab/>
        <w:t>Uldis Augulis</w:t>
      </w:r>
    </w:p>
    <w:p w14:paraId="4C774EF4" w14:textId="1FA88108" w:rsidR="003C50BD" w:rsidRPr="001F1FCE" w:rsidRDefault="003C50BD" w:rsidP="008E07E8">
      <w:pPr>
        <w:ind w:right="-1"/>
        <w:rPr>
          <w:rFonts w:ascii="Times New Roman" w:hAnsi="Times New Roman"/>
          <w:sz w:val="28"/>
          <w:szCs w:val="28"/>
        </w:rPr>
      </w:pPr>
    </w:p>
    <w:p w14:paraId="181CB1DF" w14:textId="77777777" w:rsidR="00C32686" w:rsidRPr="001F1FCE" w:rsidRDefault="00C32686" w:rsidP="008E07E8">
      <w:pPr>
        <w:ind w:right="-1"/>
        <w:rPr>
          <w:rFonts w:ascii="Times New Roman" w:hAnsi="Times New Roman"/>
        </w:rPr>
      </w:pPr>
    </w:p>
    <w:sectPr w:rsidR="00C32686" w:rsidRPr="001F1FCE" w:rsidSect="001F1FC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24C9E" w14:textId="77777777" w:rsidR="00BC47CF" w:rsidRDefault="00BC47CF">
      <w:r>
        <w:separator/>
      </w:r>
    </w:p>
  </w:endnote>
  <w:endnote w:type="continuationSeparator" w:id="0">
    <w:p w14:paraId="5C977C47" w14:textId="77777777" w:rsidR="00BC47CF" w:rsidRDefault="00BC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91AF" w14:textId="77777777" w:rsidR="00B06F1C" w:rsidRPr="00B06F1C" w:rsidRDefault="00770B9D" w:rsidP="00B06F1C">
    <w:pPr>
      <w:ind w:right="-766"/>
      <w:jc w:val="both"/>
      <w:rPr>
        <w:rFonts w:ascii="Times New Roman" w:hAnsi="Times New Roman"/>
        <w:sz w:val="20"/>
      </w:rPr>
    </w:pPr>
    <w:r>
      <w:rPr>
        <w:bCs/>
        <w:sz w:val="20"/>
      </w:rPr>
      <w:t xml:space="preserve">SAMNot_260517_Groz173; </w:t>
    </w:r>
    <w:r w:rsidRPr="00B06F1C">
      <w:rPr>
        <w:rFonts w:ascii="Times New Roman" w:hAnsi="Times New Roman"/>
        <w:sz w:val="20"/>
      </w:rPr>
      <w:t>Grozījumi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EE9F" w14:textId="7414816A" w:rsidR="00322208" w:rsidRPr="001F1FCE" w:rsidRDefault="001F1FCE" w:rsidP="004B5A39">
    <w:pPr>
      <w:jc w:val="both"/>
      <w:rPr>
        <w:rFonts w:ascii="Times New Roman" w:hAnsi="Times New Roman"/>
        <w:sz w:val="16"/>
        <w:szCs w:val="16"/>
      </w:rPr>
    </w:pPr>
    <w:r w:rsidRPr="001F1FCE">
      <w:rPr>
        <w:rFonts w:ascii="Times New Roman" w:hAnsi="Times New Roman"/>
        <w:sz w:val="16"/>
        <w:szCs w:val="16"/>
      </w:rPr>
      <w:t>N2203_7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9B49C" w14:textId="77777777" w:rsidR="00BC47CF" w:rsidRDefault="00BC47CF">
      <w:r>
        <w:separator/>
      </w:r>
    </w:p>
  </w:footnote>
  <w:footnote w:type="continuationSeparator" w:id="0">
    <w:p w14:paraId="5CA83C95" w14:textId="77777777" w:rsidR="00BC47CF" w:rsidRDefault="00BC4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628996"/>
      <w:docPartObj>
        <w:docPartGallery w:val="Page Numbers (Top of Page)"/>
        <w:docPartUnique/>
      </w:docPartObj>
    </w:sdtPr>
    <w:sdtEndPr>
      <w:rPr>
        <w:noProof/>
      </w:rPr>
    </w:sdtEndPr>
    <w:sdtContent>
      <w:p w14:paraId="0132C9ED" w14:textId="77777777" w:rsidR="000C6441" w:rsidRDefault="00770B9D">
        <w:pPr>
          <w:pStyle w:val="Header"/>
          <w:jc w:val="center"/>
        </w:pPr>
        <w:r>
          <w:fldChar w:fldCharType="begin"/>
        </w:r>
        <w:r>
          <w:instrText xml:space="preserve"> PAGE   \* MERGEFORMAT </w:instrText>
        </w:r>
        <w:r>
          <w:fldChar w:fldCharType="separate"/>
        </w:r>
        <w:r w:rsidR="001F1FCE">
          <w:rPr>
            <w:noProof/>
          </w:rPr>
          <w:t>2</w:t>
        </w:r>
        <w:r>
          <w:rPr>
            <w:noProof/>
          </w:rPr>
          <w:fldChar w:fldCharType="end"/>
        </w:r>
      </w:p>
    </w:sdtContent>
  </w:sdt>
  <w:p w14:paraId="14794172" w14:textId="77777777" w:rsidR="00816D2D" w:rsidRDefault="00420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1507" w14:textId="77777777" w:rsidR="003D490C" w:rsidRPr="001F1FCE" w:rsidRDefault="003D490C" w:rsidP="001F1FCE">
    <w:pPr>
      <w:pStyle w:val="Header"/>
      <w:rPr>
        <w:rFonts w:ascii="Times New Roman" w:hAnsi="Times New Roman"/>
        <w:lang w:val="lv-LV"/>
      </w:rPr>
    </w:pPr>
  </w:p>
  <w:p w14:paraId="4374875E" w14:textId="46D026FC" w:rsidR="001F1FCE" w:rsidRPr="001F1FCE" w:rsidRDefault="001F1FCE" w:rsidP="001F1FCE">
    <w:pPr>
      <w:pStyle w:val="Header"/>
      <w:rPr>
        <w:rFonts w:ascii="Times New Roman" w:hAnsi="Times New Roman"/>
        <w:lang w:val="lv-LV"/>
      </w:rPr>
    </w:pPr>
    <w:r>
      <w:rPr>
        <w:rFonts w:ascii="Times New Roman" w:hAnsi="Times New Roman"/>
        <w:noProof/>
        <w:sz w:val="28"/>
        <w:szCs w:val="28"/>
        <w:lang w:val="lv-LV" w:eastAsia="lv-LV"/>
      </w:rPr>
      <w:drawing>
        <wp:inline distT="0" distB="0" distL="0" distR="0" wp14:anchorId="49DE5004" wp14:editId="021A5233">
          <wp:extent cx="5909310" cy="104394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9310" cy="10439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51"/>
    <w:multiLevelType w:val="hybridMultilevel"/>
    <w:tmpl w:val="BBF4FCF4"/>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CE"/>
    <w:rsid w:val="00017E37"/>
    <w:rsid w:val="000B4597"/>
    <w:rsid w:val="001511DF"/>
    <w:rsid w:val="001F1FCE"/>
    <w:rsid w:val="00344FCE"/>
    <w:rsid w:val="003C50BD"/>
    <w:rsid w:val="003D490C"/>
    <w:rsid w:val="00420FF6"/>
    <w:rsid w:val="0048443D"/>
    <w:rsid w:val="004E6C34"/>
    <w:rsid w:val="00770B9D"/>
    <w:rsid w:val="007A22B3"/>
    <w:rsid w:val="008A0A8F"/>
    <w:rsid w:val="008E07E8"/>
    <w:rsid w:val="008F7DAC"/>
    <w:rsid w:val="00935AF3"/>
    <w:rsid w:val="00BC47CF"/>
    <w:rsid w:val="00C14F4E"/>
    <w:rsid w:val="00C32686"/>
    <w:rsid w:val="00CE3FA6"/>
    <w:rsid w:val="00DF6485"/>
    <w:rsid w:val="00E6500E"/>
    <w:rsid w:val="00F72C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CE"/>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4FCE"/>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344FCE"/>
    <w:rPr>
      <w:rFonts w:ascii="Times New Roman" w:eastAsia="Times New Roman" w:hAnsi="Times New Roman" w:cs="Times New Roman"/>
      <w:b/>
      <w:bCs/>
      <w:sz w:val="24"/>
      <w:szCs w:val="24"/>
      <w:lang w:val="x-none" w:eastAsia="x-none"/>
    </w:rPr>
  </w:style>
  <w:style w:type="paragraph" w:customStyle="1" w:styleId="naisf">
    <w:name w:val="naisf"/>
    <w:basedOn w:val="Normal"/>
    <w:rsid w:val="00344FCE"/>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344FCE"/>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344FC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44FC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3D490C"/>
    <w:pPr>
      <w:tabs>
        <w:tab w:val="center" w:pos="4153"/>
        <w:tab w:val="right" w:pos="8306"/>
      </w:tabs>
    </w:pPr>
  </w:style>
  <w:style w:type="character" w:customStyle="1" w:styleId="FooterChar">
    <w:name w:val="Footer Char"/>
    <w:basedOn w:val="DefaultParagraphFont"/>
    <w:link w:val="Footer"/>
    <w:uiPriority w:val="99"/>
    <w:rsid w:val="003D490C"/>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3C50BD"/>
    <w:rPr>
      <w:rFonts w:ascii="Tahoma" w:hAnsi="Tahoma" w:cs="Tahoma"/>
      <w:sz w:val="16"/>
      <w:szCs w:val="16"/>
    </w:rPr>
  </w:style>
  <w:style w:type="character" w:customStyle="1" w:styleId="BalloonTextChar">
    <w:name w:val="Balloon Text Char"/>
    <w:basedOn w:val="DefaultParagraphFont"/>
    <w:link w:val="BalloonText"/>
    <w:uiPriority w:val="99"/>
    <w:semiHidden/>
    <w:rsid w:val="003C50BD"/>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CE"/>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44FCE"/>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344FCE"/>
    <w:rPr>
      <w:rFonts w:ascii="Times New Roman" w:eastAsia="Times New Roman" w:hAnsi="Times New Roman" w:cs="Times New Roman"/>
      <w:b/>
      <w:bCs/>
      <w:sz w:val="24"/>
      <w:szCs w:val="24"/>
      <w:lang w:val="x-none" w:eastAsia="x-none"/>
    </w:rPr>
  </w:style>
  <w:style w:type="paragraph" w:customStyle="1" w:styleId="naisf">
    <w:name w:val="naisf"/>
    <w:basedOn w:val="Normal"/>
    <w:rsid w:val="00344FCE"/>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344FCE"/>
    <w:pPr>
      <w:spacing w:before="100" w:beforeAutospacing="1" w:after="100" w:afterAutospacing="1"/>
      <w:jc w:val="center"/>
    </w:pPr>
    <w:rPr>
      <w:rFonts w:ascii="Times New Roman" w:hAnsi="Times New Roman"/>
      <w:sz w:val="26"/>
      <w:szCs w:val="26"/>
      <w:lang w:val="en-GB" w:eastAsia="en-US"/>
    </w:rPr>
  </w:style>
  <w:style w:type="paragraph" w:styleId="Header">
    <w:name w:val="header"/>
    <w:basedOn w:val="Normal"/>
    <w:link w:val="HeaderChar"/>
    <w:uiPriority w:val="99"/>
    <w:unhideWhenUsed/>
    <w:rsid w:val="00344FCE"/>
    <w:pPr>
      <w:tabs>
        <w:tab w:val="center" w:pos="4153"/>
        <w:tab w:val="right" w:pos="8306"/>
      </w:tabs>
    </w:pPr>
    <w:rPr>
      <w:lang w:val="x-none" w:eastAsia="x-none"/>
    </w:rPr>
  </w:style>
  <w:style w:type="character" w:customStyle="1" w:styleId="HeaderChar">
    <w:name w:val="Header Char"/>
    <w:basedOn w:val="DefaultParagraphFont"/>
    <w:link w:val="Header"/>
    <w:uiPriority w:val="99"/>
    <w:rsid w:val="00344FC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3D490C"/>
    <w:pPr>
      <w:tabs>
        <w:tab w:val="center" w:pos="4153"/>
        <w:tab w:val="right" w:pos="8306"/>
      </w:tabs>
    </w:pPr>
  </w:style>
  <w:style w:type="character" w:customStyle="1" w:styleId="FooterChar">
    <w:name w:val="Footer Char"/>
    <w:basedOn w:val="DefaultParagraphFont"/>
    <w:link w:val="Footer"/>
    <w:uiPriority w:val="99"/>
    <w:rsid w:val="003D490C"/>
    <w:rPr>
      <w:rFonts w:ascii="Dutch TL" w:eastAsia="Times New Roman" w:hAnsi="Dutch TL" w:cs="Times New Roman"/>
      <w:sz w:val="24"/>
      <w:szCs w:val="20"/>
      <w:lang w:eastAsia="lv-LV"/>
    </w:rPr>
  </w:style>
  <w:style w:type="paragraph" w:styleId="BalloonText">
    <w:name w:val="Balloon Text"/>
    <w:basedOn w:val="Normal"/>
    <w:link w:val="BalloonTextChar"/>
    <w:uiPriority w:val="99"/>
    <w:semiHidden/>
    <w:unhideWhenUsed/>
    <w:rsid w:val="003C50BD"/>
    <w:rPr>
      <w:rFonts w:ascii="Tahoma" w:hAnsi="Tahoma" w:cs="Tahoma"/>
      <w:sz w:val="16"/>
      <w:szCs w:val="16"/>
    </w:rPr>
  </w:style>
  <w:style w:type="character" w:customStyle="1" w:styleId="BalloonTextChar">
    <w:name w:val="Balloon Text Char"/>
    <w:basedOn w:val="DefaultParagraphFont"/>
    <w:link w:val="BalloonText"/>
    <w:uiPriority w:val="99"/>
    <w:semiHidden/>
    <w:rsid w:val="003C50B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1025</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Grozījums Ministru kabineta 2016.gada 30.augusta noteikumos Nr.587 "Darbības programmas "Izaugsme un nodarbinātība" 6.1.4. specifiskā atbalsta mērķa "Pilsētu infrastruktūras sasaiste ar TEN-T tīklu" 6.1.4.2. pasākuma "Nacionālas nozīmes attīstības centru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2016.gada 30.augusta noteikumos Nr.587 "Darbības programmas "Izaugsme un nodarbinātība" 6.1.4. specifiskā atbalsta mērķa "Pilsētu infrastruktūras sasaiste ar TEN-T tīklu" 6.1.4.2. pasākuma "Nacionālas nozīmes attīstības centru integrēšana TEN-T tīklā" īstenošanas noteikumi"</dc:title>
  <dc:creator>Kristaps.Keiss@sam.gov.lv</dc:creator>
  <cp:lastModifiedBy>Leontīne Babkina</cp:lastModifiedBy>
  <cp:revision>11</cp:revision>
  <cp:lastPrinted>2017-10-13T07:17:00Z</cp:lastPrinted>
  <dcterms:created xsi:type="dcterms:W3CDTF">2017-09-08T05:34:00Z</dcterms:created>
  <dcterms:modified xsi:type="dcterms:W3CDTF">2017-10-23T07:08:00Z</dcterms:modified>
</cp:coreProperties>
</file>