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57DE5" w:rsidRPr="001A2C44" w:rsidP="00557DE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r w:rsidR="00B9198F">
        <w:rPr>
          <w:rFonts w:ascii="Times New Roman" w:eastAsia="Times New Roman" w:hAnsi="Times New Roman" w:cs="Times New Roman"/>
          <w:b/>
          <w:bCs/>
          <w:sz w:val="28"/>
          <w:szCs w:val="24"/>
          <w:lang w:eastAsia="lv-LV"/>
        </w:rPr>
        <w:t>Veselības ap</w:t>
      </w:r>
      <w:r>
        <w:rPr>
          <w:rFonts w:ascii="Times New Roman" w:eastAsia="Times New Roman" w:hAnsi="Times New Roman" w:cs="Times New Roman"/>
          <w:b/>
          <w:bCs/>
          <w:sz w:val="28"/>
          <w:szCs w:val="24"/>
          <w:lang w:eastAsia="lv-LV"/>
        </w:rPr>
        <w:t>rūpes finansēšanas likums”</w:t>
      </w:r>
      <w:r w:rsidRPr="001A2C44">
        <w:rPr>
          <w:rFonts w:ascii="Times New Roman" w:eastAsia="Times New Roman" w:hAnsi="Times New Roman" w:cs="Times New Roman"/>
          <w:b/>
          <w:bCs/>
          <w:sz w:val="28"/>
          <w:szCs w:val="24"/>
          <w:lang w:eastAsia="lv-LV"/>
        </w:rPr>
        <w:br/>
        <w:t>sākotnējās ietekmes novērtējuma ziņojums (anotācija)</w:t>
      </w:r>
    </w:p>
    <w:p w:rsidR="00557DE5" w:rsidRPr="001A2C44" w:rsidP="00557DE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Tr="008800B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 Tiesību akta projekta izstrādes nepieciešamība</w:t>
            </w:r>
          </w:p>
        </w:tc>
      </w:tr>
      <w:tr w:rsidTr="008800B3">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57DE5"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w:t>
            </w:r>
            <w:r w:rsidR="00B9198F">
              <w:rPr>
                <w:rFonts w:ascii="Times New Roman" w:eastAsia="Times New Roman" w:hAnsi="Times New Roman" w:cs="Times New Roman"/>
                <w:sz w:val="24"/>
                <w:szCs w:val="24"/>
                <w:lang w:eastAsia="lv-LV"/>
              </w:rPr>
              <w:t>Veselības aprūpes finansēšanas likum</w:t>
            </w:r>
            <w:r>
              <w:rPr>
                <w:rFonts w:ascii="Times New Roman" w:eastAsia="Times New Roman" w:hAnsi="Times New Roman" w:cs="Times New Roman"/>
                <w:sz w:val="24"/>
                <w:szCs w:val="24"/>
                <w:lang w:eastAsia="lv-LV"/>
              </w:rPr>
              <w:t>s” (turpmāk – likumprojekts)</w:t>
            </w:r>
            <w:r w:rsidR="00B9198F">
              <w:rPr>
                <w:rFonts w:ascii="Times New Roman" w:eastAsia="Times New Roman" w:hAnsi="Times New Roman" w:cs="Times New Roman"/>
                <w:sz w:val="24"/>
                <w:szCs w:val="24"/>
                <w:lang w:eastAsia="lv-LV"/>
              </w:rPr>
              <w:t xml:space="preserve"> izstrādāts saskaņā ar:</w:t>
            </w:r>
          </w:p>
          <w:p w:rsidR="00B9198F"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Valdības rīcības plāna Deklarācijas par Māra Kučinska vadītā Ministru kabineta iecerēto darbību īstenošanai </w:t>
            </w:r>
            <w:r w:rsidR="00812E47">
              <w:rPr>
                <w:rFonts w:ascii="Times New Roman" w:eastAsia="Times New Roman" w:hAnsi="Times New Roman" w:cs="Times New Roman"/>
                <w:sz w:val="24"/>
                <w:szCs w:val="24"/>
                <w:lang w:eastAsia="lv-LV"/>
              </w:rPr>
              <w:t xml:space="preserve">128.1. un </w:t>
            </w:r>
            <w:r>
              <w:rPr>
                <w:rFonts w:ascii="Times New Roman" w:eastAsia="Times New Roman" w:hAnsi="Times New Roman" w:cs="Times New Roman"/>
                <w:sz w:val="24"/>
                <w:szCs w:val="24"/>
                <w:lang w:eastAsia="lv-LV"/>
              </w:rPr>
              <w:t xml:space="preserve">129.1.pasākums </w:t>
            </w:r>
            <w:r w:rsidR="003579A4">
              <w:rPr>
                <w:rFonts w:ascii="Times New Roman" w:eastAsia="Times New Roman" w:hAnsi="Times New Roman" w:cs="Times New Roman"/>
                <w:sz w:val="24"/>
                <w:szCs w:val="24"/>
                <w:lang w:eastAsia="lv-LV"/>
              </w:rPr>
              <w:t>–uzsāktas veselības nozares reformas, lai nodrošinātu veselības aprūpes sistēmas ilgtspēju un veselības nozares finansējuma stabilitāti. Izstrādāts obligātās veselības apdrošināšanas sistēmas modelis, nosakot veselības obligāto iemaksu bāzes avotu un likmes apm</w:t>
            </w:r>
            <w:r w:rsidR="0087356E">
              <w:rPr>
                <w:rFonts w:ascii="Times New Roman" w:eastAsia="Times New Roman" w:hAnsi="Times New Roman" w:cs="Times New Roman"/>
                <w:sz w:val="24"/>
                <w:szCs w:val="24"/>
                <w:lang w:eastAsia="lv-LV"/>
              </w:rPr>
              <w:t>ēru;</w:t>
            </w:r>
          </w:p>
          <w:p w:rsidR="0087356E"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Ministru kabineta 2017.gada 25.jūlija sēdes protokolu Nr.37, 34.§, ar kuru tika apstiprināts konceptuālais ziņojums “Par veselības aprūpes sistēmas reformu” un minētā konceptuālā ziņojuma 279.punktā noteikto – Veselības nozares finansēšanas likumā tiks noteikti valsts apmaksāto veselības aprūpes pakalpojumu finansēšanas un saņemšanas principi un nosacījumi, tai skaitā, veselības nozares finansējuma avoti, veselības aprūpes pakalpojumu klāsts un apjoms, kādā minētajā likuma noteiktās iedzīvotāju grupas un personas būs tiesīgas saņemt valsts finansētos veselības aprūpes pakalpojumus;</w:t>
            </w:r>
          </w:p>
          <w:p w:rsidR="00B9198F"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likuma “Par valsts sociālo apdrošināšanu” pārejas noteikumu 64.punktu – Ministru kabinetam izstrādāt likumprojektu par veselības aprūpes finansēšanu;</w:t>
            </w:r>
          </w:p>
          <w:p w:rsidR="00B9198F" w:rsidRPr="001A2C44"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Nacionālās trīspusējās sadarbības padomes 2017. gada 29. jūnija lēmumu – Veselības ministrijai uzsākt veselības aprūpes finansēšanas likumprojekta izstrādi, lai nodrošinātu tā spēkā stāšanos no 2018. gada 1. janvāra.</w:t>
            </w:r>
          </w:p>
        </w:tc>
      </w:tr>
      <w:tr w:rsidTr="008800B3">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90E26"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557DE5" w:rsidRPr="00390E26" w:rsidP="001824A0">
            <w:pPr>
              <w:ind w:firstLine="720"/>
              <w:rPr>
                <w:rFonts w:ascii="Times New Roman" w:eastAsia="Times New Roman" w:hAnsi="Times New Roman" w:cs="Times New Roman"/>
                <w:sz w:val="24"/>
                <w:szCs w:val="24"/>
                <w:lang w:eastAsia="lv-LV"/>
              </w:rPr>
            </w:pPr>
            <w:bookmarkStart w:id="0" w:name="_GoBack"/>
            <w:bookmarkEnd w:id="0"/>
          </w:p>
        </w:tc>
        <w:tc>
          <w:tcPr>
            <w:tcW w:w="3200" w:type="pct"/>
            <w:tcBorders>
              <w:top w:val="outset" w:sz="6" w:space="0" w:color="414142"/>
              <w:left w:val="outset" w:sz="6" w:space="0" w:color="414142"/>
              <w:bottom w:val="outset" w:sz="6" w:space="0" w:color="414142"/>
              <w:right w:val="outset" w:sz="6" w:space="0" w:color="414142"/>
            </w:tcBorders>
            <w:hideMark/>
          </w:tcPr>
          <w:p w:rsidR="003579A4" w:rsidRPr="003579A4" w:rsidP="003579A4">
            <w:pPr>
              <w:pStyle w:val="naisc"/>
              <w:spacing w:before="0" w:after="0"/>
              <w:jc w:val="both"/>
            </w:pPr>
            <w:r w:rsidRPr="003579A4">
              <w:t xml:space="preserve">Veselības aprūpes nozares valsts budžeta līdzekļu izlietojums ir Veselības ministrijas </w:t>
            </w:r>
            <w:r w:rsidRPr="003579A4">
              <w:t>pārraudzībā.Laika</w:t>
            </w:r>
            <w:r w:rsidRPr="003579A4">
              <w:t xml:space="preserve"> posmā no 1997.gada līdz 2004.gadam bija divi galvenie veselības aprūpes budžeta ieņēmumu avoti: iezīmēti 28,4 % no iedzīvotāju ienākumu nodokļa un dotācijas no vispārējiem ieņēmumiem (arī finansēti centrālajā līmeni no nodokļu ieņēmumiem). Šo finansējumu  iekasēja valdība un nodeva veselības apdrošināšanas organizācijai (Veselības obligātās apdrošināšanas valsts aģentūra), kura savukārt piešķīra šo finansējumu astoņām teritoriālajām „slimokasēm”, kuras attiecīgi iepirka pakalpojumus saviem iedzīvotājiem. </w:t>
            </w:r>
          </w:p>
          <w:p w:rsidR="003579A4" w:rsidRPr="003579A4" w:rsidP="003579A4">
            <w:pPr>
              <w:pStyle w:val="naisc"/>
              <w:spacing w:before="0" w:after="0"/>
              <w:ind w:firstLine="450"/>
              <w:jc w:val="both"/>
              <w:rPr>
                <w:rFonts w:eastAsiaTheme="minorHAnsi"/>
                <w:lang w:eastAsia="en-US"/>
              </w:rPr>
            </w:pPr>
            <w:r w:rsidRPr="003579A4">
              <w:rPr>
                <w:rFonts w:eastAsiaTheme="minorHAnsi"/>
                <w:lang w:eastAsia="en-US"/>
              </w:rPr>
              <w:t xml:space="preserve">2001.gada 10.jūlijā Ministru kabinets akceptēja valsts pārvaldes reformas stratēģiju no 2001. līdz 2006.gadam (protokols Nr.32 34. §). Stratēģijas ieviešanas programmā tika ietverts uzdevums – nodrošināt valsts budžeta resursu lietderīgu un mērķtiecīgu plānošanu atbilstoši apstiprinātajām valsts darbības un attīstības prioritātēm un </w:t>
            </w:r>
            <w:r w:rsidRPr="003579A4">
              <w:rPr>
                <w:rFonts w:eastAsiaTheme="minorHAnsi"/>
                <w:lang w:eastAsia="en-US"/>
              </w:rPr>
              <w:t>šī uzdevuma īstenošanai viens no pasākumiem, saskaņā ar stratēģijas 2.2.7.punktu, bija izstrādāt priekšlikumus par valsts institūciju finansējuma no speciālajiem budžetiem optimizāciju, samazinot īpašiem mērķiem iezīmētu ieņēmumu apjomu, iekļaujot šos līdzekļus valsts pamatbudžetā.</w:t>
            </w:r>
          </w:p>
          <w:p w:rsidR="003579A4" w:rsidRPr="003579A4" w:rsidP="003579A4">
            <w:pPr>
              <w:pStyle w:val="Teksts"/>
              <w:spacing w:line="240" w:lineRule="auto"/>
              <w:ind w:firstLine="360"/>
              <w:rPr>
                <w:rFonts w:cs="Times New Roman"/>
              </w:rPr>
            </w:pPr>
            <w:r w:rsidRPr="003579A4">
              <w:rPr>
                <w:rFonts w:eastAsiaTheme="minorHAnsi" w:cs="Times New Roman"/>
                <w:lang w:eastAsia="en-US"/>
              </w:rPr>
              <w:t xml:space="preserve">Speciālais veselības aprūpes budžets tika likvidēts atbilstoši Ministru kabineta 2003.gada 22.jūlija sēdes </w:t>
            </w:r>
            <w:r w:rsidRPr="003579A4">
              <w:rPr>
                <w:rFonts w:eastAsiaTheme="minorHAnsi" w:cs="Times New Roman"/>
                <w:lang w:eastAsia="en-US"/>
              </w:rPr>
              <w:t>protokollēmuma</w:t>
            </w:r>
            <w:r w:rsidRPr="003579A4">
              <w:rPr>
                <w:rFonts w:eastAsiaTheme="minorHAnsi" w:cs="Times New Roman"/>
                <w:lang w:eastAsia="en-US"/>
              </w:rPr>
              <w:t xml:space="preserve"> (prot. Nr.41 2.§) "Par valsts budžetu 2004.gadam un fiskālās situācijas stabilizāciju" 8.punktam, kurā tika noteikts, ka speciālā budžeta statusu valsts budžetā 2004.gadā saglabā tikai valsts sociālās apdrošināšanas budžets. Pārējie speciālie budžeti (tai skaitā arī speciālais veselības aprūpes budžets) tika iekļauti valsts pamatbudžetā. Finansējuma apjoms valsts pamatbudžetā tika noteikts valsts budžetā 2003.gadam plānoto ieņēmumu līmenī.</w:t>
            </w:r>
          </w:p>
          <w:p w:rsidR="003579A4" w:rsidRPr="003579A4" w:rsidP="003579A4">
            <w:pPr>
              <w:pStyle w:val="Teksts"/>
              <w:spacing w:line="240" w:lineRule="auto"/>
              <w:ind w:firstLine="360"/>
              <w:rPr>
                <w:rFonts w:cs="Times New Roman"/>
              </w:rPr>
            </w:pPr>
            <w:r w:rsidRPr="003579A4">
              <w:rPr>
                <w:rFonts w:cs="Times New Roman"/>
              </w:rPr>
              <w:t>Kopš 2005.gada janvāra Latvijas veselības aprūpes galvenais ieņēmumu avots ir vispārējie, neiezīmētie nodokļi. Tomēr Latvijas finansēšanas sistēma atšķiras no vairuma uz nodokļiem bāzēto sistēmu ar to, ka šie valdības līdzekļi joprojām tiek nodoti Veselības ministrijas padotības iestādei Nacionālajam veselības dienestam (turpmāk – NVD), kas darbojas kā pakalpojumu iepircējs visiem iedzīvotājiem. Šāda pakalpojuma pircēja atdalīšana no pakalpojuma sniedzēja ir tipiska obligātās sociālās veselības apdrošināšanas pazīme.</w:t>
            </w:r>
          </w:p>
          <w:p w:rsidR="003579A4" w:rsidRPr="003579A4" w:rsidP="003579A4">
            <w:pPr>
              <w:spacing w:after="0" w:line="240" w:lineRule="auto"/>
              <w:ind w:firstLine="720"/>
              <w:jc w:val="both"/>
              <w:rPr>
                <w:rFonts w:ascii="Times New Roman" w:hAnsi="Times New Roman" w:cs="Times New Roman"/>
                <w:sz w:val="24"/>
                <w:szCs w:val="24"/>
                <w:lang w:bidi="lo-LA"/>
              </w:rPr>
            </w:pPr>
            <w:r w:rsidRPr="003579A4">
              <w:rPr>
                <w:rFonts w:ascii="Times New Roman" w:hAnsi="Times New Roman" w:cs="Times New Roman"/>
                <w:sz w:val="24"/>
                <w:szCs w:val="24"/>
              </w:rPr>
              <w:t xml:space="preserve">Veselības aprūpes organizatoriskā struktūrā iekļaujas </w:t>
            </w:r>
            <w:r w:rsidR="004045BE">
              <w:rPr>
                <w:rFonts w:ascii="Times New Roman" w:hAnsi="Times New Roman" w:cs="Times New Roman"/>
                <w:sz w:val="24"/>
                <w:szCs w:val="24"/>
              </w:rPr>
              <w:t xml:space="preserve">ārstniecības personu sniegtie veselības aprūpes pakalpojumi, kā </w:t>
            </w:r>
            <w:r w:rsidRPr="003579A4">
              <w:rPr>
                <w:rFonts w:ascii="Times New Roman" w:hAnsi="Times New Roman" w:cs="Times New Roman"/>
                <w:sz w:val="24"/>
                <w:szCs w:val="24"/>
              </w:rPr>
              <w:t>arī farmācija, veselības aprūpe mājās, kā arī zobārstniecība un citi tiešās pieejas pakalpojumi, tāpat arī sabiedrības veselības pasākumi un intervences.</w:t>
            </w:r>
          </w:p>
          <w:p w:rsidR="003579A4" w:rsidRPr="003579A4" w:rsidP="003579A4">
            <w:pPr>
              <w:spacing w:after="0" w:line="240" w:lineRule="auto"/>
              <w:ind w:firstLine="720"/>
              <w:jc w:val="both"/>
              <w:rPr>
                <w:rFonts w:ascii="Times New Roman" w:hAnsi="Times New Roman" w:cs="Times New Roman"/>
                <w:sz w:val="24"/>
                <w:szCs w:val="24"/>
              </w:rPr>
            </w:pPr>
            <w:r w:rsidRPr="003579A4">
              <w:rPr>
                <w:rFonts w:ascii="Times New Roman" w:hAnsi="Times New Roman" w:cs="Times New Roman"/>
                <w:sz w:val="24"/>
                <w:szCs w:val="24"/>
                <w:lang w:bidi="lo-LA"/>
              </w:rPr>
              <w:t>Latvijā veselības aprūpes apmaksai pamatā izšķirami trīs veselības aprūpes finansēšanas avoti</w:t>
            </w:r>
            <w:r w:rsidRPr="003579A4">
              <w:rPr>
                <w:rFonts w:ascii="Times New Roman" w:hAnsi="Times New Roman" w:cs="Times New Roman"/>
                <w:sz w:val="24"/>
                <w:szCs w:val="24"/>
              </w:rPr>
              <w:t>:</w:t>
            </w:r>
          </w:p>
          <w:p w:rsidR="003579A4" w:rsidRPr="003579A4" w:rsidP="003579A4">
            <w:pPr>
              <w:pStyle w:val="BodyText"/>
              <w:spacing w:before="0" w:beforeAutospacing="0" w:after="0" w:afterAutospacing="0"/>
              <w:jc w:val="both"/>
              <w:rPr>
                <w:lang w:bidi="lo-LA"/>
              </w:rPr>
            </w:pPr>
            <w:r w:rsidRPr="003579A4">
              <w:rPr>
                <w:lang w:bidi="lo-LA"/>
              </w:rPr>
              <w:t xml:space="preserve">1) valsts budžeta dotācija no vispārējiem ieņēmumiem </w:t>
            </w:r>
            <w:r w:rsidRPr="003579A4">
              <w:rPr>
                <w:i/>
                <w:lang w:bidi="lo-LA"/>
              </w:rPr>
              <w:t>(līdzekļi izdevumu segšanai par valsts apmaksātajiem veselības aprūpes pakalpojumiem)</w:t>
            </w:r>
            <w:r w:rsidRPr="003579A4">
              <w:rPr>
                <w:lang w:bidi="lo-LA"/>
              </w:rPr>
              <w:t>;</w:t>
            </w:r>
          </w:p>
          <w:p w:rsidR="003579A4" w:rsidRPr="003579A4" w:rsidP="003579A4">
            <w:pPr>
              <w:pStyle w:val="BodyText"/>
              <w:spacing w:before="0" w:beforeAutospacing="0" w:after="0" w:afterAutospacing="0"/>
              <w:jc w:val="both"/>
              <w:rPr>
                <w:lang w:bidi="lo-LA"/>
              </w:rPr>
            </w:pPr>
            <w:r w:rsidRPr="003579A4">
              <w:rPr>
                <w:lang w:bidi="lo-LA"/>
              </w:rPr>
              <w:t xml:space="preserve">2) pacientu maksājumi </w:t>
            </w:r>
            <w:r w:rsidRPr="003579A4">
              <w:rPr>
                <w:i/>
                <w:lang w:bidi="lo-LA"/>
              </w:rPr>
              <w:t>(līdzekļi izdevumu segšanai, kas netiek iekļauti veselības aprūpes budžetā)</w:t>
            </w:r>
            <w:r w:rsidRPr="003579A4">
              <w:rPr>
                <w:lang w:bidi="lo-LA"/>
              </w:rPr>
              <w:t>:</w:t>
            </w:r>
          </w:p>
          <w:p w:rsidR="003579A4" w:rsidRPr="003579A4" w:rsidP="003579A4">
            <w:pPr>
              <w:pStyle w:val="BodyText"/>
              <w:spacing w:before="0" w:beforeAutospacing="0" w:after="0" w:afterAutospacing="0"/>
              <w:jc w:val="both"/>
            </w:pPr>
            <w:r w:rsidRPr="003579A4">
              <w:rPr>
                <w:lang w:bidi="lo-LA"/>
              </w:rPr>
              <w:t xml:space="preserve">a) </w:t>
            </w:r>
            <w:r w:rsidRPr="003579A4">
              <w:t xml:space="preserve">pacientu </w:t>
            </w:r>
            <w:r w:rsidRPr="003579A4">
              <w:t>līdzmaksājumi</w:t>
            </w:r>
            <w:r w:rsidRPr="003579A4">
              <w:t xml:space="preserve"> un pacientu iemaksas par visiem normatīvajos aktos paredzētajiem pakalpojumiem (atsevišķas pacientu grupas no pacientu </w:t>
            </w:r>
            <w:r w:rsidRPr="003579A4">
              <w:t>līdzmaksājumiem</w:t>
            </w:r>
            <w:r w:rsidRPr="003579A4">
              <w:t xml:space="preserve"> un pacientu iemaksām ir atbrīvotas un tām šie izdevumi tiek kompensēti no valsts budžeta);</w:t>
            </w:r>
          </w:p>
          <w:p w:rsidR="003579A4" w:rsidRPr="003579A4" w:rsidP="003579A4">
            <w:pPr>
              <w:pStyle w:val="BodyText"/>
              <w:spacing w:before="0" w:beforeAutospacing="0" w:after="0" w:afterAutospacing="0"/>
              <w:jc w:val="both"/>
              <w:rPr>
                <w:lang w:bidi="lo-LA"/>
              </w:rPr>
            </w:pPr>
            <w:r w:rsidRPr="003579A4">
              <w:t xml:space="preserve">b) pacientu tiešie maksājumi par pakalpojumiem, kurus nefinansē no valsts budžeta līdzekļiem, kā arī, ja pacients nevēlas saņemt veselības aprūpes pakalpojumus atbilstoši valsts noteiktajai veselības aprūpes pakalpojumu saņemšanas un finansēšanas kārtībai, pacients var saņemt veselības aprūpes pakalpojumus, sedzot to izmaksas no saviem finanšu līdzekļiem. Šajā gadījumā pacients saņem </w:t>
            </w:r>
            <w:r w:rsidRPr="003579A4">
              <w:t>veselības aprūpes pakalpojumus, sedzot to izmaksas pilnā apjomā.</w:t>
            </w:r>
          </w:p>
          <w:p w:rsidR="003579A4" w:rsidRPr="003579A4" w:rsidP="003579A4">
            <w:pPr>
              <w:pStyle w:val="BodyText"/>
              <w:spacing w:before="0" w:beforeAutospacing="0" w:after="0" w:afterAutospacing="0"/>
              <w:jc w:val="both"/>
              <w:rPr>
                <w:lang w:bidi="lo-LA"/>
              </w:rPr>
            </w:pPr>
            <w:r w:rsidRPr="003579A4">
              <w:rPr>
                <w:lang w:bidi="lo-LA"/>
              </w:rPr>
              <w:t xml:space="preserve">3) privātā jeb brīvprātīgā apdrošināšana, kura </w:t>
            </w:r>
            <w:r w:rsidRPr="003579A4">
              <w:rPr>
                <w:rFonts w:eastAsia="Calibri"/>
                <w:lang w:eastAsia="en-US"/>
              </w:rPr>
              <w:t>tiek piedāvāta darba devējiem vai indivīdiem lietotāja</w:t>
            </w:r>
            <w:r w:rsidRPr="003579A4">
              <w:rPr>
                <w:lang w:bidi="lo-LA"/>
              </w:rPr>
              <w:t xml:space="preserve"> maksas segšanai par valsts nefinansētiem pakalpojumiem (papildu apdrošināšana) vai par papildu labumiem, piemēram, ātrāku piekļuvi pakalpojumiem.</w:t>
            </w:r>
          </w:p>
          <w:p w:rsidR="003579A4" w:rsidP="0082052A">
            <w:pPr>
              <w:pStyle w:val="naisf"/>
              <w:spacing w:before="0" w:after="0"/>
              <w:ind w:firstLine="0"/>
            </w:pPr>
            <w:r w:rsidRPr="003579A4">
              <w:rPr>
                <w:bCs/>
              </w:rPr>
              <w:t xml:space="preserve">Šobrīd valsts apmaksātos veselības aprūpes pakalpojumus var saņemt ikviens Latvijas iedzīvotājs, neatkarīgi no nodokļu maksāšanas vai nemaksāšanas fakta. </w:t>
            </w:r>
            <w:r w:rsidRPr="003579A4">
              <w:t xml:space="preserve">Valsts apmaksātos veselības aprūpes pakalpojumus var saņemt Latvijas pilsoņi, Latvijas </w:t>
            </w:r>
            <w:r w:rsidRPr="003579A4">
              <w:t>nepilsoņi</w:t>
            </w:r>
            <w:r w:rsidRPr="003579A4">
              <w:t>, kā arī bēgļi un personas, kurām piešķirts alternatīvais statuss, un ārzemnieki, kuriem ir pastāvīgās uzturēšanās atļauja Latvijā, neatkarīgi no rezidences valsts un nodokļu maksāšanas fakta. Tomēr atbilstoši Eiropas Parlamenta un Padomes</w:t>
            </w:r>
            <w:r w:rsidR="00F57BDC">
              <w:t xml:space="preserve"> 2001.gada 9.martad</w:t>
            </w:r>
            <w:r w:rsidRPr="003579A4">
              <w:t>irektīvai Nr. 2011/24/ES par pacientu tiesību piemērošanu pārrobežu veselības aprūpē un Eiropas Padomes un Parlamenta</w:t>
            </w:r>
            <w:r w:rsidR="00F57BDC">
              <w:t xml:space="preserve"> 2004.gada 29.aprīļa</w:t>
            </w:r>
            <w:r w:rsidRPr="003579A4">
              <w:t xml:space="preserve"> regulai Nr.883/2004 par sociālās nodrošināšanas sistēmu koordinēšanu, Eiropas Savienības dalībvalstu piederīgie, bezvalstnieki un bēgļi, kuri dzīvo kādā no dalībvalstīm, var būt pakļauti tikai vienas dalībvalsts tiesību aktiem, tai skaitā, saņemt tikai vienas dalībvalsts līdzfinansētus veselības aprūpes pakalpojumus. To valsti, kuras tiesību aktiem persona ir pakļauta un kuras līdzfinansētus veselības aprūpes pakalpojumus tā saņem, nosaka atbilstoši valstij, kur persona pamatā ir nodarbināta, kur tā saņem bezdarbnieka pabalstu vai arī, ja uz personu neattiecas iepriekš minētie divi kritēriji, tad  atbilstoši personas rezidences valstij. </w:t>
            </w:r>
          </w:p>
          <w:p w:rsidR="009B074E" w:rsidRPr="003579A4" w:rsidP="009B074E">
            <w:pPr>
              <w:pStyle w:val="naisf"/>
              <w:spacing w:before="0" w:after="0"/>
              <w:ind w:firstLine="720"/>
            </w:pPr>
            <w:r w:rsidRPr="003579A4">
              <w:t>Par nodarbinātajām personām Latvijas Republikā šobrīd tiek maksāti divu veidu nodokļi:</w:t>
            </w:r>
          </w:p>
          <w:p w:rsidR="009B074E" w:rsidRPr="003579A4" w:rsidP="009B074E">
            <w:pPr>
              <w:tabs>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79A4">
              <w:rPr>
                <w:rFonts w:ascii="Times New Roman" w:hAnsi="Times New Roman" w:cs="Times New Roman"/>
                <w:bCs/>
                <w:sz w:val="24"/>
                <w:szCs w:val="24"/>
              </w:rPr>
              <w:t>Iedzīvotāju ienākuma nodoklis</w:t>
            </w:r>
            <w:r>
              <w:rPr>
                <w:rFonts w:ascii="Times New Roman" w:hAnsi="Times New Roman" w:cs="Times New Roman"/>
                <w:bCs/>
                <w:sz w:val="24"/>
                <w:szCs w:val="24"/>
              </w:rPr>
              <w:t xml:space="preserve"> (turpmāk – IIN) – pamatlikme 23</w:t>
            </w:r>
            <w:r w:rsidRPr="003579A4">
              <w:rPr>
                <w:rFonts w:ascii="Times New Roman" w:hAnsi="Times New Roman" w:cs="Times New Roman"/>
                <w:bCs/>
                <w:sz w:val="24"/>
                <w:szCs w:val="24"/>
              </w:rPr>
              <w:t>% apmērā no 201</w:t>
            </w:r>
            <w:r>
              <w:rPr>
                <w:rFonts w:ascii="Times New Roman" w:hAnsi="Times New Roman" w:cs="Times New Roman"/>
                <w:bCs/>
                <w:sz w:val="24"/>
                <w:szCs w:val="24"/>
              </w:rPr>
              <w:t>6</w:t>
            </w:r>
            <w:r w:rsidRPr="003579A4">
              <w:rPr>
                <w:rFonts w:ascii="Times New Roman" w:hAnsi="Times New Roman" w:cs="Times New Roman"/>
                <w:bCs/>
                <w:sz w:val="24"/>
                <w:szCs w:val="24"/>
              </w:rPr>
              <w:t>.gada 1.janvāra (</w:t>
            </w:r>
            <w:r w:rsidRPr="003579A4">
              <w:rPr>
                <w:rFonts w:ascii="Times New Roman" w:hAnsi="Times New Roman" w:cs="Times New Roman"/>
                <w:sz w:val="24"/>
                <w:szCs w:val="24"/>
              </w:rPr>
              <w:t xml:space="preserve">Nodarbinātām personām maksātais iedzīvotāju ienākuma nodoklis un valsts sociālās apdrošināšanas obligātās iemaksas ir iekļautas arī </w:t>
            </w:r>
            <w:r w:rsidRPr="003579A4">
              <w:rPr>
                <w:rFonts w:ascii="Times New Roman" w:hAnsi="Times New Roman" w:cs="Times New Roman"/>
                <w:sz w:val="24"/>
                <w:szCs w:val="24"/>
              </w:rPr>
              <w:t>mikrouzņēmumu</w:t>
            </w:r>
            <w:r w:rsidRPr="003579A4">
              <w:rPr>
                <w:rFonts w:ascii="Times New Roman" w:hAnsi="Times New Roman" w:cs="Times New Roman"/>
                <w:sz w:val="24"/>
                <w:szCs w:val="24"/>
              </w:rPr>
              <w:t xml:space="preserve"> nodoklī)</w:t>
            </w:r>
            <w:r w:rsidRPr="003579A4">
              <w:rPr>
                <w:rFonts w:ascii="Times New Roman" w:hAnsi="Times New Roman" w:cs="Times New Roman"/>
                <w:bCs/>
                <w:sz w:val="24"/>
                <w:szCs w:val="24"/>
              </w:rPr>
              <w:t>;</w:t>
            </w:r>
          </w:p>
          <w:p w:rsidR="009B074E" w:rsidP="009B074E">
            <w:pPr>
              <w:tabs>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79A4">
              <w:rPr>
                <w:rFonts w:ascii="Times New Roman" w:hAnsi="Times New Roman" w:cs="Times New Roman"/>
                <w:bCs/>
                <w:sz w:val="24"/>
                <w:szCs w:val="24"/>
              </w:rPr>
              <w:t xml:space="preserve">Valsts sociālās apdrošināšanas obligātās iemaksas (turpmāk – VSAOI) atkarībā no </w:t>
            </w:r>
            <w:r>
              <w:rPr>
                <w:rFonts w:ascii="Times New Roman" w:hAnsi="Times New Roman" w:cs="Times New Roman"/>
                <w:bCs/>
                <w:sz w:val="24"/>
                <w:szCs w:val="24"/>
              </w:rPr>
              <w:t xml:space="preserve">apdrošinātās personas statusa </w:t>
            </w:r>
            <w:r w:rsidRPr="003579A4">
              <w:rPr>
                <w:rFonts w:ascii="Times New Roman" w:hAnsi="Times New Roman" w:cs="Times New Roman"/>
                <w:bCs/>
                <w:sz w:val="24"/>
                <w:szCs w:val="24"/>
              </w:rPr>
              <w:t>līdz 35.09% apmērā.</w:t>
            </w:r>
          </w:p>
          <w:p w:rsidR="009B074E" w:rsidRPr="009B074E" w:rsidP="009B074E">
            <w:pPr>
              <w:spacing w:after="0" w:line="240" w:lineRule="auto"/>
              <w:ind w:firstLine="448"/>
              <w:jc w:val="both"/>
              <w:rPr>
                <w:rFonts w:ascii="Times New Roman" w:eastAsia="Calibri" w:hAnsi="Times New Roman" w:cs="Times New Roman"/>
                <w:bCs/>
                <w:sz w:val="24"/>
                <w:szCs w:val="24"/>
              </w:rPr>
            </w:pPr>
            <w:r w:rsidRPr="009B074E">
              <w:rPr>
                <w:rFonts w:ascii="Times New Roman" w:hAnsi="Times New Roman" w:cs="Times New Roman"/>
                <w:bCs/>
                <w:sz w:val="24"/>
                <w:szCs w:val="24"/>
              </w:rPr>
              <w:t xml:space="preserve">Šobrīd </w:t>
            </w:r>
            <w:r w:rsidRPr="009B074E">
              <w:rPr>
                <w:rFonts w:ascii="Times New Roman" w:eastAsia="Calibri" w:hAnsi="Times New Roman" w:cs="Times New Roman"/>
                <w:bCs/>
                <w:sz w:val="24"/>
                <w:szCs w:val="24"/>
              </w:rPr>
              <w:t xml:space="preserve">veselības aprūpes budžets nav sasaistīts ar nodokļu ieņēmumiem un ieņēmumi nav personificēti. Līdz ar to pastāv situācija, ka Latvijas iedzīvotāji saņem veselības aprūpes pakalpojumus bez tiešu, uz veselības aprūpi vērstu nodokļu maksāšanas Latvijā,  kā arī no gada uz gadu pastāv veselības aprūpes budžeta </w:t>
            </w:r>
            <w:r w:rsidRPr="009B074E">
              <w:rPr>
                <w:rFonts w:ascii="Times New Roman" w:eastAsia="Calibri" w:hAnsi="Times New Roman" w:cs="Times New Roman"/>
                <w:bCs/>
                <w:sz w:val="24"/>
                <w:szCs w:val="24"/>
              </w:rPr>
              <w:t>neprognozējamība</w:t>
            </w:r>
            <w:r w:rsidRPr="009B074E">
              <w:rPr>
                <w:rFonts w:ascii="Times New Roman" w:eastAsia="Calibri" w:hAnsi="Times New Roman" w:cs="Times New Roman"/>
                <w:bCs/>
                <w:sz w:val="24"/>
                <w:szCs w:val="24"/>
              </w:rPr>
              <w:t>.</w:t>
            </w:r>
          </w:p>
          <w:p w:rsidR="009B074E" w:rsidRPr="009B074E" w:rsidP="009B074E">
            <w:pPr>
              <w:spacing w:after="0" w:line="240" w:lineRule="auto"/>
              <w:ind w:firstLine="448"/>
              <w:jc w:val="both"/>
              <w:rPr>
                <w:rFonts w:ascii="Times New Roman" w:eastAsia="Calibri" w:hAnsi="Times New Roman" w:cs="Times New Roman"/>
                <w:bCs/>
                <w:sz w:val="24"/>
                <w:szCs w:val="24"/>
              </w:rPr>
            </w:pPr>
            <w:r w:rsidRPr="009B074E">
              <w:rPr>
                <w:rFonts w:ascii="Times New Roman" w:eastAsia="Calibri" w:hAnsi="Times New Roman" w:cs="Times New Roman"/>
                <w:bCs/>
                <w:sz w:val="24"/>
                <w:szCs w:val="24"/>
              </w:rPr>
              <w:t xml:space="preserve">Finansējums, līdz ar krīzes gados veikto samazinājumu, ir nepietiekams esošā veselības aprūpes pakalpojumu apjoma nodrošināšanai, turklāt finansējums </w:t>
            </w:r>
            <w:r w:rsidRPr="009B074E">
              <w:rPr>
                <w:rFonts w:ascii="Times New Roman" w:eastAsia="Calibri" w:hAnsi="Times New Roman" w:cs="Times New Roman"/>
                <w:bCs/>
                <w:sz w:val="24"/>
                <w:szCs w:val="24"/>
              </w:rPr>
              <w:t>tiek piešķirts, nesasaistot to ar faktiski nepieciešamo pakalpojumu apjomu.</w:t>
            </w:r>
          </w:p>
          <w:p w:rsidR="009B074E" w:rsidRPr="009B074E" w:rsidP="009B074E">
            <w:pPr>
              <w:spacing w:after="0" w:line="240" w:lineRule="auto"/>
              <w:ind w:firstLine="448"/>
              <w:jc w:val="both"/>
              <w:rPr>
                <w:rFonts w:ascii="Times New Roman" w:eastAsia="Calibri" w:hAnsi="Times New Roman" w:cs="Times New Roman"/>
                <w:bCs/>
                <w:sz w:val="24"/>
                <w:szCs w:val="24"/>
              </w:rPr>
            </w:pPr>
            <w:r w:rsidRPr="009B074E">
              <w:rPr>
                <w:rFonts w:ascii="Times New Roman" w:hAnsi="Times New Roman" w:cs="Times New Roman"/>
                <w:sz w:val="24"/>
                <w:szCs w:val="24"/>
              </w:rPr>
              <w:t>Šī iemesla dēļ katru gadu ir jāpalielina valsts budžeta absolūtais finansējuma apjoms veselības aprūpei, reizē arī nodrošinot citus pasākumus, kas piesaista papildus līdzekļus (piemēram, veselības tūrisms), uzlabo veselības aprūpes sistēmas efektivitāti un konkurētspēju.</w:t>
            </w:r>
          </w:p>
          <w:p w:rsidR="00E07EF6" w:rsidP="00E07EF6">
            <w:pPr>
              <w:spacing w:after="0" w:line="240" w:lineRule="auto"/>
              <w:ind w:firstLine="448"/>
              <w:jc w:val="both"/>
              <w:rPr>
                <w:rFonts w:ascii="Times New Roman" w:eastAsia="Calibri" w:hAnsi="Times New Roman" w:cs="Times New Roman"/>
                <w:bCs/>
                <w:sz w:val="24"/>
                <w:szCs w:val="24"/>
              </w:rPr>
            </w:pPr>
            <w:r w:rsidRPr="009B074E">
              <w:rPr>
                <w:rFonts w:ascii="Times New Roman" w:eastAsia="Calibri" w:hAnsi="Times New Roman" w:cs="Times New Roman"/>
                <w:bCs/>
                <w:sz w:val="24"/>
                <w:szCs w:val="24"/>
              </w:rPr>
              <w:t>Šāda samazinātā finansējuma apstākļos nav iespējams nodrošināt sniegto veselības aprūpes pakalpojumu ilgtspējību un stabilitāti, jo mainoties ekonomiskajai situācijai ir ievērojami samazināts finansējums, kas ir pretēji citās ES valstīs veiktajiem pasākumiem veselības nozares finansējumā, kur tas ir saglabāts aptuveni iepriekšējo gadu līmenī.</w:t>
            </w:r>
          </w:p>
          <w:p w:rsidR="00E07EF6" w:rsidRPr="00E07EF6" w:rsidP="00E07EF6">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bCs/>
                <w:sz w:val="24"/>
                <w:szCs w:val="24"/>
              </w:rPr>
              <w:t xml:space="preserve">      </w:t>
            </w:r>
            <w:r w:rsidRPr="006253D9">
              <w:rPr>
                <w:rFonts w:ascii="Times New Roman" w:eastAsia="Calibri" w:hAnsi="Times New Roman" w:cs="Times New Roman"/>
                <w:bCs/>
                <w:sz w:val="24"/>
                <w:szCs w:val="24"/>
              </w:rPr>
              <w:t xml:space="preserve">Atbilstoši Konceptuālajam ziņojumam “Par veselības aprūpes sistēmas reformu”, kas apstiprināts ar Ministru kabineta 2017.gada 7.augusta Ministru kabineta rīkojumu Nr.394, veselības aprūpes </w:t>
            </w:r>
            <w:r w:rsidRPr="006253D9">
              <w:rPr>
                <w:rFonts w:ascii="Times New Roman" w:eastAsia="Times New Roman" w:hAnsi="Times New Roman" w:cs="Times New Roman"/>
                <w:sz w:val="24"/>
                <w:szCs w:val="24"/>
                <w:lang w:eastAsia="lv-LV"/>
              </w:rPr>
              <w:t xml:space="preserve">valsts finansējuma pieaugums nedrīkst būt mazāks par 235,8 milj. </w:t>
            </w:r>
            <w:r w:rsidRPr="006253D9">
              <w:rPr>
                <w:rFonts w:ascii="Times New Roman" w:eastAsia="Times New Roman" w:hAnsi="Times New Roman" w:cs="Times New Roman"/>
                <w:sz w:val="24"/>
                <w:szCs w:val="24"/>
                <w:lang w:eastAsia="lv-LV"/>
              </w:rPr>
              <w:t>euro</w:t>
            </w:r>
            <w:r w:rsidRPr="006253D9">
              <w:rPr>
                <w:rFonts w:ascii="Times New Roman" w:eastAsia="Times New Roman" w:hAnsi="Times New Roman" w:cs="Times New Roman"/>
                <w:sz w:val="24"/>
                <w:szCs w:val="24"/>
                <w:lang w:eastAsia="lv-LV"/>
              </w:rPr>
              <w:t xml:space="preserve"> 2018.gadā, 372,1 milj. </w:t>
            </w:r>
            <w:r w:rsidRPr="006253D9">
              <w:rPr>
                <w:rFonts w:ascii="Times New Roman" w:eastAsia="Times New Roman" w:hAnsi="Times New Roman" w:cs="Times New Roman"/>
                <w:sz w:val="24"/>
                <w:szCs w:val="24"/>
                <w:lang w:eastAsia="lv-LV"/>
              </w:rPr>
              <w:t>euro</w:t>
            </w:r>
            <w:r w:rsidRPr="006253D9">
              <w:rPr>
                <w:rFonts w:ascii="Times New Roman" w:eastAsia="Times New Roman" w:hAnsi="Times New Roman" w:cs="Times New Roman"/>
                <w:sz w:val="24"/>
                <w:szCs w:val="24"/>
                <w:lang w:eastAsia="lv-LV"/>
              </w:rPr>
              <w:t xml:space="preserve"> 2019.gadā un 442 milj. </w:t>
            </w:r>
            <w:r w:rsidRPr="006253D9">
              <w:rPr>
                <w:rFonts w:ascii="Times New Roman" w:eastAsia="Times New Roman" w:hAnsi="Times New Roman" w:cs="Times New Roman"/>
                <w:sz w:val="24"/>
                <w:szCs w:val="24"/>
                <w:lang w:eastAsia="lv-LV"/>
              </w:rPr>
              <w:t>euro</w:t>
            </w:r>
            <w:r w:rsidRPr="006253D9">
              <w:rPr>
                <w:rFonts w:ascii="Times New Roman" w:eastAsia="Times New Roman" w:hAnsi="Times New Roman" w:cs="Times New Roman"/>
                <w:sz w:val="24"/>
                <w:szCs w:val="24"/>
                <w:lang w:eastAsia="lv-LV"/>
              </w:rPr>
              <w:t xml:space="preserve"> 2020.gadā. Savukārt veselības aprūpes valsts finansējuma ietvaros valsts finansējums veselības aprūpes darbinieku darba samaksas paaugstināšanai nedrīkst būt mazāks par 117,3 milj. </w:t>
            </w:r>
            <w:r w:rsidRPr="006253D9">
              <w:rPr>
                <w:rFonts w:ascii="Times New Roman" w:eastAsia="Times New Roman" w:hAnsi="Times New Roman" w:cs="Times New Roman"/>
                <w:sz w:val="24"/>
                <w:szCs w:val="24"/>
                <w:lang w:eastAsia="lv-LV"/>
              </w:rPr>
              <w:t>euro</w:t>
            </w:r>
            <w:r w:rsidRPr="006253D9">
              <w:rPr>
                <w:rFonts w:ascii="Times New Roman" w:eastAsia="Times New Roman" w:hAnsi="Times New Roman" w:cs="Times New Roman"/>
                <w:sz w:val="24"/>
                <w:szCs w:val="24"/>
                <w:lang w:eastAsia="lv-LV"/>
              </w:rPr>
              <w:t xml:space="preserve"> 2018.gadā, 185,5 milj. </w:t>
            </w:r>
            <w:r w:rsidRPr="006253D9">
              <w:rPr>
                <w:rFonts w:ascii="Times New Roman" w:eastAsia="Times New Roman" w:hAnsi="Times New Roman" w:cs="Times New Roman"/>
                <w:sz w:val="24"/>
                <w:szCs w:val="24"/>
                <w:lang w:eastAsia="lv-LV"/>
              </w:rPr>
              <w:t>euro</w:t>
            </w:r>
            <w:r w:rsidRPr="006253D9">
              <w:rPr>
                <w:rFonts w:ascii="Times New Roman" w:eastAsia="Times New Roman" w:hAnsi="Times New Roman" w:cs="Times New Roman"/>
                <w:sz w:val="24"/>
                <w:szCs w:val="24"/>
                <w:lang w:eastAsia="lv-LV"/>
              </w:rPr>
              <w:t xml:space="preserve"> 2019.gadā un 253,5 milj. </w:t>
            </w:r>
            <w:r w:rsidRPr="006253D9">
              <w:rPr>
                <w:rFonts w:ascii="Times New Roman" w:eastAsia="Times New Roman" w:hAnsi="Times New Roman" w:cs="Times New Roman"/>
                <w:sz w:val="24"/>
                <w:szCs w:val="24"/>
                <w:lang w:eastAsia="lv-LV"/>
              </w:rPr>
              <w:t>euro</w:t>
            </w:r>
            <w:r w:rsidRPr="006253D9">
              <w:rPr>
                <w:rFonts w:ascii="Times New Roman" w:eastAsia="Times New Roman" w:hAnsi="Times New Roman" w:cs="Times New Roman"/>
                <w:sz w:val="24"/>
                <w:szCs w:val="24"/>
                <w:lang w:eastAsia="lv-LV"/>
              </w:rPr>
              <w:t xml:space="preserve"> 2020.gadā.</w:t>
            </w:r>
          </w:p>
          <w:p w:rsidR="007401BE" w:rsidP="007401B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bCs/>
                <w:sz w:val="24"/>
                <w:szCs w:val="24"/>
              </w:rPr>
              <w:t xml:space="preserve">         Risinot minēto jautājumu v</w:t>
            </w:r>
            <w:r w:rsidRPr="009B074E">
              <w:rPr>
                <w:rFonts w:ascii="Times New Roman" w:hAnsi="Times New Roman" w:cs="Times New Roman"/>
                <w:color w:val="000000"/>
                <w:sz w:val="24"/>
                <w:szCs w:val="24"/>
                <w:shd w:val="clear" w:color="auto" w:fill="FFFFFF"/>
              </w:rPr>
              <w:t xml:space="preserve">aldību veidojošo partiju </w:t>
            </w:r>
            <w:r>
              <w:rPr>
                <w:rFonts w:ascii="Times New Roman" w:hAnsi="Times New Roman" w:cs="Times New Roman"/>
                <w:color w:val="000000"/>
                <w:sz w:val="24"/>
                <w:szCs w:val="24"/>
                <w:shd w:val="clear" w:color="auto" w:fill="FFFFFF"/>
              </w:rPr>
              <w:t>Koalīcijas sadarbības padome pieņēma</w:t>
            </w:r>
            <w:r w:rsidRPr="009B074E">
              <w:rPr>
                <w:rFonts w:ascii="Times New Roman" w:hAnsi="Times New Roman" w:cs="Times New Roman"/>
                <w:color w:val="000000"/>
                <w:sz w:val="24"/>
                <w:szCs w:val="24"/>
                <w:shd w:val="clear" w:color="auto" w:fill="FFFFFF"/>
              </w:rPr>
              <w:t xml:space="preserve"> lēmumu, ka </w:t>
            </w:r>
            <w:r w:rsidR="001F07CF">
              <w:rPr>
                <w:rFonts w:ascii="Times New Roman" w:hAnsi="Times New Roman" w:cs="Times New Roman"/>
                <w:color w:val="000000"/>
                <w:sz w:val="24"/>
                <w:szCs w:val="24"/>
                <w:shd w:val="clear" w:color="auto" w:fill="FFFFFF"/>
              </w:rPr>
              <w:t>valsts sociālās apdrošināšanas obligātās iemaksas</w:t>
            </w:r>
            <w:r w:rsidRPr="009B074E">
              <w:rPr>
                <w:rFonts w:ascii="Times New Roman" w:hAnsi="Times New Roman" w:cs="Times New Roman"/>
                <w:color w:val="000000"/>
                <w:sz w:val="24"/>
                <w:szCs w:val="24"/>
                <w:shd w:val="clear" w:color="auto" w:fill="FFFFFF"/>
              </w:rPr>
              <w:t xml:space="preserve"> likme tiek palielināta par 1% (0,5% darba devējam un 0,5% darba ņēmējam) un iepriekš minētais palielinājums tiek novirzīts nevis speciālajā budžetā, bet pamatbudžetā veselības aprūpes nodrošināšanai, nodrošinot personām, kas būs pakļautas veselības apdrošināšanai no valsts budžeta līdzekļiem apmaksājamus veselības aprūpes pakalpojumus.</w:t>
            </w:r>
            <w:r>
              <w:rPr>
                <w:rFonts w:ascii="Times New Roman" w:hAnsi="Times New Roman" w:cs="Times New Roman"/>
                <w:color w:val="000000"/>
                <w:sz w:val="24"/>
                <w:szCs w:val="24"/>
                <w:shd w:val="clear" w:color="auto" w:fill="FFFFFF"/>
              </w:rPr>
              <w:t xml:space="preserve"> Saeima 2017. gada 27. jūlijā pieņēma likumu “Grozījumi likumā “Par valsts sociālo apdrošināšanu”, kurā noteica, ka </w:t>
            </w:r>
            <w:r w:rsidRPr="007401BE">
              <w:rPr>
                <w:rFonts w:ascii="Times New Roman" w:eastAsia="Times New Roman" w:hAnsi="Times New Roman" w:cs="Times New Roman"/>
                <w:color w:val="000000"/>
                <w:sz w:val="24"/>
                <w:szCs w:val="24"/>
                <w:lang w:eastAsia="lv-LV"/>
              </w:rPr>
              <w:t xml:space="preserve">darba ņēmēji, </w:t>
            </w:r>
            <w:r w:rsidRPr="007401BE">
              <w:rPr>
                <w:rFonts w:ascii="Times New Roman" w:eastAsia="Times New Roman" w:hAnsi="Times New Roman" w:cs="Times New Roman"/>
                <w:color w:val="000000"/>
                <w:sz w:val="24"/>
                <w:szCs w:val="24"/>
                <w:lang w:eastAsia="lv-LV"/>
              </w:rPr>
              <w:t>pašnodarbinātie</w:t>
            </w:r>
            <w:r w:rsidRPr="007401BE">
              <w:rPr>
                <w:rFonts w:ascii="Times New Roman" w:eastAsia="Times New Roman" w:hAnsi="Times New Roman" w:cs="Times New Roman"/>
                <w:color w:val="000000"/>
                <w:sz w:val="24"/>
                <w:szCs w:val="24"/>
                <w:lang w:eastAsia="lv-LV"/>
              </w:rPr>
              <w:t xml:space="preserve">, iekšzemes darba ņēmēji pie darba devēja ārvalstnieka un ārvalstu darba ņēmēji pie darba </w:t>
            </w:r>
            <w:r>
              <w:rPr>
                <w:rFonts w:ascii="Times New Roman" w:eastAsia="Times New Roman" w:hAnsi="Times New Roman" w:cs="Times New Roman"/>
                <w:color w:val="000000"/>
                <w:sz w:val="24"/>
                <w:szCs w:val="24"/>
                <w:lang w:eastAsia="lv-LV"/>
              </w:rPr>
              <w:t>devēja – ārvalstnieka, kas valsts sociālās apdrošināšanas obligātās iemaksas</w:t>
            </w:r>
            <w:r w:rsidRPr="007401BE">
              <w:rPr>
                <w:rFonts w:ascii="Times New Roman" w:eastAsia="Times New Roman" w:hAnsi="Times New Roman" w:cs="Times New Roman"/>
                <w:color w:val="000000"/>
                <w:sz w:val="24"/>
                <w:szCs w:val="24"/>
                <w:lang w:eastAsia="lv-LV"/>
              </w:rPr>
              <w:t xml:space="preserve"> veic vai par kuriem veic vispār</w:t>
            </w:r>
            <w:r>
              <w:rPr>
                <w:rFonts w:ascii="Times New Roman" w:eastAsia="Times New Roman" w:hAnsi="Times New Roman" w:cs="Times New Roman"/>
                <w:color w:val="000000"/>
                <w:sz w:val="24"/>
                <w:szCs w:val="24"/>
                <w:lang w:eastAsia="lv-LV"/>
              </w:rPr>
              <w:t>ējā kārtībā (t.i. maksājot valsts sociālās apdrošināšanas obligātās iemaksas</w:t>
            </w:r>
            <w:r w:rsidRPr="007401BE">
              <w:rPr>
                <w:rFonts w:ascii="Times New Roman" w:eastAsia="Times New Roman" w:hAnsi="Times New Roman" w:cs="Times New Roman"/>
                <w:color w:val="000000"/>
                <w:sz w:val="24"/>
                <w:szCs w:val="24"/>
                <w:lang w:eastAsia="lv-LV"/>
              </w:rPr>
              <w:t xml:space="preserve"> likmi, kas noteikta likuma</w:t>
            </w:r>
            <w:r>
              <w:rPr>
                <w:rFonts w:ascii="Times New Roman" w:eastAsia="Times New Roman" w:hAnsi="Times New Roman" w:cs="Times New Roman"/>
                <w:color w:val="000000"/>
                <w:sz w:val="24"/>
                <w:szCs w:val="24"/>
                <w:lang w:eastAsia="lv-LV"/>
              </w:rPr>
              <w:t xml:space="preserve"> “Par valsts sociālo apdrošināšanu”</w:t>
            </w:r>
            <w:r w:rsidRPr="007401BE">
              <w:rPr>
                <w:rFonts w:ascii="Times New Roman" w:eastAsia="Times New Roman" w:hAnsi="Times New Roman" w:cs="Times New Roman"/>
                <w:color w:val="000000"/>
                <w:sz w:val="24"/>
                <w:szCs w:val="24"/>
                <w:lang w:eastAsia="lv-LV"/>
              </w:rPr>
              <w:t xml:space="preserve"> 18.pantā)</w:t>
            </w:r>
            <w:r>
              <w:rPr>
                <w:rFonts w:ascii="Times New Roman" w:eastAsia="Times New Roman" w:hAnsi="Times New Roman" w:cs="Times New Roman"/>
                <w:color w:val="000000"/>
                <w:sz w:val="24"/>
                <w:szCs w:val="24"/>
                <w:lang w:eastAsia="lv-LV"/>
              </w:rPr>
              <w:t>,</w:t>
            </w:r>
            <w:r w:rsidRPr="007401BE">
              <w:rPr>
                <w:rFonts w:ascii="Times New Roman" w:eastAsia="Times New Roman" w:hAnsi="Times New Roman" w:cs="Times New Roman"/>
                <w:color w:val="000000"/>
                <w:sz w:val="24"/>
                <w:szCs w:val="24"/>
                <w:lang w:eastAsia="lv-LV"/>
              </w:rPr>
              <w:t xml:space="preserve"> ir pakļauti veselības apdrošināšanai, ka viņiem ir tiesības saņemt no valsts budžeta līdzekļiem apmaksājamus veselības aprūpes pakalpojumus un, ka iepriekš minētajām personām un viņu darba devējiem par 1% palielinās </w:t>
            </w:r>
            <w:r>
              <w:rPr>
                <w:rFonts w:ascii="Times New Roman" w:eastAsia="Times New Roman" w:hAnsi="Times New Roman" w:cs="Times New Roman"/>
                <w:color w:val="000000"/>
                <w:sz w:val="24"/>
                <w:szCs w:val="24"/>
                <w:lang w:eastAsia="lv-LV"/>
              </w:rPr>
              <w:t xml:space="preserve">valsts sociālās apdrošināšanas obligātās iemaksas </w:t>
            </w:r>
            <w:r w:rsidRPr="007401BE">
              <w:rPr>
                <w:rFonts w:ascii="Times New Roman" w:eastAsia="Times New Roman" w:hAnsi="Times New Roman" w:cs="Times New Roman"/>
                <w:color w:val="000000"/>
                <w:sz w:val="24"/>
                <w:szCs w:val="24"/>
                <w:lang w:eastAsia="lv-LV"/>
              </w:rPr>
              <w:t>likme. Lai nodrošinātu nepārtrauktu un operatīvu finanšu līdzekļu ieplūšanu veselība</w:t>
            </w:r>
            <w:r>
              <w:rPr>
                <w:rFonts w:ascii="Times New Roman" w:eastAsia="Times New Roman" w:hAnsi="Times New Roman" w:cs="Times New Roman"/>
                <w:color w:val="000000"/>
                <w:sz w:val="24"/>
                <w:szCs w:val="24"/>
                <w:lang w:eastAsia="lv-LV"/>
              </w:rPr>
              <w:t>s nozares finansēšanai, ir noteikts</w:t>
            </w:r>
            <w:r w:rsidRPr="007401BE">
              <w:rPr>
                <w:rFonts w:ascii="Times New Roman" w:eastAsia="Times New Roman" w:hAnsi="Times New Roman" w:cs="Times New Roman"/>
                <w:color w:val="000000"/>
                <w:sz w:val="24"/>
                <w:szCs w:val="24"/>
                <w:lang w:eastAsia="lv-LV"/>
              </w:rPr>
              <w:t xml:space="preserve">, ka </w:t>
            </w:r>
            <w:r>
              <w:rPr>
                <w:rFonts w:ascii="Times New Roman" w:eastAsia="Times New Roman" w:hAnsi="Times New Roman" w:cs="Times New Roman"/>
                <w:color w:val="000000"/>
                <w:sz w:val="24"/>
                <w:szCs w:val="24"/>
                <w:lang w:eastAsia="lv-LV"/>
              </w:rPr>
              <w:t>valsts sociālās apdrošināšanas obligātās iemaksas</w:t>
            </w:r>
            <w:r w:rsidRPr="007401BE">
              <w:rPr>
                <w:rFonts w:ascii="Times New Roman" w:eastAsia="Times New Roman" w:hAnsi="Times New Roman" w:cs="Times New Roman"/>
                <w:color w:val="000000"/>
                <w:sz w:val="24"/>
                <w:szCs w:val="24"/>
                <w:lang w:eastAsia="lv-LV"/>
              </w:rPr>
              <w:t xml:space="preserve"> veselības </w:t>
            </w:r>
            <w:r w:rsidRPr="007401BE">
              <w:rPr>
                <w:rFonts w:ascii="Times New Roman" w:eastAsia="Times New Roman" w:hAnsi="Times New Roman" w:cs="Times New Roman"/>
                <w:color w:val="000000"/>
                <w:sz w:val="24"/>
                <w:szCs w:val="24"/>
                <w:lang w:eastAsia="lv-LV"/>
              </w:rPr>
              <w:t>apdrošināšanai Valsts kase ieskaita valsts pamatbudžeta ieņēmumos atbilstoši gadskārtējā valsts budžeta likumā noteiktajam sociālās apdrošināšanas ieņēmumu īpatsvaram.</w:t>
            </w:r>
            <w:r w:rsidR="001F07CF">
              <w:rPr>
                <w:rFonts w:ascii="Times New Roman" w:eastAsia="Times New Roman" w:hAnsi="Times New Roman" w:cs="Times New Roman"/>
                <w:color w:val="000000"/>
                <w:sz w:val="24"/>
                <w:szCs w:val="24"/>
                <w:lang w:eastAsia="lv-LV"/>
              </w:rPr>
              <w:t xml:space="preserve"> Tāpat arī šajā likumā ir dots uzdevums Ministru kabinetam izstrādāt likumprojektu par veselības aprūpes finansēšanu, nosakot sasaisti starp veiktajām iemaksām un veselības aprūpes pakalpojumu saņemšanu. </w:t>
            </w:r>
          </w:p>
          <w:p w:rsidR="001F07CF" w:rsidP="007401B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Ņemot vērā minēto</w:t>
            </w:r>
            <w:r w:rsidR="00B0396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ir sagatavots </w:t>
            </w:r>
            <w:r w:rsidR="0003090F">
              <w:rPr>
                <w:rFonts w:ascii="Times New Roman" w:eastAsia="Times New Roman" w:hAnsi="Times New Roman" w:cs="Times New Roman"/>
                <w:color w:val="000000"/>
                <w:sz w:val="24"/>
                <w:szCs w:val="24"/>
                <w:lang w:eastAsia="lv-LV"/>
              </w:rPr>
              <w:t>likumprojekts</w:t>
            </w:r>
            <w:r>
              <w:rPr>
                <w:rFonts w:ascii="Times New Roman" w:eastAsia="Times New Roman" w:hAnsi="Times New Roman" w:cs="Times New Roman"/>
                <w:color w:val="000000"/>
                <w:sz w:val="24"/>
                <w:szCs w:val="24"/>
                <w:lang w:eastAsia="lv-LV"/>
              </w:rPr>
              <w:t xml:space="preserve">. </w:t>
            </w:r>
            <w:r w:rsidR="004205D5">
              <w:rPr>
                <w:rFonts w:ascii="Times New Roman" w:eastAsia="Times New Roman" w:hAnsi="Times New Roman" w:cs="Times New Roman"/>
                <w:color w:val="000000"/>
                <w:sz w:val="24"/>
                <w:szCs w:val="24"/>
                <w:lang w:eastAsia="lv-LV"/>
              </w:rPr>
              <w:t xml:space="preserve">Likumprojekta mērķis ir noteikt veselības finansēšanas sistēmas vispārīgos principus un struktūru un regulēt valsts obligātās veselības apdrošināšanas finansiālo un organizatorisko struktūru, lai veicinātu veselības aprūpes nodrošināšanai nepieciešamā finansējuma piesaisti un finansēšanas sistēmas ilgtspēju, tādējādi sekmējot veselības aprūpes pieejamību un sabiedrības veselības rādītāju uzlabošanos. Ilgtspējīgas veselības aprūpes finansēšanas pamatā ir visas sabiedrības solidāra iesaiste atbildīgā nodokļu maksāšanā, ko tieši veicina pārliecība par atbilstošas kvalitātes veselības aprūpes saņemšanu un efektīvu valsts līdzekļu izlietojumu kopumā. </w:t>
            </w:r>
          </w:p>
          <w:p w:rsidR="00BC37EB" w:rsidP="007401B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Likumprojektā </w:t>
            </w:r>
            <w:r w:rsidR="00463B49">
              <w:rPr>
                <w:rFonts w:ascii="Times New Roman" w:eastAsia="Times New Roman" w:hAnsi="Times New Roman" w:cs="Times New Roman"/>
                <w:color w:val="000000"/>
                <w:sz w:val="24"/>
                <w:szCs w:val="24"/>
                <w:lang w:eastAsia="lv-LV"/>
              </w:rPr>
              <w:t>(4</w:t>
            </w:r>
            <w:r w:rsidR="00AB1F49">
              <w:rPr>
                <w:rFonts w:ascii="Times New Roman" w:eastAsia="Times New Roman" w:hAnsi="Times New Roman" w:cs="Times New Roman"/>
                <w:color w:val="000000"/>
                <w:sz w:val="24"/>
                <w:szCs w:val="24"/>
                <w:lang w:eastAsia="lv-LV"/>
              </w:rPr>
              <w:t xml:space="preserve">.pants) </w:t>
            </w:r>
            <w:r>
              <w:rPr>
                <w:rFonts w:ascii="Times New Roman" w:eastAsia="Times New Roman" w:hAnsi="Times New Roman" w:cs="Times New Roman"/>
                <w:color w:val="000000"/>
                <w:sz w:val="24"/>
                <w:szCs w:val="24"/>
                <w:lang w:eastAsia="lv-LV"/>
              </w:rPr>
              <w:t xml:space="preserve">ir noteikti veselības aprūpes finansēšanas avoti, nosakot, ka veselības aprūpes finansēšanas avoti ir gan valsts budžeta dotācija no vispārējiem ieņēmumiem (tajā skaitā, no vispārējiem ieņēmumiem, kas veidojas no ieņēmumiem no valsts sociālās apdrošināšanas obligāto iemaksu sadales veselības aprūpes finansēšanai un no vispārējiem ieņēmumiem, kas veidojas no ieņēmumiem no veselības apdrošināšanas iemaksām), gan valsts budžeta līdzekļi normatīvos aktos paredzētos gadījumos (piemēram, līdzekļi no starpvalstu norēķiniem, regresa kārtībā atgūtie līdzekļi, iemaksas Ārstniecības riska fondā u.c.), pacienta </w:t>
            </w:r>
            <w:r>
              <w:rPr>
                <w:rFonts w:ascii="Times New Roman" w:eastAsia="Times New Roman" w:hAnsi="Times New Roman" w:cs="Times New Roman"/>
                <w:color w:val="000000"/>
                <w:sz w:val="24"/>
                <w:szCs w:val="24"/>
                <w:lang w:eastAsia="lv-LV"/>
              </w:rPr>
              <w:t>līdzmaksājumi</w:t>
            </w:r>
            <w:r>
              <w:rPr>
                <w:rFonts w:ascii="Times New Roman" w:eastAsia="Times New Roman" w:hAnsi="Times New Roman" w:cs="Times New Roman"/>
                <w:color w:val="000000"/>
                <w:sz w:val="24"/>
                <w:szCs w:val="24"/>
                <w:lang w:eastAsia="lv-LV"/>
              </w:rPr>
              <w:t>, Eiropas Savienības fondi un citi ārvalstu finanšu līdzekļi, pašvaldību budžeta finansējums</w:t>
            </w:r>
            <w:r w:rsidR="00923F39">
              <w:rPr>
                <w:rFonts w:ascii="Times New Roman" w:eastAsia="Times New Roman" w:hAnsi="Times New Roman" w:cs="Times New Roman"/>
                <w:color w:val="000000"/>
                <w:sz w:val="24"/>
                <w:szCs w:val="24"/>
                <w:lang w:eastAsia="lv-LV"/>
              </w:rPr>
              <w:t xml:space="preserve">, </w:t>
            </w:r>
            <w:r w:rsidRPr="006253D9" w:rsidR="006253D9">
              <w:rPr>
                <w:rFonts w:ascii="Times New Roman" w:eastAsia="Times New Roman" w:hAnsi="Times New Roman" w:cs="Times New Roman"/>
                <w:color w:val="000000"/>
                <w:sz w:val="24"/>
                <w:szCs w:val="24"/>
                <w:lang w:eastAsia="lv-LV"/>
              </w:rPr>
              <w:t>kas saskaņā ar pašvaldību lēmumiem tiks novirzīts pašvaldību deleģētās funkcijas izpildei ar veselības nozari saistītu izdevumu veikšanai, kā arī valsts un pašvaldību ārstniecības iestāžu pašu ieņēmumi, ko valsts un pašvaldību ārstniecības iestādes saņem kā samaksu par sniegtajiem maksas pakalpojumiem (pakalpojumiem, kuri netiek apmaksāti no valsts budžeta līdzekļiem).</w:t>
            </w:r>
            <w:r w:rsidR="006253D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Tāpat likumprojektā tiek nostiprināts nosacījums, ka sākot ar 2020.gadu  finansējums veselības aprūpei ir vismaz 4% no iek</w:t>
            </w:r>
            <w:r w:rsidR="000D283D">
              <w:rPr>
                <w:rFonts w:ascii="Times New Roman" w:eastAsia="Times New Roman" w:hAnsi="Times New Roman" w:cs="Times New Roman"/>
                <w:color w:val="000000"/>
                <w:sz w:val="24"/>
                <w:szCs w:val="24"/>
                <w:lang w:eastAsia="lv-LV"/>
              </w:rPr>
              <w:t>šzemes kopprodukta</w:t>
            </w:r>
            <w:r w:rsidR="006253D9">
              <w:rPr>
                <w:rFonts w:ascii="Times New Roman" w:eastAsia="Times New Roman" w:hAnsi="Times New Roman" w:cs="Times New Roman"/>
                <w:color w:val="000000"/>
                <w:sz w:val="24"/>
                <w:szCs w:val="24"/>
                <w:lang w:eastAsia="lv-LV"/>
              </w:rPr>
              <w:t xml:space="preserve"> </w:t>
            </w:r>
            <w:r w:rsidRPr="006253D9" w:rsidR="006253D9">
              <w:rPr>
                <w:rFonts w:ascii="Times New Roman" w:eastAsia="Times New Roman" w:hAnsi="Times New Roman" w:cs="Times New Roman"/>
                <w:color w:val="000000"/>
                <w:sz w:val="24"/>
                <w:szCs w:val="24"/>
                <w:lang w:eastAsia="lv-LV"/>
              </w:rPr>
              <w:t>(šajos 4% ietverot valsts un pašvaldību finansējumu, kā arī Eiropas Savienības fondi un citi ārvalstu finanšu instrumentu līdzekļi)</w:t>
            </w:r>
            <w:r w:rsidR="000D283D">
              <w:rPr>
                <w:rFonts w:ascii="Times New Roman" w:eastAsia="Times New Roman" w:hAnsi="Times New Roman" w:cs="Times New Roman"/>
                <w:color w:val="000000"/>
                <w:sz w:val="24"/>
                <w:szCs w:val="24"/>
                <w:lang w:eastAsia="lv-LV"/>
              </w:rPr>
              <w:t xml:space="preserve">. </w:t>
            </w:r>
            <w:r w:rsidR="005970CE">
              <w:rPr>
                <w:rFonts w:ascii="Times New Roman" w:eastAsia="Times New Roman" w:hAnsi="Times New Roman" w:cs="Times New Roman"/>
                <w:color w:val="000000"/>
                <w:sz w:val="24"/>
                <w:szCs w:val="24"/>
                <w:lang w:eastAsia="lv-LV"/>
              </w:rPr>
              <w:t>Papildus likumprojekta 5</w:t>
            </w:r>
            <w:r w:rsidR="005C3C5E">
              <w:rPr>
                <w:rFonts w:ascii="Times New Roman" w:eastAsia="Times New Roman" w:hAnsi="Times New Roman" w:cs="Times New Roman"/>
                <w:color w:val="000000"/>
                <w:sz w:val="24"/>
                <w:szCs w:val="24"/>
                <w:lang w:eastAsia="lv-LV"/>
              </w:rPr>
              <w:t xml:space="preserve">.pants paredz arī nosacījumu, ka pieaugot finansējumam veselības aprūpes pakalpojumiem, pieaug finansējums arī primārai veselības aprūpei. </w:t>
            </w:r>
            <w:r w:rsidRPr="006253D9" w:rsidR="006E2E67">
              <w:rPr>
                <w:rFonts w:ascii="Times New Roman" w:eastAsia="Times New Roman" w:hAnsi="Times New Roman" w:cs="Times New Roman"/>
                <w:color w:val="000000"/>
                <w:sz w:val="24"/>
                <w:szCs w:val="24"/>
                <w:lang w:eastAsia="lv-LV"/>
              </w:rPr>
              <w:t xml:space="preserve">Saskaņā ar Pacientu tiesību likuma 1.panta otrās daļas 5.punktu veselības aprūpes pakalpojums ir pakalpojums, kuru veselības aprūpes ietvaros pacientam </w:t>
            </w:r>
            <w:r w:rsidRPr="006253D9" w:rsidR="006E2E67">
              <w:rPr>
                <w:rFonts w:ascii="Times New Roman" w:eastAsia="Times New Roman" w:hAnsi="Times New Roman" w:cs="Times New Roman"/>
                <w:color w:val="000000"/>
                <w:sz w:val="24"/>
                <w:szCs w:val="24"/>
                <w:lang w:eastAsia="lv-LV"/>
              </w:rPr>
              <w:t>sniedz ārstniecības persona noteikta ārstniecības mērķa sasniegšanai un līdz ar to</w:t>
            </w:r>
            <w:r w:rsidR="006E2E67">
              <w:rPr>
                <w:rFonts w:ascii="Times New Roman" w:eastAsia="Times New Roman" w:hAnsi="Times New Roman" w:cs="Times New Roman"/>
                <w:color w:val="000000"/>
                <w:sz w:val="24"/>
                <w:szCs w:val="24"/>
                <w:lang w:eastAsia="lv-LV"/>
              </w:rPr>
              <w:t xml:space="preserve"> m</w:t>
            </w:r>
            <w:r w:rsidR="005C3C5E">
              <w:rPr>
                <w:rFonts w:ascii="Times New Roman" w:eastAsia="Times New Roman" w:hAnsi="Times New Roman" w:cs="Times New Roman"/>
                <w:color w:val="000000"/>
                <w:sz w:val="24"/>
                <w:szCs w:val="24"/>
                <w:lang w:eastAsia="lv-LV"/>
              </w:rPr>
              <w:t>inētais nosacījums gan neattieksies uz gadījumiem, kad finansējums tiks piešķirts konkrētam mērķim, piemēram, palielinot finansējumu no valsts budžeta līdzekļiem kompensējām zālēm.</w:t>
            </w:r>
          </w:p>
          <w:p w:rsidR="006B487D"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463B49">
              <w:rPr>
                <w:rFonts w:ascii="Times New Roman" w:eastAsia="Times New Roman" w:hAnsi="Times New Roman" w:cs="Times New Roman"/>
                <w:color w:val="000000"/>
                <w:sz w:val="24"/>
                <w:szCs w:val="24"/>
                <w:lang w:eastAsia="lv-LV"/>
              </w:rPr>
              <w:t>Likumprojekta 5</w:t>
            </w:r>
            <w:r w:rsidR="00EF1477">
              <w:rPr>
                <w:rFonts w:ascii="Times New Roman" w:eastAsia="Times New Roman" w:hAnsi="Times New Roman" w:cs="Times New Roman"/>
                <w:color w:val="000000"/>
                <w:sz w:val="24"/>
                <w:szCs w:val="24"/>
                <w:lang w:eastAsia="lv-LV"/>
              </w:rPr>
              <w:t xml:space="preserve">.pantā ir noteiktas tās veselības nozares jomas, kurām novirza līdzekļus no valsts budžeta dotācijas no vispārējiem ieņēmumiem Veselības ministrijas programmai veselības aprūpes nodrošināšanai, kā arī dots deleģējums Ministru kabinetam noteikt tos veselības aprūpes pakalpojumus, kuriem novirza valsts budžeta dotāciju no vispārējiem ieņēmumiem no Tieslietu ministrijas, Aizsardzības ministrijas un </w:t>
            </w:r>
            <w:r w:rsidR="00EF1477">
              <w:rPr>
                <w:rFonts w:ascii="Times New Roman" w:eastAsia="Times New Roman" w:hAnsi="Times New Roman" w:cs="Times New Roman"/>
                <w:color w:val="000000"/>
                <w:sz w:val="24"/>
                <w:szCs w:val="24"/>
                <w:lang w:eastAsia="lv-LV"/>
              </w:rPr>
              <w:t>Iekšlietu</w:t>
            </w:r>
            <w:r w:rsidR="00EF1477">
              <w:rPr>
                <w:rFonts w:ascii="Times New Roman" w:eastAsia="Times New Roman" w:hAnsi="Times New Roman" w:cs="Times New Roman"/>
                <w:color w:val="000000"/>
                <w:sz w:val="24"/>
                <w:szCs w:val="24"/>
                <w:lang w:eastAsia="lv-LV"/>
              </w:rPr>
              <w:t xml:space="preserve"> ministrijas programmas veselības aprūpes nodrošināšanai. </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Lai nodrošinātu sasaisti starp veiktajām valsts sociālās apdrošināšanas obligātajām iemaksām un veselības aprūpes pakalpojumu saņemšanu, likumprojektā tiek definēts valsts apmaksātas medicīniskās palīdzības minimums, kā arī valsts obligātās vesel</w:t>
            </w:r>
            <w:r w:rsidR="00EF0690">
              <w:rPr>
                <w:rFonts w:ascii="Times New Roman" w:eastAsia="Times New Roman" w:hAnsi="Times New Roman" w:cs="Times New Roman"/>
                <w:color w:val="000000"/>
                <w:sz w:val="24"/>
                <w:szCs w:val="24"/>
                <w:lang w:eastAsia="lv-LV"/>
              </w:rPr>
              <w:t>ības apdrošināšana un valsts obligātās veselības apdrošināšanas ietvaros ietilpstošie veselības aprūpes pakalpojumi.</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EF1477">
              <w:rPr>
                <w:rFonts w:ascii="Times New Roman" w:eastAsia="Times New Roman" w:hAnsi="Times New Roman" w:cs="Times New Roman"/>
                <w:color w:val="000000"/>
                <w:sz w:val="24"/>
                <w:szCs w:val="24"/>
                <w:lang w:eastAsia="lv-LV"/>
              </w:rPr>
              <w:t>Valsts apmaksātās med</w:t>
            </w:r>
            <w:r w:rsidR="00463B49">
              <w:rPr>
                <w:rFonts w:ascii="Times New Roman" w:eastAsia="Times New Roman" w:hAnsi="Times New Roman" w:cs="Times New Roman"/>
                <w:color w:val="000000"/>
                <w:sz w:val="24"/>
                <w:szCs w:val="24"/>
                <w:lang w:eastAsia="lv-LV"/>
              </w:rPr>
              <w:t>icīniskās palīdzības minimums (7</w:t>
            </w:r>
            <w:r w:rsidR="00EF1477">
              <w:rPr>
                <w:rFonts w:ascii="Times New Roman" w:eastAsia="Times New Roman" w:hAnsi="Times New Roman" w:cs="Times New Roman"/>
                <w:color w:val="000000"/>
                <w:sz w:val="24"/>
                <w:szCs w:val="24"/>
                <w:lang w:eastAsia="lv-LV"/>
              </w:rPr>
              <w:t>.pants) ir to veselības aprūpes pakalpojumu apjoms, kurš būs pieejams visām likumprojektā definētajām personu grupām neatkarīgi no veiktajām valsts sociālās apdrošināšanas obligātajām iemaksām. Šis minimums ietver šādas veselības aprūpes pakalpojumu grupas</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neatliekamā medicīniskā palīdzība</w:t>
            </w:r>
            <w:r w:rsidR="003335C7">
              <w:rPr>
                <w:rFonts w:ascii="Times New Roman" w:eastAsia="Times New Roman" w:hAnsi="Times New Roman" w:cs="Times New Roman"/>
                <w:color w:val="000000"/>
                <w:sz w:val="24"/>
                <w:szCs w:val="24"/>
                <w:lang w:eastAsia="lv-LV"/>
              </w:rPr>
              <w:t>;</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dzemdību palīdzība</w:t>
            </w:r>
            <w:r w:rsidR="003335C7">
              <w:rPr>
                <w:rFonts w:ascii="Times New Roman" w:eastAsia="Times New Roman" w:hAnsi="Times New Roman" w:cs="Times New Roman"/>
                <w:color w:val="000000"/>
                <w:sz w:val="24"/>
                <w:szCs w:val="24"/>
                <w:lang w:eastAsia="lv-LV"/>
              </w:rPr>
              <w:t>;</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ģimenes ārsta sniegtie veselības aprūpes pakalpojumi (tajā skaitā nosūtījumi uz laboratoriskajiem izmekl</w:t>
            </w:r>
            <w:r w:rsidR="003335C7">
              <w:rPr>
                <w:rFonts w:ascii="Times New Roman" w:eastAsia="Times New Roman" w:hAnsi="Times New Roman" w:cs="Times New Roman"/>
                <w:color w:val="000000"/>
                <w:sz w:val="24"/>
                <w:szCs w:val="24"/>
                <w:lang w:eastAsia="lv-LV"/>
              </w:rPr>
              <w:t>ējumiem);</w:t>
            </w:r>
          </w:p>
          <w:p w:rsidR="003335C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veselības aprūpes pakalpojumi saslimšanas ar nozīmīgu ietekmi uz sabiedrības veselības rādītājiem vai apdraudējumu sabiedrības veselībai ārstniecībai, piemēram, psihiskas saslimšanas, tuberkuloze, noteiktas infekcijas slimības;</w:t>
            </w:r>
          </w:p>
          <w:p w:rsidR="00557DE5"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 ģimenes ārsta vai ārsta-speciālista izrakstītās ambulatorai ārstēšanai paredzētās zāles un medicīniskās ierīces saskaņā ar  normatīvajiem aktiem par ambulatorajai ārstēšanai paredzēto zāļu un medicīnisko ierīču iegādes izdevumu kompensācijas kārtību saslimšanu ar nozīmīgu ietekmi uz sabiedrības veselības rādītājiem vai apdraudējumu sabiedrības veselībai ārstniecībai. </w:t>
            </w:r>
          </w:p>
          <w:p w:rsidR="003335C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EF1477">
              <w:rPr>
                <w:rFonts w:ascii="Times New Roman" w:eastAsia="Times New Roman" w:hAnsi="Times New Roman" w:cs="Times New Roman"/>
                <w:color w:val="000000"/>
                <w:sz w:val="24"/>
                <w:szCs w:val="24"/>
                <w:lang w:eastAsia="lv-LV"/>
              </w:rPr>
              <w:t>Tā kā konkrētu veselības aprūpes pakalpojumu nodrošināšana var ietvert atšķirīgus aspektus gan attiecībā uz izmantojamiem medikamentiem vai medicīnas tehnoloģijām, tad konkrētu valsts apmaksāto veselības aprūpes pakalpojumu sarakstu, kā arī to sniegšanas organizēšanas un apmaksas kārtību noteiks Ministru kabinets.</w:t>
            </w:r>
          </w:p>
          <w:p w:rsidR="003335C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Personu grupas, kurām būs tiesības saņemt valsts apmaksātās medicīniskās palīdzības minimumu, ir noteiktas lik</w:t>
            </w:r>
            <w:r w:rsidR="00463B49">
              <w:rPr>
                <w:rFonts w:ascii="Times New Roman" w:eastAsia="Times New Roman" w:hAnsi="Times New Roman" w:cs="Times New Roman"/>
                <w:color w:val="000000"/>
                <w:sz w:val="24"/>
                <w:szCs w:val="24"/>
                <w:lang w:eastAsia="lv-LV"/>
              </w:rPr>
              <w:t>umprojekta 10</w:t>
            </w:r>
            <w:r>
              <w:rPr>
                <w:rFonts w:ascii="Times New Roman" w:eastAsia="Times New Roman" w:hAnsi="Times New Roman" w:cs="Times New Roman"/>
                <w:color w:val="000000"/>
                <w:sz w:val="24"/>
                <w:szCs w:val="24"/>
                <w:lang w:eastAsia="lv-LV"/>
              </w:rPr>
              <w:t>.pant</w:t>
            </w:r>
            <w:r w:rsidR="00FD0778">
              <w:rPr>
                <w:rFonts w:ascii="Times New Roman" w:eastAsia="Times New Roman" w:hAnsi="Times New Roman" w:cs="Times New Roman"/>
                <w:color w:val="000000"/>
                <w:sz w:val="24"/>
                <w:szCs w:val="24"/>
                <w:lang w:eastAsia="lv-LV"/>
              </w:rPr>
              <w:t>a pirmajā daļā</w:t>
            </w:r>
            <w:r>
              <w:rPr>
                <w:rFonts w:ascii="Times New Roman" w:eastAsia="Times New Roman" w:hAnsi="Times New Roman" w:cs="Times New Roman"/>
                <w:color w:val="000000"/>
                <w:sz w:val="24"/>
                <w:szCs w:val="24"/>
                <w:lang w:eastAsia="lv-LV"/>
              </w:rPr>
              <w:t xml:space="preserve"> un pamatā ir saglabātas tās pašas personu kategorijas, kas šobrīd ir iekļautas Ārstniecības likuma 17.pant</w:t>
            </w:r>
            <w:r w:rsidR="00FD0778">
              <w:rPr>
                <w:rFonts w:ascii="Times New Roman" w:eastAsia="Times New Roman" w:hAnsi="Times New Roman" w:cs="Times New Roman"/>
                <w:color w:val="000000"/>
                <w:sz w:val="24"/>
                <w:szCs w:val="24"/>
                <w:lang w:eastAsia="lv-LV"/>
              </w:rPr>
              <w:t xml:space="preserve">ā un kā papildus kategoriju iekļaujot </w:t>
            </w:r>
            <w:r w:rsidR="002A382A">
              <w:rPr>
                <w:rFonts w:ascii="Times New Roman" w:eastAsia="Times New Roman" w:hAnsi="Times New Roman" w:cs="Times New Roman"/>
                <w:color w:val="000000"/>
                <w:sz w:val="24"/>
                <w:szCs w:val="24"/>
                <w:lang w:eastAsia="lv-LV"/>
              </w:rPr>
              <w:t xml:space="preserve">bezvalstniekus ar </w:t>
            </w:r>
            <w:r w:rsidR="002A382A">
              <w:rPr>
                <w:rFonts w:ascii="Times New Roman" w:eastAsia="Times New Roman" w:hAnsi="Times New Roman" w:cs="Times New Roman"/>
                <w:color w:val="000000"/>
                <w:sz w:val="24"/>
                <w:szCs w:val="24"/>
                <w:lang w:eastAsia="lv-LV"/>
              </w:rPr>
              <w:t>termiņuzturēšanas</w:t>
            </w:r>
            <w:r w:rsidR="002A382A">
              <w:rPr>
                <w:rFonts w:ascii="Times New Roman" w:eastAsia="Times New Roman" w:hAnsi="Times New Roman" w:cs="Times New Roman"/>
                <w:color w:val="000000"/>
                <w:sz w:val="24"/>
                <w:szCs w:val="24"/>
                <w:lang w:eastAsia="lv-LV"/>
              </w:rPr>
              <w:t xml:space="preserve"> atļaujām Latvijā, lai nodrošinātu arī minētās personas tiesības uz valsts apmaksātās medicīniskās palīdzības minimumu. </w:t>
            </w:r>
          </w:p>
          <w:p w:rsidR="00FD0778" w:rsidRPr="00FD0778" w:rsidP="00FD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Likumprojekta  10</w:t>
            </w:r>
            <w:r w:rsidRPr="00FD0778" w:rsidR="00EF1477">
              <w:rPr>
                <w:rFonts w:ascii="Times New Roman" w:hAnsi="Times New Roman" w:cs="Times New Roman"/>
                <w:sz w:val="24"/>
                <w:szCs w:val="24"/>
              </w:rPr>
              <w:t xml:space="preserve">.panta </w:t>
            </w:r>
            <w:r w:rsidR="00EF1477">
              <w:rPr>
                <w:rFonts w:ascii="Times New Roman" w:hAnsi="Times New Roman" w:cs="Times New Roman"/>
                <w:sz w:val="24"/>
                <w:szCs w:val="24"/>
              </w:rPr>
              <w:t>otrajā</w:t>
            </w:r>
            <w:r w:rsidRPr="00FD0778" w:rsidR="00EF1477">
              <w:rPr>
                <w:rFonts w:ascii="Times New Roman" w:hAnsi="Times New Roman" w:cs="Times New Roman"/>
                <w:sz w:val="24"/>
                <w:szCs w:val="24"/>
              </w:rPr>
              <w:t xml:space="preserve"> daļā līdzīgi</w:t>
            </w:r>
            <w:r w:rsidR="00EF1477">
              <w:rPr>
                <w:rFonts w:ascii="Times New Roman" w:hAnsi="Times New Roman" w:cs="Times New Roman"/>
                <w:sz w:val="24"/>
                <w:szCs w:val="24"/>
              </w:rPr>
              <w:t xml:space="preserve"> esošajam regulējumam Ārstniecības likumā</w:t>
            </w:r>
            <w:r w:rsidRPr="00FD0778" w:rsidR="00EF1477">
              <w:rPr>
                <w:rFonts w:ascii="Times New Roman" w:hAnsi="Times New Roman" w:cs="Times New Roman"/>
                <w:sz w:val="24"/>
                <w:szCs w:val="24"/>
              </w:rPr>
              <w:t xml:space="preserve"> noteikts, kādus valsts apmaksātus veselības aprūpes pakalpojumus ir tiesības saņemt Latvijas pilsoņu un Latvijas </w:t>
            </w:r>
            <w:r w:rsidRPr="00FD0778" w:rsidR="00EF1477">
              <w:rPr>
                <w:rFonts w:ascii="Times New Roman" w:hAnsi="Times New Roman" w:cs="Times New Roman"/>
                <w:sz w:val="24"/>
                <w:szCs w:val="24"/>
              </w:rPr>
              <w:t>nepilsoņu</w:t>
            </w:r>
            <w:r w:rsidRPr="00FD0778" w:rsidR="00EF1477">
              <w:rPr>
                <w:rFonts w:ascii="Times New Roman" w:hAnsi="Times New Roman" w:cs="Times New Roman"/>
                <w:sz w:val="24"/>
                <w:szCs w:val="24"/>
              </w:rPr>
              <w:t xml:space="preserve"> laulātajiem, kuriem ir </w:t>
            </w:r>
            <w:r w:rsidRPr="00FD0778" w:rsidR="00EF1477">
              <w:rPr>
                <w:rFonts w:ascii="Times New Roman" w:hAnsi="Times New Roman" w:cs="Times New Roman"/>
                <w:sz w:val="24"/>
                <w:szCs w:val="24"/>
              </w:rPr>
              <w:t>termiņuzturēšanās</w:t>
            </w:r>
            <w:r w:rsidRPr="00FD0778" w:rsidR="00EF1477">
              <w:rPr>
                <w:rFonts w:ascii="Times New Roman" w:hAnsi="Times New Roman" w:cs="Times New Roman"/>
                <w:sz w:val="24"/>
                <w:szCs w:val="24"/>
              </w:rPr>
              <w:t xml:space="preserve"> atļauja Latvijā – t.i. noteiktas tiesības saņemt tikai valsts apmaksātu dzemdību palīdzību, kuru apjomu, sniegšanas kārtību un ierobežojumus nosaka Ministru kabinets.</w:t>
            </w:r>
          </w:p>
          <w:p w:rsidR="00FD0778" w:rsidP="00FD07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lo-LA"/>
              </w:rPr>
              <w:t xml:space="preserve">      Likumproj</w:t>
            </w:r>
            <w:r w:rsidR="00422406">
              <w:rPr>
                <w:rFonts w:ascii="Times New Roman" w:hAnsi="Times New Roman" w:cs="Times New Roman"/>
                <w:sz w:val="24"/>
                <w:szCs w:val="24"/>
                <w:lang w:bidi="lo-LA"/>
              </w:rPr>
              <w:t>ekta 9</w:t>
            </w:r>
            <w:r>
              <w:rPr>
                <w:rFonts w:ascii="Times New Roman" w:hAnsi="Times New Roman" w:cs="Times New Roman"/>
                <w:sz w:val="24"/>
                <w:szCs w:val="24"/>
                <w:lang w:bidi="lo-LA"/>
              </w:rPr>
              <w:t xml:space="preserve">.pantā ir saglabāts šobrīd Ārstniecības likumā noteiktais, ka </w:t>
            </w:r>
            <w:r w:rsidRPr="00FD0778">
              <w:rPr>
                <w:rFonts w:ascii="Times New Roman" w:hAnsi="Times New Roman" w:cs="Times New Roman"/>
                <w:sz w:val="24"/>
                <w:szCs w:val="24"/>
              </w:rPr>
              <w:t>ikvienam ir tiesības saņemt neatliekamo medicīnisko palīdzību Ministru kabineta noteiktajā kārtībā, kas nozīmē, ka valsts nodrošina nepieciešamo neatliekamo medicīnisko palīdzību ikvienam, tomēr tas nenotiek bezmaksas veidā, jo valsts apmaksātus pakalpojumus, t.sk. neatliekamo medicīnisko palīdzību,</w:t>
            </w:r>
            <w:r>
              <w:rPr>
                <w:rFonts w:ascii="Times New Roman" w:hAnsi="Times New Roman" w:cs="Times New Roman"/>
                <w:sz w:val="24"/>
                <w:szCs w:val="24"/>
              </w:rPr>
              <w:t xml:space="preserve"> ir tiesīgas saņemt tikai likumprojektā</w:t>
            </w:r>
            <w:r w:rsidRPr="00FD0778">
              <w:rPr>
                <w:rFonts w:ascii="Times New Roman" w:hAnsi="Times New Roman" w:cs="Times New Roman"/>
                <w:sz w:val="24"/>
                <w:szCs w:val="24"/>
              </w:rPr>
              <w:t xml:space="preserve"> notei</w:t>
            </w:r>
            <w:r w:rsidR="002A382A">
              <w:rPr>
                <w:rFonts w:ascii="Times New Roman" w:hAnsi="Times New Roman" w:cs="Times New Roman"/>
                <w:sz w:val="24"/>
                <w:szCs w:val="24"/>
              </w:rPr>
              <w:t>ktās personu kategorijas</w:t>
            </w:r>
            <w:r w:rsidR="00422406">
              <w:rPr>
                <w:rFonts w:ascii="Times New Roman" w:hAnsi="Times New Roman" w:cs="Times New Roman"/>
                <w:sz w:val="24"/>
                <w:szCs w:val="24"/>
              </w:rPr>
              <w:t xml:space="preserve"> (likumprojekta 10</w:t>
            </w:r>
            <w:r w:rsidRPr="00FD0778">
              <w:rPr>
                <w:rFonts w:ascii="Times New Roman" w:hAnsi="Times New Roman" w:cs="Times New Roman"/>
                <w:sz w:val="24"/>
                <w:szCs w:val="24"/>
              </w:rPr>
              <w:t xml:space="preserve">.panta pirmajā daļā </w:t>
            </w:r>
            <w:r w:rsidR="00422406">
              <w:rPr>
                <w:rFonts w:ascii="Times New Roman" w:hAnsi="Times New Roman" w:cs="Times New Roman"/>
                <w:sz w:val="24"/>
                <w:szCs w:val="24"/>
              </w:rPr>
              <w:t>un 11</w:t>
            </w:r>
            <w:r>
              <w:rPr>
                <w:rFonts w:ascii="Times New Roman" w:hAnsi="Times New Roman" w:cs="Times New Roman"/>
                <w:sz w:val="24"/>
                <w:szCs w:val="24"/>
              </w:rPr>
              <w:t>.pantā noteiktās personas).</w:t>
            </w:r>
          </w:p>
          <w:p w:rsidR="002A382A" w:rsidRPr="00233041" w:rsidP="00FD0778">
            <w:pPr>
              <w:spacing w:after="0" w:line="240" w:lineRule="auto"/>
              <w:jc w:val="both"/>
              <w:rPr>
                <w:sz w:val="28"/>
                <w:szCs w:val="28"/>
                <w:lang w:bidi="lo-LA"/>
              </w:rPr>
            </w:pPr>
            <w:r>
              <w:rPr>
                <w:rFonts w:ascii="Times New Roman" w:hAnsi="Times New Roman" w:cs="Times New Roman"/>
                <w:sz w:val="24"/>
                <w:szCs w:val="24"/>
              </w:rPr>
              <w:t xml:space="preserve">       </w:t>
            </w:r>
            <w:r w:rsidR="00422406">
              <w:rPr>
                <w:rFonts w:ascii="Times New Roman" w:hAnsi="Times New Roman" w:cs="Times New Roman"/>
                <w:sz w:val="24"/>
                <w:szCs w:val="24"/>
              </w:rPr>
              <w:t>Likumprojekta 8</w:t>
            </w:r>
            <w:r w:rsidR="00EF1477">
              <w:rPr>
                <w:rFonts w:ascii="Times New Roman" w:hAnsi="Times New Roman" w:cs="Times New Roman"/>
                <w:sz w:val="24"/>
                <w:szCs w:val="24"/>
              </w:rPr>
              <w:t>.pants ievieš valsts obligāto veselības apdrošināšanu, nosakot, ka valsts obligātās veselības apdrošināšanas ietvaros personām papildus valsts apmaksātās medicīniskās palīdzības minimumam ir tiesības uz saņemt primāros, sekundāros un terciāros veselības aprūpes pakalpojumus (speciālistu konsultācijas, diagnostiskos izmeklējumus, plānveida operācijas dienas stacionārā un slimnīcā, rehabilitāciju u.c. veselības aprūpes pakalpojumi), kā arī ambulatorajai ārstēšanai paredzētās zāles un medicīniskās ierīces saskaņā ar normatīvajiem aktiem par ambulatorajai ārstēšanai paredzēto zāļu un medicīnisko ierīču iegādes izdevumu kompensācijas kārtību</w:t>
            </w:r>
            <w:r w:rsidRPr="005D0987" w:rsidR="00EF1477">
              <w:rPr>
                <w:rFonts w:ascii="Times New Roman" w:hAnsi="Times New Roman" w:cs="Times New Roman"/>
                <w:sz w:val="24"/>
                <w:szCs w:val="24"/>
              </w:rPr>
              <w:t xml:space="preserve">. </w:t>
            </w:r>
            <w:r w:rsidRPr="005D0987" w:rsidR="005D0987">
              <w:rPr>
                <w:rFonts w:ascii="Times New Roman" w:hAnsi="Times New Roman" w:cs="Times New Roman"/>
                <w:sz w:val="24"/>
                <w:szCs w:val="24"/>
              </w:rPr>
              <w:t xml:space="preserve">Likumprojektā atšķirībā no valsts finansētajiem veselības aprūpes pamatpakalpojumiem nevar definēt </w:t>
            </w:r>
            <w:r w:rsidRPr="005D0987" w:rsidR="005D0987">
              <w:rPr>
                <w:rFonts w:ascii="Times New Roman" w:hAnsi="Times New Roman" w:cs="Times New Roman"/>
                <w:bCs/>
                <w:sz w:val="24"/>
                <w:szCs w:val="24"/>
              </w:rPr>
              <w:t>valsts veselības apdrošināšanas pakalpojumu grupas, jo tas ietver ļoti liela apjoma pakalpojumu klāstu.</w:t>
            </w:r>
          </w:p>
          <w:p w:rsidR="002A382A" w:rsidP="002A382A">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EF1477">
              <w:rPr>
                <w:rFonts w:ascii="Times New Roman" w:eastAsia="Times New Roman" w:hAnsi="Times New Roman" w:cs="Times New Roman"/>
                <w:color w:val="000000"/>
                <w:sz w:val="24"/>
                <w:szCs w:val="24"/>
                <w:lang w:eastAsia="lv-LV"/>
              </w:rPr>
              <w:t>Tā kā konkrētu veselības aprūpes pakalpojumu nodrošināšana var ietvert atšķirīgus aspektus gan attiecībā uz izmantojamiem medikamentiem vai medicīnas tehnoloģijām, tad konkrētu valsts apmaksāto veselības aprūpes pakalpojumu sarakstu, kā arī to sniegšanas organizēšanas un apmaksas kārtību</w:t>
            </w:r>
            <w:r w:rsidR="005D0987">
              <w:rPr>
                <w:rFonts w:ascii="Times New Roman" w:eastAsia="Times New Roman" w:hAnsi="Times New Roman" w:cs="Times New Roman"/>
                <w:color w:val="000000"/>
                <w:sz w:val="24"/>
                <w:szCs w:val="24"/>
                <w:lang w:eastAsia="lv-LV"/>
              </w:rPr>
              <w:t xml:space="preserve"> un veselības aprūpes pakalpojumu saņemšanas pretendentu rindu veidošanas kārtību</w:t>
            </w:r>
            <w:r w:rsidR="00EF1477">
              <w:rPr>
                <w:rFonts w:ascii="Times New Roman" w:eastAsia="Times New Roman" w:hAnsi="Times New Roman" w:cs="Times New Roman"/>
                <w:color w:val="000000"/>
                <w:sz w:val="24"/>
                <w:szCs w:val="24"/>
                <w:lang w:eastAsia="lv-LV"/>
              </w:rPr>
              <w:t xml:space="preserve"> noteiks Ministru kabinets.</w:t>
            </w:r>
          </w:p>
          <w:p w:rsidR="00EF0690" w:rsidP="002A382A">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Vienlaikus likumprojekta 8.panta trešā daļa nosaka, ka </w:t>
            </w:r>
            <w:r>
              <w:rPr>
                <w:rFonts w:ascii="Times New Roman" w:eastAsia="Times New Roman" w:hAnsi="Times New Roman" w:cs="Times New Roman"/>
                <w:color w:val="000000"/>
                <w:sz w:val="24"/>
                <w:szCs w:val="24"/>
                <w:lang w:eastAsia="lv-LV"/>
              </w:rPr>
              <w:t>valsts obligātās veselības apdrošināšanas kārtību un veselības aprūpes klāstu noteiks Valsts obligātās veselības apdrošināšanas likums, kurš būs jāizstrādā līdz 2018.gada 31.decembrim (Pārejas noteikumu 7.punkts)</w:t>
            </w:r>
          </w:p>
          <w:p w:rsidR="005D0987" w:rsidRPr="005D0987" w:rsidP="005D098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D0987">
              <w:rPr>
                <w:rFonts w:ascii="Times New Roman" w:eastAsia="Times New Roman" w:hAnsi="Times New Roman" w:cs="Times New Roman"/>
                <w:color w:val="000000"/>
                <w:sz w:val="24"/>
                <w:szCs w:val="24"/>
                <w:lang w:eastAsia="lv-LV"/>
              </w:rPr>
              <w:t xml:space="preserve">      Valsts obligātās veselības apdrošinā</w:t>
            </w:r>
            <w:r>
              <w:rPr>
                <w:rFonts w:ascii="Times New Roman" w:eastAsia="Times New Roman" w:hAnsi="Times New Roman" w:cs="Times New Roman"/>
                <w:color w:val="000000"/>
                <w:sz w:val="24"/>
                <w:szCs w:val="24"/>
                <w:lang w:eastAsia="lv-LV"/>
              </w:rPr>
              <w:t xml:space="preserve">šanas princips - </w:t>
            </w:r>
            <w:r w:rsidRPr="005D0987">
              <w:rPr>
                <w:rFonts w:ascii="Times New Roman" w:hAnsi="Times New Roman" w:cs="Times New Roman"/>
                <w:sz w:val="24"/>
                <w:szCs w:val="24"/>
              </w:rPr>
              <w:t xml:space="preserve">solidaritāte starp valsts </w:t>
            </w:r>
            <w:r>
              <w:rPr>
                <w:rFonts w:ascii="Times New Roman" w:hAnsi="Times New Roman"/>
                <w:sz w:val="24"/>
                <w:szCs w:val="24"/>
              </w:rPr>
              <w:t xml:space="preserve">sociālās </w:t>
            </w:r>
            <w:r w:rsidRPr="005D0987">
              <w:rPr>
                <w:rFonts w:ascii="Times New Roman" w:hAnsi="Times New Roman" w:cs="Times New Roman"/>
                <w:sz w:val="24"/>
                <w:szCs w:val="24"/>
              </w:rPr>
              <w:t xml:space="preserve">apdrošināšanas </w:t>
            </w:r>
            <w:r>
              <w:rPr>
                <w:rFonts w:ascii="Times New Roman" w:hAnsi="Times New Roman"/>
                <w:sz w:val="24"/>
                <w:szCs w:val="24"/>
              </w:rPr>
              <w:t xml:space="preserve">obligāto </w:t>
            </w:r>
            <w:r w:rsidRPr="005D0987">
              <w:rPr>
                <w:rFonts w:ascii="Times New Roman" w:hAnsi="Times New Roman" w:cs="Times New Roman"/>
                <w:sz w:val="24"/>
                <w:szCs w:val="24"/>
              </w:rPr>
              <w:t xml:space="preserve">iemaksu </w:t>
            </w:r>
            <w:r>
              <w:rPr>
                <w:rFonts w:ascii="Times New Roman" w:hAnsi="Times New Roman"/>
                <w:sz w:val="24"/>
                <w:szCs w:val="24"/>
              </w:rPr>
              <w:t xml:space="preserve">veselības apdrošināšanai un veselības apdrošināšanas iemaksu </w:t>
            </w:r>
            <w:r w:rsidRPr="005D0987">
              <w:rPr>
                <w:rFonts w:ascii="Times New Roman" w:hAnsi="Times New Roman" w:cs="Times New Roman"/>
                <w:sz w:val="24"/>
                <w:szCs w:val="24"/>
              </w:rPr>
              <w:t xml:space="preserve">veicējiem un </w:t>
            </w:r>
            <w:r>
              <w:rPr>
                <w:rFonts w:ascii="Times New Roman" w:hAnsi="Times New Roman"/>
                <w:sz w:val="24"/>
                <w:szCs w:val="24"/>
              </w:rPr>
              <w:t>valsts obligātās veselības apdrošināšanā ietilpstošo veselības aprūpes</w:t>
            </w:r>
            <w:r w:rsidR="002C118A">
              <w:rPr>
                <w:rFonts w:ascii="Times New Roman" w:hAnsi="Times New Roman" w:cs="Times New Roman"/>
                <w:sz w:val="24"/>
                <w:szCs w:val="24"/>
              </w:rPr>
              <w:t xml:space="preserve"> pakalpojumu saņēmējiem.</w:t>
            </w:r>
          </w:p>
          <w:p w:rsidR="005D0987"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V</w:t>
            </w:r>
            <w:r w:rsidRPr="005D0987">
              <w:rPr>
                <w:rFonts w:ascii="Times New Roman" w:hAnsi="Times New Roman" w:cs="Times New Roman"/>
                <w:sz w:val="24"/>
                <w:szCs w:val="24"/>
              </w:rPr>
              <w:t xml:space="preserve">alsts </w:t>
            </w:r>
            <w:r>
              <w:rPr>
                <w:rFonts w:ascii="Times New Roman" w:hAnsi="Times New Roman" w:cs="Times New Roman"/>
                <w:sz w:val="24"/>
                <w:szCs w:val="24"/>
              </w:rPr>
              <w:t>sociālās apdrošināšanas obligātās iemaksas veselības apdrošināšanas</w:t>
            </w:r>
            <w:r w:rsidRPr="005D0987">
              <w:rPr>
                <w:rFonts w:ascii="Times New Roman" w:hAnsi="Times New Roman" w:cs="Times New Roman"/>
                <w:sz w:val="24"/>
                <w:szCs w:val="24"/>
              </w:rPr>
              <w:t xml:space="preserve"> neveido uzkrājumu konkrētam maksātājam, bet gan solidaritātes starp apdrošināšanas iemaksu veicējiem un apdrošināšanas pakalpojumu saņēmējiem ietvaros darbojas princips „veselais maksā par slimo”, kā arī iemaksu apmērs, ja tas atbilst noteiktajām prasībām, neietekmē valsts </w:t>
            </w:r>
            <w:r w:rsidR="002C118A">
              <w:rPr>
                <w:rFonts w:ascii="Times New Roman" w:hAnsi="Times New Roman" w:cs="Times New Roman"/>
                <w:sz w:val="24"/>
                <w:szCs w:val="24"/>
              </w:rPr>
              <w:t xml:space="preserve">obligātās </w:t>
            </w:r>
            <w:r w:rsidRPr="005D0987">
              <w:rPr>
                <w:rFonts w:ascii="Times New Roman" w:hAnsi="Times New Roman" w:cs="Times New Roman"/>
                <w:sz w:val="24"/>
                <w:szCs w:val="24"/>
              </w:rPr>
              <w:t xml:space="preserve">veselības apdrošināšanas ietvaros saņemamo </w:t>
            </w:r>
            <w:r w:rsidR="002C118A">
              <w:rPr>
                <w:rFonts w:ascii="Times New Roman" w:hAnsi="Times New Roman" w:cs="Times New Roman"/>
                <w:sz w:val="24"/>
                <w:szCs w:val="24"/>
              </w:rPr>
              <w:t xml:space="preserve">veselības aprūpes </w:t>
            </w:r>
            <w:r w:rsidRPr="005D0987">
              <w:rPr>
                <w:rFonts w:ascii="Times New Roman" w:hAnsi="Times New Roman" w:cs="Times New Roman"/>
                <w:sz w:val="24"/>
                <w:szCs w:val="24"/>
              </w:rPr>
              <w:t xml:space="preserve">pakalpojumu klāstu, attiecīgi </w:t>
            </w:r>
            <w:r w:rsidR="002C118A">
              <w:rPr>
                <w:rFonts w:ascii="Times New Roman" w:hAnsi="Times New Roman" w:cs="Times New Roman"/>
                <w:sz w:val="24"/>
                <w:szCs w:val="24"/>
              </w:rPr>
              <w:t>valsts apmaksāto veselības aprūpes</w:t>
            </w:r>
            <w:r w:rsidRPr="005D0987">
              <w:rPr>
                <w:rFonts w:ascii="Times New Roman" w:hAnsi="Times New Roman" w:cs="Times New Roman"/>
                <w:sz w:val="24"/>
                <w:szCs w:val="24"/>
              </w:rPr>
              <w:t xml:space="preserve"> pakalpojumu apjoms visām apdrošinātajām personām ir līdzvērtīgs neatkarīgu no veikto iemaksu apmēra.</w:t>
            </w:r>
          </w:p>
          <w:p w:rsidR="00EF45F4"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Tiesības uz veselības aprūpes pakalpojumiem valsts obligātās veselības apdrošināšanas ietv</w:t>
            </w:r>
            <w:r w:rsidR="00422406">
              <w:rPr>
                <w:rFonts w:ascii="Times New Roman" w:hAnsi="Times New Roman" w:cs="Times New Roman"/>
                <w:sz w:val="24"/>
                <w:szCs w:val="24"/>
              </w:rPr>
              <w:t>aros saskaņā ar likumprojekta 11</w:t>
            </w:r>
            <w:r>
              <w:rPr>
                <w:rFonts w:ascii="Times New Roman" w:hAnsi="Times New Roman" w:cs="Times New Roman"/>
                <w:sz w:val="24"/>
                <w:szCs w:val="24"/>
              </w:rPr>
              <w:t>. pantu būs:</w:t>
            </w:r>
          </w:p>
          <w:p w:rsidR="00EF45F4"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personām, par kuru ir veiktas vai bija jāveic valsts sociālās apdrošināšanas obligātās iemaksas veselības apdrošināšanai saskaņā ar likumu “Par valsts sociālo apdrošināšanu” (darba ņēmēji un </w:t>
            </w:r>
            <w:r>
              <w:rPr>
                <w:rFonts w:ascii="Times New Roman" w:hAnsi="Times New Roman" w:cs="Times New Roman"/>
                <w:sz w:val="24"/>
                <w:szCs w:val="24"/>
              </w:rPr>
              <w:t>pašnodarbinātiem</w:t>
            </w:r>
            <w:r>
              <w:rPr>
                <w:rFonts w:ascii="Times New Roman" w:hAnsi="Times New Roman" w:cs="Times New Roman"/>
                <w:sz w:val="24"/>
                <w:szCs w:val="24"/>
              </w:rPr>
              <w:t>)</w:t>
            </w:r>
          </w:p>
          <w:p w:rsidR="00EF45F4"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personām, kuras nav darba ņēmēji vai </w:t>
            </w:r>
            <w:r>
              <w:rPr>
                <w:rFonts w:ascii="Times New Roman" w:hAnsi="Times New Roman" w:cs="Times New Roman"/>
                <w:sz w:val="24"/>
                <w:szCs w:val="24"/>
              </w:rPr>
              <w:t>pašnodarbinātiem</w:t>
            </w:r>
            <w:r>
              <w:rPr>
                <w:rFonts w:ascii="Times New Roman" w:hAnsi="Times New Roman" w:cs="Times New Roman"/>
                <w:sz w:val="24"/>
                <w:szCs w:val="24"/>
              </w:rPr>
              <w:t>, bet kuras likumprojektā noteiktā apjomā ir veikušas veselības apdrošināšanas iemaksas (brīvprātīgs maksājums)</w:t>
            </w:r>
          </w:p>
          <w:p w:rsidR="00EF45F4" w:rsidP="00EF45F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3) konkrētām likumprojektā uzskaitītām personu grupām, piemēram, bērniem, personām, kuras saņem pensiju, </w:t>
            </w:r>
            <w:r w:rsidR="009D06EC">
              <w:rPr>
                <w:rFonts w:ascii="Times New Roman" w:hAnsi="Times New Roman" w:cs="Times New Roman"/>
                <w:sz w:val="24"/>
                <w:szCs w:val="24"/>
              </w:rPr>
              <w:t xml:space="preserve">personām, kuras saņem bērna kopšanas vai vecāku pabalstu, orgānu donoriem, darba ņēmēju vai </w:t>
            </w:r>
            <w:r w:rsidR="009D06EC">
              <w:rPr>
                <w:rFonts w:ascii="Times New Roman" w:hAnsi="Times New Roman" w:cs="Times New Roman"/>
                <w:sz w:val="24"/>
                <w:szCs w:val="24"/>
              </w:rPr>
              <w:t>pašnodarbināto</w:t>
            </w:r>
            <w:r w:rsidR="009D06EC">
              <w:rPr>
                <w:rFonts w:ascii="Times New Roman" w:hAnsi="Times New Roman" w:cs="Times New Roman"/>
                <w:sz w:val="24"/>
                <w:szCs w:val="24"/>
              </w:rPr>
              <w:t xml:space="preserve"> laulātie, kuri audzina bērnu vecumā līdz 7 gadiem vai vismaz trīs bērnus vecumā līdz 15 gadiem u.c.</w:t>
            </w:r>
            <w:r w:rsidR="003E14A3">
              <w:rPr>
                <w:rFonts w:ascii="Times New Roman" w:hAnsi="Times New Roman" w:cs="Times New Roman"/>
                <w:sz w:val="24"/>
                <w:szCs w:val="24"/>
              </w:rPr>
              <w:t xml:space="preserve"> Personu grupas tika definētas, pirmkārt, ņemot vērā vecumu un iespējamo darbspējas zudumu, otrkārt, samērojot personas sociālo statusu ar iespēju aktīvi iesaistīties darba tirgū (neizvirzot iespēju saņemt veselības aprūpes pakalpojumus kā vienīgo motivāciju iesaistei darba tirgū).</w:t>
            </w:r>
          </w:p>
          <w:p w:rsidR="009D06EC" w:rsidRPr="009D06EC" w:rsidP="009D06EC">
            <w:pPr>
              <w:spacing w:after="0" w:line="240" w:lineRule="auto"/>
              <w:ind w:firstLine="360"/>
              <w:jc w:val="both"/>
              <w:rPr>
                <w:rFonts w:ascii="Times New Roman" w:hAnsi="Times New Roman" w:cs="Times New Roman"/>
                <w:sz w:val="24"/>
                <w:szCs w:val="24"/>
              </w:rPr>
            </w:pPr>
            <w:r w:rsidRPr="009D06EC">
              <w:rPr>
                <w:rFonts w:ascii="Times New Roman" w:hAnsi="Times New Roman" w:cs="Times New Roman"/>
                <w:bCs/>
                <w:sz w:val="24"/>
                <w:szCs w:val="24"/>
              </w:rPr>
              <w:t xml:space="preserve">Izvērtējot personas </w:t>
            </w:r>
            <w:r>
              <w:rPr>
                <w:rFonts w:ascii="Times New Roman" w:hAnsi="Times New Roman" w:cs="Times New Roman"/>
                <w:sz w:val="24"/>
                <w:szCs w:val="24"/>
              </w:rPr>
              <w:t>tiesības uz</w:t>
            </w:r>
            <w:r w:rsidRPr="009D06EC">
              <w:rPr>
                <w:rFonts w:ascii="Times New Roman" w:hAnsi="Times New Roman" w:cs="Times New Roman"/>
                <w:sz w:val="24"/>
                <w:szCs w:val="24"/>
              </w:rPr>
              <w:t xml:space="preserve"> veselības</w:t>
            </w:r>
            <w:r>
              <w:rPr>
                <w:rFonts w:ascii="Times New Roman" w:hAnsi="Times New Roman" w:cs="Times New Roman"/>
                <w:sz w:val="24"/>
                <w:szCs w:val="24"/>
              </w:rPr>
              <w:t xml:space="preserve"> aprūpes pakalpojumiem valsts obligātās veselības apdrošināšanas ietvaros</w:t>
            </w:r>
            <w:r w:rsidRPr="009D06EC">
              <w:rPr>
                <w:rFonts w:ascii="Times New Roman" w:hAnsi="Times New Roman" w:cs="Times New Roman"/>
                <w:sz w:val="24"/>
                <w:szCs w:val="24"/>
              </w:rPr>
              <w:t>, tiek ievērota šāda secība:</w:t>
            </w:r>
          </w:p>
          <w:p w:rsidR="009D06EC" w:rsidRPr="009D06EC" w:rsidP="009D06EC">
            <w:pPr>
              <w:spacing w:after="0" w:line="240" w:lineRule="auto"/>
              <w:jc w:val="both"/>
              <w:rPr>
                <w:rFonts w:ascii="Times New Roman" w:hAnsi="Times New Roman" w:cs="Times New Roman"/>
                <w:sz w:val="24"/>
                <w:szCs w:val="24"/>
              </w:rPr>
            </w:pPr>
            <w:r w:rsidRPr="009D06EC">
              <w:rPr>
                <w:rFonts w:ascii="Times New Roman" w:hAnsi="Times New Roman" w:cs="Times New Roman"/>
                <w:sz w:val="24"/>
                <w:szCs w:val="24"/>
              </w:rPr>
              <w:t>1) tiek izvērtēts, vai persona iegūst tiesības kā valsts</w:t>
            </w:r>
            <w:r>
              <w:rPr>
                <w:rFonts w:ascii="Times New Roman" w:hAnsi="Times New Roman" w:cs="Times New Roman"/>
                <w:sz w:val="24"/>
                <w:szCs w:val="24"/>
              </w:rPr>
              <w:t xml:space="preserve"> sociālās apdrošināšanas obligāto iemaksu</w:t>
            </w:r>
            <w:r w:rsidRPr="009D06EC">
              <w:rPr>
                <w:rFonts w:ascii="Times New Roman" w:hAnsi="Times New Roman" w:cs="Times New Roman"/>
                <w:sz w:val="24"/>
                <w:szCs w:val="24"/>
              </w:rPr>
              <w:t xml:space="preserve"> veselības </w:t>
            </w:r>
            <w:r>
              <w:rPr>
                <w:rFonts w:ascii="Times New Roman" w:hAnsi="Times New Roman" w:cs="Times New Roman"/>
                <w:sz w:val="24"/>
                <w:szCs w:val="24"/>
              </w:rPr>
              <w:t xml:space="preserve">apdrošināšanas </w:t>
            </w:r>
            <w:r w:rsidRPr="009D06EC">
              <w:rPr>
                <w:rFonts w:ascii="Times New Roman" w:hAnsi="Times New Roman" w:cs="Times New Roman"/>
                <w:sz w:val="24"/>
                <w:szCs w:val="24"/>
              </w:rPr>
              <w:t>maksātājs;</w:t>
            </w:r>
          </w:p>
          <w:p w:rsidR="009D06EC" w:rsidRPr="009D06EC"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ja</w:t>
            </w:r>
            <w:r w:rsidRPr="009D06EC">
              <w:rPr>
                <w:rFonts w:ascii="Times New Roman" w:hAnsi="Times New Roman" w:cs="Times New Roman"/>
                <w:sz w:val="24"/>
                <w:szCs w:val="24"/>
              </w:rPr>
              <w:t xml:space="preserve"> persona neiegūst tiesības kā valsts </w:t>
            </w:r>
            <w:r>
              <w:rPr>
                <w:rFonts w:ascii="Times New Roman" w:hAnsi="Times New Roman" w:cs="Times New Roman"/>
                <w:sz w:val="24"/>
                <w:szCs w:val="24"/>
              </w:rPr>
              <w:t xml:space="preserve">sociālās </w:t>
            </w:r>
            <w:r>
              <w:rPr>
                <w:rFonts w:ascii="Times New Roman" w:hAnsi="Times New Roman" w:cs="Times New Roman"/>
                <w:sz w:val="24"/>
                <w:szCs w:val="24"/>
              </w:rPr>
              <w:t>apdrošināšanas obligāto iemaksu</w:t>
            </w:r>
            <w:r w:rsidRPr="009D06EC">
              <w:rPr>
                <w:rFonts w:ascii="Times New Roman" w:hAnsi="Times New Roman" w:cs="Times New Roman"/>
                <w:sz w:val="24"/>
                <w:szCs w:val="24"/>
              </w:rPr>
              <w:t xml:space="preserve"> veselības </w:t>
            </w:r>
            <w:r>
              <w:rPr>
                <w:rFonts w:ascii="Times New Roman" w:hAnsi="Times New Roman" w:cs="Times New Roman"/>
                <w:sz w:val="24"/>
                <w:szCs w:val="24"/>
              </w:rPr>
              <w:t xml:space="preserve">apdrošināšanas </w:t>
            </w:r>
            <w:r w:rsidRPr="009D06EC">
              <w:rPr>
                <w:rFonts w:ascii="Times New Roman" w:hAnsi="Times New Roman" w:cs="Times New Roman"/>
                <w:sz w:val="24"/>
                <w:szCs w:val="24"/>
              </w:rPr>
              <w:t>maksātājs</w:t>
            </w:r>
            <w:r>
              <w:rPr>
                <w:rFonts w:ascii="Times New Roman" w:hAnsi="Times New Roman" w:cs="Times New Roman"/>
                <w:sz w:val="24"/>
                <w:szCs w:val="24"/>
              </w:rPr>
              <w:t>,</w:t>
            </w:r>
            <w:r w:rsidRPr="009D06EC">
              <w:rPr>
                <w:rFonts w:ascii="Times New Roman" w:hAnsi="Times New Roman" w:cs="Times New Roman"/>
                <w:sz w:val="24"/>
                <w:szCs w:val="24"/>
              </w:rPr>
              <w:t xml:space="preserve"> tad tiek vērtēts, vai persona atbilst kādai no </w:t>
            </w:r>
            <w:r>
              <w:rPr>
                <w:rFonts w:ascii="Times New Roman" w:hAnsi="Times New Roman" w:cs="Times New Roman"/>
                <w:sz w:val="24"/>
                <w:szCs w:val="24"/>
              </w:rPr>
              <w:t xml:space="preserve">likumprojektā uzskaitīto </w:t>
            </w:r>
            <w:r w:rsidRPr="009D06EC">
              <w:rPr>
                <w:rFonts w:ascii="Times New Roman" w:hAnsi="Times New Roman" w:cs="Times New Roman"/>
                <w:sz w:val="24"/>
                <w:szCs w:val="24"/>
              </w:rPr>
              <w:t>personu kategorijai;</w:t>
            </w:r>
          </w:p>
          <w:p w:rsidR="009D06EC" w:rsidRPr="009D06EC"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ja</w:t>
            </w:r>
            <w:r w:rsidRPr="009D06EC">
              <w:rPr>
                <w:rFonts w:ascii="Times New Roman" w:hAnsi="Times New Roman" w:cs="Times New Roman"/>
                <w:sz w:val="24"/>
                <w:szCs w:val="24"/>
              </w:rPr>
              <w:t xml:space="preserve"> persona neiegūst tiesības kā valsts </w:t>
            </w:r>
            <w:r>
              <w:rPr>
                <w:rFonts w:ascii="Times New Roman" w:hAnsi="Times New Roman" w:cs="Times New Roman"/>
                <w:sz w:val="24"/>
                <w:szCs w:val="24"/>
              </w:rPr>
              <w:t>sociālās apdrošināšanas obligāto iemaksu</w:t>
            </w:r>
            <w:r w:rsidRPr="009D06EC">
              <w:rPr>
                <w:rFonts w:ascii="Times New Roman" w:hAnsi="Times New Roman" w:cs="Times New Roman"/>
                <w:sz w:val="24"/>
                <w:szCs w:val="24"/>
              </w:rPr>
              <w:t xml:space="preserve"> veselības </w:t>
            </w:r>
            <w:r>
              <w:rPr>
                <w:rFonts w:ascii="Times New Roman" w:hAnsi="Times New Roman" w:cs="Times New Roman"/>
                <w:sz w:val="24"/>
                <w:szCs w:val="24"/>
              </w:rPr>
              <w:t xml:space="preserve">apdrošināšanas </w:t>
            </w:r>
            <w:r w:rsidRPr="009D06EC">
              <w:rPr>
                <w:rFonts w:ascii="Times New Roman" w:hAnsi="Times New Roman" w:cs="Times New Roman"/>
                <w:sz w:val="24"/>
                <w:szCs w:val="24"/>
              </w:rPr>
              <w:t xml:space="preserve">maksātājs, </w:t>
            </w:r>
            <w:r w:rsidRPr="009D06EC">
              <w:rPr>
                <w:rFonts w:ascii="Times New Roman" w:hAnsi="Times New Roman" w:cs="Times New Roman"/>
                <w:bCs/>
                <w:sz w:val="24"/>
                <w:szCs w:val="24"/>
              </w:rPr>
              <w:t xml:space="preserve">persona </w:t>
            </w:r>
            <w:r w:rsidRPr="009D06EC">
              <w:rPr>
                <w:rFonts w:ascii="Times New Roman" w:hAnsi="Times New Roman" w:cs="Times New Roman"/>
                <w:sz w:val="24"/>
                <w:szCs w:val="24"/>
              </w:rPr>
              <w:t xml:space="preserve">tiesības uz </w:t>
            </w:r>
            <w:r>
              <w:rPr>
                <w:rFonts w:ascii="Times New Roman" w:hAnsi="Times New Roman" w:cs="Times New Roman"/>
                <w:sz w:val="24"/>
                <w:szCs w:val="24"/>
              </w:rPr>
              <w:t xml:space="preserve">veselības aprūpes pakalpojumiem valsts obligātās veselības apdrošināšanas ietvaros </w:t>
            </w:r>
            <w:r w:rsidRPr="009D06EC">
              <w:rPr>
                <w:rFonts w:ascii="Times New Roman" w:hAnsi="Times New Roman" w:cs="Times New Roman"/>
                <w:sz w:val="24"/>
                <w:szCs w:val="24"/>
              </w:rPr>
              <w:t>var iegūt likumprojektā noteiktā kārtībā, veicot veselības apdrošināšanas iemaksas.</w:t>
            </w:r>
          </w:p>
          <w:p w:rsidR="009D06EC" w:rsidP="009D06E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P</w:t>
            </w:r>
            <w:r w:rsidR="001E58E3">
              <w:rPr>
                <w:rFonts w:ascii="Times New Roman" w:hAnsi="Times New Roman" w:cs="Times New Roman"/>
                <w:bCs/>
                <w:sz w:val="24"/>
                <w:szCs w:val="24"/>
              </w:rPr>
              <w:t xml:space="preserve">ersonas </w:t>
            </w:r>
            <w:r w:rsidRPr="009D06EC">
              <w:rPr>
                <w:rFonts w:ascii="Times New Roman" w:hAnsi="Times New Roman" w:cs="Times New Roman"/>
                <w:bCs/>
                <w:sz w:val="24"/>
                <w:szCs w:val="24"/>
              </w:rPr>
              <w:t>likumā noteiktajā kārtībā iegūst tiesības uz</w:t>
            </w:r>
            <w:r>
              <w:rPr>
                <w:rFonts w:ascii="Times New Roman" w:hAnsi="Times New Roman" w:cs="Times New Roman"/>
                <w:bCs/>
                <w:sz w:val="24"/>
                <w:szCs w:val="24"/>
              </w:rPr>
              <w:t xml:space="preserve"> veselības aprūpes </w:t>
            </w:r>
            <w:r>
              <w:rPr>
                <w:rFonts w:ascii="Times New Roman" w:hAnsi="Times New Roman" w:cs="Times New Roman"/>
                <w:bCs/>
                <w:sz w:val="24"/>
                <w:szCs w:val="24"/>
              </w:rPr>
              <w:t>pakalpojumiem</w:t>
            </w:r>
            <w:r w:rsidRPr="009D06EC">
              <w:rPr>
                <w:rFonts w:ascii="Times New Roman" w:hAnsi="Times New Roman" w:cs="Times New Roman"/>
                <w:sz w:val="24"/>
                <w:szCs w:val="24"/>
              </w:rPr>
              <w:t>valsts</w:t>
            </w:r>
            <w:r>
              <w:rPr>
                <w:rFonts w:ascii="Times New Roman" w:hAnsi="Times New Roman" w:cs="Times New Roman"/>
                <w:sz w:val="24"/>
                <w:szCs w:val="24"/>
              </w:rPr>
              <w:t xml:space="preserve"> obligātās</w:t>
            </w:r>
            <w:r w:rsidRPr="009D06EC">
              <w:rPr>
                <w:rFonts w:ascii="Times New Roman" w:hAnsi="Times New Roman" w:cs="Times New Roman"/>
                <w:sz w:val="24"/>
                <w:szCs w:val="24"/>
              </w:rPr>
              <w:t xml:space="preserve"> veselības apdrošināšanas </w:t>
            </w:r>
            <w:r>
              <w:rPr>
                <w:rFonts w:ascii="Times New Roman" w:hAnsi="Times New Roman" w:cs="Times New Roman"/>
                <w:sz w:val="24"/>
                <w:szCs w:val="24"/>
              </w:rPr>
              <w:t>ietvaros</w:t>
            </w:r>
            <w:r w:rsidR="001E58E3">
              <w:rPr>
                <w:rFonts w:ascii="Times New Roman" w:hAnsi="Times New Roman" w:cs="Times New Roman"/>
                <w:sz w:val="24"/>
                <w:szCs w:val="24"/>
              </w:rPr>
              <w:t xml:space="preserve"> ar brīdi, kad tās </w:t>
            </w:r>
            <w:r>
              <w:rPr>
                <w:rFonts w:ascii="Times New Roman" w:hAnsi="Times New Roman" w:cs="Times New Roman"/>
                <w:bCs/>
                <w:sz w:val="24"/>
                <w:szCs w:val="24"/>
              </w:rPr>
              <w:t>iekļautas Nacionālā veselības dienesta uzturētajā veselības aprūpes pakalpojumu saņēmēju datu bāzē</w:t>
            </w:r>
            <w:r>
              <w:rPr>
                <w:rFonts w:ascii="Times New Roman" w:hAnsi="Times New Roman" w:cs="Times New Roman"/>
                <w:sz w:val="24"/>
                <w:szCs w:val="24"/>
              </w:rPr>
              <w:t>, kurā norāda apdrošinātās personas datus un informāciju, kas apliecina personas atbilstību apdrošinātās personas statu</w:t>
            </w:r>
            <w:r w:rsidR="00422406">
              <w:rPr>
                <w:rFonts w:ascii="Times New Roman" w:hAnsi="Times New Roman" w:cs="Times New Roman"/>
                <w:sz w:val="24"/>
                <w:szCs w:val="24"/>
              </w:rPr>
              <w:t>sam. Saskaņā ar likumprojekta 13</w:t>
            </w:r>
            <w:r w:rsidRPr="009D06EC">
              <w:rPr>
                <w:rFonts w:ascii="Times New Roman" w:hAnsi="Times New Roman" w:cs="Times New Roman"/>
                <w:sz w:val="24"/>
                <w:szCs w:val="24"/>
              </w:rPr>
              <w:t>.panta trešo daļu - Ministru kabinets nosaka kārtību</w:t>
            </w:r>
            <w:r>
              <w:rPr>
                <w:rFonts w:ascii="Times New Roman" w:hAnsi="Times New Roman" w:cs="Times New Roman"/>
                <w:sz w:val="24"/>
                <w:szCs w:val="24"/>
              </w:rPr>
              <w:t xml:space="preserve"> un termiņus</w:t>
            </w:r>
            <w:r w:rsidRPr="009D06EC">
              <w:rPr>
                <w:rFonts w:ascii="Times New Roman" w:hAnsi="Times New Roman" w:cs="Times New Roman"/>
                <w:sz w:val="24"/>
                <w:szCs w:val="24"/>
              </w:rPr>
              <w:t xml:space="preserve">, kādā </w:t>
            </w:r>
            <w:r>
              <w:rPr>
                <w:rFonts w:ascii="Times New Roman" w:hAnsi="Times New Roman" w:cs="Times New Roman"/>
                <w:sz w:val="24"/>
                <w:szCs w:val="24"/>
              </w:rPr>
              <w:t xml:space="preserve">institūcijas sniedz informāciju personas iekļaušanai datu bāzē, </w:t>
            </w:r>
            <w:r w:rsidR="001E58E3">
              <w:rPr>
                <w:rFonts w:ascii="Times New Roman" w:hAnsi="Times New Roman" w:cs="Times New Roman"/>
                <w:sz w:val="24"/>
                <w:szCs w:val="24"/>
              </w:rPr>
              <w:t xml:space="preserve">sniegtās informācijas uzglabāšanas termiņus un kārtību, kādā persona tiek izslēgta no veselības aprūpes pakalpojumu saņēmēju datu bāzes. </w:t>
            </w:r>
            <w:r w:rsidR="003862B7">
              <w:rPr>
                <w:rFonts w:ascii="Times New Roman" w:hAnsi="Times New Roman" w:cs="Times New Roman"/>
                <w:bCs/>
                <w:sz w:val="24"/>
                <w:szCs w:val="24"/>
              </w:rPr>
              <w:t xml:space="preserve">Veselības aprūpes pakalpojumu saņēmēju datu bāze tiks veidota uz šobrīd Nacionālā veselības dienestā esošā veselības aprūpes pakalpojumu saņēmēju reģistra pamata, kura funkcionalitātē tiks veiktas izmaiņas, lai nodrošinātu elektronisko datu apmaiņu ar citu iesaistīto iestāžu datu bāzēm, IT sistēmām un reģistriem (piemēram, Valsts sociālās apdrošināšanas aģentūra, Nodarbinātības valsts aģentūra, Pilsonības un migrācijas lietu </w:t>
            </w:r>
            <w:r w:rsidRPr="005C3C5E" w:rsidR="003862B7">
              <w:rPr>
                <w:rFonts w:ascii="Times New Roman" w:hAnsi="Times New Roman" w:cs="Times New Roman"/>
                <w:bCs/>
                <w:sz w:val="24"/>
                <w:szCs w:val="24"/>
              </w:rPr>
              <w:t>pārvaldes</w:t>
            </w:r>
            <w:r w:rsidRPr="005C3C5E" w:rsidR="005C3C5E">
              <w:rPr>
                <w:rFonts w:ascii="Times New Roman" w:hAnsi="Times New Roman" w:cs="Times New Roman"/>
                <w:bCs/>
                <w:sz w:val="24"/>
                <w:szCs w:val="24"/>
              </w:rPr>
              <w:t xml:space="preserve">, </w:t>
            </w:r>
            <w:r w:rsidRPr="005C3C5E" w:rsidR="005C3C5E">
              <w:rPr>
                <w:rFonts w:ascii="Times New Roman" w:eastAsia="Calibri" w:hAnsi="Times New Roman" w:cs="Times New Roman"/>
                <w:sz w:val="24"/>
                <w:szCs w:val="24"/>
              </w:rPr>
              <w:t>Labklājības ministrijas Valsts sociālās politikas monitoringa informācijas sistēma</w:t>
            </w:r>
            <w:r w:rsidR="005C3C5E">
              <w:rPr>
                <w:rFonts w:ascii="Times New Roman" w:hAnsi="Times New Roman" w:cs="Times New Roman"/>
                <w:bCs/>
                <w:sz w:val="24"/>
                <w:szCs w:val="24"/>
              </w:rPr>
              <w:t>, augstskolas, Izglītības un zinātnes ministrija, Ieslodzījuma vietu pārvalde</w:t>
            </w:r>
            <w:r w:rsidR="003862B7">
              <w:rPr>
                <w:rFonts w:ascii="Times New Roman" w:hAnsi="Times New Roman" w:cs="Times New Roman"/>
                <w:bCs/>
                <w:sz w:val="24"/>
                <w:szCs w:val="24"/>
              </w:rPr>
              <w:t xml:space="preserve"> u.c.)</w:t>
            </w:r>
            <w:r w:rsidR="00726D8E">
              <w:rPr>
                <w:rFonts w:ascii="Times New Roman" w:hAnsi="Times New Roman" w:cs="Times New Roman"/>
                <w:bCs/>
                <w:sz w:val="24"/>
                <w:szCs w:val="24"/>
              </w:rPr>
              <w:t xml:space="preserve">. </w:t>
            </w:r>
            <w:r w:rsidR="00C06E5E">
              <w:rPr>
                <w:rFonts w:ascii="Times New Roman" w:hAnsi="Times New Roman" w:cs="Times New Roman"/>
                <w:bCs/>
                <w:sz w:val="24"/>
                <w:szCs w:val="24"/>
              </w:rPr>
              <w:t>Dati tiks iekļauti automātiski nodrošinot elektronisko datu apmaiņu un tikai atsevišķos gadījumos, kad nebūs iespēja elektroniska datu apmaiņa, Nacionālais veselības dienests d</w:t>
            </w:r>
            <w:r w:rsidR="007E4DB2">
              <w:rPr>
                <w:rFonts w:ascii="Times New Roman" w:hAnsi="Times New Roman" w:cs="Times New Roman"/>
                <w:bCs/>
                <w:sz w:val="24"/>
                <w:szCs w:val="24"/>
              </w:rPr>
              <w:t>atu iekļaušanu nodrošinās pats. Informācija par to, vai personai ir tiesības uz valsts obligāto veselības apdrošināšanu, gan ārstniecības personai, gan pašai personai būs pieejama vienotajā veselības nozares elektroniskajā informācijas sistēmā.</w:t>
            </w:r>
          </w:p>
          <w:p w:rsidR="001E58E3"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Persona, par kuru ir veiktas vai bija jāveic valsts sociālās apdrošināšanas obligātās iemaksas veselības apdrošināšanai saskaņā ar likumu “Par valsts sociālo apdrošināšanu”, vai likumprojektā uzskaitīto personu kategorijas saglabā tiesības uz veselības aprūpes pakalpojumiem valsts obligātās veselības apdrošināšanas ietvaros vēl trīs mēnešus pēc statusa zaudēšanas. </w:t>
            </w:r>
          </w:p>
          <w:p w:rsidR="007E4DB2"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Personām, kuras nav valsts sociālās apdrošināšanas obligāto iemaksu veselības apdrošināšanai veicēji un neatbilst likumprojektā uzskaitīto personu kategorijai</w:t>
            </w:r>
            <w:r w:rsidR="001512E6">
              <w:rPr>
                <w:rFonts w:ascii="Times New Roman" w:hAnsi="Times New Roman" w:cs="Times New Roman"/>
                <w:sz w:val="24"/>
                <w:szCs w:val="24"/>
              </w:rPr>
              <w:t>,</w:t>
            </w:r>
            <w:r>
              <w:rPr>
                <w:rFonts w:ascii="Times New Roman" w:hAnsi="Times New Roman" w:cs="Times New Roman"/>
                <w:sz w:val="24"/>
                <w:szCs w:val="24"/>
              </w:rPr>
              <w:t xml:space="preserve"> ir </w:t>
            </w:r>
            <w:r w:rsidR="001512E6">
              <w:rPr>
                <w:rFonts w:ascii="Times New Roman" w:hAnsi="Times New Roman" w:cs="Times New Roman"/>
                <w:sz w:val="24"/>
                <w:szCs w:val="24"/>
              </w:rPr>
              <w:t xml:space="preserve">tiesības uz veselības aprūpes pakalpojumiem valsts obligātā </w:t>
            </w:r>
            <w:r w:rsidR="001512E6">
              <w:rPr>
                <w:rFonts w:ascii="Times New Roman" w:hAnsi="Times New Roman" w:cs="Times New Roman"/>
                <w:sz w:val="24"/>
                <w:szCs w:val="24"/>
              </w:rPr>
              <w:t>veselības apdrošināšanas ietvaros, ja šīs personas ir veikušas veselības apdrošināšanas iemak</w:t>
            </w:r>
            <w:r w:rsidR="00422406">
              <w:rPr>
                <w:rFonts w:ascii="Times New Roman" w:hAnsi="Times New Roman" w:cs="Times New Roman"/>
                <w:sz w:val="24"/>
                <w:szCs w:val="24"/>
              </w:rPr>
              <w:t>sas. Atbilstoši likumprojekta 12</w:t>
            </w:r>
            <w:r w:rsidR="001512E6">
              <w:rPr>
                <w:rFonts w:ascii="Times New Roman" w:hAnsi="Times New Roman" w:cs="Times New Roman"/>
                <w:sz w:val="24"/>
                <w:szCs w:val="24"/>
              </w:rPr>
              <w:t xml:space="preserve">.pantam veselības apdrošināšanas iemaksu apmērs kalendārā gadā no 2020.gada būs 5% apmērā no </w:t>
            </w:r>
            <w:r w:rsidR="001512E6">
              <w:rPr>
                <w:rFonts w:ascii="Times New Roman" w:hAnsi="Times New Roman" w:cs="Times New Roman"/>
                <w:sz w:val="24"/>
                <w:szCs w:val="24"/>
              </w:rPr>
              <w:t>divpadsmitkārtīgas</w:t>
            </w:r>
            <w:r w:rsidR="001512E6">
              <w:rPr>
                <w:rFonts w:ascii="Times New Roman" w:hAnsi="Times New Roman" w:cs="Times New Roman"/>
                <w:sz w:val="24"/>
                <w:szCs w:val="24"/>
              </w:rPr>
              <w:t xml:space="preserve">  minimālās mēneša darba algas (2018.gadā – 1% no </w:t>
            </w:r>
            <w:r w:rsidR="001512E6">
              <w:rPr>
                <w:rFonts w:ascii="Times New Roman" w:hAnsi="Times New Roman" w:cs="Times New Roman"/>
                <w:sz w:val="24"/>
                <w:szCs w:val="24"/>
              </w:rPr>
              <w:t>divpadsmitkārtīgas</w:t>
            </w:r>
            <w:r w:rsidR="001512E6">
              <w:rPr>
                <w:rFonts w:ascii="Times New Roman" w:hAnsi="Times New Roman" w:cs="Times New Roman"/>
                <w:sz w:val="24"/>
                <w:szCs w:val="24"/>
              </w:rPr>
              <w:t xml:space="preserve"> minimālās mēneša darba algas, bet 2019.gadā – 3% no minimālās mēneša darba algas). Iemaksas būs veicamas reizi gadā </w:t>
            </w:r>
            <w:r w:rsidR="0063096C">
              <w:rPr>
                <w:rFonts w:ascii="Times New Roman" w:hAnsi="Times New Roman" w:cs="Times New Roman"/>
                <w:sz w:val="24"/>
                <w:szCs w:val="24"/>
              </w:rPr>
              <w:t>(kalendārā gada sākumā) un pēc iemaksu veikšanas persona varēs saņemt veselības aprūpes pakalpojumus valsts obligātās veselības apdrošināšanas ietvaros attiecīgā kalendārā gada ietvaros. V</w:t>
            </w:r>
            <w:r w:rsidR="001512E6">
              <w:rPr>
                <w:rFonts w:ascii="Times New Roman" w:hAnsi="Times New Roman" w:cs="Times New Roman"/>
                <w:sz w:val="24"/>
                <w:szCs w:val="24"/>
              </w:rPr>
              <w:t>eselības apdrošināšanas iemaksas būs veicama</w:t>
            </w:r>
            <w:r w:rsidR="0063096C">
              <w:rPr>
                <w:rFonts w:ascii="Times New Roman" w:hAnsi="Times New Roman" w:cs="Times New Roman"/>
                <w:sz w:val="24"/>
                <w:szCs w:val="24"/>
              </w:rPr>
              <w:t>s</w:t>
            </w:r>
            <w:r w:rsidR="001512E6">
              <w:rPr>
                <w:rFonts w:ascii="Times New Roman" w:hAnsi="Times New Roman" w:cs="Times New Roman"/>
                <w:sz w:val="24"/>
                <w:szCs w:val="24"/>
              </w:rPr>
              <w:t xml:space="preserve"> par kārtējo kalendāro gadu un diviem iepriekšējiem kalendārajiem gadiem, ja veselības apdrošināšanas iemaksas par tiem nav </w:t>
            </w:r>
            <w:r w:rsidRPr="00675309" w:rsidR="001512E6">
              <w:rPr>
                <w:rFonts w:ascii="Times New Roman" w:hAnsi="Times New Roman" w:cs="Times New Roman"/>
                <w:sz w:val="24"/>
                <w:szCs w:val="24"/>
              </w:rPr>
              <w:t xml:space="preserve">maksātas. </w:t>
            </w:r>
            <w:r w:rsidRPr="00675309" w:rsidR="00FB3D02">
              <w:rPr>
                <w:rFonts w:ascii="Times New Roman" w:hAnsi="Times New Roman" w:cs="Times New Roman"/>
                <w:sz w:val="24"/>
                <w:szCs w:val="24"/>
              </w:rPr>
              <w:t xml:space="preserve">Divu iepriekšējo kalendāro gadu periods noteikts ēnu ekonomikas apkarošanas ietvaros, kā arī kā motivējošs pasākumus nodokļu nomaksu veikšanai. </w:t>
            </w:r>
            <w:r>
              <w:rPr>
                <w:rFonts w:ascii="Times New Roman" w:hAnsi="Times New Roman" w:cs="Times New Roman"/>
                <w:sz w:val="24"/>
                <w:szCs w:val="24"/>
              </w:rPr>
              <w:t xml:space="preserve">Personai, kura būs ieguvusi likumprojekta 11.panta pirmās daļas 1.punktā minēto statusu vai kādu citu no likumprojekta 11.panta otrajā un trešajā daļā minētajiem statusiem, lai iegūtu tiesības uz valsts obligāto veselības apdrošināšanu veselības apdrošināšanas iemaksas par kārtējo kalendāro gadu un iepriekšējiem diviem kalendārajiem gadiem nebūs jāveic. </w:t>
            </w:r>
            <w:r w:rsidRPr="00675309" w:rsidR="001512E6">
              <w:rPr>
                <w:rFonts w:ascii="Times New Roman" w:hAnsi="Times New Roman" w:cs="Times New Roman"/>
                <w:sz w:val="24"/>
                <w:szCs w:val="24"/>
              </w:rPr>
              <w:t xml:space="preserve">Savukārt, ja persona kalendārā gada ietvaros zaudēs </w:t>
            </w:r>
            <w:r w:rsidR="001512E6">
              <w:rPr>
                <w:rFonts w:ascii="Times New Roman" w:hAnsi="Times New Roman" w:cs="Times New Roman"/>
                <w:sz w:val="24"/>
                <w:szCs w:val="24"/>
              </w:rPr>
              <w:t>apdrošinātās personas statusu, tad viņa tiesības uz veselības aprūpes pakalpojumiem valsts obligātās veselības apdrošināšanas ietvaros iegūs veicot veselības apdrošināšanas iemaksas par kārtējā kalendārajā gadā atlikušo pilno mēnešu skaitu (ieskaitot kārtējo mēnesi)</w:t>
            </w:r>
            <w:r w:rsidR="00422406">
              <w:rPr>
                <w:rFonts w:ascii="Times New Roman" w:hAnsi="Times New Roman" w:cs="Times New Roman"/>
                <w:sz w:val="24"/>
                <w:szCs w:val="24"/>
              </w:rPr>
              <w:t xml:space="preserve"> trīs mēnešus pēc apdrošinātās personas statusa zaudēšanu (ņemot vērā likumprojektā iekļauto, ka personas tiesības uz valsts obligāto veselības apdrošināšanu saglabājas vēl trīs mēnešus pēc apdrošinātās personas statusa zaudēšanas)</w:t>
            </w:r>
            <w:r w:rsidR="001512E6">
              <w:rPr>
                <w:rFonts w:ascii="Times New Roman" w:hAnsi="Times New Roman" w:cs="Times New Roman"/>
                <w:sz w:val="24"/>
                <w:szCs w:val="24"/>
              </w:rPr>
              <w:t xml:space="preserve">. Veselības apdrošināšanas iemaksas administrēs </w:t>
            </w:r>
            <w:r>
              <w:rPr>
                <w:rFonts w:ascii="Times New Roman" w:hAnsi="Times New Roman" w:cs="Times New Roman"/>
                <w:sz w:val="24"/>
                <w:szCs w:val="24"/>
              </w:rPr>
              <w:t>Nacionālais veselības dienests.</w:t>
            </w:r>
          </w:p>
          <w:p w:rsidR="001E58E3"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sociālo partneru iesaisti valsts finansējuma veselības aprūpei izlietojama uzraudzībā, likumprojekts paredz izveidot Nacionālā veselības dienesta konsultatīvo padomi, kurā būs iesaistīti pārstāvji no valdības puses – Veselības ministrija, Labklājības ministrija un Finanšu ministrija, kā arī darba devēji un darba ņēmēji – tie, kas pārstāvēti Nacionālās trīspusējās sadarbības padomes Veselības aprūpes </w:t>
            </w:r>
            <w:r w:rsidR="00384190">
              <w:rPr>
                <w:rFonts w:ascii="Times New Roman" w:hAnsi="Times New Roman" w:cs="Times New Roman"/>
                <w:sz w:val="24"/>
                <w:szCs w:val="24"/>
              </w:rPr>
              <w:t xml:space="preserve">nozares </w:t>
            </w:r>
            <w:r w:rsidR="00384190">
              <w:rPr>
                <w:rFonts w:ascii="Times New Roman" w:hAnsi="Times New Roman" w:cs="Times New Roman"/>
                <w:sz w:val="24"/>
                <w:szCs w:val="24"/>
              </w:rPr>
              <w:t>apakšpadomē</w:t>
            </w:r>
            <w:r w:rsidR="00384190">
              <w:rPr>
                <w:rFonts w:ascii="Times New Roman" w:hAnsi="Times New Roman" w:cs="Times New Roman"/>
                <w:sz w:val="24"/>
                <w:szCs w:val="24"/>
              </w:rPr>
              <w:t>. Padomei paredzētas konsultatīvas funkcijas – izskatīt pārskatus par valsts finansējuma izlietojumu, sniegt priekšlikumus Nacionālā veselības dienesta darbības uzlabošanai veselības aprūpes finansēšanas un valsts finansējuma izlietojuma uzraudzības jautājumos u.c.</w:t>
            </w:r>
          </w:p>
          <w:p w:rsidR="00384190" w:rsidRPr="00EF45F4"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Atbilstoši likumprojekta Pārejas noteikumiem ir paredzēts, ka likumprojekts stāsies spēkā 2018.gada </w:t>
            </w:r>
            <w:r>
              <w:rPr>
                <w:rFonts w:ascii="Times New Roman" w:hAnsi="Times New Roman" w:cs="Times New Roman"/>
                <w:sz w:val="24"/>
                <w:szCs w:val="24"/>
              </w:rPr>
              <w:t>1.janvārī un 2018.gads tiek paredzēts kā kvalifikācijas periods, kurā personām saglabājas līdzšinējas tiesības uz valsts apmaksātiem veselības aprūpes pakalpojumiem, savukārt no 2019.gada 1.janvāra tiesības uz veselības aprūpes pakalpojumiem valsts obligātās veselības apdrošināšanas ietvaros būs tikai likumprojektā minētajām personu kategorijām.</w:t>
            </w:r>
          </w:p>
        </w:tc>
      </w:tr>
      <w:tr w:rsidTr="008800B3">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EF1477">
              <w:rPr>
                <w:rFonts w:ascii="Times New Roman" w:eastAsia="Times New Roman" w:hAnsi="Times New Roman" w:cs="Times New Roman"/>
                <w:sz w:val="24"/>
                <w:szCs w:val="24"/>
                <w:lang w:eastAsia="lv-LV"/>
              </w:rPr>
              <w:t>Nacionālais veselības dienests</w:t>
            </w:r>
          </w:p>
        </w:tc>
      </w:tr>
      <w:tr w:rsidTr="008800B3">
        <w:tblPrEx>
          <w:tblW w:w="5000" w:type="pct"/>
          <w:tblCellMar>
            <w:top w:w="24" w:type="dxa"/>
            <w:left w:w="24" w:type="dxa"/>
            <w:bottom w:w="24" w:type="dxa"/>
            <w:right w:w="24" w:type="dxa"/>
          </w:tblCellMar>
          <w:tblLook w:val="04A0"/>
        </w:tblPrEx>
        <w:trPr>
          <w:trHeight w:val="285"/>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Tr="008800B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8800B3">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 xml:space="preserve">Sabiedrības </w:t>
            </w:r>
            <w:r w:rsidRPr="001A2C44">
              <w:rPr>
                <w:rFonts w:ascii="Times New Roman" w:eastAsia="Times New Roman" w:hAnsi="Times New Roman" w:cs="Times New Roman"/>
                <w:sz w:val="24"/>
                <w:szCs w:val="24"/>
                <w:lang w:eastAsia="lv-LV"/>
              </w:rPr>
              <w:t>mērķgrupas</w:t>
            </w:r>
            <w:r w:rsidRPr="001A2C4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ietekmēs:</w:t>
            </w:r>
          </w:p>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384190">
              <w:rPr>
                <w:rFonts w:ascii="Times New Roman" w:eastAsia="Times New Roman" w:hAnsi="Times New Roman" w:cs="Times New Roman"/>
                <w:sz w:val="24"/>
                <w:szCs w:val="24"/>
                <w:lang w:eastAsia="lv-LV"/>
              </w:rPr>
              <w:t>visus Latvijas iedzīvotājus</w:t>
            </w:r>
            <w:r w:rsidR="003862B7">
              <w:rPr>
                <w:rFonts w:ascii="Times New Roman" w:eastAsia="Times New Roman" w:hAnsi="Times New Roman" w:cs="Times New Roman"/>
                <w:sz w:val="24"/>
                <w:szCs w:val="24"/>
                <w:lang w:eastAsia="lv-LV"/>
              </w:rPr>
              <w:t xml:space="preserve"> (gan Latvijas pilsoņus un </w:t>
            </w:r>
            <w:r w:rsidR="003862B7">
              <w:rPr>
                <w:rFonts w:ascii="Times New Roman" w:eastAsia="Times New Roman" w:hAnsi="Times New Roman" w:cs="Times New Roman"/>
                <w:sz w:val="24"/>
                <w:szCs w:val="24"/>
                <w:lang w:eastAsia="lv-LV"/>
              </w:rPr>
              <w:t>nepilsoņus</w:t>
            </w:r>
            <w:r w:rsidR="003862B7">
              <w:rPr>
                <w:rFonts w:ascii="Times New Roman" w:eastAsia="Times New Roman" w:hAnsi="Times New Roman" w:cs="Times New Roman"/>
                <w:sz w:val="24"/>
                <w:szCs w:val="24"/>
                <w:lang w:eastAsia="lv-LV"/>
              </w:rPr>
              <w:t>, gan ārvalstu pilsoņus, kuri uzturas Latvijā sakarā ar nodarbinātību</w:t>
            </w:r>
            <w:r w:rsidR="001C0575">
              <w:rPr>
                <w:rFonts w:ascii="Times New Roman" w:eastAsia="Times New Roman" w:hAnsi="Times New Roman" w:cs="Times New Roman"/>
                <w:sz w:val="24"/>
                <w:szCs w:val="24"/>
                <w:lang w:eastAsia="lv-LV"/>
              </w:rPr>
              <w:t xml:space="preserve"> u.c.</w:t>
            </w:r>
            <w:r w:rsidR="003862B7">
              <w:rPr>
                <w:rFonts w:ascii="Times New Roman" w:eastAsia="Times New Roman" w:hAnsi="Times New Roman" w:cs="Times New Roman"/>
                <w:sz w:val="24"/>
                <w:szCs w:val="24"/>
                <w:lang w:eastAsia="lv-LV"/>
              </w:rPr>
              <w:t>)</w:t>
            </w:r>
          </w:p>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ārstniecības iestādes</w:t>
            </w:r>
            <w:r w:rsidR="003862B7">
              <w:rPr>
                <w:rFonts w:ascii="Times New Roman" w:eastAsia="Times New Roman" w:hAnsi="Times New Roman" w:cs="Times New Roman"/>
                <w:sz w:val="24"/>
                <w:szCs w:val="24"/>
                <w:lang w:eastAsia="lv-LV"/>
              </w:rPr>
              <w:t xml:space="preserve"> un ārstniecības personas</w:t>
            </w:r>
          </w:p>
          <w:p w:rsidR="003862B7" w:rsidRPr="001A2C4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Nacionālo  veselības dienestu</w:t>
            </w:r>
          </w:p>
        </w:tc>
      </w:tr>
      <w:tr w:rsidTr="008800B3">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3862B7" w:rsidP="008800B3">
            <w:pPr>
              <w:spacing w:after="0" w:line="240" w:lineRule="auto"/>
              <w:jc w:val="both"/>
              <w:rPr>
                <w:rFonts w:ascii="Times New Roman" w:hAnsi="Times New Roman" w:cs="Times New Roman"/>
                <w:sz w:val="24"/>
                <w:szCs w:val="24"/>
              </w:rPr>
            </w:pPr>
            <w:r w:rsidRPr="003862B7">
              <w:rPr>
                <w:rFonts w:ascii="Times New Roman" w:hAnsi="Times New Roman" w:cs="Times New Roman"/>
                <w:sz w:val="24"/>
                <w:szCs w:val="24"/>
              </w:rPr>
              <w:t>Likumprojekts paredz sasniegt valsts budžeta fin</w:t>
            </w:r>
            <w:r>
              <w:rPr>
                <w:rFonts w:ascii="Times New Roman" w:hAnsi="Times New Roman" w:cs="Times New Roman"/>
                <w:sz w:val="24"/>
                <w:szCs w:val="24"/>
              </w:rPr>
              <w:t>ansējuma apmēru ne mazāku kā 4</w:t>
            </w:r>
            <w:r w:rsidRPr="003862B7">
              <w:rPr>
                <w:rFonts w:ascii="Times New Roman" w:hAnsi="Times New Roman" w:cs="Times New Roman"/>
                <w:sz w:val="24"/>
                <w:szCs w:val="24"/>
              </w:rPr>
              <w:t xml:space="preserve"> % apmērā no </w:t>
            </w:r>
            <w:r>
              <w:rPr>
                <w:rFonts w:ascii="Times New Roman" w:hAnsi="Times New Roman" w:cs="Times New Roman"/>
                <w:sz w:val="24"/>
                <w:szCs w:val="24"/>
              </w:rPr>
              <w:t>iekšzemes kopprodukta</w:t>
            </w:r>
            <w:r w:rsidRPr="003862B7">
              <w:rPr>
                <w:rFonts w:ascii="Times New Roman" w:hAnsi="Times New Roman" w:cs="Times New Roman"/>
                <w:sz w:val="24"/>
                <w:szCs w:val="24"/>
              </w:rPr>
              <w:t xml:space="preserve">. Detalizētāka informācija </w:t>
            </w:r>
            <w:r>
              <w:rPr>
                <w:rFonts w:ascii="Times New Roman" w:hAnsi="Times New Roman" w:cs="Times New Roman"/>
                <w:sz w:val="24"/>
                <w:szCs w:val="24"/>
              </w:rPr>
              <w:t>Konceptuālā ziņojumā “Par v</w:t>
            </w:r>
            <w:r w:rsidRPr="003862B7">
              <w:rPr>
                <w:rFonts w:ascii="Times New Roman" w:hAnsi="Times New Roman" w:cs="Times New Roman"/>
                <w:sz w:val="24"/>
                <w:szCs w:val="24"/>
              </w:rPr>
              <w:t>eselības aprūpes sistēmas</w:t>
            </w:r>
            <w:r>
              <w:rPr>
                <w:rFonts w:ascii="Times New Roman" w:hAnsi="Times New Roman" w:cs="Times New Roman"/>
                <w:sz w:val="24"/>
                <w:szCs w:val="24"/>
              </w:rPr>
              <w:t xml:space="preserve"> reformu” (</w:t>
            </w:r>
            <w:r w:rsidRPr="003862B7">
              <w:rPr>
                <w:rFonts w:ascii="Times New Roman" w:hAnsi="Times New Roman" w:cs="Times New Roman"/>
                <w:sz w:val="24"/>
                <w:szCs w:val="24"/>
              </w:rPr>
              <w:t>http://polsis.mk.gov.lv/documents/5973</w:t>
            </w:r>
            <w:r>
              <w:rPr>
                <w:rFonts w:ascii="Times New Roman" w:hAnsi="Times New Roman" w:cs="Times New Roman"/>
                <w:sz w:val="24"/>
                <w:szCs w:val="24"/>
              </w:rPr>
              <w:t>)</w:t>
            </w:r>
          </w:p>
        </w:tc>
      </w:tr>
      <w:tr w:rsidTr="008800B3">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Tr="008800B3">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tblPr>
      <w:tblGrid>
        <w:gridCol w:w="2039"/>
        <w:gridCol w:w="1417"/>
        <w:gridCol w:w="1276"/>
        <w:gridCol w:w="1482"/>
        <w:gridCol w:w="1482"/>
        <w:gridCol w:w="1482"/>
      </w:tblGrid>
      <w:tr w:rsidTr="00BC3B3D">
        <w:tblPrEx>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tblPrEx>
        <w:trPr>
          <w:jc w:val="center"/>
        </w:trPr>
        <w:tc>
          <w:tcPr>
            <w:tcW w:w="9178" w:type="dxa"/>
            <w:gridSpan w:val="6"/>
            <w:vAlign w:val="center"/>
          </w:tcPr>
          <w:p w:rsidR="003862B7" w:rsidRPr="003862B7" w:rsidP="00BC3B3D">
            <w:pPr>
              <w:pStyle w:val="naisf"/>
              <w:spacing w:before="0" w:after="0"/>
              <w:ind w:firstLine="0"/>
              <w:jc w:val="center"/>
              <w:rPr>
                <w:b/>
              </w:rPr>
            </w:pPr>
            <w:r w:rsidRPr="003862B7">
              <w:rPr>
                <w:b/>
              </w:rPr>
              <w:t>III. Tiesību akta projekta ietekme uz valsts budžetu un pašvaldību budžetiem</w:t>
            </w:r>
          </w:p>
        </w:tc>
      </w:tr>
      <w:tr w:rsidTr="00BC3B3D">
        <w:tblPrEx>
          <w:tblW w:w="9178" w:type="dxa"/>
          <w:jc w:val="center"/>
          <w:tblCellMar>
            <w:right w:w="57" w:type="dxa"/>
          </w:tblCellMar>
          <w:tblLook w:val="01E0"/>
        </w:tblPrEx>
        <w:trPr>
          <w:jc w:val="center"/>
        </w:trPr>
        <w:tc>
          <w:tcPr>
            <w:tcW w:w="2039" w:type="dxa"/>
            <w:vMerge w:val="restart"/>
            <w:vAlign w:val="center"/>
          </w:tcPr>
          <w:p w:rsidR="003862B7" w:rsidRPr="003862B7" w:rsidP="00BC3B3D">
            <w:pPr>
              <w:pStyle w:val="naisf"/>
              <w:spacing w:before="0" w:after="0"/>
              <w:ind w:left="114" w:hanging="114"/>
              <w:jc w:val="center"/>
              <w:rPr>
                <w:b/>
              </w:rPr>
            </w:pPr>
            <w:r w:rsidRPr="003862B7">
              <w:rPr>
                <w:b/>
              </w:rPr>
              <w:t>Rādītāji</w:t>
            </w:r>
          </w:p>
        </w:tc>
        <w:tc>
          <w:tcPr>
            <w:tcW w:w="2693" w:type="dxa"/>
            <w:gridSpan w:val="2"/>
            <w:vMerge w:val="restart"/>
            <w:vAlign w:val="center"/>
          </w:tcPr>
          <w:p w:rsidR="003862B7" w:rsidRPr="003862B7" w:rsidP="00BC3B3D">
            <w:pPr>
              <w:pStyle w:val="naisf"/>
              <w:spacing w:before="0" w:after="0"/>
              <w:ind w:firstLine="0"/>
              <w:jc w:val="center"/>
              <w:rPr>
                <w:b/>
              </w:rPr>
            </w:pPr>
            <w:r w:rsidRPr="003862B7">
              <w:rPr>
                <w:b/>
              </w:rPr>
              <w:t>2017.gads</w:t>
            </w:r>
          </w:p>
        </w:tc>
        <w:tc>
          <w:tcPr>
            <w:tcW w:w="4446" w:type="dxa"/>
            <w:gridSpan w:val="3"/>
            <w:vAlign w:val="center"/>
          </w:tcPr>
          <w:p w:rsidR="003862B7" w:rsidRPr="003862B7" w:rsidP="00BC3B3D">
            <w:pPr>
              <w:pStyle w:val="naisf"/>
              <w:spacing w:before="0" w:after="0"/>
              <w:ind w:firstLine="0"/>
              <w:jc w:val="center"/>
              <w:rPr>
                <w:b/>
                <w:i/>
              </w:rPr>
            </w:pPr>
            <w:r w:rsidRPr="003862B7">
              <w:t>Turpmākie trīs gadi (</w:t>
            </w:r>
            <w:r w:rsidRPr="003862B7">
              <w:rPr>
                <w:i/>
              </w:rPr>
              <w:t>euro</w:t>
            </w:r>
            <w:r w:rsidRPr="003862B7">
              <w:t>)</w:t>
            </w:r>
          </w:p>
        </w:tc>
      </w:tr>
      <w:tr w:rsidTr="00BC3B3D">
        <w:tblPrEx>
          <w:tblW w:w="9178" w:type="dxa"/>
          <w:jc w:val="center"/>
          <w:tblCellMar>
            <w:right w:w="57" w:type="dxa"/>
          </w:tblCellMar>
          <w:tblLook w:val="01E0"/>
        </w:tblPrEx>
        <w:trPr>
          <w:jc w:val="center"/>
        </w:trPr>
        <w:tc>
          <w:tcPr>
            <w:tcW w:w="2039" w:type="dxa"/>
            <w:vMerge/>
            <w:vAlign w:val="center"/>
          </w:tcPr>
          <w:p w:rsidR="003862B7" w:rsidRPr="003862B7" w:rsidP="00BC3B3D">
            <w:pPr>
              <w:pStyle w:val="naisf"/>
              <w:spacing w:before="0" w:after="0"/>
              <w:ind w:firstLine="0"/>
              <w:jc w:val="center"/>
              <w:rPr>
                <w:b/>
                <w:i/>
              </w:rPr>
            </w:pPr>
          </w:p>
        </w:tc>
        <w:tc>
          <w:tcPr>
            <w:tcW w:w="2693" w:type="dxa"/>
            <w:gridSpan w:val="2"/>
            <w:vMerge/>
            <w:vAlign w:val="center"/>
          </w:tcPr>
          <w:p w:rsidR="003862B7" w:rsidRPr="003862B7" w:rsidP="00BC3B3D">
            <w:pPr>
              <w:pStyle w:val="naisf"/>
              <w:spacing w:before="0" w:after="0"/>
              <w:ind w:firstLine="0"/>
              <w:jc w:val="center"/>
              <w:rPr>
                <w:b/>
                <w:i/>
              </w:rPr>
            </w:pPr>
          </w:p>
        </w:tc>
        <w:tc>
          <w:tcPr>
            <w:tcW w:w="1482" w:type="dxa"/>
            <w:vAlign w:val="center"/>
          </w:tcPr>
          <w:p w:rsidR="003862B7" w:rsidRPr="003862B7" w:rsidP="00BC3B3D">
            <w:pPr>
              <w:pStyle w:val="naisf"/>
              <w:spacing w:before="0" w:after="0"/>
              <w:ind w:firstLine="0"/>
              <w:jc w:val="center"/>
              <w:rPr>
                <w:b/>
                <w:i/>
              </w:rPr>
            </w:pPr>
            <w:r w:rsidRPr="003862B7">
              <w:rPr>
                <w:b/>
                <w:bCs/>
              </w:rPr>
              <w:t>2018.gads</w:t>
            </w:r>
          </w:p>
        </w:tc>
        <w:tc>
          <w:tcPr>
            <w:tcW w:w="1482" w:type="dxa"/>
            <w:vAlign w:val="center"/>
          </w:tcPr>
          <w:p w:rsidR="003862B7" w:rsidRPr="003862B7" w:rsidP="00BC3B3D">
            <w:pPr>
              <w:pStyle w:val="naisf"/>
              <w:spacing w:before="0" w:after="0"/>
              <w:ind w:firstLine="0"/>
              <w:jc w:val="center"/>
              <w:rPr>
                <w:b/>
                <w:i/>
              </w:rPr>
            </w:pPr>
            <w:r w:rsidRPr="003862B7">
              <w:rPr>
                <w:b/>
                <w:bCs/>
              </w:rPr>
              <w:t>2019.gads</w:t>
            </w:r>
          </w:p>
        </w:tc>
        <w:tc>
          <w:tcPr>
            <w:tcW w:w="1482" w:type="dxa"/>
            <w:vAlign w:val="center"/>
          </w:tcPr>
          <w:p w:rsidR="003862B7" w:rsidRPr="003862B7" w:rsidP="00BC3B3D">
            <w:pPr>
              <w:pStyle w:val="naisf"/>
              <w:spacing w:before="0" w:after="0"/>
              <w:ind w:firstLine="0"/>
              <w:jc w:val="center"/>
              <w:rPr>
                <w:b/>
                <w:i/>
              </w:rPr>
            </w:pPr>
            <w:r w:rsidRPr="003862B7">
              <w:rPr>
                <w:b/>
                <w:bCs/>
              </w:rPr>
              <w:t>2020.gads</w:t>
            </w:r>
          </w:p>
        </w:tc>
      </w:tr>
      <w:tr w:rsidTr="00BC3B3D">
        <w:tblPrEx>
          <w:tblW w:w="9178" w:type="dxa"/>
          <w:jc w:val="center"/>
          <w:tblCellMar>
            <w:right w:w="57" w:type="dxa"/>
          </w:tblCellMar>
          <w:tblLook w:val="01E0"/>
        </w:tblPrEx>
        <w:trPr>
          <w:jc w:val="center"/>
        </w:trPr>
        <w:tc>
          <w:tcPr>
            <w:tcW w:w="2039" w:type="dxa"/>
            <w:vMerge/>
            <w:vAlign w:val="center"/>
          </w:tcPr>
          <w:p w:rsidR="003862B7" w:rsidRPr="003862B7" w:rsidP="00BC3B3D">
            <w:pPr>
              <w:pStyle w:val="naisf"/>
              <w:spacing w:before="0" w:after="0"/>
              <w:ind w:firstLine="0"/>
              <w:jc w:val="center"/>
              <w:rPr>
                <w:b/>
                <w:i/>
              </w:rPr>
            </w:pPr>
          </w:p>
        </w:tc>
        <w:tc>
          <w:tcPr>
            <w:tcW w:w="1417" w:type="dxa"/>
            <w:vAlign w:val="center"/>
          </w:tcPr>
          <w:p w:rsidR="003862B7" w:rsidRPr="003862B7" w:rsidP="00BC3B3D">
            <w:pPr>
              <w:pStyle w:val="naisf"/>
              <w:spacing w:before="0" w:after="0"/>
              <w:ind w:firstLine="0"/>
              <w:jc w:val="center"/>
              <w:rPr>
                <w:b/>
                <w:i/>
              </w:rPr>
            </w:pPr>
            <w:r w:rsidRPr="003862B7">
              <w:t>Saskaņā ar valsts budžetu kārtējam gadam</w:t>
            </w:r>
          </w:p>
        </w:tc>
        <w:tc>
          <w:tcPr>
            <w:tcW w:w="1276" w:type="dxa"/>
            <w:vAlign w:val="center"/>
          </w:tcPr>
          <w:p w:rsidR="003862B7" w:rsidRPr="003862B7" w:rsidP="00BC3B3D">
            <w:pPr>
              <w:pStyle w:val="naisf"/>
              <w:spacing w:before="0" w:after="0"/>
              <w:ind w:firstLine="0"/>
              <w:jc w:val="center"/>
              <w:rPr>
                <w:b/>
                <w:i/>
              </w:rPr>
            </w:pPr>
            <w:r w:rsidRPr="003862B7">
              <w:t>Izmaiņas kārtējā gadā, salīdzinot ar budžetu kārtējam gadam</w:t>
            </w:r>
          </w:p>
        </w:tc>
        <w:tc>
          <w:tcPr>
            <w:tcW w:w="1482" w:type="dxa"/>
            <w:vAlign w:val="center"/>
          </w:tcPr>
          <w:p w:rsidR="003862B7" w:rsidRPr="003862B7" w:rsidP="00BC3B3D">
            <w:pPr>
              <w:pStyle w:val="naisf"/>
              <w:spacing w:before="0" w:after="0"/>
              <w:ind w:firstLine="0"/>
              <w:jc w:val="center"/>
              <w:rPr>
                <w:b/>
                <w:i/>
              </w:rPr>
            </w:pPr>
            <w:r w:rsidRPr="003862B7">
              <w:t>Izmaiņas, salīdzinot ar kārtējo (2017) gadu</w:t>
            </w:r>
          </w:p>
        </w:tc>
        <w:tc>
          <w:tcPr>
            <w:tcW w:w="1482" w:type="dxa"/>
            <w:vAlign w:val="center"/>
          </w:tcPr>
          <w:p w:rsidR="003862B7" w:rsidRPr="003862B7" w:rsidP="00BC3B3D">
            <w:pPr>
              <w:pStyle w:val="naisf"/>
              <w:spacing w:before="0" w:after="0"/>
              <w:ind w:firstLine="0"/>
              <w:jc w:val="center"/>
              <w:rPr>
                <w:b/>
                <w:i/>
              </w:rPr>
            </w:pPr>
            <w:r w:rsidRPr="003862B7">
              <w:t>Izmaiņas, salīdzinot ar kārtējo (2017) gadu</w:t>
            </w:r>
          </w:p>
        </w:tc>
        <w:tc>
          <w:tcPr>
            <w:tcW w:w="1482" w:type="dxa"/>
            <w:vAlign w:val="center"/>
          </w:tcPr>
          <w:p w:rsidR="003862B7" w:rsidRPr="003862B7" w:rsidP="00BC3B3D">
            <w:pPr>
              <w:pStyle w:val="naisf"/>
              <w:spacing w:before="0" w:after="0"/>
              <w:ind w:firstLine="0"/>
              <w:jc w:val="center"/>
              <w:rPr>
                <w:b/>
                <w:i/>
              </w:rPr>
            </w:pPr>
            <w:r w:rsidRPr="003862B7">
              <w:t>Izmaiņas, salīdzinot ar kārtējo (2017) gadu</w:t>
            </w:r>
          </w:p>
        </w:tc>
      </w:tr>
      <w:tr w:rsidTr="00BC3B3D">
        <w:tblPrEx>
          <w:tblW w:w="9178" w:type="dxa"/>
          <w:jc w:val="center"/>
          <w:tblCellMar>
            <w:right w:w="57" w:type="dxa"/>
          </w:tblCellMar>
          <w:tblLook w:val="01E0"/>
        </w:tblPrEx>
        <w:trPr>
          <w:jc w:val="center"/>
        </w:trPr>
        <w:tc>
          <w:tcPr>
            <w:tcW w:w="2039" w:type="dxa"/>
            <w:vAlign w:val="center"/>
          </w:tcPr>
          <w:p w:rsidR="003862B7" w:rsidRPr="003862B7" w:rsidP="00BC3B3D">
            <w:pPr>
              <w:pStyle w:val="naisf"/>
              <w:spacing w:before="0" w:after="0"/>
              <w:ind w:firstLine="0"/>
              <w:jc w:val="center"/>
              <w:rPr>
                <w:bCs/>
                <w:sz w:val="18"/>
                <w:szCs w:val="18"/>
              </w:rPr>
            </w:pPr>
            <w:r w:rsidRPr="003862B7">
              <w:rPr>
                <w:bCs/>
                <w:sz w:val="18"/>
                <w:szCs w:val="18"/>
              </w:rPr>
              <w:t>1</w:t>
            </w:r>
          </w:p>
        </w:tc>
        <w:tc>
          <w:tcPr>
            <w:tcW w:w="1417" w:type="dxa"/>
            <w:vAlign w:val="center"/>
          </w:tcPr>
          <w:p w:rsidR="003862B7" w:rsidRPr="003862B7" w:rsidP="00BC3B3D">
            <w:pPr>
              <w:pStyle w:val="naisf"/>
              <w:spacing w:before="0" w:after="0"/>
              <w:ind w:firstLine="0"/>
              <w:jc w:val="center"/>
              <w:rPr>
                <w:bCs/>
                <w:sz w:val="18"/>
                <w:szCs w:val="18"/>
              </w:rPr>
            </w:pPr>
            <w:r w:rsidRPr="003862B7">
              <w:rPr>
                <w:bCs/>
                <w:sz w:val="18"/>
                <w:szCs w:val="18"/>
              </w:rPr>
              <w:t>2</w:t>
            </w:r>
          </w:p>
        </w:tc>
        <w:tc>
          <w:tcPr>
            <w:tcW w:w="1276" w:type="dxa"/>
            <w:vAlign w:val="center"/>
          </w:tcPr>
          <w:p w:rsidR="003862B7" w:rsidRPr="003862B7" w:rsidP="00BC3B3D">
            <w:pPr>
              <w:pStyle w:val="naisf"/>
              <w:spacing w:before="0" w:after="0"/>
              <w:ind w:firstLine="0"/>
              <w:jc w:val="center"/>
              <w:rPr>
                <w:bCs/>
                <w:sz w:val="18"/>
                <w:szCs w:val="18"/>
              </w:rPr>
            </w:pPr>
            <w:r w:rsidRPr="003862B7">
              <w:rPr>
                <w:bCs/>
                <w:sz w:val="18"/>
                <w:szCs w:val="18"/>
              </w:rPr>
              <w:t>3</w:t>
            </w:r>
          </w:p>
        </w:tc>
        <w:tc>
          <w:tcPr>
            <w:tcW w:w="1482" w:type="dxa"/>
            <w:vAlign w:val="center"/>
          </w:tcPr>
          <w:p w:rsidR="003862B7" w:rsidRPr="003862B7" w:rsidP="00BC3B3D">
            <w:pPr>
              <w:pStyle w:val="naisf"/>
              <w:spacing w:before="0" w:after="0"/>
              <w:ind w:firstLine="0"/>
              <w:jc w:val="center"/>
              <w:rPr>
                <w:bCs/>
                <w:sz w:val="18"/>
                <w:szCs w:val="18"/>
              </w:rPr>
            </w:pPr>
            <w:r w:rsidRPr="003862B7">
              <w:rPr>
                <w:bCs/>
                <w:sz w:val="18"/>
                <w:szCs w:val="18"/>
              </w:rPr>
              <w:t>4</w:t>
            </w:r>
          </w:p>
        </w:tc>
        <w:tc>
          <w:tcPr>
            <w:tcW w:w="1482" w:type="dxa"/>
            <w:vAlign w:val="center"/>
          </w:tcPr>
          <w:p w:rsidR="003862B7" w:rsidRPr="003862B7" w:rsidP="00BC3B3D">
            <w:pPr>
              <w:pStyle w:val="naisf"/>
              <w:spacing w:before="0" w:after="0"/>
              <w:ind w:firstLine="0"/>
              <w:jc w:val="center"/>
              <w:rPr>
                <w:bCs/>
                <w:sz w:val="18"/>
                <w:szCs w:val="18"/>
              </w:rPr>
            </w:pPr>
            <w:r w:rsidRPr="003862B7">
              <w:rPr>
                <w:bCs/>
                <w:sz w:val="18"/>
                <w:szCs w:val="18"/>
              </w:rPr>
              <w:t>5</w:t>
            </w:r>
          </w:p>
        </w:tc>
        <w:tc>
          <w:tcPr>
            <w:tcW w:w="1482" w:type="dxa"/>
            <w:vAlign w:val="center"/>
          </w:tcPr>
          <w:p w:rsidR="003862B7" w:rsidRPr="003862B7" w:rsidP="00BC3B3D">
            <w:pPr>
              <w:pStyle w:val="naisf"/>
              <w:spacing w:before="0" w:after="0"/>
              <w:ind w:firstLine="0"/>
              <w:jc w:val="center"/>
              <w:rPr>
                <w:bCs/>
                <w:sz w:val="18"/>
                <w:szCs w:val="18"/>
              </w:rPr>
            </w:pPr>
            <w:r w:rsidRPr="003862B7">
              <w:rPr>
                <w:bCs/>
                <w:sz w:val="18"/>
                <w:szCs w:val="18"/>
              </w:rPr>
              <w:t>6</w:t>
            </w:r>
          </w:p>
        </w:tc>
      </w:tr>
      <w:tr w:rsidTr="00BC3B3D">
        <w:tblPrEx>
          <w:tblW w:w="9178" w:type="dxa"/>
          <w:jc w:val="center"/>
          <w:tblCellMar>
            <w:right w:w="57" w:type="dxa"/>
          </w:tblCellMar>
          <w:tblLook w:val="01E0"/>
        </w:tblPrEx>
        <w:trPr>
          <w:trHeight w:val="139"/>
          <w:jc w:val="center"/>
        </w:trPr>
        <w:tc>
          <w:tcPr>
            <w:tcW w:w="2039" w:type="dxa"/>
          </w:tcPr>
          <w:p w:rsidR="003862B7" w:rsidRPr="003862B7" w:rsidP="00BC3B3D">
            <w:pPr>
              <w:pStyle w:val="naisf"/>
              <w:spacing w:before="0" w:after="0"/>
              <w:ind w:left="-60" w:firstLine="0"/>
              <w:jc w:val="left"/>
              <w:rPr>
                <w:b/>
                <w:i/>
              </w:rPr>
            </w:pPr>
            <w:r w:rsidRPr="003862B7">
              <w:rPr>
                <w:b/>
              </w:rPr>
              <w:t>1. Budžeta ieņēmumi:</w:t>
            </w:r>
          </w:p>
        </w:tc>
        <w:tc>
          <w:tcPr>
            <w:tcW w:w="1417" w:type="dxa"/>
            <w:vAlign w:val="center"/>
          </w:tcPr>
          <w:p w:rsidR="003862B7" w:rsidRPr="003862B7" w:rsidP="00BC3B3D">
            <w:pPr>
              <w:pStyle w:val="naisf"/>
              <w:spacing w:before="0" w:after="0"/>
              <w:ind w:firstLine="0"/>
              <w:jc w:val="center"/>
              <w:rPr>
                <w:b/>
              </w:rPr>
            </w:pPr>
            <w:r w:rsidRPr="003862B7">
              <w:rPr>
                <w:b/>
                <w:noProof/>
              </w:rPr>
              <w:t>856 897 833</w:t>
            </w:r>
          </w:p>
        </w:tc>
        <w:tc>
          <w:tcPr>
            <w:tcW w:w="1276" w:type="dxa"/>
            <w:vAlign w:val="center"/>
          </w:tcPr>
          <w:p w:rsidR="003862B7" w:rsidRPr="003862B7" w:rsidP="00BC3B3D">
            <w:pPr>
              <w:pStyle w:val="naisf"/>
              <w:spacing w:before="0" w:after="0"/>
              <w:ind w:firstLine="0"/>
              <w:jc w:val="center"/>
              <w:rPr>
                <w:b/>
              </w:rPr>
            </w:pPr>
            <w:r w:rsidRPr="003862B7">
              <w:rPr>
                <w:b/>
              </w:rPr>
              <w:t>0</w:t>
            </w:r>
          </w:p>
        </w:tc>
        <w:tc>
          <w:tcPr>
            <w:tcW w:w="1482" w:type="dxa"/>
            <w:vAlign w:val="center"/>
          </w:tcPr>
          <w:p w:rsidR="003862B7" w:rsidRPr="00B84A63" w:rsidP="00BC3B3D">
            <w:pPr>
              <w:pStyle w:val="naisf"/>
              <w:spacing w:before="0" w:after="0"/>
              <w:ind w:firstLine="0"/>
              <w:jc w:val="center"/>
              <w:rPr>
                <w:b/>
              </w:rPr>
            </w:pPr>
            <w:r w:rsidRPr="00B84A63">
              <w:rPr>
                <w:b/>
              </w:rPr>
              <w:t>198 700 000</w:t>
            </w:r>
          </w:p>
        </w:tc>
        <w:tc>
          <w:tcPr>
            <w:tcW w:w="1482" w:type="dxa"/>
            <w:vAlign w:val="center"/>
          </w:tcPr>
          <w:p w:rsidR="003862B7" w:rsidRPr="00B84A63" w:rsidP="00BC3B3D">
            <w:pPr>
              <w:pStyle w:val="naisf"/>
              <w:spacing w:before="0" w:after="0"/>
              <w:ind w:firstLine="0"/>
              <w:jc w:val="center"/>
              <w:rPr>
                <w:b/>
              </w:rPr>
            </w:pPr>
            <w:r w:rsidRPr="00B84A63">
              <w:rPr>
                <w:b/>
              </w:rPr>
              <w:t>249 500 000</w:t>
            </w:r>
          </w:p>
        </w:tc>
        <w:tc>
          <w:tcPr>
            <w:tcW w:w="1482" w:type="dxa"/>
            <w:vAlign w:val="center"/>
          </w:tcPr>
          <w:p w:rsidR="003862B7" w:rsidRPr="00B84A63" w:rsidP="00BC3B3D">
            <w:pPr>
              <w:pStyle w:val="naisf"/>
              <w:spacing w:before="0" w:after="0"/>
              <w:ind w:firstLine="0"/>
              <w:jc w:val="center"/>
              <w:rPr>
                <w:b/>
              </w:rPr>
            </w:pPr>
            <w:r w:rsidRPr="00B84A63">
              <w:rPr>
                <w:b/>
              </w:rPr>
              <w:t>249 500 000</w:t>
            </w:r>
          </w:p>
        </w:tc>
      </w:tr>
      <w:tr w:rsidTr="00BC3B3D">
        <w:tblPrEx>
          <w:tblW w:w="9178" w:type="dxa"/>
          <w:jc w:val="center"/>
          <w:tblCellMar>
            <w:right w:w="57" w:type="dxa"/>
          </w:tblCellMar>
          <w:tblLook w:val="01E0"/>
        </w:tblPrEx>
        <w:trPr>
          <w:jc w:val="center"/>
        </w:trPr>
        <w:tc>
          <w:tcPr>
            <w:tcW w:w="2039" w:type="dxa"/>
          </w:tcPr>
          <w:p w:rsidR="003862B7" w:rsidRPr="003862B7" w:rsidP="00BC3B3D">
            <w:pPr>
              <w:pStyle w:val="naisf"/>
              <w:spacing w:before="0" w:after="0"/>
              <w:ind w:left="-60" w:firstLine="0"/>
              <w:jc w:val="left"/>
              <w:rPr>
                <w:i/>
              </w:rPr>
            </w:pPr>
            <w:r w:rsidRPr="003862B7">
              <w:t>1.1. valsts pamatbudžets, tai skaitā ieņēmumi no maksas pakalpojumiem un citi pašu ieņēmumi</w:t>
            </w:r>
          </w:p>
        </w:tc>
        <w:tc>
          <w:tcPr>
            <w:tcW w:w="1417" w:type="dxa"/>
            <w:vAlign w:val="center"/>
          </w:tcPr>
          <w:p w:rsidR="003862B7" w:rsidRPr="002051DA" w:rsidP="00BC3B3D">
            <w:pPr>
              <w:pStyle w:val="naisf"/>
              <w:spacing w:before="0" w:after="0"/>
              <w:ind w:firstLine="0"/>
              <w:jc w:val="center"/>
            </w:pPr>
            <w:r w:rsidRPr="002051DA">
              <w:rPr>
                <w:noProof/>
              </w:rPr>
              <w:t>856 897 833</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B84A63" w:rsidP="00BC3B3D">
            <w:pPr>
              <w:pStyle w:val="naisf"/>
              <w:spacing w:before="0" w:after="0"/>
              <w:ind w:firstLine="0"/>
              <w:jc w:val="center"/>
              <w:rPr>
                <w:noProof/>
              </w:rPr>
            </w:pPr>
            <w:r w:rsidRPr="00B84A63">
              <w:rPr>
                <w:noProof/>
              </w:rPr>
              <w:t>85 300</w:t>
            </w:r>
            <w:r w:rsidRPr="00B84A63" w:rsidR="00AF51B6">
              <w:rPr>
                <w:noProof/>
              </w:rPr>
              <w:t> </w:t>
            </w:r>
            <w:r w:rsidRPr="00B84A63">
              <w:rPr>
                <w:noProof/>
              </w:rPr>
              <w:t>000</w:t>
            </w:r>
          </w:p>
          <w:p w:rsidR="00AF51B6" w:rsidRPr="00B84A63" w:rsidP="00BC3B3D">
            <w:pPr>
              <w:pStyle w:val="naisf"/>
              <w:spacing w:before="0" w:after="0"/>
              <w:ind w:firstLine="0"/>
              <w:jc w:val="center"/>
              <w:rPr>
                <w:noProof/>
              </w:rPr>
            </w:pPr>
          </w:p>
          <w:p w:rsidR="005B6EAD" w:rsidRPr="00B84A63" w:rsidP="005B6EAD">
            <w:pPr>
              <w:pStyle w:val="naisf"/>
              <w:spacing w:before="0" w:after="0"/>
              <w:ind w:firstLine="0"/>
              <w:jc w:val="center"/>
              <w:rPr>
                <w:noProof/>
              </w:rPr>
            </w:pPr>
            <w:r w:rsidRPr="00B84A63">
              <w:rPr>
                <w:noProof/>
              </w:rPr>
              <w:t>113 400</w:t>
            </w:r>
            <w:r w:rsidRPr="00B84A63" w:rsidR="00F14427">
              <w:rPr>
                <w:noProof/>
              </w:rPr>
              <w:t> </w:t>
            </w:r>
            <w:r w:rsidRPr="00B84A63">
              <w:rPr>
                <w:noProof/>
              </w:rPr>
              <w:t>000</w:t>
            </w:r>
          </w:p>
          <w:p w:rsidR="00F14427" w:rsidRPr="00B84A63" w:rsidP="005B6EAD">
            <w:pPr>
              <w:pStyle w:val="naisf"/>
              <w:spacing w:before="0" w:after="0"/>
              <w:ind w:firstLine="0"/>
              <w:jc w:val="center"/>
              <w:rPr>
                <w:noProof/>
              </w:rPr>
            </w:pPr>
          </w:p>
          <w:p w:rsidR="00F14427" w:rsidRPr="00B84A63" w:rsidP="005B6EAD">
            <w:pPr>
              <w:pStyle w:val="naisf"/>
              <w:spacing w:before="0" w:after="0"/>
              <w:ind w:firstLine="0"/>
              <w:jc w:val="center"/>
              <w:rPr>
                <w:noProof/>
              </w:rPr>
            </w:pPr>
          </w:p>
        </w:tc>
        <w:tc>
          <w:tcPr>
            <w:tcW w:w="1482" w:type="dxa"/>
            <w:vAlign w:val="center"/>
          </w:tcPr>
          <w:p w:rsidR="003862B7" w:rsidRPr="00B84A63" w:rsidP="00BC3B3D">
            <w:pPr>
              <w:pStyle w:val="naisf"/>
              <w:spacing w:before="0" w:after="0"/>
              <w:ind w:firstLine="0"/>
              <w:jc w:val="center"/>
              <w:rPr>
                <w:noProof/>
              </w:rPr>
            </w:pPr>
            <w:r w:rsidRPr="00B84A63">
              <w:rPr>
                <w:noProof/>
              </w:rPr>
              <w:t>99 600</w:t>
            </w:r>
            <w:r w:rsidRPr="00B84A63" w:rsidR="00AF51B6">
              <w:rPr>
                <w:noProof/>
              </w:rPr>
              <w:t> </w:t>
            </w:r>
            <w:r w:rsidRPr="00B84A63">
              <w:rPr>
                <w:noProof/>
              </w:rPr>
              <w:t>000</w:t>
            </w:r>
          </w:p>
          <w:p w:rsidR="00AF51B6" w:rsidRPr="00B84A63" w:rsidP="00BC3B3D">
            <w:pPr>
              <w:pStyle w:val="naisf"/>
              <w:spacing w:before="0" w:after="0"/>
              <w:ind w:firstLine="0"/>
              <w:jc w:val="center"/>
              <w:rPr>
                <w:noProof/>
              </w:rPr>
            </w:pPr>
          </w:p>
          <w:p w:rsidR="005B6EAD" w:rsidRPr="00B84A63" w:rsidP="00BC3B3D">
            <w:pPr>
              <w:pStyle w:val="naisf"/>
              <w:spacing w:before="0" w:after="0"/>
              <w:ind w:firstLine="0"/>
              <w:jc w:val="center"/>
              <w:rPr>
                <w:noProof/>
              </w:rPr>
            </w:pPr>
            <w:r w:rsidRPr="00B84A63">
              <w:rPr>
                <w:noProof/>
              </w:rPr>
              <w:t>149 900</w:t>
            </w:r>
            <w:r w:rsidRPr="00B84A63" w:rsidR="00F14427">
              <w:rPr>
                <w:noProof/>
              </w:rPr>
              <w:t> </w:t>
            </w:r>
            <w:r w:rsidRPr="00B84A63">
              <w:rPr>
                <w:noProof/>
              </w:rPr>
              <w:t>000</w:t>
            </w:r>
          </w:p>
          <w:p w:rsidR="00F14427" w:rsidRPr="00B84A63" w:rsidP="00BC3B3D">
            <w:pPr>
              <w:pStyle w:val="naisf"/>
              <w:spacing w:before="0" w:after="0"/>
              <w:ind w:firstLine="0"/>
              <w:jc w:val="center"/>
              <w:rPr>
                <w:noProof/>
              </w:rPr>
            </w:pPr>
          </w:p>
          <w:p w:rsidR="00F14427" w:rsidRPr="00B84A63" w:rsidP="00BC3B3D">
            <w:pPr>
              <w:pStyle w:val="naisf"/>
              <w:spacing w:before="0" w:after="0"/>
              <w:ind w:firstLine="0"/>
              <w:jc w:val="center"/>
            </w:pPr>
          </w:p>
        </w:tc>
        <w:tc>
          <w:tcPr>
            <w:tcW w:w="1482" w:type="dxa"/>
            <w:vAlign w:val="center"/>
          </w:tcPr>
          <w:p w:rsidR="003862B7" w:rsidRPr="00B84A63" w:rsidP="00BC3B3D">
            <w:pPr>
              <w:pStyle w:val="naisf"/>
              <w:spacing w:before="0" w:after="0"/>
              <w:ind w:firstLine="0"/>
              <w:jc w:val="center"/>
              <w:rPr>
                <w:noProof/>
              </w:rPr>
            </w:pPr>
            <w:r w:rsidRPr="00B84A63">
              <w:rPr>
                <w:noProof/>
              </w:rPr>
              <w:t>105 500</w:t>
            </w:r>
            <w:r w:rsidRPr="00B84A63" w:rsidR="00AF51B6">
              <w:rPr>
                <w:noProof/>
              </w:rPr>
              <w:t> </w:t>
            </w:r>
            <w:r w:rsidRPr="00B84A63">
              <w:rPr>
                <w:noProof/>
              </w:rPr>
              <w:t>000</w:t>
            </w:r>
          </w:p>
          <w:p w:rsidR="00AF51B6" w:rsidRPr="00B84A63" w:rsidP="00BC3B3D">
            <w:pPr>
              <w:pStyle w:val="naisf"/>
              <w:spacing w:before="0" w:after="0"/>
              <w:ind w:firstLine="0"/>
              <w:jc w:val="center"/>
              <w:rPr>
                <w:noProof/>
              </w:rPr>
            </w:pPr>
          </w:p>
          <w:p w:rsidR="005B6EAD" w:rsidRPr="00B84A63" w:rsidP="00BC3B3D">
            <w:pPr>
              <w:pStyle w:val="naisf"/>
              <w:spacing w:before="0" w:after="0"/>
              <w:ind w:firstLine="0"/>
              <w:jc w:val="center"/>
              <w:rPr>
                <w:noProof/>
              </w:rPr>
            </w:pPr>
            <w:r w:rsidRPr="00B84A63">
              <w:rPr>
                <w:noProof/>
              </w:rPr>
              <w:t>144 000</w:t>
            </w:r>
            <w:r w:rsidRPr="00B84A63" w:rsidR="00F14427">
              <w:rPr>
                <w:noProof/>
              </w:rPr>
              <w:t> </w:t>
            </w:r>
            <w:r w:rsidRPr="00B84A63">
              <w:rPr>
                <w:noProof/>
              </w:rPr>
              <w:t>000</w:t>
            </w:r>
          </w:p>
          <w:p w:rsidR="00F14427" w:rsidRPr="00B84A63" w:rsidP="00BC3B3D">
            <w:pPr>
              <w:pStyle w:val="naisf"/>
              <w:spacing w:before="0" w:after="0"/>
              <w:ind w:firstLine="0"/>
              <w:jc w:val="center"/>
              <w:rPr>
                <w:noProof/>
              </w:rPr>
            </w:pPr>
          </w:p>
          <w:p w:rsidR="00F14427" w:rsidRPr="00B84A63" w:rsidP="00BC3B3D">
            <w:pPr>
              <w:pStyle w:val="naisf"/>
              <w:spacing w:before="0" w:after="0"/>
              <w:ind w:firstLine="0"/>
              <w:jc w:val="center"/>
            </w:pPr>
          </w:p>
        </w:tc>
      </w:tr>
      <w:tr w:rsidTr="00BC3B3D">
        <w:tblPrEx>
          <w:tblW w:w="9178" w:type="dxa"/>
          <w:jc w:val="center"/>
          <w:tblCellMar>
            <w:right w:w="57" w:type="dxa"/>
          </w:tblCellMar>
          <w:tblLook w:val="01E0"/>
        </w:tblPrEx>
        <w:trPr>
          <w:jc w:val="center"/>
        </w:trPr>
        <w:tc>
          <w:tcPr>
            <w:tcW w:w="2039" w:type="dxa"/>
          </w:tcPr>
          <w:p w:rsidR="003862B7" w:rsidRPr="003862B7" w:rsidP="00BC3B3D">
            <w:pPr>
              <w:pStyle w:val="naisf"/>
              <w:spacing w:before="0" w:after="0"/>
              <w:ind w:left="-60" w:firstLine="0"/>
              <w:jc w:val="left"/>
              <w:rPr>
                <w:i/>
              </w:rPr>
            </w:pPr>
            <w:r w:rsidRPr="003862B7">
              <w:t>1.2. valsts speciālais budžets</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862B7" w:rsidRPr="003862B7" w:rsidP="00BC3B3D">
            <w:pPr>
              <w:pStyle w:val="naisf"/>
              <w:spacing w:before="0" w:after="0"/>
              <w:ind w:left="-60" w:firstLine="0"/>
              <w:jc w:val="left"/>
              <w:rPr>
                <w:i/>
              </w:rPr>
            </w:pPr>
            <w:r w:rsidRPr="003862B7">
              <w:t>1.3. pašvaldību budžets</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925D6" w:rsidRPr="003862B7" w:rsidP="003925D6">
            <w:pPr>
              <w:ind w:left="-60"/>
              <w:rPr>
                <w:rFonts w:ascii="Times New Roman" w:hAnsi="Times New Roman" w:cs="Times New Roman"/>
                <w:b/>
              </w:rPr>
            </w:pPr>
            <w:r w:rsidRPr="003862B7">
              <w:rPr>
                <w:rFonts w:ascii="Times New Roman" w:hAnsi="Times New Roman" w:cs="Times New Roman"/>
                <w:b/>
              </w:rPr>
              <w:t>2. Budžeta izdevumi:</w:t>
            </w:r>
          </w:p>
        </w:tc>
        <w:tc>
          <w:tcPr>
            <w:tcW w:w="1417" w:type="dxa"/>
            <w:vAlign w:val="center"/>
          </w:tcPr>
          <w:p w:rsidR="003925D6" w:rsidRPr="002051DA" w:rsidP="003925D6">
            <w:pPr>
              <w:jc w:val="center"/>
              <w:rPr>
                <w:rFonts w:ascii="Times New Roman" w:hAnsi="Times New Roman" w:cs="Times New Roman"/>
                <w:b/>
                <w:sz w:val="24"/>
                <w:szCs w:val="24"/>
              </w:rPr>
            </w:pPr>
            <w:r w:rsidRPr="002051DA">
              <w:rPr>
                <w:rFonts w:ascii="Times New Roman" w:hAnsi="Times New Roman" w:cs="Times New Roman"/>
                <w:b/>
                <w:noProof/>
                <w:sz w:val="24"/>
                <w:szCs w:val="24"/>
              </w:rPr>
              <w:t>838 664 445</w:t>
            </w:r>
          </w:p>
        </w:tc>
        <w:tc>
          <w:tcPr>
            <w:tcW w:w="1276" w:type="dxa"/>
            <w:vAlign w:val="center"/>
          </w:tcPr>
          <w:p w:rsidR="003925D6" w:rsidRPr="003862B7" w:rsidP="003925D6">
            <w:pPr>
              <w:pStyle w:val="naisf"/>
              <w:spacing w:before="0" w:after="0"/>
              <w:ind w:firstLine="0"/>
              <w:jc w:val="center"/>
              <w:rPr>
                <w:b/>
              </w:rPr>
            </w:pPr>
            <w:r w:rsidRPr="003862B7">
              <w:rPr>
                <w:b/>
              </w:rPr>
              <w:t>0</w:t>
            </w:r>
          </w:p>
        </w:tc>
        <w:tc>
          <w:tcPr>
            <w:tcW w:w="1482" w:type="dxa"/>
            <w:vAlign w:val="center"/>
          </w:tcPr>
          <w:p w:rsidR="003925D6" w:rsidRPr="00B84A63" w:rsidP="003925D6">
            <w:pPr>
              <w:pStyle w:val="naisf"/>
              <w:spacing w:before="0" w:after="0"/>
              <w:ind w:firstLine="0"/>
              <w:jc w:val="center"/>
              <w:rPr>
                <w:b/>
              </w:rPr>
            </w:pPr>
            <w:r w:rsidRPr="00B84A63">
              <w:rPr>
                <w:b/>
              </w:rPr>
              <w:t>198 700 000</w:t>
            </w:r>
          </w:p>
        </w:tc>
        <w:tc>
          <w:tcPr>
            <w:tcW w:w="1482" w:type="dxa"/>
            <w:vAlign w:val="center"/>
          </w:tcPr>
          <w:p w:rsidR="003925D6" w:rsidRPr="00B84A63" w:rsidP="003925D6">
            <w:pPr>
              <w:pStyle w:val="naisf"/>
              <w:spacing w:before="0" w:after="0"/>
              <w:ind w:firstLine="0"/>
              <w:jc w:val="center"/>
              <w:rPr>
                <w:b/>
              </w:rPr>
            </w:pPr>
            <w:r w:rsidRPr="00B84A63">
              <w:rPr>
                <w:b/>
              </w:rPr>
              <w:t>249 500 000</w:t>
            </w:r>
          </w:p>
        </w:tc>
        <w:tc>
          <w:tcPr>
            <w:tcW w:w="1482" w:type="dxa"/>
            <w:vAlign w:val="center"/>
          </w:tcPr>
          <w:p w:rsidR="003925D6" w:rsidRPr="00B84A63" w:rsidP="003925D6">
            <w:pPr>
              <w:pStyle w:val="naisf"/>
              <w:spacing w:before="0" w:after="0"/>
              <w:ind w:firstLine="0"/>
              <w:jc w:val="center"/>
              <w:rPr>
                <w:b/>
              </w:rPr>
            </w:pPr>
            <w:r w:rsidRPr="00B84A63">
              <w:rPr>
                <w:b/>
              </w:rPr>
              <w:t>249 500 000</w:t>
            </w:r>
          </w:p>
        </w:tc>
      </w:tr>
      <w:tr w:rsidTr="00BC3B3D">
        <w:tblPrEx>
          <w:tblW w:w="9178" w:type="dxa"/>
          <w:jc w:val="center"/>
          <w:tblCellMar>
            <w:right w:w="57" w:type="dxa"/>
          </w:tblCellMar>
          <w:tblLook w:val="01E0"/>
        </w:tblPrEx>
        <w:trPr>
          <w:jc w:val="center"/>
        </w:trPr>
        <w:tc>
          <w:tcPr>
            <w:tcW w:w="2039" w:type="dxa"/>
          </w:tcPr>
          <w:p w:rsidR="003925D6" w:rsidRPr="003862B7" w:rsidP="003925D6">
            <w:pPr>
              <w:ind w:left="-60"/>
              <w:rPr>
                <w:rFonts w:ascii="Times New Roman" w:hAnsi="Times New Roman" w:cs="Times New Roman"/>
              </w:rPr>
            </w:pPr>
            <w:r w:rsidRPr="003862B7">
              <w:rPr>
                <w:rFonts w:ascii="Times New Roman" w:hAnsi="Times New Roman" w:cs="Times New Roman"/>
              </w:rPr>
              <w:t>2.1. valsts pamatbudžets</w:t>
            </w:r>
          </w:p>
        </w:tc>
        <w:tc>
          <w:tcPr>
            <w:tcW w:w="1417" w:type="dxa"/>
            <w:vAlign w:val="center"/>
          </w:tcPr>
          <w:p w:rsidR="003925D6" w:rsidRPr="002051DA" w:rsidP="003925D6">
            <w:pPr>
              <w:jc w:val="center"/>
              <w:rPr>
                <w:rFonts w:ascii="Times New Roman" w:hAnsi="Times New Roman" w:cs="Times New Roman"/>
                <w:sz w:val="24"/>
                <w:szCs w:val="24"/>
              </w:rPr>
            </w:pPr>
            <w:r w:rsidRPr="002051DA">
              <w:rPr>
                <w:rFonts w:ascii="Times New Roman" w:hAnsi="Times New Roman" w:cs="Times New Roman"/>
                <w:noProof/>
                <w:sz w:val="24"/>
                <w:szCs w:val="24"/>
              </w:rPr>
              <w:t>838 664 445</w:t>
            </w:r>
          </w:p>
        </w:tc>
        <w:tc>
          <w:tcPr>
            <w:tcW w:w="1276" w:type="dxa"/>
            <w:vAlign w:val="center"/>
          </w:tcPr>
          <w:p w:rsidR="003925D6" w:rsidRPr="003862B7" w:rsidP="003925D6">
            <w:pPr>
              <w:pStyle w:val="naisf"/>
              <w:spacing w:before="0" w:after="0"/>
              <w:ind w:firstLine="0"/>
              <w:jc w:val="center"/>
            </w:pPr>
            <w:r w:rsidRPr="003862B7">
              <w:t>0</w:t>
            </w:r>
          </w:p>
        </w:tc>
        <w:tc>
          <w:tcPr>
            <w:tcW w:w="1482" w:type="dxa"/>
            <w:vAlign w:val="center"/>
          </w:tcPr>
          <w:p w:rsidR="003925D6" w:rsidRPr="00B84A63" w:rsidP="003925D6">
            <w:pPr>
              <w:pStyle w:val="naisf"/>
              <w:spacing w:before="0" w:after="0"/>
              <w:ind w:firstLine="0"/>
              <w:jc w:val="center"/>
            </w:pPr>
            <w:r w:rsidRPr="00B84A63">
              <w:t>198 700 000</w:t>
            </w:r>
          </w:p>
        </w:tc>
        <w:tc>
          <w:tcPr>
            <w:tcW w:w="1482" w:type="dxa"/>
            <w:vAlign w:val="center"/>
          </w:tcPr>
          <w:p w:rsidR="003925D6" w:rsidRPr="00B84A63" w:rsidP="003925D6">
            <w:pPr>
              <w:pStyle w:val="naisf"/>
              <w:spacing w:before="0" w:after="0"/>
              <w:ind w:firstLine="0"/>
              <w:jc w:val="center"/>
            </w:pPr>
            <w:r w:rsidRPr="00B84A63">
              <w:t>249 500 000</w:t>
            </w:r>
          </w:p>
        </w:tc>
        <w:tc>
          <w:tcPr>
            <w:tcW w:w="1482" w:type="dxa"/>
            <w:vAlign w:val="center"/>
          </w:tcPr>
          <w:p w:rsidR="003925D6" w:rsidRPr="00B84A63" w:rsidP="003925D6">
            <w:pPr>
              <w:pStyle w:val="naisf"/>
              <w:spacing w:before="0" w:after="0"/>
              <w:ind w:firstLine="0"/>
              <w:jc w:val="center"/>
            </w:pPr>
            <w:r w:rsidRPr="00B84A63">
              <w:t>249 500 000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2.2. valsts speciālais budžets</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B84A63" w:rsidP="00BC3B3D">
            <w:pPr>
              <w:pStyle w:val="naisf"/>
              <w:spacing w:before="0" w:after="0"/>
              <w:ind w:firstLine="0"/>
              <w:jc w:val="center"/>
            </w:pPr>
            <w:r w:rsidRPr="00B84A63">
              <w:t>0</w:t>
            </w:r>
          </w:p>
        </w:tc>
        <w:tc>
          <w:tcPr>
            <w:tcW w:w="1482" w:type="dxa"/>
            <w:vAlign w:val="center"/>
          </w:tcPr>
          <w:p w:rsidR="003862B7" w:rsidRPr="00B84A63" w:rsidP="00BC3B3D">
            <w:pPr>
              <w:pStyle w:val="naisf"/>
              <w:spacing w:before="0" w:after="0"/>
              <w:ind w:firstLine="0"/>
              <w:jc w:val="center"/>
            </w:pPr>
            <w:r w:rsidRPr="00B84A63">
              <w:t>0</w:t>
            </w:r>
          </w:p>
        </w:tc>
        <w:tc>
          <w:tcPr>
            <w:tcW w:w="1482" w:type="dxa"/>
            <w:vAlign w:val="center"/>
          </w:tcPr>
          <w:p w:rsidR="003862B7" w:rsidRPr="00B84A63" w:rsidP="00BC3B3D">
            <w:pPr>
              <w:pStyle w:val="naisf"/>
              <w:spacing w:before="0" w:after="0"/>
              <w:ind w:firstLine="0"/>
              <w:jc w:val="center"/>
            </w:pPr>
            <w:r w:rsidRPr="00B84A63">
              <w:t>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 xml:space="preserve">2.3. pašvaldību budžets </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B84A63" w:rsidP="00BC3B3D">
            <w:pPr>
              <w:pStyle w:val="naisf"/>
              <w:spacing w:before="0" w:after="0"/>
              <w:ind w:firstLine="0"/>
              <w:jc w:val="center"/>
            </w:pPr>
            <w:r w:rsidRPr="00B84A63">
              <w:t>0</w:t>
            </w:r>
          </w:p>
        </w:tc>
        <w:tc>
          <w:tcPr>
            <w:tcW w:w="1482" w:type="dxa"/>
            <w:vAlign w:val="center"/>
          </w:tcPr>
          <w:p w:rsidR="003862B7" w:rsidRPr="00B84A63" w:rsidP="00BC3B3D">
            <w:pPr>
              <w:pStyle w:val="naisf"/>
              <w:spacing w:before="0" w:after="0"/>
              <w:ind w:firstLine="0"/>
              <w:jc w:val="center"/>
            </w:pPr>
            <w:r w:rsidRPr="00B84A63">
              <w:t>0</w:t>
            </w:r>
          </w:p>
        </w:tc>
        <w:tc>
          <w:tcPr>
            <w:tcW w:w="1482" w:type="dxa"/>
            <w:vAlign w:val="center"/>
          </w:tcPr>
          <w:p w:rsidR="003862B7" w:rsidRPr="00B84A63" w:rsidP="00BC3B3D">
            <w:pPr>
              <w:pStyle w:val="naisf"/>
              <w:spacing w:before="0" w:after="0"/>
              <w:ind w:firstLine="0"/>
              <w:jc w:val="center"/>
            </w:pPr>
            <w:r w:rsidRPr="00B84A63">
              <w:t>0</w:t>
            </w:r>
          </w:p>
        </w:tc>
      </w:tr>
      <w:tr w:rsidTr="00BC3B3D">
        <w:tblPrEx>
          <w:tblW w:w="9178" w:type="dxa"/>
          <w:jc w:val="center"/>
          <w:tblCellMar>
            <w:right w:w="57" w:type="dxa"/>
          </w:tblCellMar>
          <w:tblLook w:val="01E0"/>
        </w:tblPrEx>
        <w:trPr>
          <w:jc w:val="center"/>
        </w:trPr>
        <w:tc>
          <w:tcPr>
            <w:tcW w:w="2039" w:type="dxa"/>
          </w:tcPr>
          <w:p w:rsidR="003925D6" w:rsidRPr="003862B7" w:rsidP="003925D6">
            <w:pPr>
              <w:ind w:left="-60"/>
              <w:rPr>
                <w:rFonts w:ascii="Times New Roman" w:hAnsi="Times New Roman" w:cs="Times New Roman"/>
                <w:b/>
              </w:rPr>
            </w:pPr>
            <w:r w:rsidRPr="003862B7">
              <w:rPr>
                <w:rFonts w:ascii="Times New Roman" w:hAnsi="Times New Roman" w:cs="Times New Roman"/>
                <w:b/>
              </w:rPr>
              <w:t>3. Finansiālā ietekme:</w:t>
            </w:r>
          </w:p>
        </w:tc>
        <w:tc>
          <w:tcPr>
            <w:tcW w:w="1417" w:type="dxa"/>
            <w:shd w:val="clear" w:color="auto" w:fill="auto"/>
            <w:vAlign w:val="center"/>
          </w:tcPr>
          <w:p w:rsidR="003925D6" w:rsidRPr="003862B7" w:rsidP="003925D6">
            <w:pPr>
              <w:pStyle w:val="naisf"/>
              <w:spacing w:before="0" w:after="0"/>
              <w:ind w:firstLine="0"/>
              <w:jc w:val="center"/>
              <w:rPr>
                <w:b/>
              </w:rPr>
            </w:pPr>
            <w:r w:rsidRPr="003862B7">
              <w:rPr>
                <w:b/>
                <w:noProof/>
              </w:rPr>
              <w:t>-18 233 388</w:t>
            </w:r>
          </w:p>
        </w:tc>
        <w:tc>
          <w:tcPr>
            <w:tcW w:w="1276" w:type="dxa"/>
            <w:vAlign w:val="center"/>
          </w:tcPr>
          <w:p w:rsidR="003925D6" w:rsidRPr="003862B7" w:rsidP="003925D6">
            <w:pPr>
              <w:pStyle w:val="naisf"/>
              <w:spacing w:before="0" w:after="0"/>
              <w:ind w:firstLine="0"/>
              <w:jc w:val="center"/>
              <w:rPr>
                <w:b/>
              </w:rPr>
            </w:pPr>
            <w:r w:rsidRPr="003862B7">
              <w:rPr>
                <w:b/>
              </w:rPr>
              <w:t>0</w:t>
            </w:r>
          </w:p>
        </w:tc>
        <w:tc>
          <w:tcPr>
            <w:tcW w:w="1482" w:type="dxa"/>
            <w:vAlign w:val="center"/>
          </w:tcPr>
          <w:p w:rsidR="003925D6" w:rsidRPr="00B84A63" w:rsidP="003925D6">
            <w:pPr>
              <w:pStyle w:val="naisf"/>
              <w:spacing w:before="0" w:after="0"/>
              <w:ind w:firstLine="0"/>
              <w:jc w:val="center"/>
              <w:rPr>
                <w:b/>
              </w:rPr>
            </w:pPr>
            <w:r w:rsidRPr="00B84A63">
              <w:rPr>
                <w:b/>
              </w:rPr>
              <w:t>0</w:t>
            </w:r>
          </w:p>
        </w:tc>
        <w:tc>
          <w:tcPr>
            <w:tcW w:w="1482" w:type="dxa"/>
            <w:vAlign w:val="center"/>
          </w:tcPr>
          <w:p w:rsidR="003925D6" w:rsidRPr="00B84A63" w:rsidP="003925D6">
            <w:pPr>
              <w:pStyle w:val="naisf"/>
              <w:spacing w:before="0" w:after="0"/>
              <w:ind w:firstLine="0"/>
              <w:jc w:val="center"/>
              <w:rPr>
                <w:b/>
              </w:rPr>
            </w:pPr>
            <w:r w:rsidRPr="00B84A63">
              <w:rPr>
                <w:b/>
              </w:rPr>
              <w:t>0</w:t>
            </w:r>
          </w:p>
        </w:tc>
        <w:tc>
          <w:tcPr>
            <w:tcW w:w="1482" w:type="dxa"/>
            <w:vAlign w:val="center"/>
          </w:tcPr>
          <w:p w:rsidR="003925D6" w:rsidRPr="00B84A63" w:rsidP="003925D6">
            <w:pPr>
              <w:pStyle w:val="naisf"/>
              <w:spacing w:before="0" w:after="0"/>
              <w:ind w:firstLine="0"/>
              <w:jc w:val="center"/>
              <w:rPr>
                <w:b/>
              </w:rPr>
            </w:pPr>
            <w:r w:rsidRPr="00B84A63">
              <w:rPr>
                <w:b/>
              </w:rPr>
              <w:t>0</w:t>
            </w:r>
          </w:p>
        </w:tc>
      </w:tr>
      <w:tr w:rsidTr="00BC3B3D">
        <w:tblPrEx>
          <w:tblW w:w="9178" w:type="dxa"/>
          <w:jc w:val="center"/>
          <w:tblCellMar>
            <w:right w:w="57" w:type="dxa"/>
          </w:tblCellMar>
          <w:tblLook w:val="01E0"/>
        </w:tblPrEx>
        <w:trPr>
          <w:jc w:val="center"/>
        </w:trPr>
        <w:tc>
          <w:tcPr>
            <w:tcW w:w="2039" w:type="dxa"/>
          </w:tcPr>
          <w:p w:rsidR="003925D6" w:rsidRPr="003862B7" w:rsidP="003925D6">
            <w:pPr>
              <w:ind w:left="-60"/>
              <w:rPr>
                <w:rFonts w:ascii="Times New Roman" w:hAnsi="Times New Roman" w:cs="Times New Roman"/>
              </w:rPr>
            </w:pPr>
            <w:r w:rsidRPr="003862B7">
              <w:rPr>
                <w:rFonts w:ascii="Times New Roman" w:hAnsi="Times New Roman" w:cs="Times New Roman"/>
              </w:rPr>
              <w:t>3.1. valsts pamatbudžets</w:t>
            </w:r>
          </w:p>
        </w:tc>
        <w:tc>
          <w:tcPr>
            <w:tcW w:w="1417" w:type="dxa"/>
            <w:shd w:val="clear" w:color="auto" w:fill="auto"/>
            <w:vAlign w:val="center"/>
          </w:tcPr>
          <w:p w:rsidR="003925D6" w:rsidRPr="003862B7" w:rsidP="003925D6">
            <w:pPr>
              <w:pStyle w:val="naisf"/>
              <w:spacing w:before="0" w:after="0"/>
              <w:ind w:firstLine="0"/>
              <w:jc w:val="center"/>
            </w:pPr>
            <w:r w:rsidRPr="003862B7">
              <w:rPr>
                <w:b/>
                <w:noProof/>
              </w:rPr>
              <w:t>-</w:t>
            </w:r>
            <w:r w:rsidRPr="002051DA">
              <w:rPr>
                <w:noProof/>
              </w:rPr>
              <w:t>18 233 388</w:t>
            </w:r>
          </w:p>
        </w:tc>
        <w:tc>
          <w:tcPr>
            <w:tcW w:w="1276" w:type="dxa"/>
            <w:vAlign w:val="center"/>
          </w:tcPr>
          <w:p w:rsidR="003925D6" w:rsidRPr="003862B7" w:rsidP="003925D6">
            <w:pPr>
              <w:pStyle w:val="naisf"/>
              <w:spacing w:before="0" w:after="0"/>
              <w:ind w:firstLine="0"/>
              <w:jc w:val="center"/>
            </w:pPr>
            <w:r w:rsidRPr="003862B7">
              <w:t>0</w:t>
            </w:r>
          </w:p>
        </w:tc>
        <w:tc>
          <w:tcPr>
            <w:tcW w:w="1482" w:type="dxa"/>
            <w:vAlign w:val="center"/>
          </w:tcPr>
          <w:p w:rsidR="003925D6" w:rsidRPr="00B84A63" w:rsidP="003925D6">
            <w:pPr>
              <w:pStyle w:val="naisf"/>
              <w:spacing w:before="0" w:after="0"/>
              <w:ind w:firstLine="0"/>
              <w:jc w:val="center"/>
            </w:pPr>
            <w:r w:rsidRPr="00B84A63">
              <w:t>0</w:t>
            </w:r>
          </w:p>
        </w:tc>
        <w:tc>
          <w:tcPr>
            <w:tcW w:w="1482" w:type="dxa"/>
            <w:vAlign w:val="center"/>
          </w:tcPr>
          <w:p w:rsidR="003925D6" w:rsidRPr="00B84A63" w:rsidP="003925D6">
            <w:pPr>
              <w:pStyle w:val="naisf"/>
              <w:spacing w:before="0" w:after="0"/>
              <w:ind w:firstLine="0"/>
              <w:jc w:val="center"/>
            </w:pPr>
            <w:r w:rsidRPr="00B84A63">
              <w:t>0</w:t>
            </w:r>
          </w:p>
        </w:tc>
        <w:tc>
          <w:tcPr>
            <w:tcW w:w="1482" w:type="dxa"/>
            <w:vAlign w:val="center"/>
          </w:tcPr>
          <w:p w:rsidR="003925D6" w:rsidRPr="00B84A63" w:rsidP="003925D6">
            <w:pPr>
              <w:pStyle w:val="naisf"/>
              <w:spacing w:before="0" w:after="0"/>
              <w:ind w:firstLine="0"/>
              <w:jc w:val="center"/>
            </w:pPr>
            <w:r w:rsidRPr="00B84A63">
              <w:t>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3.2. speciālais budžets</w:t>
            </w:r>
          </w:p>
        </w:tc>
        <w:tc>
          <w:tcPr>
            <w:tcW w:w="1417" w:type="dxa"/>
            <w:shd w:val="clear" w:color="auto" w:fill="auto"/>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 xml:space="preserve">3.3. pašvaldību budžets </w:t>
            </w:r>
          </w:p>
        </w:tc>
        <w:tc>
          <w:tcPr>
            <w:tcW w:w="1417" w:type="dxa"/>
            <w:shd w:val="clear" w:color="auto" w:fill="auto"/>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trHeight w:val="2111"/>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b/>
              </w:rPr>
              <w:t>4. Finanšu līdzekļi papildu izde</w:t>
            </w:r>
            <w:r w:rsidRPr="003862B7">
              <w:rPr>
                <w:rFonts w:ascii="Times New Roman" w:hAnsi="Times New Roman" w:cs="Times New Roman"/>
                <w:b/>
              </w:rPr>
              <w:softHyphen/>
              <w:t>vumu finansēšanai</w:t>
            </w:r>
            <w:r w:rsidRPr="003862B7">
              <w:rPr>
                <w:rFonts w:ascii="Times New Roman" w:hAnsi="Times New Roman" w:cs="Times New Roman"/>
              </w:rPr>
              <w:t xml:space="preserve"> (kompensējošu izdevumu samazinājumu norāda ar "+" zīmi)</w:t>
            </w:r>
          </w:p>
        </w:tc>
        <w:tc>
          <w:tcPr>
            <w:tcW w:w="1417" w:type="dxa"/>
            <w:vAlign w:val="center"/>
          </w:tcPr>
          <w:p w:rsidR="003862B7" w:rsidRPr="003862B7" w:rsidP="00BC3B3D">
            <w:pPr>
              <w:pStyle w:val="naisf"/>
              <w:spacing w:before="0" w:after="0"/>
              <w:ind w:firstLine="0"/>
              <w:jc w:val="center"/>
              <w:rPr>
                <w:i/>
              </w:rPr>
            </w:pPr>
            <w:r w:rsidRPr="003862B7">
              <w:t>X</w:t>
            </w:r>
          </w:p>
        </w:tc>
        <w:tc>
          <w:tcPr>
            <w:tcW w:w="1276" w:type="dxa"/>
            <w:vAlign w:val="center"/>
          </w:tcPr>
          <w:p w:rsidR="003862B7" w:rsidRPr="003862B7" w:rsidP="00BC3B3D">
            <w:pPr>
              <w:pStyle w:val="naisf"/>
              <w:spacing w:before="0" w:after="0"/>
              <w:ind w:firstLine="0"/>
              <w:jc w:val="center"/>
              <w:rPr>
                <w:i/>
              </w:rP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trHeight w:val="57"/>
          <w:jc w:val="center"/>
        </w:trPr>
        <w:tc>
          <w:tcPr>
            <w:tcW w:w="2039" w:type="dxa"/>
            <w:tcBorders>
              <w:bottom w:val="single" w:sz="4" w:space="0" w:color="auto"/>
            </w:tcBorders>
          </w:tcPr>
          <w:p w:rsidR="003925D6" w:rsidRPr="003862B7" w:rsidP="003925D6">
            <w:pPr>
              <w:ind w:left="-60"/>
              <w:rPr>
                <w:rFonts w:ascii="Times New Roman" w:hAnsi="Times New Roman" w:cs="Times New Roman"/>
                <w:b/>
              </w:rPr>
            </w:pPr>
            <w:r w:rsidRPr="003862B7">
              <w:rPr>
                <w:rFonts w:ascii="Times New Roman" w:hAnsi="Times New Roman" w:cs="Times New Roman"/>
                <w:b/>
              </w:rPr>
              <w:t>5. Precizēta finansiālā ietekme:</w:t>
            </w:r>
          </w:p>
        </w:tc>
        <w:tc>
          <w:tcPr>
            <w:tcW w:w="1417" w:type="dxa"/>
            <w:vMerge w:val="restart"/>
            <w:tcBorders>
              <w:bottom w:val="single" w:sz="4" w:space="0" w:color="auto"/>
            </w:tcBorders>
            <w:vAlign w:val="center"/>
          </w:tcPr>
          <w:p w:rsidR="003925D6" w:rsidRPr="003862B7" w:rsidP="003925D6">
            <w:pPr>
              <w:pStyle w:val="naisf"/>
              <w:spacing w:before="0" w:after="0"/>
              <w:ind w:firstLine="0"/>
              <w:jc w:val="center"/>
              <w:rPr>
                <w:i/>
              </w:rPr>
            </w:pPr>
            <w:r w:rsidRPr="003862B7">
              <w:t>X</w:t>
            </w:r>
          </w:p>
        </w:tc>
        <w:tc>
          <w:tcPr>
            <w:tcW w:w="1276" w:type="dxa"/>
            <w:tcBorders>
              <w:bottom w:val="single" w:sz="4" w:space="0" w:color="auto"/>
            </w:tcBorders>
            <w:vAlign w:val="center"/>
          </w:tcPr>
          <w:p w:rsidR="003925D6" w:rsidRPr="003862B7" w:rsidP="003925D6">
            <w:pPr>
              <w:pStyle w:val="naisf"/>
              <w:spacing w:before="0" w:after="0"/>
              <w:ind w:firstLine="0"/>
              <w:jc w:val="center"/>
            </w:pPr>
            <w:r w:rsidRPr="003862B7">
              <w:t>0</w:t>
            </w:r>
          </w:p>
        </w:tc>
        <w:tc>
          <w:tcPr>
            <w:tcW w:w="1482" w:type="dxa"/>
            <w:vAlign w:val="center"/>
          </w:tcPr>
          <w:p w:rsidR="003925D6" w:rsidRPr="00B84A63" w:rsidP="003925D6">
            <w:pPr>
              <w:pStyle w:val="naisf"/>
              <w:spacing w:before="0" w:after="0"/>
              <w:ind w:firstLine="0"/>
              <w:jc w:val="center"/>
              <w:rPr>
                <w:b/>
              </w:rPr>
            </w:pPr>
            <w:r w:rsidRPr="00B84A63">
              <w:rPr>
                <w:b/>
              </w:rPr>
              <w:t>0</w:t>
            </w:r>
          </w:p>
        </w:tc>
        <w:tc>
          <w:tcPr>
            <w:tcW w:w="1482" w:type="dxa"/>
            <w:vAlign w:val="center"/>
          </w:tcPr>
          <w:p w:rsidR="003925D6" w:rsidRPr="00B84A63" w:rsidP="003925D6">
            <w:pPr>
              <w:pStyle w:val="naisf"/>
              <w:spacing w:before="0" w:after="0"/>
              <w:ind w:firstLine="0"/>
              <w:jc w:val="center"/>
              <w:rPr>
                <w:b/>
              </w:rPr>
            </w:pPr>
            <w:r w:rsidRPr="00B84A63">
              <w:rPr>
                <w:b/>
              </w:rPr>
              <w:t>0</w:t>
            </w:r>
          </w:p>
        </w:tc>
        <w:tc>
          <w:tcPr>
            <w:tcW w:w="1482" w:type="dxa"/>
            <w:vAlign w:val="center"/>
          </w:tcPr>
          <w:p w:rsidR="003925D6" w:rsidRPr="00B84A63" w:rsidP="003925D6">
            <w:pPr>
              <w:pStyle w:val="naisf"/>
              <w:spacing w:before="0" w:after="0"/>
              <w:ind w:firstLine="0"/>
              <w:jc w:val="center"/>
              <w:rPr>
                <w:b/>
              </w:rPr>
            </w:pPr>
            <w:r w:rsidRPr="00B84A63">
              <w:rPr>
                <w:b/>
              </w:rPr>
              <w:t>0</w:t>
            </w:r>
          </w:p>
        </w:tc>
      </w:tr>
      <w:tr w:rsidTr="00BC3B3D">
        <w:tblPrEx>
          <w:tblW w:w="9178" w:type="dxa"/>
          <w:jc w:val="center"/>
          <w:tblCellMar>
            <w:right w:w="57" w:type="dxa"/>
          </w:tblCellMar>
          <w:tblLook w:val="01E0"/>
        </w:tblPrEx>
        <w:trPr>
          <w:jc w:val="center"/>
        </w:trPr>
        <w:tc>
          <w:tcPr>
            <w:tcW w:w="2039" w:type="dxa"/>
            <w:tcBorders>
              <w:top w:val="single" w:sz="4" w:space="0" w:color="auto"/>
            </w:tcBorders>
          </w:tcPr>
          <w:p w:rsidR="003925D6" w:rsidRPr="003862B7" w:rsidP="003925D6">
            <w:pPr>
              <w:ind w:left="-60"/>
              <w:rPr>
                <w:rFonts w:ascii="Times New Roman" w:hAnsi="Times New Roman" w:cs="Times New Roman"/>
              </w:rPr>
            </w:pPr>
            <w:r w:rsidRPr="003862B7">
              <w:rPr>
                <w:rFonts w:ascii="Times New Roman" w:hAnsi="Times New Roman" w:cs="Times New Roman"/>
              </w:rPr>
              <w:t>5.1. valsts pamatbudžets</w:t>
            </w:r>
          </w:p>
        </w:tc>
        <w:tc>
          <w:tcPr>
            <w:tcW w:w="1417" w:type="dxa"/>
            <w:vMerge/>
            <w:tcBorders>
              <w:top w:val="single" w:sz="4" w:space="0" w:color="auto"/>
            </w:tcBorders>
            <w:vAlign w:val="center"/>
          </w:tcPr>
          <w:p w:rsidR="003925D6" w:rsidRPr="003862B7" w:rsidP="003925D6">
            <w:pPr>
              <w:pStyle w:val="naisf"/>
              <w:spacing w:before="0" w:after="0"/>
              <w:ind w:firstLine="0"/>
              <w:jc w:val="center"/>
              <w:rPr>
                <w:i/>
              </w:rPr>
            </w:pPr>
          </w:p>
        </w:tc>
        <w:tc>
          <w:tcPr>
            <w:tcW w:w="1276" w:type="dxa"/>
            <w:tcBorders>
              <w:top w:val="single" w:sz="4" w:space="0" w:color="auto"/>
            </w:tcBorders>
            <w:vAlign w:val="center"/>
          </w:tcPr>
          <w:p w:rsidR="003925D6" w:rsidRPr="003862B7" w:rsidP="003925D6">
            <w:pPr>
              <w:pStyle w:val="naisf"/>
              <w:spacing w:before="0" w:after="0"/>
              <w:ind w:firstLine="0"/>
              <w:jc w:val="center"/>
            </w:pPr>
            <w:r w:rsidRPr="003862B7">
              <w:t>0</w:t>
            </w:r>
          </w:p>
        </w:tc>
        <w:tc>
          <w:tcPr>
            <w:tcW w:w="1482" w:type="dxa"/>
            <w:vAlign w:val="center"/>
          </w:tcPr>
          <w:p w:rsidR="003925D6" w:rsidRPr="00B84A63" w:rsidP="003925D6">
            <w:pPr>
              <w:pStyle w:val="naisf"/>
              <w:spacing w:before="0" w:after="0"/>
              <w:ind w:firstLine="0"/>
              <w:jc w:val="center"/>
            </w:pPr>
            <w:r w:rsidRPr="00B84A63">
              <w:t>0</w:t>
            </w:r>
          </w:p>
        </w:tc>
        <w:tc>
          <w:tcPr>
            <w:tcW w:w="1482" w:type="dxa"/>
            <w:vAlign w:val="center"/>
          </w:tcPr>
          <w:p w:rsidR="003925D6" w:rsidRPr="00B84A63" w:rsidP="003925D6">
            <w:pPr>
              <w:pStyle w:val="naisf"/>
              <w:spacing w:before="0" w:after="0"/>
              <w:ind w:firstLine="0"/>
              <w:jc w:val="center"/>
            </w:pPr>
            <w:r w:rsidRPr="00B84A63">
              <w:t>0</w:t>
            </w:r>
          </w:p>
        </w:tc>
        <w:tc>
          <w:tcPr>
            <w:tcW w:w="1482" w:type="dxa"/>
            <w:vAlign w:val="center"/>
          </w:tcPr>
          <w:p w:rsidR="003925D6" w:rsidRPr="00B84A63" w:rsidP="003925D6">
            <w:pPr>
              <w:pStyle w:val="naisf"/>
              <w:spacing w:before="0" w:after="0"/>
              <w:ind w:firstLine="0"/>
              <w:jc w:val="center"/>
            </w:pPr>
            <w:r w:rsidRPr="00B84A63">
              <w:t>0</w:t>
            </w:r>
          </w:p>
        </w:tc>
      </w:tr>
      <w:tr w:rsidTr="00BC3B3D">
        <w:tblPrEx>
          <w:tblW w:w="9178" w:type="dxa"/>
          <w:jc w:val="center"/>
          <w:tblCellMar>
            <w:right w:w="57" w:type="dxa"/>
          </w:tblCellMar>
          <w:tblLook w:val="01E0"/>
        </w:tblPrEx>
        <w:trPr>
          <w:jc w:val="center"/>
        </w:trPr>
        <w:tc>
          <w:tcPr>
            <w:tcW w:w="2039" w:type="dxa"/>
            <w:tcBorders>
              <w:bottom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5.2. speciālais budžets</w:t>
            </w:r>
          </w:p>
        </w:tc>
        <w:tc>
          <w:tcPr>
            <w:tcW w:w="1417" w:type="dxa"/>
            <w:vMerge/>
            <w:tcBorders>
              <w:bottom w:val="single" w:sz="4" w:space="0" w:color="auto"/>
            </w:tcBorders>
            <w:vAlign w:val="center"/>
          </w:tcPr>
          <w:p w:rsidR="003862B7" w:rsidRPr="003862B7" w:rsidP="00BC3B3D">
            <w:pPr>
              <w:pStyle w:val="naisf"/>
              <w:spacing w:before="0" w:after="0"/>
              <w:ind w:firstLine="0"/>
              <w:jc w:val="center"/>
              <w:rPr>
                <w:i/>
              </w:rPr>
            </w:pPr>
          </w:p>
        </w:tc>
        <w:tc>
          <w:tcPr>
            <w:tcW w:w="1276" w:type="dxa"/>
            <w:tcBorders>
              <w:bottom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bottom w:val="single" w:sz="4" w:space="0" w:color="auto"/>
            </w:tcBorders>
            <w:vAlign w:val="center"/>
          </w:tcPr>
          <w:p w:rsidR="003862B7" w:rsidRPr="00B84A63" w:rsidP="00BC3B3D">
            <w:pPr>
              <w:pStyle w:val="naisf"/>
              <w:spacing w:before="0" w:after="0"/>
              <w:ind w:firstLine="0"/>
              <w:jc w:val="center"/>
            </w:pPr>
            <w:r w:rsidRPr="00B84A63">
              <w:t>0</w:t>
            </w:r>
          </w:p>
        </w:tc>
        <w:tc>
          <w:tcPr>
            <w:tcW w:w="1482" w:type="dxa"/>
            <w:tcBorders>
              <w:bottom w:val="single" w:sz="4" w:space="0" w:color="auto"/>
            </w:tcBorders>
            <w:vAlign w:val="center"/>
          </w:tcPr>
          <w:p w:rsidR="003862B7" w:rsidRPr="00B84A63" w:rsidP="00BC3B3D">
            <w:pPr>
              <w:pStyle w:val="naisf"/>
              <w:spacing w:before="0" w:after="0"/>
              <w:ind w:firstLine="0"/>
              <w:jc w:val="center"/>
            </w:pPr>
            <w:r w:rsidRPr="00B84A63">
              <w:t>0</w:t>
            </w:r>
          </w:p>
        </w:tc>
        <w:tc>
          <w:tcPr>
            <w:tcW w:w="1482" w:type="dxa"/>
            <w:tcBorders>
              <w:bottom w:val="single" w:sz="4" w:space="0" w:color="auto"/>
            </w:tcBorders>
            <w:vAlign w:val="center"/>
          </w:tcPr>
          <w:p w:rsidR="003862B7" w:rsidRPr="00B84A63" w:rsidP="00BC3B3D">
            <w:pPr>
              <w:pStyle w:val="naisf"/>
              <w:spacing w:before="0" w:after="0"/>
              <w:ind w:firstLine="0"/>
              <w:jc w:val="center"/>
            </w:pPr>
            <w:r w:rsidRPr="00B84A63">
              <w:t>0</w:t>
            </w:r>
          </w:p>
        </w:tc>
      </w:tr>
      <w:tr w:rsidTr="00BC3B3D">
        <w:tblPrEx>
          <w:tblW w:w="9178" w:type="dxa"/>
          <w:jc w:val="center"/>
          <w:tblCellMar>
            <w:right w:w="57" w:type="dxa"/>
          </w:tblCellMar>
          <w:tblLook w:val="01E0"/>
        </w:tblPrEx>
        <w:trPr>
          <w:trHeight w:val="567"/>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 xml:space="preserve">5.3. pašvaldību budžets </w:t>
            </w:r>
          </w:p>
        </w:tc>
        <w:tc>
          <w:tcPr>
            <w:tcW w:w="1417" w:type="dxa"/>
            <w:vMerge/>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trHeight w:val="3270"/>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6. Detalizēts ieņēmumu un izdevu</w:t>
            </w:r>
            <w:r w:rsidRPr="003862B7">
              <w:rPr>
                <w:rFonts w:ascii="Times New Roman" w:hAnsi="Times New Roman" w:cs="Times New Roman"/>
              </w:rPr>
              <w:softHyphen/>
              <w:t>mu aprēķins (ja nepieciešams, detalizētu ieņēmumu un izdevumu aprēķinu var pievienot anotācijas pielikumā):</w:t>
            </w:r>
          </w:p>
        </w:tc>
        <w:tc>
          <w:tcPr>
            <w:tcW w:w="7139" w:type="dxa"/>
            <w:gridSpan w:val="5"/>
            <w:vMerge w:val="restart"/>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c"/>
              <w:spacing w:before="120" w:after="120"/>
              <w:jc w:val="both"/>
              <w:rPr>
                <w:noProof/>
              </w:rPr>
            </w:pPr>
            <w:r w:rsidRPr="003862B7">
              <w:rPr>
                <w:b/>
                <w:noProof/>
              </w:rPr>
              <w:t>Atbilstoši likumam “Par valsts budžetu 2017.gadam”:</w:t>
            </w:r>
          </w:p>
          <w:p w:rsidR="003862B7" w:rsidRPr="003862B7" w:rsidP="00BC3B3D">
            <w:pPr>
              <w:pStyle w:val="naisc"/>
              <w:spacing w:before="0" w:after="0"/>
              <w:ind w:left="28"/>
              <w:jc w:val="both"/>
              <w:rPr>
                <w:noProof/>
              </w:rPr>
            </w:pPr>
            <w:r w:rsidRPr="003862B7">
              <w:rPr>
                <w:noProof/>
              </w:rPr>
              <w:t xml:space="preserve">Veselības ministrijas </w:t>
            </w:r>
            <w:r w:rsidRPr="003862B7">
              <w:rPr>
                <w:b/>
                <w:noProof/>
              </w:rPr>
              <w:t xml:space="preserve">resursi izdevumu segšanai 785 639 245 </w:t>
            </w:r>
            <w:r w:rsidRPr="003862B7">
              <w:rPr>
                <w:b/>
                <w:i/>
                <w:noProof/>
              </w:rPr>
              <w:t>euro</w:t>
            </w:r>
            <w:r w:rsidRPr="003862B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dotācija no vispārējiem ieņēmumiem 772 455 305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13 059 128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93 448 </w:t>
            </w:r>
            <w:r w:rsidRPr="003862B7">
              <w:rPr>
                <w:i/>
                <w:noProof/>
              </w:rPr>
              <w:t>euro</w:t>
            </w:r>
          </w:p>
          <w:p w:rsidR="003862B7" w:rsidRPr="003862B7" w:rsidP="00BC3B3D">
            <w:pPr>
              <w:pStyle w:val="naisc"/>
              <w:spacing w:before="0" w:after="0"/>
              <w:ind w:left="311"/>
              <w:jc w:val="both"/>
              <w:rPr>
                <w:noProof/>
              </w:rPr>
            </w:pPr>
            <w:r w:rsidRPr="003862B7">
              <w:rPr>
                <w:noProof/>
              </w:rPr>
              <w:t xml:space="preserve">transferti  31 364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Izdevumi  786 166 470 </w:t>
            </w:r>
            <w:r w:rsidRPr="003862B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kārtējie izdevumi 77 489 471 </w:t>
            </w:r>
            <w:r w:rsidRPr="003862B7">
              <w:rPr>
                <w:i/>
                <w:noProof/>
              </w:rPr>
              <w:t>euro</w:t>
            </w:r>
          </w:p>
          <w:p w:rsidR="003862B7" w:rsidRPr="003862B7" w:rsidP="00BC3B3D">
            <w:pPr>
              <w:pStyle w:val="naisc"/>
              <w:spacing w:before="0" w:after="0"/>
              <w:ind w:left="311"/>
              <w:jc w:val="both"/>
              <w:rPr>
                <w:noProof/>
              </w:rPr>
            </w:pPr>
            <w:r w:rsidRPr="003862B7">
              <w:rPr>
                <w:noProof/>
              </w:rPr>
              <w:t xml:space="preserve">subsīdijas, dotācijas un sociālie pabalsti 677 877 995 </w:t>
            </w:r>
            <w:r w:rsidRPr="003862B7">
              <w:rPr>
                <w:i/>
                <w:noProof/>
              </w:rPr>
              <w:t>euro</w:t>
            </w:r>
          </w:p>
          <w:p w:rsidR="003862B7" w:rsidRPr="003862B7" w:rsidP="00BC3B3D">
            <w:pPr>
              <w:pStyle w:val="naisc"/>
              <w:spacing w:before="0" w:after="0"/>
              <w:ind w:left="311"/>
              <w:jc w:val="both"/>
              <w:rPr>
                <w:noProof/>
              </w:rPr>
            </w:pPr>
            <w:r w:rsidRPr="003862B7">
              <w:rPr>
                <w:noProof/>
              </w:rPr>
              <w:t xml:space="preserve">starptautiskā sadarbība 362 851 </w:t>
            </w:r>
            <w:r w:rsidRPr="003862B7">
              <w:rPr>
                <w:i/>
                <w:noProof/>
              </w:rPr>
              <w:t>euro</w:t>
            </w:r>
          </w:p>
          <w:p w:rsidR="003862B7" w:rsidRPr="003862B7" w:rsidP="00BC3B3D">
            <w:pPr>
              <w:pStyle w:val="naisc"/>
              <w:spacing w:before="0" w:after="0"/>
              <w:ind w:left="311"/>
              <w:jc w:val="both"/>
              <w:rPr>
                <w:noProof/>
              </w:rPr>
            </w:pPr>
            <w:r w:rsidRPr="003862B7">
              <w:rPr>
                <w:noProof/>
              </w:rPr>
              <w:t xml:space="preserve">uzturēšanas izdevumu transferti 28 043 892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2 392 261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Finansēšana  527 225 </w:t>
            </w:r>
            <w:r w:rsidRPr="003862B7">
              <w:rPr>
                <w:b/>
                <w:i/>
                <w:noProof/>
              </w:rPr>
              <w:t>euro</w:t>
            </w:r>
          </w:p>
          <w:p w:rsidR="003862B7" w:rsidRPr="003862B7" w:rsidP="00BC3B3D">
            <w:pPr>
              <w:pStyle w:val="naisc"/>
              <w:spacing w:before="0" w:after="0"/>
              <w:ind w:left="312"/>
              <w:jc w:val="both"/>
              <w:rPr>
                <w:noProof/>
              </w:rPr>
            </w:pPr>
            <w:r w:rsidRPr="003862B7">
              <w:rPr>
                <w:noProof/>
              </w:rPr>
              <w:t xml:space="preserve">naudas līdzekļi (maksas pakalpojumu un citu pašu ieņēmumu atlikumi)  527 225 </w:t>
            </w:r>
            <w:r w:rsidRPr="003862B7">
              <w:rPr>
                <w:i/>
                <w:noProof/>
              </w:rPr>
              <w:t>euro</w:t>
            </w:r>
          </w:p>
          <w:p w:rsidR="003862B7" w:rsidRPr="003862B7" w:rsidP="00BC3B3D">
            <w:pPr>
              <w:pStyle w:val="naisc"/>
              <w:spacing w:before="0" w:after="120"/>
              <w:jc w:val="both"/>
              <w:rPr>
                <w:b/>
                <w:noProof/>
              </w:rPr>
            </w:pPr>
          </w:p>
          <w:p w:rsidR="003862B7" w:rsidRPr="003862B7" w:rsidP="00BC3B3D">
            <w:pPr>
              <w:pStyle w:val="naisc"/>
              <w:spacing w:before="0" w:after="120"/>
              <w:jc w:val="both"/>
              <w:rPr>
                <w:noProof/>
              </w:rPr>
            </w:pPr>
            <w:r w:rsidRPr="003862B7">
              <w:rPr>
                <w:b/>
                <w:noProof/>
              </w:rPr>
              <w:t>Kopā ar Ministru kabineta un Finanšu ministrijas rīkojumiem uz 2017.gada 1.septembri:</w:t>
            </w:r>
          </w:p>
          <w:p w:rsidR="003862B7" w:rsidRPr="003862B7" w:rsidP="00BC3B3D">
            <w:pPr>
              <w:pStyle w:val="naisc"/>
              <w:spacing w:before="0" w:after="0"/>
              <w:ind w:left="28"/>
              <w:jc w:val="both"/>
              <w:rPr>
                <w:noProof/>
              </w:rPr>
            </w:pPr>
            <w:r w:rsidRPr="003862B7">
              <w:rPr>
                <w:b/>
                <w:noProof/>
              </w:rPr>
              <w:t xml:space="preserve">Resursi izdevumu segšanai 856 897 833 </w:t>
            </w:r>
            <w:r w:rsidRPr="003862B7">
              <w:rPr>
                <w:b/>
                <w:i/>
                <w:noProof/>
              </w:rPr>
              <w:t>euro</w:t>
            </w:r>
            <w:r w:rsidRPr="003862B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dotācija no vispārējiem ieņēmumiem 838 285 132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18 348 876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128 149 </w:t>
            </w:r>
            <w:r w:rsidRPr="003862B7">
              <w:rPr>
                <w:i/>
                <w:noProof/>
              </w:rPr>
              <w:t>euro</w:t>
            </w:r>
          </w:p>
          <w:p w:rsidR="003862B7" w:rsidRPr="003862B7" w:rsidP="00BC3B3D">
            <w:pPr>
              <w:pStyle w:val="naisc"/>
              <w:spacing w:before="0" w:after="0"/>
              <w:ind w:left="311"/>
              <w:jc w:val="both"/>
              <w:rPr>
                <w:noProof/>
              </w:rPr>
            </w:pPr>
            <w:r w:rsidRPr="003862B7">
              <w:rPr>
                <w:noProof/>
              </w:rPr>
              <w:t xml:space="preserve">transferti  135 676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Izdevumi  838 664 445 </w:t>
            </w:r>
            <w:r w:rsidRPr="003862B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kārtējie izdevumi 82 114 080 </w:t>
            </w:r>
            <w:r w:rsidRPr="003862B7">
              <w:rPr>
                <w:i/>
                <w:noProof/>
              </w:rPr>
              <w:t>euro</w:t>
            </w:r>
          </w:p>
          <w:p w:rsidR="003862B7" w:rsidRPr="003862B7" w:rsidP="00BC3B3D">
            <w:pPr>
              <w:pStyle w:val="naisc"/>
              <w:spacing w:before="0" w:after="0"/>
              <w:ind w:left="311"/>
              <w:jc w:val="both"/>
              <w:rPr>
                <w:noProof/>
              </w:rPr>
            </w:pPr>
            <w:r w:rsidRPr="003862B7">
              <w:rPr>
                <w:noProof/>
              </w:rPr>
              <w:t xml:space="preserve">subsīdijas, dotācijas un sociālie pabalsti 725 061 405 </w:t>
            </w:r>
            <w:r w:rsidRPr="003862B7">
              <w:rPr>
                <w:i/>
                <w:noProof/>
              </w:rPr>
              <w:t>euro</w:t>
            </w:r>
          </w:p>
          <w:p w:rsidR="003862B7" w:rsidRPr="003862B7" w:rsidP="00BC3B3D">
            <w:pPr>
              <w:pStyle w:val="naisc"/>
              <w:spacing w:before="0" w:after="0"/>
              <w:ind w:left="311"/>
              <w:jc w:val="both"/>
              <w:rPr>
                <w:noProof/>
              </w:rPr>
            </w:pPr>
            <w:r w:rsidRPr="003862B7">
              <w:rPr>
                <w:noProof/>
              </w:rPr>
              <w:t xml:space="preserve">starptautiskā sadarbība 363 168 </w:t>
            </w:r>
            <w:r w:rsidRPr="003862B7">
              <w:rPr>
                <w:i/>
                <w:noProof/>
              </w:rPr>
              <w:t>euro</w:t>
            </w:r>
          </w:p>
          <w:p w:rsidR="003862B7" w:rsidRPr="003862B7" w:rsidP="00BC3B3D">
            <w:pPr>
              <w:pStyle w:val="naisc"/>
              <w:spacing w:before="0" w:after="0"/>
              <w:ind w:left="311"/>
              <w:jc w:val="both"/>
              <w:rPr>
                <w:noProof/>
              </w:rPr>
            </w:pPr>
            <w:r w:rsidRPr="003862B7">
              <w:rPr>
                <w:noProof/>
              </w:rPr>
              <w:t xml:space="preserve">uzturēšanas izdevumu transferti 28 260 293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2 865 499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Finansēšana  -18 233 388 </w:t>
            </w:r>
            <w:r w:rsidRPr="003862B7">
              <w:rPr>
                <w:b/>
                <w:i/>
                <w:noProof/>
              </w:rPr>
              <w:t>euro</w:t>
            </w:r>
          </w:p>
          <w:p w:rsidR="003862B7" w:rsidRPr="003862B7" w:rsidP="00BC3B3D">
            <w:pPr>
              <w:pStyle w:val="naisc"/>
              <w:spacing w:before="0" w:after="0"/>
              <w:ind w:left="312"/>
              <w:jc w:val="both"/>
              <w:rPr>
                <w:noProof/>
              </w:rPr>
            </w:pPr>
            <w:r w:rsidRPr="003862B7">
              <w:rPr>
                <w:noProof/>
              </w:rPr>
              <w:t xml:space="preserve">naudas līdzekļi 1 095 925 </w:t>
            </w:r>
            <w:r w:rsidRPr="003862B7">
              <w:rPr>
                <w:i/>
                <w:noProof/>
              </w:rPr>
              <w:t>euro</w:t>
            </w:r>
          </w:p>
          <w:p w:rsidR="003862B7" w:rsidRPr="003862B7" w:rsidP="00BC3B3D">
            <w:pPr>
              <w:pStyle w:val="naisc"/>
              <w:spacing w:before="0" w:after="0"/>
              <w:ind w:left="312"/>
              <w:jc w:val="both"/>
              <w:rPr>
                <w:noProof/>
              </w:rPr>
            </w:pPr>
            <w:r w:rsidRPr="003862B7">
              <w:rPr>
                <w:noProof/>
              </w:rPr>
              <w:t xml:space="preserve">akcijas un cita līdzdalība pašu kapitālā -19 329 313 </w:t>
            </w:r>
            <w:r w:rsidRPr="003862B7">
              <w:rPr>
                <w:i/>
                <w:noProof/>
              </w:rPr>
              <w:t>euro</w:t>
            </w:r>
          </w:p>
          <w:p w:rsidR="003862B7" w:rsidRPr="003862B7" w:rsidP="00BC3B3D">
            <w:pPr>
              <w:pStyle w:val="naisc"/>
              <w:spacing w:before="0" w:after="0"/>
              <w:ind w:left="312"/>
              <w:jc w:val="both"/>
              <w:rPr>
                <w:noProof/>
              </w:rPr>
            </w:pPr>
          </w:p>
          <w:p w:rsidR="003862B7" w:rsidRPr="003862B7" w:rsidP="00BC3B3D">
            <w:pPr>
              <w:pStyle w:val="naisc"/>
              <w:spacing w:before="0" w:after="120"/>
              <w:ind w:left="28"/>
              <w:jc w:val="both"/>
              <w:rPr>
                <w:noProof/>
              </w:rPr>
            </w:pPr>
            <w:r w:rsidRPr="003862B7">
              <w:rPr>
                <w:b/>
                <w:noProof/>
              </w:rPr>
              <w:t xml:space="preserve">Atbilstoši maksimāli pieļaujamam valsts pamatbudžeta izdevumu apjomam </w:t>
            </w:r>
            <w:r w:rsidRPr="003862B7">
              <w:rPr>
                <w:b/>
                <w:noProof/>
                <w:u w:val="single"/>
              </w:rPr>
              <w:t>2018.gadam</w:t>
            </w:r>
            <w:r w:rsidRPr="003862B7">
              <w:rPr>
                <w:noProof/>
              </w:rPr>
              <w:t xml:space="preserve"> (pē</w:t>
            </w:r>
            <w:r w:rsidR="003A6D1C">
              <w:rPr>
                <w:noProof/>
              </w:rPr>
              <w:t>c Ministru kabineta 2017.gada 12</w:t>
            </w:r>
            <w:r w:rsidRPr="003862B7">
              <w:rPr>
                <w:noProof/>
              </w:rPr>
              <w:t>.</w:t>
            </w:r>
            <w:r w:rsidR="003A6D1C">
              <w:rPr>
                <w:noProof/>
              </w:rPr>
              <w:t>septembra</w:t>
            </w:r>
            <w:r w:rsidRPr="003862B7">
              <w:rPr>
                <w:noProof/>
              </w:rPr>
              <w:t xml:space="preserve"> sēdes):</w:t>
            </w:r>
          </w:p>
          <w:p w:rsidR="003862B7" w:rsidRPr="003862B7" w:rsidP="00BC3B3D">
            <w:pPr>
              <w:pStyle w:val="naisc"/>
              <w:spacing w:before="0" w:after="0"/>
              <w:ind w:left="28"/>
              <w:jc w:val="both"/>
              <w:rPr>
                <w:noProof/>
              </w:rPr>
            </w:pPr>
            <w:r>
              <w:rPr>
                <w:b/>
                <w:noProof/>
              </w:rPr>
              <w:t>Resursi izdevumu segšanai 815 333</w:t>
            </w:r>
            <w:r w:rsidR="001D51F9">
              <w:rPr>
                <w:b/>
                <w:noProof/>
              </w:rPr>
              <w:t> </w:t>
            </w:r>
            <w:r>
              <w:rPr>
                <w:b/>
                <w:noProof/>
              </w:rPr>
              <w:t>702</w:t>
            </w:r>
            <w:r w:rsidR="001D51F9">
              <w:rPr>
                <w:b/>
                <w:noProof/>
              </w:rPr>
              <w:t xml:space="preserve"> </w:t>
            </w:r>
            <w:r w:rsidRPr="003862B7" w:rsidR="00EF1477">
              <w:rPr>
                <w:b/>
                <w:i/>
                <w:noProof/>
              </w:rPr>
              <w:t>euro</w:t>
            </w:r>
            <w:r w:rsidRPr="003862B7" w:rsidR="00EF147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dotāci</w:t>
            </w:r>
            <w:r w:rsidR="003A6D1C">
              <w:rPr>
                <w:noProof/>
              </w:rPr>
              <w:t>ja no vispārējiem ieņēmumiem 799 499</w:t>
            </w:r>
            <w:r w:rsidR="001D51F9">
              <w:rPr>
                <w:noProof/>
              </w:rPr>
              <w:t> </w:t>
            </w:r>
            <w:r w:rsidR="003A6D1C">
              <w:rPr>
                <w:noProof/>
              </w:rPr>
              <w:t>268</w:t>
            </w:r>
            <w:r w:rsidR="001D51F9">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15 261 496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72 760 </w:t>
            </w:r>
            <w:r w:rsidRPr="003862B7">
              <w:rPr>
                <w:i/>
                <w:noProof/>
              </w:rPr>
              <w:t>euro</w:t>
            </w:r>
          </w:p>
          <w:p w:rsidR="003862B7" w:rsidRPr="003862B7" w:rsidP="00BC3B3D">
            <w:pPr>
              <w:pStyle w:val="naisc"/>
              <w:spacing w:before="0" w:after="0"/>
              <w:ind w:left="311"/>
              <w:jc w:val="both"/>
              <w:rPr>
                <w:noProof/>
              </w:rPr>
            </w:pPr>
            <w:r>
              <w:rPr>
                <w:noProof/>
              </w:rPr>
              <w:t>transferti  500 178</w:t>
            </w:r>
            <w:r w:rsidRPr="003862B7" w:rsidR="00EF1477">
              <w:rPr>
                <w:i/>
                <w:noProof/>
              </w:rPr>
              <w:t>euro</w:t>
            </w:r>
          </w:p>
          <w:p w:rsidR="003862B7" w:rsidRPr="003862B7" w:rsidP="00BC3B3D">
            <w:pPr>
              <w:pStyle w:val="naisc"/>
              <w:spacing w:before="120" w:after="0"/>
              <w:ind w:left="28"/>
              <w:jc w:val="both"/>
              <w:rPr>
                <w:b/>
                <w:i/>
                <w:noProof/>
              </w:rPr>
            </w:pPr>
            <w:r>
              <w:rPr>
                <w:b/>
                <w:noProof/>
              </w:rPr>
              <w:t>Izdevumi  815 767</w:t>
            </w:r>
            <w:r w:rsidR="001D51F9">
              <w:rPr>
                <w:b/>
                <w:noProof/>
              </w:rPr>
              <w:t> </w:t>
            </w:r>
            <w:r>
              <w:rPr>
                <w:b/>
                <w:noProof/>
              </w:rPr>
              <w:t>408</w:t>
            </w:r>
            <w:r w:rsidR="001D51F9">
              <w:rPr>
                <w:b/>
                <w:noProof/>
              </w:rPr>
              <w:t xml:space="preserve"> </w:t>
            </w:r>
            <w:r w:rsidRPr="003862B7" w:rsidR="00EF147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Pr>
                <w:noProof/>
              </w:rPr>
              <w:t>kārtējie izdevumi 84 769</w:t>
            </w:r>
            <w:r w:rsidR="001D51F9">
              <w:rPr>
                <w:noProof/>
              </w:rPr>
              <w:t> </w:t>
            </w:r>
            <w:r>
              <w:rPr>
                <w:noProof/>
              </w:rPr>
              <w:t>049</w:t>
            </w:r>
            <w:r w:rsidR="001D51F9">
              <w:rPr>
                <w:noProof/>
              </w:rPr>
              <w:t xml:space="preserve"> </w:t>
            </w:r>
            <w:r w:rsidRPr="003862B7" w:rsidR="00EF1477">
              <w:rPr>
                <w:i/>
                <w:noProof/>
              </w:rPr>
              <w:t>euro</w:t>
            </w:r>
          </w:p>
          <w:p w:rsidR="003862B7" w:rsidRPr="003862B7" w:rsidP="00BC3B3D">
            <w:pPr>
              <w:pStyle w:val="naisc"/>
              <w:spacing w:before="0" w:after="0"/>
              <w:ind w:left="311"/>
              <w:jc w:val="both"/>
              <w:rPr>
                <w:noProof/>
              </w:rPr>
            </w:pPr>
            <w:r w:rsidRPr="003862B7">
              <w:rPr>
                <w:noProof/>
              </w:rPr>
              <w:t xml:space="preserve">subsīdijas, dotācijas </w:t>
            </w:r>
            <w:r w:rsidR="003A6D1C">
              <w:rPr>
                <w:noProof/>
              </w:rPr>
              <w:t>un sociālie pabalsti 698 967</w:t>
            </w:r>
            <w:r w:rsidR="001D51F9">
              <w:rPr>
                <w:noProof/>
              </w:rPr>
              <w:t> </w:t>
            </w:r>
            <w:r w:rsidR="003A6D1C">
              <w:rPr>
                <w:noProof/>
              </w:rPr>
              <w:t>760</w:t>
            </w:r>
            <w:r w:rsidR="001D51F9">
              <w:rPr>
                <w:noProof/>
              </w:rPr>
              <w:t xml:space="preserve"> </w:t>
            </w:r>
            <w:r w:rsidRPr="003862B7">
              <w:rPr>
                <w:i/>
                <w:noProof/>
              </w:rPr>
              <w:t>euro</w:t>
            </w:r>
          </w:p>
          <w:p w:rsidR="003862B7" w:rsidRPr="003862B7" w:rsidP="00BC3B3D">
            <w:pPr>
              <w:pStyle w:val="naisc"/>
              <w:spacing w:before="0" w:after="0"/>
              <w:ind w:left="311"/>
              <w:jc w:val="both"/>
              <w:rPr>
                <w:noProof/>
              </w:rPr>
            </w:pPr>
            <w:r>
              <w:rPr>
                <w:noProof/>
              </w:rPr>
              <w:t>starptautiskā sadarbība 580 189</w:t>
            </w:r>
            <w:r w:rsidRPr="003862B7" w:rsidR="00EF1477">
              <w:rPr>
                <w:i/>
                <w:noProof/>
              </w:rPr>
              <w:t>euro</w:t>
            </w:r>
          </w:p>
          <w:p w:rsidR="003862B7" w:rsidRPr="003862B7" w:rsidP="00BC3B3D">
            <w:pPr>
              <w:pStyle w:val="naisc"/>
              <w:spacing w:before="0" w:after="0"/>
              <w:ind w:left="311"/>
              <w:jc w:val="both"/>
              <w:rPr>
                <w:noProof/>
              </w:rPr>
            </w:pPr>
            <w:r w:rsidRPr="003862B7">
              <w:rPr>
                <w:noProof/>
              </w:rPr>
              <w:t>uzturēšana</w:t>
            </w:r>
            <w:r w:rsidR="003A6D1C">
              <w:rPr>
                <w:noProof/>
              </w:rPr>
              <w:t>s izdevumu transferti 28 866</w:t>
            </w:r>
            <w:r w:rsidR="001D51F9">
              <w:rPr>
                <w:noProof/>
              </w:rPr>
              <w:t> </w:t>
            </w:r>
            <w:r w:rsidR="003A6D1C">
              <w:rPr>
                <w:noProof/>
              </w:rPr>
              <w:t>180</w:t>
            </w:r>
            <w:r w:rsidR="001D51F9">
              <w:rPr>
                <w:noProof/>
              </w:rPr>
              <w:t xml:space="preserve"> </w:t>
            </w:r>
            <w:r w:rsidRPr="003862B7">
              <w:rPr>
                <w:i/>
                <w:noProof/>
              </w:rPr>
              <w:t>euro</w:t>
            </w:r>
          </w:p>
          <w:p w:rsidR="003862B7" w:rsidRPr="003862B7" w:rsidP="00BC3B3D">
            <w:pPr>
              <w:pStyle w:val="naisc"/>
              <w:spacing w:before="0" w:after="0"/>
              <w:ind w:left="311"/>
              <w:jc w:val="both"/>
              <w:rPr>
                <w:noProof/>
              </w:rPr>
            </w:pPr>
            <w:r>
              <w:rPr>
                <w:noProof/>
              </w:rPr>
              <w:t>kapitālie izdevumi 2 584</w:t>
            </w:r>
            <w:r w:rsidR="001D51F9">
              <w:rPr>
                <w:noProof/>
              </w:rPr>
              <w:t> </w:t>
            </w:r>
            <w:r>
              <w:rPr>
                <w:noProof/>
              </w:rPr>
              <w:t>230</w:t>
            </w:r>
            <w:r w:rsidR="001D51F9">
              <w:rPr>
                <w:noProof/>
              </w:rPr>
              <w:t xml:space="preserve"> </w:t>
            </w:r>
            <w:r w:rsidRPr="003862B7" w:rsidR="00EF1477">
              <w:rPr>
                <w:i/>
                <w:noProof/>
              </w:rPr>
              <w:t>euro</w:t>
            </w:r>
          </w:p>
          <w:p w:rsidR="003862B7" w:rsidRPr="003862B7" w:rsidP="00BC3B3D">
            <w:pPr>
              <w:pStyle w:val="naisc"/>
              <w:spacing w:before="120" w:after="0"/>
              <w:ind w:left="28"/>
              <w:jc w:val="both"/>
              <w:rPr>
                <w:b/>
                <w:i/>
                <w:noProof/>
              </w:rPr>
            </w:pPr>
            <w:r w:rsidRPr="003862B7">
              <w:rPr>
                <w:b/>
                <w:noProof/>
              </w:rPr>
              <w:t xml:space="preserve">Finansēšana  433 706 </w:t>
            </w:r>
            <w:r w:rsidRPr="003862B7">
              <w:rPr>
                <w:b/>
                <w:i/>
                <w:noProof/>
              </w:rPr>
              <w:t>euro</w:t>
            </w:r>
          </w:p>
          <w:p w:rsidR="003862B7" w:rsidRPr="003862B7" w:rsidP="00BC3B3D">
            <w:pPr>
              <w:pStyle w:val="naisc"/>
              <w:spacing w:before="0" w:after="0"/>
              <w:ind w:left="312"/>
              <w:jc w:val="both"/>
              <w:rPr>
                <w:noProof/>
              </w:rPr>
            </w:pPr>
            <w:r w:rsidRPr="003862B7">
              <w:rPr>
                <w:noProof/>
              </w:rPr>
              <w:t xml:space="preserve">naudas līdzekļi (maksas pakalpojumu un citu pašu ieņēmumu atlikumi)  433 706 </w:t>
            </w:r>
            <w:r w:rsidRPr="003862B7">
              <w:rPr>
                <w:i/>
                <w:noProof/>
              </w:rPr>
              <w:t>euro</w:t>
            </w:r>
          </w:p>
          <w:p w:rsidR="003862B7" w:rsidRPr="003862B7" w:rsidP="00BC3B3D">
            <w:pPr>
              <w:pStyle w:val="naisc"/>
              <w:spacing w:before="120" w:after="0"/>
              <w:ind w:left="28"/>
              <w:jc w:val="both"/>
              <w:rPr>
                <w:noProof/>
              </w:rPr>
            </w:pPr>
          </w:p>
          <w:p w:rsidR="003862B7" w:rsidRPr="003862B7" w:rsidP="00BC3B3D">
            <w:pPr>
              <w:pStyle w:val="naisc"/>
              <w:spacing w:before="0" w:after="120"/>
              <w:ind w:left="28"/>
              <w:jc w:val="both"/>
              <w:rPr>
                <w:noProof/>
              </w:rPr>
            </w:pPr>
            <w:r w:rsidRPr="003862B7">
              <w:rPr>
                <w:b/>
                <w:noProof/>
              </w:rPr>
              <w:t>Atbilstoši</w:t>
            </w:r>
            <w:r w:rsidR="0041531E">
              <w:rPr>
                <w:b/>
                <w:noProof/>
              </w:rPr>
              <w:t xml:space="preserve"> </w:t>
            </w:r>
            <w:r w:rsidRPr="003862B7">
              <w:rPr>
                <w:b/>
                <w:noProof/>
              </w:rPr>
              <w:t xml:space="preserve">maksimāli pieļaujamam valsts pamatbudžeta izdevumu apjomam </w:t>
            </w:r>
            <w:r w:rsidRPr="003862B7">
              <w:rPr>
                <w:b/>
                <w:noProof/>
                <w:u w:val="single"/>
              </w:rPr>
              <w:t>2019.gadam</w:t>
            </w:r>
            <w:r w:rsidRPr="0041531E" w:rsidR="0041531E">
              <w:rPr>
                <w:b/>
                <w:noProof/>
              </w:rPr>
              <w:t xml:space="preserve"> </w:t>
            </w:r>
            <w:r w:rsidRPr="003862B7">
              <w:rPr>
                <w:noProof/>
              </w:rPr>
              <w:t>(</w:t>
            </w:r>
            <w:r w:rsidRPr="003862B7" w:rsidR="00F910D7">
              <w:rPr>
                <w:noProof/>
              </w:rPr>
              <w:t>pē</w:t>
            </w:r>
            <w:r w:rsidR="00F910D7">
              <w:rPr>
                <w:noProof/>
              </w:rPr>
              <w:t>c Ministru kabineta 2017.gada 12</w:t>
            </w:r>
            <w:r w:rsidRPr="003862B7" w:rsidR="00F910D7">
              <w:rPr>
                <w:noProof/>
              </w:rPr>
              <w:t>.</w:t>
            </w:r>
            <w:r w:rsidR="00F910D7">
              <w:rPr>
                <w:noProof/>
              </w:rPr>
              <w:t>septembra</w:t>
            </w:r>
            <w:r w:rsidRPr="003862B7" w:rsidR="00F910D7">
              <w:rPr>
                <w:noProof/>
              </w:rPr>
              <w:t xml:space="preserve"> sēdes</w:t>
            </w:r>
            <w:r w:rsidRPr="003862B7">
              <w:rPr>
                <w:noProof/>
              </w:rPr>
              <w:t>):</w:t>
            </w:r>
          </w:p>
          <w:p w:rsidR="003862B7" w:rsidRPr="003862B7" w:rsidP="00BC3B3D">
            <w:pPr>
              <w:pStyle w:val="naisc"/>
              <w:spacing w:before="0" w:after="120"/>
              <w:ind w:left="28"/>
              <w:jc w:val="both"/>
              <w:rPr>
                <w:noProof/>
              </w:rPr>
            </w:pPr>
            <w:r>
              <w:rPr>
                <w:b/>
                <w:noProof/>
              </w:rPr>
              <w:t xml:space="preserve"> Resursi izdevumu segšanai 802</w:t>
            </w:r>
            <w:r w:rsidR="0041531E">
              <w:rPr>
                <w:b/>
                <w:noProof/>
              </w:rPr>
              <w:t> </w:t>
            </w:r>
            <w:r>
              <w:rPr>
                <w:b/>
                <w:noProof/>
              </w:rPr>
              <w:t>544</w:t>
            </w:r>
            <w:r w:rsidR="001D51F9">
              <w:rPr>
                <w:b/>
                <w:noProof/>
              </w:rPr>
              <w:t> </w:t>
            </w:r>
            <w:r>
              <w:rPr>
                <w:b/>
                <w:noProof/>
              </w:rPr>
              <w:t>582</w:t>
            </w:r>
            <w:r w:rsidR="001D51F9">
              <w:rPr>
                <w:b/>
                <w:noProof/>
              </w:rPr>
              <w:t xml:space="preserve"> </w:t>
            </w:r>
            <w:r w:rsidRPr="003862B7" w:rsidR="00EF1477">
              <w:rPr>
                <w:b/>
                <w:i/>
                <w:noProof/>
              </w:rPr>
              <w:t>euro</w:t>
            </w:r>
            <w:r w:rsidRPr="003862B7" w:rsidR="00EF147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dotācija no vi</w:t>
            </w:r>
            <w:r w:rsidR="00F910D7">
              <w:rPr>
                <w:noProof/>
              </w:rPr>
              <w:t>spārējiem ieņēmumiem 794 106</w:t>
            </w:r>
            <w:r w:rsidR="001D51F9">
              <w:rPr>
                <w:noProof/>
              </w:rPr>
              <w:t> </w:t>
            </w:r>
            <w:r w:rsidR="00F910D7">
              <w:rPr>
                <w:noProof/>
              </w:rPr>
              <w:t>433</w:t>
            </w:r>
            <w:r w:rsidR="001D51F9">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8 091 157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72 760 </w:t>
            </w:r>
            <w:r w:rsidRPr="003862B7">
              <w:rPr>
                <w:i/>
                <w:noProof/>
              </w:rPr>
              <w:t>euro</w:t>
            </w:r>
          </w:p>
          <w:p w:rsidR="003862B7" w:rsidRPr="003862B7" w:rsidP="00BC3B3D">
            <w:pPr>
              <w:pStyle w:val="naisc"/>
              <w:spacing w:before="0" w:after="0"/>
              <w:ind w:left="311"/>
              <w:jc w:val="both"/>
              <w:rPr>
                <w:noProof/>
              </w:rPr>
            </w:pPr>
            <w:r>
              <w:rPr>
                <w:noProof/>
              </w:rPr>
              <w:t>transferti  274</w:t>
            </w:r>
            <w:r w:rsidR="001D51F9">
              <w:rPr>
                <w:noProof/>
              </w:rPr>
              <w:t> </w:t>
            </w:r>
            <w:r>
              <w:rPr>
                <w:noProof/>
              </w:rPr>
              <w:t>232</w:t>
            </w:r>
            <w:r w:rsidR="001D51F9">
              <w:rPr>
                <w:noProof/>
              </w:rPr>
              <w:t xml:space="preserve"> </w:t>
            </w:r>
            <w:r w:rsidRPr="003862B7" w:rsidR="00EF1477">
              <w:rPr>
                <w:i/>
                <w:noProof/>
              </w:rPr>
              <w:t>euro</w:t>
            </w:r>
          </w:p>
          <w:p w:rsidR="003862B7" w:rsidRPr="003862B7" w:rsidP="00BC3B3D">
            <w:pPr>
              <w:pStyle w:val="naisc"/>
              <w:spacing w:before="120" w:after="0"/>
              <w:ind w:left="28"/>
              <w:jc w:val="both"/>
              <w:rPr>
                <w:b/>
                <w:i/>
                <w:noProof/>
              </w:rPr>
            </w:pPr>
            <w:r>
              <w:rPr>
                <w:b/>
                <w:noProof/>
              </w:rPr>
              <w:t>Izdevumi  802 544</w:t>
            </w:r>
            <w:r w:rsidR="001D51F9">
              <w:rPr>
                <w:b/>
                <w:noProof/>
              </w:rPr>
              <w:t> </w:t>
            </w:r>
            <w:r>
              <w:rPr>
                <w:b/>
                <w:noProof/>
              </w:rPr>
              <w:t>582</w:t>
            </w:r>
            <w:r w:rsidR="001D51F9">
              <w:rPr>
                <w:b/>
                <w:noProof/>
              </w:rPr>
              <w:t xml:space="preserve"> </w:t>
            </w:r>
            <w:r w:rsidRPr="003862B7" w:rsidR="00EF147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Pr>
                <w:noProof/>
              </w:rPr>
              <w:t>kārtējie izdevumi 79 456</w:t>
            </w:r>
            <w:r w:rsidR="001D51F9">
              <w:rPr>
                <w:noProof/>
              </w:rPr>
              <w:t> </w:t>
            </w:r>
            <w:r>
              <w:rPr>
                <w:noProof/>
              </w:rPr>
              <w:t>175</w:t>
            </w:r>
            <w:r w:rsidR="001D51F9">
              <w:rPr>
                <w:noProof/>
              </w:rPr>
              <w:t xml:space="preserve"> </w:t>
            </w:r>
            <w:r w:rsidRPr="003862B7" w:rsidR="00EF1477">
              <w:rPr>
                <w:i/>
                <w:noProof/>
              </w:rPr>
              <w:t>euro</w:t>
            </w:r>
          </w:p>
          <w:p w:rsidR="003862B7" w:rsidRPr="003862B7" w:rsidP="00BC3B3D">
            <w:pPr>
              <w:pStyle w:val="naisc"/>
              <w:spacing w:before="0" w:after="0"/>
              <w:ind w:left="311"/>
              <w:jc w:val="both"/>
              <w:rPr>
                <w:noProof/>
              </w:rPr>
            </w:pPr>
            <w:r w:rsidRPr="003862B7">
              <w:rPr>
                <w:noProof/>
              </w:rPr>
              <w:t>subsīdijas, dotāci</w:t>
            </w:r>
            <w:r w:rsidR="00207DC7">
              <w:rPr>
                <w:noProof/>
              </w:rPr>
              <w:t>jas un sociālie pabalsti 690 750775</w:t>
            </w:r>
            <w:r w:rsidR="001D51F9">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starptautiskā sadarbīb</w:t>
            </w:r>
            <w:r w:rsidR="00207DC7">
              <w:rPr>
                <w:noProof/>
              </w:rPr>
              <w:t>a 368</w:t>
            </w:r>
            <w:r w:rsidR="001D51F9">
              <w:rPr>
                <w:noProof/>
              </w:rPr>
              <w:t> </w:t>
            </w:r>
            <w:r w:rsidR="00207DC7">
              <w:rPr>
                <w:noProof/>
              </w:rPr>
              <w:t>962</w:t>
            </w:r>
            <w:r w:rsidR="001D51F9">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uz</w:t>
            </w:r>
            <w:r w:rsidR="00207DC7">
              <w:rPr>
                <w:noProof/>
              </w:rPr>
              <w:t>turēšanas izdevumu transferti 29</w:t>
            </w:r>
            <w:r w:rsidR="001D51F9">
              <w:rPr>
                <w:noProof/>
              </w:rPr>
              <w:t> </w:t>
            </w:r>
            <w:r w:rsidR="00207DC7">
              <w:rPr>
                <w:noProof/>
              </w:rPr>
              <w:t>534</w:t>
            </w:r>
            <w:r w:rsidR="001D51F9">
              <w:rPr>
                <w:noProof/>
              </w:rPr>
              <w:t> </w:t>
            </w:r>
            <w:r w:rsidR="00207DC7">
              <w:rPr>
                <w:noProof/>
              </w:rPr>
              <w:t>143</w:t>
            </w:r>
            <w:r w:rsidR="001D51F9">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2 434 527 </w:t>
            </w:r>
            <w:r w:rsidRPr="003862B7">
              <w:rPr>
                <w:i/>
                <w:noProof/>
              </w:rPr>
              <w:t>euro</w:t>
            </w:r>
          </w:p>
          <w:p w:rsidR="003862B7" w:rsidRPr="003862B7" w:rsidP="00BC3B3D">
            <w:pPr>
              <w:pStyle w:val="naisc"/>
              <w:spacing w:before="120" w:after="0"/>
              <w:ind w:left="28"/>
              <w:jc w:val="both"/>
              <w:rPr>
                <w:noProof/>
              </w:rPr>
            </w:pPr>
          </w:p>
          <w:p w:rsidR="003862B7" w:rsidRPr="003862B7" w:rsidP="00BC3B3D">
            <w:pPr>
              <w:pStyle w:val="naisc"/>
              <w:spacing w:before="0" w:after="120"/>
              <w:ind w:left="28"/>
              <w:jc w:val="both"/>
              <w:rPr>
                <w:noProof/>
              </w:rPr>
            </w:pPr>
            <w:r w:rsidRPr="003862B7">
              <w:rPr>
                <w:b/>
                <w:noProof/>
              </w:rPr>
              <w:t>Atbilstoši</w:t>
            </w:r>
            <w:r w:rsidR="0041531E">
              <w:rPr>
                <w:b/>
                <w:noProof/>
              </w:rPr>
              <w:t xml:space="preserve"> </w:t>
            </w:r>
            <w:r w:rsidRPr="003862B7">
              <w:rPr>
                <w:b/>
                <w:noProof/>
              </w:rPr>
              <w:t xml:space="preserve">maksimāli pieļaujamam valsts pamatbudžeta izdevumu apjomam </w:t>
            </w:r>
            <w:r w:rsidRPr="003862B7">
              <w:rPr>
                <w:b/>
                <w:noProof/>
                <w:u w:val="single"/>
              </w:rPr>
              <w:t>2020.gadam</w:t>
            </w:r>
            <w:r w:rsidRPr="0041531E" w:rsidR="0041531E">
              <w:rPr>
                <w:b/>
                <w:noProof/>
              </w:rPr>
              <w:t xml:space="preserve"> </w:t>
            </w:r>
            <w:r w:rsidRPr="003862B7">
              <w:rPr>
                <w:noProof/>
              </w:rPr>
              <w:t>(</w:t>
            </w:r>
            <w:r w:rsidRPr="003862B7" w:rsidR="00207DC7">
              <w:rPr>
                <w:noProof/>
              </w:rPr>
              <w:t>pē</w:t>
            </w:r>
            <w:r w:rsidR="00207DC7">
              <w:rPr>
                <w:noProof/>
              </w:rPr>
              <w:t>c Ministru kabineta 2017.gada 12</w:t>
            </w:r>
            <w:r w:rsidRPr="003862B7" w:rsidR="00207DC7">
              <w:rPr>
                <w:noProof/>
              </w:rPr>
              <w:t>.</w:t>
            </w:r>
            <w:r w:rsidR="00207DC7">
              <w:rPr>
                <w:noProof/>
              </w:rPr>
              <w:t>septembra</w:t>
            </w:r>
            <w:r w:rsidRPr="003862B7" w:rsidR="00207DC7">
              <w:rPr>
                <w:noProof/>
              </w:rPr>
              <w:t xml:space="preserve"> sēdes</w:t>
            </w:r>
            <w:r w:rsidRPr="003862B7">
              <w:rPr>
                <w:noProof/>
              </w:rPr>
              <w:t>):</w:t>
            </w:r>
          </w:p>
          <w:p w:rsidR="003862B7" w:rsidRPr="003862B7" w:rsidP="00BC3B3D">
            <w:pPr>
              <w:pStyle w:val="naisc"/>
              <w:spacing w:before="0" w:after="120"/>
              <w:ind w:left="28"/>
              <w:jc w:val="both"/>
              <w:rPr>
                <w:noProof/>
              </w:rPr>
            </w:pPr>
            <w:r>
              <w:rPr>
                <w:b/>
                <w:noProof/>
              </w:rPr>
              <w:t xml:space="preserve"> Resursi izdevumu segšanai 802</w:t>
            </w:r>
            <w:r w:rsidR="0041531E">
              <w:rPr>
                <w:b/>
                <w:noProof/>
              </w:rPr>
              <w:t> </w:t>
            </w:r>
            <w:r>
              <w:rPr>
                <w:b/>
                <w:noProof/>
              </w:rPr>
              <w:t>290</w:t>
            </w:r>
            <w:r w:rsidR="001D51F9">
              <w:rPr>
                <w:b/>
                <w:noProof/>
              </w:rPr>
              <w:t> </w:t>
            </w:r>
            <w:r>
              <w:rPr>
                <w:b/>
                <w:noProof/>
              </w:rPr>
              <w:t>427</w:t>
            </w:r>
            <w:r w:rsidR="001D51F9">
              <w:rPr>
                <w:b/>
                <w:noProof/>
              </w:rPr>
              <w:t xml:space="preserve"> </w:t>
            </w:r>
            <w:r w:rsidRPr="003862B7" w:rsidR="00EF1477">
              <w:rPr>
                <w:b/>
                <w:i/>
                <w:noProof/>
              </w:rPr>
              <w:t>euro</w:t>
            </w:r>
            <w:r w:rsidRPr="003862B7" w:rsidR="00EF147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dotācija no vi</w:t>
            </w:r>
            <w:r w:rsidR="00207DC7">
              <w:rPr>
                <w:noProof/>
              </w:rPr>
              <w:t>spārējiem ieņēmumiem 794 037</w:t>
            </w:r>
            <w:r w:rsidR="00F45F18">
              <w:rPr>
                <w:noProof/>
              </w:rPr>
              <w:t> </w:t>
            </w:r>
            <w:r w:rsidR="00207DC7">
              <w:rPr>
                <w:noProof/>
              </w:rPr>
              <w:t>596</w:t>
            </w:r>
            <w:r w:rsidR="00F45F18">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8 091 157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72 760 </w:t>
            </w:r>
            <w:r w:rsidRPr="003862B7">
              <w:rPr>
                <w:i/>
                <w:noProof/>
              </w:rPr>
              <w:t>euro</w:t>
            </w:r>
          </w:p>
          <w:p w:rsidR="003862B7" w:rsidRPr="003862B7" w:rsidP="00BC3B3D">
            <w:pPr>
              <w:pStyle w:val="naisc"/>
              <w:spacing w:before="0" w:after="0"/>
              <w:ind w:left="311"/>
              <w:jc w:val="both"/>
              <w:rPr>
                <w:noProof/>
              </w:rPr>
            </w:pPr>
            <w:r w:rsidRPr="003862B7">
              <w:rPr>
                <w:noProof/>
              </w:rPr>
              <w:t xml:space="preserve">transferti  88 914 </w:t>
            </w:r>
            <w:r w:rsidRPr="003862B7">
              <w:rPr>
                <w:i/>
                <w:noProof/>
              </w:rPr>
              <w:t>euro</w:t>
            </w:r>
          </w:p>
          <w:p w:rsidR="003862B7" w:rsidRPr="003862B7" w:rsidP="00BC3B3D">
            <w:pPr>
              <w:pStyle w:val="naisc"/>
              <w:spacing w:before="120" w:after="0"/>
              <w:ind w:left="28"/>
              <w:jc w:val="both"/>
              <w:rPr>
                <w:b/>
                <w:i/>
                <w:noProof/>
              </w:rPr>
            </w:pPr>
            <w:r>
              <w:rPr>
                <w:b/>
                <w:noProof/>
              </w:rPr>
              <w:t>Izdevumi  802 290</w:t>
            </w:r>
            <w:r w:rsidR="00F45F18">
              <w:rPr>
                <w:b/>
                <w:noProof/>
              </w:rPr>
              <w:t> </w:t>
            </w:r>
            <w:r>
              <w:rPr>
                <w:b/>
                <w:noProof/>
              </w:rPr>
              <w:t>427</w:t>
            </w:r>
            <w:r w:rsidR="00F45F18">
              <w:rPr>
                <w:b/>
                <w:noProof/>
              </w:rPr>
              <w:t xml:space="preserve"> </w:t>
            </w:r>
            <w:r w:rsidRPr="003862B7" w:rsidR="00EF147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Pr>
                <w:noProof/>
              </w:rPr>
              <w:t>kārtējie izdevumi 79 452</w:t>
            </w:r>
            <w:r w:rsidR="00F45F18">
              <w:rPr>
                <w:noProof/>
              </w:rPr>
              <w:t> </w:t>
            </w:r>
            <w:r>
              <w:rPr>
                <w:noProof/>
              </w:rPr>
              <w:t>571</w:t>
            </w:r>
            <w:r w:rsidR="00F45F18">
              <w:rPr>
                <w:noProof/>
              </w:rPr>
              <w:t xml:space="preserve"> </w:t>
            </w:r>
            <w:r w:rsidRPr="003862B7" w:rsidR="00EF1477">
              <w:rPr>
                <w:i/>
                <w:noProof/>
              </w:rPr>
              <w:t>euro</w:t>
            </w:r>
          </w:p>
          <w:p w:rsidR="003862B7" w:rsidRPr="003862B7" w:rsidP="00BC3B3D">
            <w:pPr>
              <w:pStyle w:val="naisc"/>
              <w:spacing w:before="0" w:after="0"/>
              <w:ind w:left="311"/>
              <w:jc w:val="both"/>
              <w:rPr>
                <w:noProof/>
              </w:rPr>
            </w:pPr>
            <w:r w:rsidRPr="003862B7">
              <w:rPr>
                <w:noProof/>
              </w:rPr>
              <w:t xml:space="preserve">subsīdijas, dotācijas </w:t>
            </w:r>
            <w:r w:rsidR="00207DC7">
              <w:rPr>
                <w:noProof/>
              </w:rPr>
              <w:t>un sociālie pabalsti 690 575</w:t>
            </w:r>
            <w:r w:rsidR="00F45F18">
              <w:rPr>
                <w:noProof/>
              </w:rPr>
              <w:t> </w:t>
            </w:r>
            <w:r w:rsidR="00207DC7">
              <w:rPr>
                <w:noProof/>
              </w:rPr>
              <w:t>972</w:t>
            </w:r>
            <w:r w:rsidR="00F45F18">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 xml:space="preserve">starptautiskā sadarbība </w:t>
            </w:r>
            <w:r w:rsidR="00207DC7">
              <w:rPr>
                <w:noProof/>
              </w:rPr>
              <w:t>368</w:t>
            </w:r>
            <w:r w:rsidR="00F45F18">
              <w:rPr>
                <w:noProof/>
              </w:rPr>
              <w:t> </w:t>
            </w:r>
            <w:r w:rsidR="00207DC7">
              <w:rPr>
                <w:noProof/>
              </w:rPr>
              <w:t>962</w:t>
            </w:r>
            <w:r w:rsidR="00F45F18">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uzturēšana</w:t>
            </w:r>
            <w:r w:rsidR="00207DC7">
              <w:rPr>
                <w:noProof/>
              </w:rPr>
              <w:t>s izdevumu transferti 29 458</w:t>
            </w:r>
            <w:r w:rsidR="00F45F18">
              <w:rPr>
                <w:noProof/>
              </w:rPr>
              <w:t> </w:t>
            </w:r>
            <w:r w:rsidR="00207DC7">
              <w:rPr>
                <w:noProof/>
              </w:rPr>
              <w:t>395</w:t>
            </w:r>
            <w:r w:rsidR="00F45F18">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2 434 527 </w:t>
            </w:r>
            <w:r w:rsidRPr="003862B7">
              <w:rPr>
                <w:i/>
                <w:noProof/>
              </w:rPr>
              <w:t>euro</w:t>
            </w:r>
          </w:p>
          <w:p w:rsidR="003862B7" w:rsidRPr="003862B7" w:rsidP="00BC3B3D">
            <w:pPr>
              <w:pStyle w:val="naisc"/>
              <w:spacing w:before="0" w:after="0"/>
              <w:ind w:left="28"/>
              <w:jc w:val="both"/>
              <w:rPr>
                <w:noProof/>
              </w:rPr>
            </w:pPr>
          </w:p>
          <w:p w:rsidR="003862B7" w:rsidRPr="003862B7" w:rsidP="00BC3B3D">
            <w:pPr>
              <w:pStyle w:val="naisc"/>
              <w:spacing w:before="120" w:after="0"/>
              <w:ind w:left="28"/>
              <w:jc w:val="both"/>
              <w:rPr>
                <w:noProof/>
              </w:rPr>
            </w:pPr>
            <w:r>
              <w:rPr>
                <w:noProof/>
              </w:rPr>
              <w:t>Papildus</w:t>
            </w:r>
            <w:r w:rsidRPr="003862B7" w:rsidR="00EF1477">
              <w:rPr>
                <w:noProof/>
              </w:rPr>
              <w:t xml:space="preserve"> tam Ministru kabineta 2017.gada 22.augusta sēdē (protokols Nr.40, 43.§) </w:t>
            </w:r>
            <w:r>
              <w:rPr>
                <w:noProof/>
                <w:u w:val="single"/>
              </w:rPr>
              <w:t>rezervēts</w:t>
            </w:r>
            <w:r w:rsidRPr="003862B7" w:rsidR="00EF1477">
              <w:rPr>
                <w:noProof/>
                <w:u w:val="single"/>
              </w:rPr>
              <w:t xml:space="preserve"> papildu finansējums budžeta resora 74 “Gadskārtējā valsts budžeta izpildes procesā pārdalāmais finansējums” programmā 08.00.00 “Veselības aprūpes sistēmas reformas ieviešanas finansējums”</w:t>
            </w:r>
            <w:r w:rsidRPr="003862B7" w:rsidR="00EF1477">
              <w:rPr>
                <w:noProof/>
              </w:rPr>
              <w:t>, tai skaitā:</w:t>
            </w:r>
          </w:p>
          <w:p w:rsidR="003862B7" w:rsidRPr="003862B7" w:rsidP="003862B7">
            <w:pPr>
              <w:pStyle w:val="naisc"/>
              <w:numPr>
                <w:ilvl w:val="0"/>
                <w:numId w:val="9"/>
              </w:numPr>
              <w:spacing w:before="120" w:after="0"/>
              <w:ind w:left="385" w:hanging="357"/>
              <w:jc w:val="both"/>
              <w:rPr>
                <w:noProof/>
              </w:rPr>
            </w:pPr>
            <w:r w:rsidRPr="003862B7">
              <w:rPr>
                <w:noProof/>
              </w:rPr>
              <w:t>Atbilstoši valsts pamatbudžetā plānotajiem ieņēmumiem no valsts sociālās apdrošināšanas obligāto iemaksu sadales veselības aprūpes finansēšanai:</w:t>
            </w:r>
          </w:p>
          <w:p w:rsidR="003862B7" w:rsidRPr="003862B7" w:rsidP="00BC3B3D">
            <w:pPr>
              <w:pStyle w:val="naisc"/>
              <w:spacing w:before="0" w:after="0"/>
              <w:ind w:left="454"/>
              <w:jc w:val="both"/>
              <w:rPr>
                <w:noProof/>
              </w:rPr>
            </w:pPr>
            <w:r w:rsidRPr="003862B7">
              <w:rPr>
                <w:noProof/>
              </w:rPr>
              <w:t xml:space="preserve">2018.gadam   85 300 000 </w:t>
            </w:r>
            <w:r w:rsidRPr="003862B7">
              <w:rPr>
                <w:i/>
                <w:noProof/>
              </w:rPr>
              <w:t>euro</w:t>
            </w:r>
          </w:p>
          <w:p w:rsidR="003862B7" w:rsidRPr="003862B7" w:rsidP="00BC3B3D">
            <w:pPr>
              <w:pStyle w:val="naisc"/>
              <w:spacing w:before="0" w:after="0"/>
              <w:ind w:left="454"/>
              <w:jc w:val="both"/>
              <w:rPr>
                <w:noProof/>
              </w:rPr>
            </w:pPr>
            <w:r w:rsidRPr="003862B7">
              <w:rPr>
                <w:noProof/>
              </w:rPr>
              <w:t xml:space="preserve">2019.gadam   99 600 000 </w:t>
            </w:r>
            <w:r w:rsidRPr="003862B7">
              <w:rPr>
                <w:i/>
                <w:noProof/>
              </w:rPr>
              <w:t>euro</w:t>
            </w:r>
          </w:p>
          <w:p w:rsidR="003862B7" w:rsidRPr="003862B7" w:rsidP="00BC3B3D">
            <w:pPr>
              <w:pStyle w:val="naisc"/>
              <w:spacing w:before="0" w:after="0"/>
              <w:ind w:left="454"/>
              <w:jc w:val="both"/>
              <w:rPr>
                <w:noProof/>
              </w:rPr>
            </w:pPr>
            <w:r w:rsidRPr="003862B7">
              <w:rPr>
                <w:noProof/>
              </w:rPr>
              <w:t xml:space="preserve">2020.gadam 105 500 000 </w:t>
            </w:r>
            <w:r w:rsidRPr="003862B7">
              <w:rPr>
                <w:i/>
                <w:noProof/>
              </w:rPr>
              <w:t>euro</w:t>
            </w:r>
            <w:r w:rsidRPr="003862B7">
              <w:rPr>
                <w:noProof/>
              </w:rPr>
              <w:t>,</w:t>
            </w:r>
          </w:p>
          <w:p w:rsidR="003862B7" w:rsidRPr="003862B7" w:rsidP="00BC3B3D">
            <w:pPr>
              <w:pStyle w:val="naisc"/>
              <w:spacing w:before="120" w:after="0"/>
              <w:ind w:left="454"/>
              <w:jc w:val="both"/>
              <w:rPr>
                <w:noProof/>
              </w:rPr>
            </w:pPr>
            <w:r w:rsidRPr="003862B7">
              <w:rPr>
                <w:noProof/>
              </w:rPr>
              <w:t>paredzot finanšu ministram tiesības pārdalīt 2018.gadam rezervēto finansējumu Veselības ministrijai atbilstoši Ministru kabineta pieņemtam lēmumam</w:t>
            </w:r>
            <w:r w:rsidR="002832C2">
              <w:rPr>
                <w:noProof/>
              </w:rPr>
              <w:t xml:space="preserve">. Minētie ieņēmumi </w:t>
            </w:r>
            <w:r w:rsidRPr="0028029C" w:rsidR="002832C2">
              <w:rPr>
                <w:sz w:val="26"/>
                <w:szCs w:val="26"/>
              </w:rPr>
              <w:t>ir jau iekļauti 2018.-2020.</w:t>
            </w:r>
            <w:r w:rsidR="002832C2">
              <w:rPr>
                <w:sz w:val="26"/>
                <w:szCs w:val="26"/>
              </w:rPr>
              <w:t>gada budžeta ieņēmumu prognozēs</w:t>
            </w:r>
            <w:r w:rsidRPr="003862B7">
              <w:rPr>
                <w:noProof/>
              </w:rPr>
              <w:t>;</w:t>
            </w:r>
          </w:p>
          <w:p w:rsidR="003862B7" w:rsidRPr="003862B7" w:rsidP="003862B7">
            <w:pPr>
              <w:pStyle w:val="naisc"/>
              <w:numPr>
                <w:ilvl w:val="0"/>
                <w:numId w:val="9"/>
              </w:numPr>
              <w:spacing w:before="120" w:after="0"/>
              <w:ind w:left="385" w:hanging="357"/>
              <w:jc w:val="both"/>
              <w:rPr>
                <w:noProof/>
              </w:rPr>
            </w:pPr>
            <w:r w:rsidRPr="003862B7">
              <w:rPr>
                <w:noProof/>
              </w:rPr>
              <w:t>Atbilstoši Eiropas Komisijas pieļautajai deficīta atkāpei veselības aprūpes sistēmas reformas ieviešanai:</w:t>
            </w:r>
          </w:p>
          <w:p w:rsidR="003862B7" w:rsidRPr="003862B7" w:rsidP="00BC3B3D">
            <w:pPr>
              <w:pStyle w:val="naisc"/>
              <w:spacing w:before="0" w:after="0"/>
              <w:ind w:left="454"/>
              <w:jc w:val="both"/>
              <w:rPr>
                <w:noProof/>
              </w:rPr>
            </w:pPr>
            <w:r w:rsidRPr="003862B7">
              <w:rPr>
                <w:noProof/>
              </w:rPr>
              <w:t xml:space="preserve">2018.gadam   113 400 000 </w:t>
            </w:r>
            <w:r w:rsidRPr="003862B7">
              <w:rPr>
                <w:i/>
                <w:noProof/>
              </w:rPr>
              <w:t>euro</w:t>
            </w:r>
          </w:p>
          <w:p w:rsidR="003862B7" w:rsidRPr="003862B7" w:rsidP="00BC3B3D">
            <w:pPr>
              <w:pStyle w:val="naisc"/>
              <w:spacing w:before="0" w:after="0"/>
              <w:ind w:left="454"/>
              <w:jc w:val="both"/>
              <w:rPr>
                <w:noProof/>
              </w:rPr>
            </w:pPr>
            <w:r w:rsidRPr="003862B7">
              <w:rPr>
                <w:noProof/>
              </w:rPr>
              <w:t xml:space="preserve">2019.gadam   149 900 000 </w:t>
            </w:r>
            <w:r w:rsidRPr="003862B7">
              <w:rPr>
                <w:i/>
                <w:noProof/>
              </w:rPr>
              <w:t>euro</w:t>
            </w:r>
            <w:r w:rsidRPr="003862B7">
              <w:rPr>
                <w:noProof/>
              </w:rPr>
              <w:t>,</w:t>
            </w:r>
          </w:p>
          <w:p w:rsidR="003862B7" w:rsidRPr="003862B7" w:rsidP="00BC3B3D">
            <w:pPr>
              <w:pStyle w:val="naisc"/>
              <w:spacing w:before="120" w:after="0"/>
              <w:ind w:left="453"/>
              <w:jc w:val="both"/>
              <w:rPr>
                <w:noProof/>
              </w:rPr>
            </w:pPr>
            <w:r w:rsidRPr="003862B7">
              <w:rPr>
                <w:noProof/>
              </w:rPr>
              <w:t>paredzot finanšu ministram tiesības pārdalīt 2018.gadam rezervēto finansējumu Veselības ministrijai pēc tam, kad Ministru kabinets ir apstiprinājis finansējumu veselības reformas pasākumu īstenošanai 2018.gadā.</w:t>
            </w:r>
          </w:p>
          <w:p w:rsidR="00F3722B" w:rsidRPr="00B84A63" w:rsidP="00B84A63">
            <w:pPr>
              <w:pStyle w:val="naisc"/>
              <w:spacing w:before="240" w:after="0"/>
              <w:ind w:left="28"/>
              <w:jc w:val="both"/>
            </w:pPr>
            <w:r w:rsidRPr="00822530">
              <w:rPr>
                <w:noProof/>
              </w:rPr>
              <w:t>L</w:t>
            </w:r>
            <w:r w:rsidRPr="00822530">
              <w:t>ikumprojekta</w:t>
            </w:r>
            <w:r w:rsidRPr="00822530">
              <w:t xml:space="preserve"> īstenošanas nodrošināšanai būs nepieciešams papildus finansējums visām informācijas sniegšanā par veselības apdrošināšanai pakļautajām personu grupām iesaistītajām institūcijām informācijas sistēmu vai datu bāžu saslēguma nodrošināšanai, kas tiks identificēts programmatūru saslēgumu izstrādes gaitā. T</w:t>
            </w:r>
            <w:r w:rsidRPr="00822530">
              <w:rPr>
                <w:noProof/>
              </w:rPr>
              <w:t xml:space="preserve">iešsaistes sistēmas ieviešanas risinājuma izstrādi un saslēgumu nodrošināšanu plānots fiansēt pieprasot finanšu līdzekļu piešķiršanu no </w:t>
            </w:r>
            <w:r w:rsidRPr="00822530">
              <w:t xml:space="preserve">valsts budžeta programmas 02.00.00 "Līdzekļi neparedzētiem gadījumiem". </w:t>
            </w:r>
          </w:p>
        </w:tc>
      </w:tr>
      <w:tr w:rsidTr="00BC3B3D">
        <w:tblPrEx>
          <w:tblW w:w="9178" w:type="dxa"/>
          <w:jc w:val="center"/>
          <w:tblCellMar>
            <w:right w:w="57" w:type="dxa"/>
          </w:tblCellMar>
          <w:tblLook w:val="01E0"/>
        </w:tblPrEx>
        <w:trPr>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6.1. detalizēts ieņēmumu aprēķins</w:t>
            </w:r>
          </w:p>
        </w:tc>
        <w:tc>
          <w:tcPr>
            <w:tcW w:w="7139" w:type="dxa"/>
            <w:gridSpan w:val="5"/>
            <w:vMerge/>
            <w:tcBorders>
              <w:top w:val="single" w:sz="4" w:space="0" w:color="auto"/>
              <w:left w:val="single" w:sz="4" w:space="0" w:color="auto"/>
              <w:bottom w:val="single" w:sz="4" w:space="0" w:color="auto"/>
              <w:right w:val="single" w:sz="4" w:space="0" w:color="auto"/>
            </w:tcBorders>
          </w:tcPr>
          <w:p w:rsidR="003862B7" w:rsidRPr="003862B7" w:rsidP="00BC3B3D">
            <w:pPr>
              <w:pStyle w:val="naisf"/>
              <w:spacing w:before="0" w:after="0"/>
              <w:ind w:firstLine="0"/>
              <w:rPr>
                <w:b/>
                <w:i/>
                <w:noProof/>
              </w:rPr>
            </w:pPr>
          </w:p>
        </w:tc>
      </w:tr>
      <w:tr w:rsidTr="00BC3B3D">
        <w:tblPrEx>
          <w:tblW w:w="9178" w:type="dxa"/>
          <w:jc w:val="center"/>
          <w:tblCellMar>
            <w:right w:w="57" w:type="dxa"/>
          </w:tblCellMar>
          <w:tblLook w:val="01E0"/>
        </w:tblPrEx>
        <w:trPr>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6.2. detalizēts izdevumu aprēķins</w:t>
            </w:r>
          </w:p>
        </w:tc>
        <w:tc>
          <w:tcPr>
            <w:tcW w:w="7139" w:type="dxa"/>
            <w:gridSpan w:val="5"/>
            <w:vMerge/>
            <w:tcBorders>
              <w:top w:val="single" w:sz="4" w:space="0" w:color="auto"/>
              <w:left w:val="single" w:sz="4" w:space="0" w:color="auto"/>
              <w:bottom w:val="single" w:sz="4" w:space="0" w:color="auto"/>
              <w:right w:val="single" w:sz="4" w:space="0" w:color="auto"/>
            </w:tcBorders>
          </w:tcPr>
          <w:p w:rsidR="003862B7" w:rsidRPr="003862B7" w:rsidP="00BC3B3D">
            <w:pPr>
              <w:pStyle w:val="naisf"/>
              <w:spacing w:before="0" w:after="0"/>
              <w:ind w:firstLine="0"/>
              <w:rPr>
                <w:b/>
                <w:i/>
                <w:noProof/>
              </w:rPr>
            </w:pPr>
          </w:p>
        </w:tc>
      </w:tr>
      <w:tr w:rsidTr="00BC3B3D">
        <w:tblPrEx>
          <w:tblW w:w="9178" w:type="dxa"/>
          <w:jc w:val="center"/>
          <w:tblCellMar>
            <w:right w:w="57" w:type="dxa"/>
          </w:tblCellMar>
          <w:tblLook w:val="01E0"/>
        </w:tblPrEx>
        <w:trPr>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tabs>
                <w:tab w:val="left" w:pos="5940"/>
              </w:tabs>
              <w:ind w:left="-60"/>
              <w:rPr>
                <w:rFonts w:ascii="Times New Roman" w:hAnsi="Times New Roman" w:cs="Times New Roman"/>
              </w:rPr>
            </w:pPr>
            <w:r w:rsidRPr="003862B7">
              <w:rPr>
                <w:rFonts w:ascii="Times New Roman" w:hAnsi="Times New Roman" w:cs="Times New Roman"/>
              </w:rPr>
              <w:t>7. Cita informācija</w:t>
            </w:r>
          </w:p>
        </w:tc>
        <w:tc>
          <w:tcPr>
            <w:tcW w:w="7139" w:type="dxa"/>
            <w:gridSpan w:val="5"/>
            <w:tcBorders>
              <w:top w:val="single" w:sz="4" w:space="0" w:color="auto"/>
              <w:left w:val="single" w:sz="4" w:space="0" w:color="auto"/>
              <w:bottom w:val="single" w:sz="4" w:space="0" w:color="auto"/>
              <w:right w:val="single" w:sz="4" w:space="0" w:color="auto"/>
            </w:tcBorders>
          </w:tcPr>
          <w:p w:rsidR="00E07EF6" w:rsidRPr="006253D9" w:rsidP="00E07EF6">
            <w:pPr>
              <w:spacing w:after="0" w:line="240" w:lineRule="auto"/>
              <w:jc w:val="both"/>
              <w:rPr>
                <w:rFonts w:ascii="Times New Roman" w:hAnsi="Times New Roman" w:cs="Times New Roman"/>
                <w:sz w:val="24"/>
                <w:szCs w:val="24"/>
              </w:rPr>
            </w:pPr>
            <w:r w:rsidRPr="006253D9">
              <w:rPr>
                <w:rFonts w:ascii="Times New Roman" w:hAnsi="Times New Roman" w:cs="Times New Roman"/>
                <w:sz w:val="24"/>
                <w:szCs w:val="24"/>
                <w:lang w:eastAsia="lv-LV"/>
              </w:rPr>
              <w:t xml:space="preserve">Finansējums veselības aprūpes nozarei no deficīta atkāpes 0,4% no iekšzemes kopprodukta 2018.gadā un 0,5% no iekšzemes kopprodukta 2019.gadā ir izmantojams vienīgi tādu veselības aprūpes nozares pasākumu finansēšanai, kas atbilst sekojošiem kritērijiem: </w:t>
            </w:r>
          </w:p>
          <w:p w:rsidR="00E07EF6" w:rsidRPr="006253D9" w:rsidP="00E07EF6">
            <w:pPr>
              <w:spacing w:after="0" w:line="240" w:lineRule="auto"/>
              <w:jc w:val="both"/>
              <w:rPr>
                <w:rFonts w:ascii="Times New Roman" w:eastAsia="Times New Roman" w:hAnsi="Times New Roman" w:cs="Times New Roman"/>
                <w:sz w:val="24"/>
                <w:szCs w:val="24"/>
                <w:lang w:eastAsia="lv-LV"/>
              </w:rPr>
            </w:pPr>
            <w:r w:rsidRPr="006253D9">
              <w:rPr>
                <w:rFonts w:ascii="Times New Roman" w:eastAsia="Times New Roman" w:hAnsi="Times New Roman" w:cs="Times New Roman"/>
                <w:sz w:val="24"/>
                <w:szCs w:val="24"/>
                <w:lang w:eastAsia="lv-LV"/>
              </w:rPr>
              <w:t>1) pasākums atbilst “Sabiedrības veselības pamatnostādnēm 2014.-2020.gadam”, kas apstiprinātas ar Ministru kabineta 2014.gada 14.oktobra rīkojumu Nr.589 “Par Sabiedrības veselības pamatnostādnēm 2014.-2020.gadam”;</w:t>
            </w:r>
          </w:p>
          <w:p w:rsidR="00E07EF6" w:rsidRPr="006253D9" w:rsidP="00E07EF6">
            <w:pPr>
              <w:spacing w:after="0" w:line="240" w:lineRule="auto"/>
              <w:jc w:val="both"/>
              <w:rPr>
                <w:rFonts w:ascii="Times New Roman" w:eastAsia="Times New Roman" w:hAnsi="Times New Roman" w:cs="Times New Roman"/>
                <w:sz w:val="24"/>
                <w:szCs w:val="24"/>
                <w:lang w:eastAsia="lv-LV"/>
              </w:rPr>
            </w:pPr>
            <w:r w:rsidRPr="006253D9">
              <w:rPr>
                <w:rFonts w:ascii="Times New Roman" w:eastAsia="Times New Roman" w:hAnsi="Times New Roman" w:cs="Times New Roman"/>
                <w:sz w:val="24"/>
                <w:szCs w:val="24"/>
                <w:lang w:eastAsia="lv-LV"/>
              </w:rPr>
              <w:t>2) pasākuma rezultātā, kas finansēts no deficīta atkāpes finansējuma, atrisina vai būtiski samazina noteiktu veselības aprūpes sistēmā identificētu problēmu;</w:t>
            </w:r>
          </w:p>
          <w:p w:rsidR="00E07EF6" w:rsidRPr="006253D9" w:rsidP="00E07EF6">
            <w:pPr>
              <w:spacing w:after="0" w:line="240" w:lineRule="auto"/>
              <w:jc w:val="both"/>
              <w:rPr>
                <w:rFonts w:ascii="Times New Roman" w:eastAsia="Times New Roman" w:hAnsi="Times New Roman" w:cs="Times New Roman"/>
                <w:sz w:val="24"/>
                <w:szCs w:val="24"/>
                <w:lang w:eastAsia="lv-LV"/>
              </w:rPr>
            </w:pPr>
            <w:r w:rsidRPr="006253D9">
              <w:rPr>
                <w:rFonts w:ascii="Times New Roman" w:eastAsia="Times New Roman" w:hAnsi="Times New Roman" w:cs="Times New Roman"/>
                <w:sz w:val="24"/>
                <w:szCs w:val="24"/>
                <w:lang w:eastAsia="lv-LV"/>
              </w:rPr>
              <w:t>3) risināmā problēma ir atzīta kā veselības aprūpes problēma Eiropas Komisijas analītiskajos dokumentos;</w:t>
            </w:r>
          </w:p>
          <w:p w:rsidR="00E07EF6" w:rsidRPr="006253D9" w:rsidP="00E07EF6">
            <w:pPr>
              <w:spacing w:after="0" w:line="240" w:lineRule="auto"/>
              <w:jc w:val="both"/>
              <w:rPr>
                <w:rFonts w:ascii="Times New Roman" w:eastAsia="Times New Roman" w:hAnsi="Times New Roman" w:cs="Times New Roman"/>
                <w:sz w:val="24"/>
                <w:szCs w:val="24"/>
                <w:lang w:eastAsia="lv-LV"/>
              </w:rPr>
            </w:pPr>
            <w:r w:rsidRPr="006253D9">
              <w:rPr>
                <w:rFonts w:ascii="Times New Roman" w:eastAsia="Times New Roman" w:hAnsi="Times New Roman" w:cs="Times New Roman"/>
                <w:sz w:val="24"/>
                <w:szCs w:val="24"/>
                <w:lang w:eastAsia="lv-LV"/>
              </w:rPr>
              <w:t>4) par īstenojamo pasākumu iespējams izveidot izsekojamu ieguldījumu – iznākumu – rezultāta rādītāju sistēmu;</w:t>
            </w:r>
          </w:p>
          <w:p w:rsidR="003862B7" w:rsidP="00E07EF6">
            <w:pPr>
              <w:spacing w:after="0" w:line="240" w:lineRule="auto"/>
              <w:jc w:val="both"/>
              <w:rPr>
                <w:rFonts w:ascii="Times New Roman" w:eastAsia="Times New Roman" w:hAnsi="Times New Roman" w:cs="Times New Roman"/>
                <w:sz w:val="24"/>
                <w:szCs w:val="24"/>
                <w:lang w:eastAsia="lv-LV"/>
              </w:rPr>
            </w:pPr>
            <w:r w:rsidRPr="006253D9">
              <w:rPr>
                <w:rFonts w:ascii="Times New Roman" w:eastAsia="Times New Roman" w:hAnsi="Times New Roman" w:cs="Times New Roman"/>
                <w:sz w:val="24"/>
                <w:szCs w:val="24"/>
                <w:lang w:eastAsia="lv-LV"/>
              </w:rPr>
              <w:t>5) risināmā problēma dod ieguldījumu kopējā “Sabiedrības veselības pamatnostādnes 2014.-2020.gadam”, kas apstiprinātas ar  Ministru kabineta 2014.gada 14.oktobra rīkojumu Nr.589 “Par Sabiedrības veselības pamatnostādnēm 2014.-2020.gadam”, pozitīvā fiskālā efekta sasniegšanā.</w:t>
            </w:r>
          </w:p>
          <w:p w:rsidR="00822530" w:rsidRPr="00B84A63" w:rsidP="00B84A63">
            <w:pPr>
              <w:pStyle w:val="naisc"/>
              <w:spacing w:before="240" w:after="0"/>
              <w:jc w:val="both"/>
              <w:rPr>
                <w:b/>
                <w:noProof/>
                <w:u w:val="single"/>
              </w:rPr>
            </w:pPr>
            <w:r w:rsidRPr="003925D6">
              <w:rPr>
                <w:noProof/>
              </w:rPr>
              <w:t xml:space="preserve">Atbilstoši 2017.gada 28.jūlijā Valsts kancelejā iesniegtajam precizētajam konceptuālajam ziņojumam “Par veselības aprūpes sistēmas reformu” (Ministru kabineta 2017.gada 25.jūlija sēdes protokola Nr.37, 34.§ uzdevuma izpilde) veselības reformu pasākumu īstenošanai ambulatoro un stacionāro pakalpojumu pieejamības uzlabošanai, darba samaksas palielināšanai ārstniecības personām, pārējo tarifa elementu palielināšanai, medicīnas izglītībai, kompensējamiem medikamentiem un centralizētiem medikamentiem, kā arī politikas plānošanas </w:t>
            </w:r>
            <w:r w:rsidRPr="00B84A63">
              <w:rPr>
                <w:noProof/>
              </w:rPr>
              <w:t xml:space="preserve">dokumentu īstenošanai konkrētu saslimšanu jomā un norēķini ar ES un EEZ valstīm par sniegtajiem veselības aprūpes pakalpojumiem segšanai plānots papildus nepieciešamais finansējums </w:t>
            </w:r>
            <w:r w:rsidRPr="00B84A63" w:rsidR="00B84A63">
              <w:rPr>
                <w:noProof/>
              </w:rPr>
              <w:t xml:space="preserve">2018.gadā - </w:t>
            </w:r>
            <w:r w:rsidRPr="00B84A63">
              <w:rPr>
                <w:b/>
                <w:noProof/>
              </w:rPr>
              <w:t>258 698 624 euro</w:t>
            </w:r>
            <w:r w:rsidRPr="00B84A63" w:rsidR="00B84A63">
              <w:rPr>
                <w:noProof/>
              </w:rPr>
              <w:t xml:space="preserve"> un 2019.gadā - </w:t>
            </w:r>
            <w:r w:rsidRPr="00B84A63" w:rsidR="00B84A63">
              <w:rPr>
                <w:b/>
                <w:noProof/>
              </w:rPr>
              <w:t>394 312 859 euro</w:t>
            </w:r>
            <w:r w:rsidRPr="00B84A63">
              <w:rPr>
                <w:noProof/>
              </w:rPr>
              <w:t xml:space="preserve">, tostarp uzlabojumi neatliekamajā palīdzībā (dzemdību sniegšanā), minimālās darba algas pieaugums līdz 430 euro un pakāpeniska atteikšanās no ārstniecības personām noteiktā pagarinātā normālā darba laika. </w:t>
            </w:r>
          </w:p>
          <w:p w:rsidR="00822530" w:rsidRPr="00B84A63" w:rsidP="00822530">
            <w:pPr>
              <w:pStyle w:val="naisc"/>
              <w:spacing w:before="240" w:after="0"/>
              <w:ind w:left="28"/>
              <w:jc w:val="both"/>
              <w:rPr>
                <w:noProof/>
              </w:rPr>
            </w:pPr>
            <w:r w:rsidRPr="00B84A63">
              <w:rPr>
                <w:noProof/>
              </w:rPr>
              <w:t>Tādējādi atbilstoši 2018.</w:t>
            </w:r>
            <w:r w:rsidRPr="00B84A63" w:rsidR="00B84A63">
              <w:rPr>
                <w:noProof/>
              </w:rPr>
              <w:t xml:space="preserve"> un 2019.</w:t>
            </w:r>
            <w:r w:rsidRPr="00B84A63">
              <w:rPr>
                <w:noProof/>
              </w:rPr>
              <w:t>gadam veselības nozarei papildus piešķirtajiem finanšu līdzekļiem: dzemdību palīdzībai 7 801 592 euro, atlīdzībai, lai nodrošinātu no valsts apmaksāto veselības aprūpes pakalpojumu sniegšanu (piesaiste minimālajai algai) 9 600 320 euro, finansējums minimālās algas paaugstināšanai 356 273 euro, finansējums pagarinātajam normālajam darba laikam 3 776 468 euro, antidopinga birojam 600 000 euro un 710 000 euro insulīna sūkņiem bērniem</w:t>
            </w:r>
            <w:r w:rsidRPr="00B84A63" w:rsidR="00B84A63">
              <w:rPr>
                <w:noProof/>
              </w:rPr>
              <w:t xml:space="preserve"> (tikai 2018.gadam)</w:t>
            </w:r>
            <w:r w:rsidRPr="00B84A63">
              <w:rPr>
                <w:noProof/>
              </w:rPr>
              <w:t xml:space="preserve">, papildus veselības nozares reformu īstenošanai nepieciešami </w:t>
            </w:r>
            <w:r w:rsidRPr="00B84A63" w:rsidR="00B84A63">
              <w:rPr>
                <w:noProof/>
              </w:rPr>
              <w:t xml:space="preserve">2018.gadā - </w:t>
            </w:r>
            <w:r w:rsidRPr="00B84A63">
              <w:rPr>
                <w:b/>
                <w:noProof/>
              </w:rPr>
              <w:t xml:space="preserve">235 853 971 euro </w:t>
            </w:r>
            <w:r w:rsidRPr="00B84A63" w:rsidR="00B84A63">
              <w:rPr>
                <w:noProof/>
              </w:rPr>
              <w:t>un 2019.gadā</w:t>
            </w:r>
            <w:r w:rsidRPr="00B84A63" w:rsidR="00B84A63">
              <w:rPr>
                <w:b/>
                <w:noProof/>
              </w:rPr>
              <w:t xml:space="preserve"> - 372 178 206 euro </w:t>
            </w:r>
            <w:r w:rsidRPr="00B84A63">
              <w:rPr>
                <w:noProof/>
              </w:rPr>
              <w:t xml:space="preserve">(tostarp finansējums no sociālo apdrošināšanas iemaksu sadales veselības aprūpei un Eiropas komisijas pieļautās deficīta atkāpes finansējums). </w:t>
            </w:r>
          </w:p>
          <w:p w:rsidR="003925D6" w:rsidP="003925D6">
            <w:pPr>
              <w:pStyle w:val="naisc"/>
              <w:spacing w:before="240" w:after="0"/>
              <w:ind w:left="28"/>
              <w:jc w:val="both"/>
              <w:rPr>
                <w:noProof/>
              </w:rPr>
            </w:pPr>
            <w:r w:rsidRPr="00F3722B">
              <w:rPr>
                <w:noProof/>
              </w:rPr>
              <w:t>Atbilstoši 2017.gada 28.jūlijā Valsts kancelejā iesniegtajam precizētajam konceptuālajam ziņojumam “Par veselības aprūpes sistēmas reformu” (Ministru kabineta 2017.gada 25.jūlija sēdes protokola Nr.37, 34.§ uzdevuma izpilde) un MK rīkojumam Nr.245 “</w:t>
            </w:r>
            <w:r w:rsidRPr="00F3722B">
              <w:t>Par Valsts nodokļu politikas pamatnostādnēm 2018.-2021. gadam</w:t>
            </w:r>
            <w:r w:rsidRPr="00F3722B">
              <w:rPr>
                <w:noProof/>
              </w:rPr>
              <w:t>”, kas paredz  veselības nozares budžetu 2020.gadā  4 % apmērā no IKP, t.i. 1 266 520 000 euro</w:t>
            </w:r>
            <w:r>
              <w:rPr>
                <w:noProof/>
              </w:rPr>
              <w:t xml:space="preserve">* </w:t>
            </w:r>
            <w:r w:rsidRPr="00F3722B">
              <w:rPr>
                <w:noProof/>
              </w:rPr>
              <w:t>veselības reformu pasākumu īstenošanai ambulatoro un stacionāro pakalpojumu pieejamības uzlabošanai, darba samaksas palielināšanai ārstniecības personām, pārējo tarifa elementu palielināšanai, medicīnas izglītībai, kompensējamiem medikamentiem un centralizētiem medikamentiem, kā arī politikas plānošanas dokumentu īstenošanai konkrētu saslimšanu</w:t>
            </w:r>
            <w:r w:rsidRPr="00835F90">
              <w:rPr>
                <w:noProof/>
              </w:rPr>
              <w:t>jomā</w:t>
            </w:r>
            <w:r>
              <w:rPr>
                <w:noProof/>
              </w:rPr>
              <w:t xml:space="preserve"> un n</w:t>
            </w:r>
            <w:r w:rsidRPr="00835F90">
              <w:rPr>
                <w:noProof/>
              </w:rPr>
              <w:t xml:space="preserve">orēķini ar ES un EEZ valstīm par sniegtajiem </w:t>
            </w:r>
            <w:r>
              <w:rPr>
                <w:noProof/>
              </w:rPr>
              <w:t xml:space="preserve">veselības aprūpes pakalpojumiem segšanai plānots papildus nepieciešamais finansējums </w:t>
            </w:r>
            <w:r w:rsidRPr="00A14022">
              <w:rPr>
                <w:b/>
                <w:noProof/>
              </w:rPr>
              <w:t>464</w:t>
            </w:r>
            <w:r>
              <w:rPr>
                <w:b/>
                <w:noProof/>
              </w:rPr>
              <w:t> </w:t>
            </w:r>
            <w:r w:rsidRPr="00A14022">
              <w:rPr>
                <w:b/>
                <w:noProof/>
              </w:rPr>
              <w:t>22</w:t>
            </w:r>
            <w:r>
              <w:rPr>
                <w:b/>
                <w:noProof/>
              </w:rPr>
              <w:t>9 </w:t>
            </w:r>
            <w:r w:rsidRPr="00A14022">
              <w:rPr>
                <w:b/>
                <w:noProof/>
              </w:rPr>
              <w:t>573 euro</w:t>
            </w:r>
            <w:r>
              <w:rPr>
                <w:b/>
                <w:noProof/>
              </w:rPr>
              <w:t xml:space="preserve">** </w:t>
            </w:r>
            <w:r w:rsidRPr="00DD2601">
              <w:rPr>
                <w:noProof/>
              </w:rPr>
              <w:t>(1 266 520 000 euro - 802 290 427 euro),</w:t>
            </w:r>
            <w:r w:rsidRPr="00A14022">
              <w:rPr>
                <w:noProof/>
              </w:rPr>
              <w:t xml:space="preserve"> tostarp</w:t>
            </w:r>
            <w:r>
              <w:rPr>
                <w:noProof/>
              </w:rPr>
              <w:t xml:space="preserve"> uzlabojumi neatliekamajā palīdzībā (dzemdību sniegšanā), minimālās darba algas </w:t>
            </w:r>
            <w:r>
              <w:rPr>
                <w:noProof/>
              </w:rPr>
              <w:t xml:space="preserve">pieaugums līdz 430 euro un pakāpeniska atteikšanās no ārstniecības personām noteiktā pagarinātā normālā darba laika. </w:t>
            </w:r>
          </w:p>
          <w:p w:rsidR="003925D6" w:rsidRPr="00D95AE4" w:rsidP="003925D6">
            <w:pPr>
              <w:pStyle w:val="naisc"/>
              <w:spacing w:before="240" w:after="0"/>
              <w:ind w:left="28"/>
              <w:jc w:val="both"/>
              <w:rPr>
                <w:b/>
                <w:noProof/>
                <w:u w:val="single"/>
              </w:rPr>
            </w:pPr>
            <w:r>
              <w:rPr>
                <w:noProof/>
              </w:rPr>
              <w:t xml:space="preserve">Tādējādi atbilstoši 2020.gadam veselības nozarei papildus piešķirtajiem finanšu līdzekļiem: dzemdību palīdzībai 7 801 592 euro, atlīdzībai, lai nodrošinātu no valsts apmaksāto veselības aprūpes pakalpojumu sniegšanu (piesaiste minimālajai algai) 9 600 320 euro, finansējums minimālās algas </w:t>
            </w:r>
            <w:r w:rsidRPr="00EF1477">
              <w:rPr>
                <w:noProof/>
              </w:rPr>
              <w:t xml:space="preserve">paaugstināšanai 356 273 euro, </w:t>
            </w:r>
            <w:r>
              <w:rPr>
                <w:noProof/>
              </w:rPr>
              <w:t>finansējums pagarinātajam normālajam darba laikam 3 776 468 euro, antidopinga birojam 600 000 euro, papildus veselības nozares reformu īstenošanai nepieciešami  </w:t>
            </w:r>
            <w:r>
              <w:rPr>
                <w:b/>
                <w:noProof/>
              </w:rPr>
              <w:t>442 094 920 </w:t>
            </w:r>
            <w:r w:rsidRPr="00F3722B">
              <w:rPr>
                <w:b/>
                <w:noProof/>
              </w:rPr>
              <w:t>euro</w:t>
            </w:r>
            <w:r>
              <w:rPr>
                <w:b/>
                <w:noProof/>
              </w:rPr>
              <w:t xml:space="preserve"> </w:t>
            </w:r>
            <w:r>
              <w:rPr>
                <w:noProof/>
              </w:rPr>
              <w:t>(tostarp finansējums no sociālo apdrošināšanas iemaksu sadales veselības aprūpei un no 74.resora rezervētais finansējums 144 000 000 euro).</w:t>
            </w:r>
          </w:p>
          <w:p w:rsidR="003925D6" w:rsidP="003925D6">
            <w:pPr>
              <w:pStyle w:val="naisc"/>
              <w:spacing w:before="240" w:after="0"/>
              <w:jc w:val="both"/>
              <w:rPr>
                <w:noProof/>
              </w:rPr>
            </w:pPr>
            <w:r>
              <w:rPr>
                <w:b/>
                <w:noProof/>
              </w:rPr>
              <w:t>*</w:t>
            </w:r>
            <w:r w:rsidRPr="00F3722B">
              <w:rPr>
                <w:noProof/>
              </w:rPr>
              <w:t>Atbilstoši Finanšu ministrijas aktualizētajām makroekonomisko rādītāju prognozēm IKP 2020.gadam prognozēts 31 663 milj. </w:t>
            </w:r>
            <w:r w:rsidRPr="00F3722B">
              <w:rPr>
                <w:i/>
                <w:noProof/>
              </w:rPr>
              <w:t>euro</w:t>
            </w:r>
            <w:r w:rsidRPr="00F3722B">
              <w:rPr>
                <w:noProof/>
              </w:rPr>
              <w:t xml:space="preserve"> apmērā, attiecīgi veselības aprūpes finansējums aprēķināts 4 % apmērā no prognozētā IKP, t.i. 1 266 520 000 euro. </w:t>
            </w:r>
          </w:p>
          <w:p w:rsidR="003925D6" w:rsidRPr="003925D6" w:rsidP="003925D6">
            <w:pPr>
              <w:pStyle w:val="naisc"/>
              <w:spacing w:before="240" w:after="0"/>
              <w:jc w:val="both"/>
              <w:rPr>
                <w:noProof/>
              </w:rPr>
            </w:pPr>
            <w:r>
              <w:rPr>
                <w:noProof/>
              </w:rPr>
              <w:t xml:space="preserve">**Finansējums noteikts atbilstoši nodokļu politikas pamatnostādnēsiestrādātajam pieļaujamajam peejamajam finansējumam veselības nozarei, attiecīgi konceptuālajā ziņojumā “Par veselības aprūpes sistēmas reformu” 2020.gadā plānojot īstenot prioritārākos pasākumus maksimāli pieļaujamā finansējuma apmērā. </w:t>
            </w:r>
          </w:p>
          <w:p w:rsidR="00FD1FAB" w:rsidRPr="00B84A63" w:rsidP="007F0EC2">
            <w:pPr>
              <w:pStyle w:val="naisc"/>
              <w:spacing w:before="240" w:after="0"/>
              <w:jc w:val="both"/>
              <w:rPr>
                <w:u w:val="single"/>
              </w:rPr>
            </w:pPr>
            <w:r w:rsidRPr="00B84A63">
              <w:rPr>
                <w:u w:val="single"/>
              </w:rPr>
              <w:t>Indikatīvi prognozētie papildus ieņēmumi:</w:t>
            </w:r>
          </w:p>
          <w:p w:rsidR="00FD1FAB" w:rsidRPr="00B84A63" w:rsidP="00FD1FAB">
            <w:pPr>
              <w:pStyle w:val="naisc"/>
              <w:spacing w:before="240" w:after="0"/>
              <w:ind w:left="28"/>
              <w:jc w:val="both"/>
            </w:pPr>
            <w:r w:rsidRPr="00B84A63">
              <w:t xml:space="preserve">2018.gadā: </w:t>
            </w:r>
            <w:r w:rsidRPr="00B84A63">
              <w:rPr>
                <w:noProof/>
              </w:rPr>
              <w:t xml:space="preserve">Atbilstoši likumprojekta 11.pantam prognozēti aptuveni 300 000 nodokļu nemaksātāju, kas veiks iemaksas </w:t>
            </w:r>
            <w:r w:rsidRPr="00B84A63">
              <w:t xml:space="preserve">1% no </w:t>
            </w:r>
            <w:r w:rsidRPr="00B84A63">
              <w:t>divpadsmitkārtīgas</w:t>
            </w:r>
            <w:r w:rsidRPr="00B84A63">
              <w:t xml:space="preserve"> minimālās mēneša darba algas. Attiecīgi 300 000 nemaksātāju x 430 x 1% x 12 mēneši = 15 480 000 </w:t>
            </w:r>
            <w:r w:rsidRPr="00B84A63">
              <w:t>euro</w:t>
            </w:r>
            <w:r w:rsidRPr="00B84A63">
              <w:t>.</w:t>
            </w:r>
          </w:p>
          <w:p w:rsidR="00FD1FAB" w:rsidRPr="00B84A63" w:rsidP="00FD1FAB">
            <w:pPr>
              <w:pStyle w:val="naisc"/>
              <w:spacing w:before="240" w:after="0"/>
              <w:ind w:left="28"/>
              <w:jc w:val="both"/>
              <w:rPr>
                <w:noProof/>
              </w:rPr>
            </w:pPr>
            <w:r w:rsidRPr="00B84A63">
              <w:t xml:space="preserve">2019.gadā: </w:t>
            </w:r>
            <w:r w:rsidRPr="00B84A63">
              <w:rPr>
                <w:noProof/>
              </w:rPr>
              <w:t xml:space="preserve">Atbilstoši likumprojekta 11.pantam prognozēti aptuveni 270 000 nodokļu nemaksātāju, kas veiks iemaksas </w:t>
            </w:r>
            <w:r w:rsidRPr="00B84A63">
              <w:t xml:space="preserve">3% no </w:t>
            </w:r>
            <w:r w:rsidRPr="00B84A63">
              <w:t>divpadsmitkārtīgas</w:t>
            </w:r>
            <w:r w:rsidRPr="00B84A63">
              <w:t xml:space="preserve"> minimālās mēneša darba algas. Attiecīgi 270 000 nemaksātāju x 430 x 3% x 12 mēneši = 41 796 000 </w:t>
            </w:r>
            <w:r w:rsidRPr="00B84A63">
              <w:t>euro</w:t>
            </w:r>
            <w:r w:rsidRPr="00B84A63">
              <w:t>.</w:t>
            </w:r>
          </w:p>
          <w:p w:rsidR="009D4C7F" w:rsidRPr="00FD1FAB" w:rsidP="00FD1FAB">
            <w:pPr>
              <w:pStyle w:val="naisc"/>
              <w:spacing w:before="240" w:after="0"/>
              <w:ind w:left="28"/>
              <w:jc w:val="both"/>
              <w:rPr>
                <w:color w:val="7030A0"/>
              </w:rPr>
            </w:pPr>
            <w:r w:rsidRPr="00B84A63">
              <w:t xml:space="preserve">2020.gadā: </w:t>
            </w:r>
            <w:r w:rsidRPr="00B84A63">
              <w:rPr>
                <w:noProof/>
              </w:rPr>
              <w:t xml:space="preserve">Atbilstoši likumprojekta 11.pantam prognozēti aptuveni 243 000 nodokļu nemaksātāju, kas veiks iemaksas </w:t>
            </w:r>
            <w:r w:rsidRPr="00B84A63">
              <w:t xml:space="preserve">5% no </w:t>
            </w:r>
            <w:r w:rsidRPr="00B84A63">
              <w:t>divpadsmitkārtīgas</w:t>
            </w:r>
            <w:r w:rsidRPr="00B84A63">
              <w:t xml:space="preserve"> minimālās mēneša darba algas. Attiecīgi 243 000 nemaksātāju x 430 x 5% x 12 mēneši = 62 694 000 </w:t>
            </w:r>
            <w:r w:rsidRPr="00B84A63">
              <w:t>euro</w:t>
            </w:r>
            <w:r w:rsidRPr="00B84A63">
              <w:t>.</w:t>
            </w:r>
          </w:p>
        </w:tc>
      </w:tr>
    </w:tbl>
    <w:p w:rsidR="00557DE5" w:rsidRPr="001A2C44" w:rsidP="003862B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645"/>
        <w:gridCol w:w="6019"/>
      </w:tblGrid>
      <w:tr w:rsidTr="008800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IV. Tiesību akta projekta ietekme uz spēkā esošo tiesību normu sistēmu</w:t>
            </w:r>
          </w:p>
        </w:tc>
      </w:tr>
      <w:tr w:rsidTr="008800B3">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57DE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EF1477">
              <w:rPr>
                <w:rFonts w:ascii="Times New Roman" w:eastAsia="Times New Roman" w:hAnsi="Times New Roman" w:cs="Times New Roman"/>
                <w:sz w:val="24"/>
                <w:szCs w:val="24"/>
                <w:lang w:eastAsia="lv-LV"/>
              </w:rPr>
              <w:t>Grozījumi Ārstniecības likumā</w:t>
            </w:r>
            <w:r>
              <w:rPr>
                <w:rFonts w:ascii="Times New Roman" w:eastAsia="Times New Roman" w:hAnsi="Times New Roman" w:cs="Times New Roman"/>
                <w:sz w:val="24"/>
                <w:szCs w:val="24"/>
                <w:lang w:eastAsia="lv-LV"/>
              </w:rPr>
              <w:t>, kuros tiks izslēgts 17.pants, kā arī deleģējums Ministru kabinetam noteikt veselības aprūpes organizēšanas un finansēšanas kārtību;</w:t>
            </w:r>
          </w:p>
          <w:p w:rsidR="006253D9"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Valsts obligātās veselības apdrošināšanas likums</w:t>
            </w:r>
          </w:p>
          <w:p w:rsidR="00E36EC3"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Grozījumi Ministru kabineta 2011.gada 1.novembra noteikumos Nr.850 “Nacionālā veselības dienesta nolikums”, lai precizētu Nacionālā veselības dienesta funkcijas atbilstoši likumprojektā noteiktajām</w:t>
            </w:r>
          </w:p>
          <w:p w:rsidR="00E36EC3"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Mini</w:t>
            </w:r>
            <w:r w:rsidR="00D1662E">
              <w:rPr>
                <w:rFonts w:ascii="Times New Roman" w:eastAsia="Times New Roman" w:hAnsi="Times New Roman" w:cs="Times New Roman"/>
                <w:sz w:val="24"/>
                <w:szCs w:val="24"/>
                <w:lang w:eastAsia="lv-LV"/>
              </w:rPr>
              <w:t>stru kabineta noteikumi</w:t>
            </w:r>
            <w:r>
              <w:rPr>
                <w:rFonts w:ascii="Times New Roman" w:eastAsia="Times New Roman" w:hAnsi="Times New Roman" w:cs="Times New Roman"/>
                <w:sz w:val="24"/>
                <w:szCs w:val="24"/>
                <w:lang w:eastAsia="lv-LV"/>
              </w:rPr>
              <w:t xml:space="preserve"> par kārtību, kādā </w:t>
            </w:r>
            <w:r w:rsidR="00D1662E">
              <w:rPr>
                <w:rFonts w:ascii="Times New Roman" w:eastAsia="Times New Roman" w:hAnsi="Times New Roman" w:cs="Times New Roman"/>
                <w:sz w:val="24"/>
                <w:szCs w:val="24"/>
                <w:lang w:eastAsia="lv-LV"/>
              </w:rPr>
              <w:t>persona veic veselības apdrošināšanas iemaksas</w:t>
            </w:r>
          </w:p>
          <w:p w:rsidR="00D1662E"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Ministru kabineta noteikumi, kuros tiks noteiktas institūcijas, kuras sniedz informāciju Nacionālajam vesel</w:t>
            </w:r>
            <w:r w:rsidR="00695135">
              <w:rPr>
                <w:rFonts w:ascii="Times New Roman" w:eastAsia="Times New Roman" w:hAnsi="Times New Roman" w:cs="Times New Roman"/>
                <w:sz w:val="24"/>
                <w:szCs w:val="24"/>
                <w:lang w:eastAsia="lv-LV"/>
              </w:rPr>
              <w:t>ības dienesta veselības aprūpes pakalpojumu saņēmēju datu bāzei</w:t>
            </w:r>
            <w:r>
              <w:rPr>
                <w:rFonts w:ascii="Times New Roman" w:eastAsia="Times New Roman" w:hAnsi="Times New Roman" w:cs="Times New Roman"/>
                <w:sz w:val="24"/>
                <w:szCs w:val="24"/>
                <w:lang w:eastAsia="lv-LV"/>
              </w:rPr>
              <w:t xml:space="preserve">, šīs informācijas sniegšanas termiņus, informācijas glabāšanas termiņus un </w:t>
            </w:r>
            <w:r w:rsidR="00695135">
              <w:rPr>
                <w:rFonts w:ascii="Times New Roman" w:eastAsia="Times New Roman" w:hAnsi="Times New Roman" w:cs="Times New Roman"/>
                <w:sz w:val="24"/>
                <w:szCs w:val="24"/>
                <w:lang w:eastAsia="lv-LV"/>
              </w:rPr>
              <w:t>kārtība, kādā personas svītro no veselības aprūpes pakalpojumu saņēmēju datu bāzes</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Ministru kabineta noteikumi par Nacionālā veselības dienesta konsultatīvās padomes nolikumu</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Ministru kabineta noteikumi, kuros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 noteikta kārtība, kā sniedz neatliekamo medicīnisko palīdzību,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noteikti valsts apmaksātās medicīniskās palīdzības minimuma veselības aprūpes pakalpojumi, veselības aprūpes pakalpojumi, kas ietilpst valsts obligātā veselības apdrošināšanā, šo pakalpojumu sniegšanas organizēšanas un apmaksas kārtība, </w:t>
            </w:r>
            <w:r w:rsidR="007202EF">
              <w:rPr>
                <w:rFonts w:ascii="Times New Roman" w:eastAsia="Times New Roman" w:hAnsi="Times New Roman" w:cs="Times New Roman"/>
                <w:sz w:val="24"/>
                <w:szCs w:val="24"/>
                <w:lang w:eastAsia="lv-LV"/>
              </w:rPr>
              <w:t xml:space="preserve">kā arī plānveida veselības aprūpes pakalpojumu saņemšanas pretendentu rindu veidošanas kārtība,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 noteikti veselības aprūpes pakalpojumi, kuri netiek apmaksāti no </w:t>
            </w:r>
            <w:r w:rsidR="007202EF">
              <w:rPr>
                <w:rFonts w:ascii="Times New Roman" w:eastAsia="Times New Roman" w:hAnsi="Times New Roman" w:cs="Times New Roman"/>
                <w:sz w:val="24"/>
                <w:szCs w:val="24"/>
                <w:lang w:eastAsia="lv-LV"/>
              </w:rPr>
              <w:t>valsts budžeta</w:t>
            </w:r>
            <w:r>
              <w:rPr>
                <w:rFonts w:ascii="Times New Roman" w:eastAsia="Times New Roman" w:hAnsi="Times New Roman" w:cs="Times New Roman"/>
                <w:sz w:val="24"/>
                <w:szCs w:val="24"/>
                <w:lang w:eastAsia="lv-LV"/>
              </w:rPr>
              <w:t xml:space="preserve"> veselības aprūpes nodrošināšanai piešķirtajiem līdzekļiem,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 noteikti veselības aprūpes pakalpojumi, kurus apmaksā no Tieslietu ministrijas, Aizsardzības ministrijas un </w:t>
            </w:r>
            <w:r>
              <w:rPr>
                <w:rFonts w:ascii="Times New Roman" w:eastAsia="Times New Roman" w:hAnsi="Times New Roman" w:cs="Times New Roman"/>
                <w:sz w:val="24"/>
                <w:szCs w:val="24"/>
                <w:lang w:eastAsia="lv-LV"/>
              </w:rPr>
              <w:t>Iekšlietu</w:t>
            </w:r>
            <w:r>
              <w:rPr>
                <w:rFonts w:ascii="Times New Roman" w:eastAsia="Times New Roman" w:hAnsi="Times New Roman" w:cs="Times New Roman"/>
                <w:sz w:val="24"/>
                <w:szCs w:val="24"/>
                <w:lang w:eastAsia="lv-LV"/>
              </w:rPr>
              <w:t xml:space="preserve"> ministrijas programmas veselības aprūpes  nodrošināšanai pi</w:t>
            </w:r>
            <w:r w:rsidR="007202EF">
              <w:rPr>
                <w:rFonts w:ascii="Times New Roman" w:eastAsia="Times New Roman" w:hAnsi="Times New Roman" w:cs="Times New Roman"/>
                <w:sz w:val="24"/>
                <w:szCs w:val="24"/>
                <w:lang w:eastAsia="lv-LV"/>
              </w:rPr>
              <w:t>ešķirtajiem līdzekļiem</w:t>
            </w:r>
          </w:p>
          <w:p w:rsidR="007202EF"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noteikts, kā personas veic pacienta līdzmaksājumu par valsts apmaksātiem veselības aprūpes pakalpojumiem un šī pacienta līdzmaksājuma apmērs</w:t>
            </w:r>
          </w:p>
          <w:p w:rsidR="007202EF" w:rsidRPr="001A2C44"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 noteikts periods, kādā personas, kuras cietušas no vardarbīgiem noziedzīgiem nodarījumiem un </w:t>
            </w:r>
            <w:r>
              <w:rPr>
                <w:rFonts w:ascii="Times New Roman" w:eastAsia="Times New Roman" w:hAnsi="Times New Roman" w:cs="Times New Roman"/>
                <w:sz w:val="24"/>
                <w:szCs w:val="24"/>
                <w:lang w:eastAsia="lv-LV"/>
              </w:rPr>
              <w:t>cilvēktirdzniecības</w:t>
            </w:r>
            <w:r>
              <w:rPr>
                <w:rFonts w:ascii="Times New Roman" w:eastAsia="Times New Roman" w:hAnsi="Times New Roman" w:cs="Times New Roman"/>
                <w:sz w:val="24"/>
                <w:szCs w:val="24"/>
                <w:lang w:eastAsia="lv-LV"/>
              </w:rPr>
              <w:t xml:space="preserve"> upuriem uzskatāmas par apdrošinātām personām</w:t>
            </w:r>
          </w:p>
        </w:tc>
      </w:tr>
      <w:tr w:rsidTr="008800B3">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Tr="008800B3">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Tr="008800B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 Tiesību akta projekta atbilstība Latvijas Republikas starptautiskajām saistībām</w:t>
            </w:r>
          </w:p>
        </w:tc>
      </w:tr>
      <w:tr w:rsidTr="008800B3">
        <w:tblPrEx>
          <w:tblW w:w="5000" w:type="pct"/>
          <w:tblCellMar>
            <w:top w:w="24" w:type="dxa"/>
            <w:left w:w="24" w:type="dxa"/>
            <w:bottom w:w="24" w:type="dxa"/>
            <w:right w:w="24" w:type="dxa"/>
          </w:tblCellMar>
          <w:tblLook w:val="04A0"/>
        </w:tblPrEx>
        <w:trPr>
          <w:trHeight w:val="436"/>
        </w:trPr>
        <w:tc>
          <w:tcPr>
            <w:tcW w:w="50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557DE5" w:rsidRPr="001A2C44" w:rsidP="008F2204">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Tr="008800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 Sabiedrības līdzdalība un komunikācijas aktivitātes</w:t>
            </w:r>
          </w:p>
        </w:tc>
      </w:tr>
      <w:tr w:rsidTr="008800B3">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F220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Likumprojektu tika plānots skatīt:</w:t>
            </w:r>
          </w:p>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Veselības nozares stratēģiskā padomē, kuras sastāvā ir pārstāvji no Latvijas Ārstu biedrības, Latvijas Cilvēku ar īpašām vajadzībām sadarbības organizācijas SUSTENTO, Latvijas Veselības ekonomikas asociācijas, Latvijas Farmaceitu biedrības, Latvijas Universitātes un Rīgas Stradiņa universitātes, Latvijas Pašvaldību savienības, Latvijas Slimnīcu biedrības. Latvijas Veselības un sociālās </w:t>
            </w:r>
            <w:r>
              <w:rPr>
                <w:rFonts w:ascii="Times New Roman" w:eastAsia="Times New Roman" w:hAnsi="Times New Roman" w:cs="Times New Roman"/>
                <w:sz w:val="24"/>
                <w:szCs w:val="24"/>
                <w:lang w:eastAsia="lv-LV"/>
              </w:rPr>
              <w:t>aprūpes darbinieku arodbiedrības, Latvijas Lauku ģimenes ārstu asociācijas, Latvijas Jauno ārstu asociācijas. Latvijas Māsu asociācijas, Veselības aprūpes darba devēju asociācijas un Latvijas Ģimenes ārstu asociācijas</w:t>
            </w:r>
          </w:p>
          <w:p w:rsidR="008F2204" w:rsidRPr="001A2C4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Nacionālās trīspusējās sadarbības padomes Veselības aprūpes nozares </w:t>
            </w:r>
            <w:r>
              <w:rPr>
                <w:rFonts w:ascii="Times New Roman" w:eastAsia="Times New Roman" w:hAnsi="Times New Roman" w:cs="Times New Roman"/>
                <w:sz w:val="24"/>
                <w:szCs w:val="24"/>
                <w:lang w:eastAsia="lv-LV"/>
              </w:rPr>
              <w:t>apakšpadomē</w:t>
            </w:r>
            <w:r>
              <w:rPr>
                <w:rFonts w:ascii="Times New Roman" w:eastAsia="Times New Roman" w:hAnsi="Times New Roman" w:cs="Times New Roman"/>
                <w:sz w:val="24"/>
                <w:szCs w:val="24"/>
                <w:lang w:eastAsia="lv-LV"/>
              </w:rPr>
              <w:t>, kurā ir iekļauti sociālo partneri – valdības, darba ņēmēju un darba devēju pārstāvji</w:t>
            </w:r>
          </w:p>
        </w:tc>
      </w:tr>
      <w:tr w:rsidTr="008800B3">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vairākas reizes tika skatīts Veselības nozares stratēģiskajā padomē, Nacionālās trīspusējās sadarbības padomes Veselības aprūpes nozares </w:t>
            </w:r>
            <w:r>
              <w:rPr>
                <w:rFonts w:ascii="Times New Roman" w:eastAsia="Times New Roman" w:hAnsi="Times New Roman" w:cs="Times New Roman"/>
                <w:sz w:val="24"/>
                <w:szCs w:val="24"/>
                <w:lang w:eastAsia="lv-LV"/>
              </w:rPr>
              <w:t>apakšpadomē</w:t>
            </w:r>
            <w:r>
              <w:rPr>
                <w:rFonts w:ascii="Times New Roman" w:eastAsia="Times New Roman" w:hAnsi="Times New Roman" w:cs="Times New Roman"/>
                <w:sz w:val="24"/>
                <w:szCs w:val="24"/>
                <w:lang w:eastAsia="lv-LV"/>
              </w:rPr>
              <w:t xml:space="preserve">, kā arī Nacionālā trīspusējās sadarbības padomē. </w:t>
            </w:r>
          </w:p>
        </w:tc>
      </w:tr>
      <w:tr w:rsidTr="008800B3">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Gan Veselības nozares stratēģiskā padome, gan Nacionālās trīspusējās sadarbības padomes Veselības aprūpes nozares </w:t>
            </w:r>
            <w:r>
              <w:rPr>
                <w:rFonts w:ascii="Times New Roman" w:eastAsia="Times New Roman" w:hAnsi="Times New Roman" w:cs="Times New Roman"/>
                <w:sz w:val="24"/>
                <w:szCs w:val="24"/>
                <w:lang w:eastAsia="lv-LV"/>
              </w:rPr>
              <w:t>apakšpadome</w:t>
            </w:r>
            <w:r>
              <w:rPr>
                <w:rFonts w:ascii="Times New Roman" w:eastAsia="Times New Roman" w:hAnsi="Times New Roman" w:cs="Times New Roman"/>
                <w:sz w:val="24"/>
                <w:szCs w:val="24"/>
                <w:lang w:eastAsia="lv-LV"/>
              </w:rPr>
              <w:t xml:space="preserve"> konceptuāli atbalstīja likumprojekta  tālāku virzību, norādot, ka vesel</w:t>
            </w:r>
            <w:r w:rsidR="00390E26">
              <w:rPr>
                <w:rFonts w:ascii="Times New Roman" w:eastAsia="Times New Roman" w:hAnsi="Times New Roman" w:cs="Times New Roman"/>
                <w:sz w:val="24"/>
                <w:szCs w:val="24"/>
                <w:lang w:eastAsia="lv-LV"/>
              </w:rPr>
              <w:t xml:space="preserve">ības </w:t>
            </w:r>
            <w:r w:rsidR="00390E26">
              <w:rPr>
                <w:rFonts w:ascii="Times New Roman" w:eastAsia="Times New Roman" w:hAnsi="Times New Roman" w:cs="Times New Roman"/>
                <w:sz w:val="24"/>
                <w:szCs w:val="24"/>
                <w:lang w:eastAsia="lv-LV"/>
              </w:rPr>
              <w:t>nozarej</w:t>
            </w:r>
            <w:r w:rsidR="00390E26">
              <w:rPr>
                <w:rFonts w:ascii="Times New Roman" w:eastAsia="Times New Roman" w:hAnsi="Times New Roman" w:cs="Times New Roman"/>
                <w:sz w:val="24"/>
                <w:szCs w:val="24"/>
                <w:lang w:eastAsia="lv-LV"/>
              </w:rPr>
              <w:t xml:space="preserve"> nepieciešams līdz 2020.gadam sasniegt valsts finansējumu 4% apmērā no iekšzemes kopprodukta.</w:t>
            </w:r>
          </w:p>
        </w:tc>
      </w:tr>
      <w:tr w:rsidTr="008800B3">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Tr="008800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VII. Tiesību akta projekta izpildes nodrošināšana un tās ietekme uz institūcijām</w:t>
            </w:r>
          </w:p>
        </w:tc>
      </w:tr>
      <w:tr w:rsidTr="008800B3">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557DE5" w:rsidRPr="001A2C44" w:rsidP="00390E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675309">
              <w:rPr>
                <w:rFonts w:ascii="Times New Roman" w:eastAsia="Times New Roman" w:hAnsi="Times New Roman" w:cs="Times New Roman"/>
                <w:sz w:val="24"/>
                <w:szCs w:val="24"/>
                <w:lang w:eastAsia="lv-LV"/>
              </w:rPr>
              <w:t xml:space="preserve">Finanšu ministrija, Valsts ieņēmumu dienests, </w:t>
            </w:r>
            <w:r w:rsidR="00390E26">
              <w:rPr>
                <w:rFonts w:ascii="Times New Roman" w:eastAsia="Times New Roman" w:hAnsi="Times New Roman" w:cs="Times New Roman"/>
                <w:sz w:val="24"/>
                <w:szCs w:val="24"/>
                <w:lang w:eastAsia="lv-LV"/>
              </w:rPr>
              <w:t>Labklājības ministrija, Nacionālais veselības dienests</w:t>
            </w:r>
          </w:p>
        </w:tc>
      </w:tr>
      <w:tr w:rsidTr="008800B3">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izpildes ietekme uz pārvaldes funkcijām un institucionālo struktūru.</w:t>
            </w:r>
          </w:p>
          <w:p w:rsidR="00557DE5" w:rsidRPr="001A2C44" w:rsidP="008800B3">
            <w:pPr>
              <w:spacing w:before="100" w:beforeAutospacing="1" w:after="100" w:afterAutospacing="1" w:line="293" w:lineRule="atLeast"/>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90E26" w:rsidP="00390E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neparedz izveidot jaunu</w:t>
            </w:r>
            <w:r w:rsidR="001C0575">
              <w:rPr>
                <w:rFonts w:ascii="Times New Roman" w:eastAsia="Times New Roman" w:hAnsi="Times New Roman" w:cs="Times New Roman"/>
                <w:sz w:val="24"/>
                <w:szCs w:val="24"/>
                <w:lang w:eastAsia="lv-LV"/>
              </w:rPr>
              <w:t xml:space="preserve"> valsts pārvaldes</w:t>
            </w:r>
            <w:r>
              <w:rPr>
                <w:rFonts w:ascii="Times New Roman" w:eastAsia="Times New Roman" w:hAnsi="Times New Roman" w:cs="Times New Roman"/>
                <w:sz w:val="24"/>
                <w:szCs w:val="24"/>
                <w:lang w:eastAsia="lv-LV"/>
              </w:rPr>
              <w:t xml:space="preserve"> institūciju vai reorganizēt esošo.</w:t>
            </w:r>
            <w:r w:rsidR="001C0575">
              <w:rPr>
                <w:rFonts w:ascii="Times New Roman" w:eastAsia="Times New Roman" w:hAnsi="Times New Roman" w:cs="Times New Roman"/>
                <w:sz w:val="24"/>
                <w:szCs w:val="24"/>
                <w:lang w:eastAsia="lv-LV"/>
              </w:rPr>
              <w:t xml:space="preserve"> Likumprojekts paredz izveidot Nacionālā veselības dienesta konsultatīvo padomi.</w:t>
            </w:r>
          </w:p>
          <w:p w:rsidR="00390E26" w:rsidRPr="001A2C44" w:rsidP="00390E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izpildes rezultātā palielināsies Nacionālā veselības dienesta funkcijas, kuram turpmāk papildus esošām funkcijām būs arī jāadministrē veselības apdrošināšanas iemaksas.</w:t>
            </w:r>
          </w:p>
        </w:tc>
      </w:tr>
      <w:tr w:rsidTr="008800B3">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pacing w:after="0" w:line="240" w:lineRule="auto"/>
        <w:rPr>
          <w:rFonts w:ascii="Times New Roman" w:hAnsi="Times New Roman" w:cs="Times New Roman"/>
          <w:sz w:val="28"/>
          <w:szCs w:val="28"/>
        </w:rPr>
      </w:pPr>
    </w:p>
    <w:p w:rsidR="00557DE5" w:rsidRPr="001A2C44" w:rsidP="00557DE5">
      <w:pPr>
        <w:spacing w:after="0" w:line="240" w:lineRule="auto"/>
        <w:rPr>
          <w:rFonts w:ascii="Times New Roman" w:hAnsi="Times New Roman" w:cs="Times New Roman"/>
          <w:sz w:val="28"/>
          <w:szCs w:val="28"/>
        </w:rPr>
      </w:pPr>
    </w:p>
    <w:p w:rsidR="00557DE5" w:rsidRPr="001A2C44" w:rsidP="00557DE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t xml:space="preserve">Anda </w:t>
      </w:r>
      <w:r>
        <w:rPr>
          <w:rFonts w:ascii="Times New Roman" w:hAnsi="Times New Roman" w:cs="Times New Roman"/>
          <w:sz w:val="28"/>
          <w:szCs w:val="28"/>
        </w:rPr>
        <w:t>Čakša</w:t>
      </w:r>
    </w:p>
    <w:p w:rsidR="00557DE5" w:rsidRPr="001A2C44" w:rsidP="00557DE5">
      <w:pPr>
        <w:spacing w:after="0" w:line="240" w:lineRule="auto"/>
        <w:ind w:firstLine="720"/>
        <w:rPr>
          <w:rFonts w:ascii="Times New Roman" w:hAnsi="Times New Roman" w:cs="Times New Roman"/>
          <w:sz w:val="28"/>
          <w:szCs w:val="28"/>
        </w:rPr>
      </w:pPr>
    </w:p>
    <w:p w:rsidR="00557DE5" w:rsidRPr="001A2C44" w:rsidP="00557DE5">
      <w:pPr>
        <w:spacing w:after="0" w:line="240" w:lineRule="auto"/>
        <w:ind w:firstLine="720"/>
        <w:rPr>
          <w:rFonts w:ascii="Times New Roman" w:hAnsi="Times New Roman" w:cs="Times New Roman"/>
          <w:sz w:val="28"/>
          <w:szCs w:val="28"/>
        </w:rPr>
      </w:pPr>
    </w:p>
    <w:p w:rsidR="00557DE5" w:rsidRPr="001A2C44" w:rsidP="00557DE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Valsts sekretāra </w:t>
      </w:r>
      <w:r>
        <w:rPr>
          <w:rFonts w:ascii="Times New Roman" w:hAnsi="Times New Roman" w:cs="Times New Roman"/>
          <w:sz w:val="28"/>
          <w:szCs w:val="28"/>
        </w:rPr>
        <w:t>p.i</w:t>
      </w:r>
      <w:r>
        <w:rPr>
          <w:rFonts w:ascii="Times New Roman" w:hAnsi="Times New Roman" w:cs="Times New Roman"/>
          <w:sz w:val="28"/>
          <w:szCs w:val="28"/>
        </w:rPr>
        <w:t xml:space="preserve">.                             Daina </w:t>
      </w:r>
      <w:r>
        <w:rPr>
          <w:rFonts w:ascii="Times New Roman" w:hAnsi="Times New Roman" w:cs="Times New Roman"/>
          <w:sz w:val="28"/>
          <w:szCs w:val="28"/>
        </w:rPr>
        <w:t>Mūrmane-Umbraško</w:t>
      </w:r>
    </w:p>
    <w:p w:rsidR="00557DE5" w:rsidRPr="001A2C44" w:rsidP="00557DE5">
      <w:pPr>
        <w:tabs>
          <w:tab w:val="left" w:pos="6237"/>
        </w:tabs>
        <w:spacing w:after="0" w:line="240" w:lineRule="auto"/>
        <w:ind w:firstLine="720"/>
        <w:rPr>
          <w:rFonts w:ascii="Times New Roman" w:hAnsi="Times New Roman" w:cs="Times New Roman"/>
          <w:sz w:val="28"/>
          <w:szCs w:val="28"/>
        </w:rPr>
      </w:pPr>
    </w:p>
    <w:p w:rsidR="00557DE5" w:rsidP="00557DE5">
      <w:pPr>
        <w:tabs>
          <w:tab w:val="left" w:pos="6237"/>
        </w:tabs>
        <w:spacing w:after="0" w:line="240" w:lineRule="auto"/>
        <w:rPr>
          <w:rFonts w:ascii="Times New Roman" w:hAnsi="Times New Roman" w:cs="Times New Roman"/>
          <w:sz w:val="24"/>
          <w:szCs w:val="28"/>
        </w:rPr>
      </w:pPr>
    </w:p>
    <w:p w:rsidR="00557DE5" w:rsidP="00557DE5">
      <w:pPr>
        <w:tabs>
          <w:tab w:val="left" w:pos="6237"/>
        </w:tabs>
        <w:spacing w:after="0" w:line="240" w:lineRule="auto"/>
        <w:rPr>
          <w:rFonts w:ascii="Times New Roman" w:hAnsi="Times New Roman" w:cs="Times New Roman"/>
          <w:sz w:val="24"/>
          <w:szCs w:val="28"/>
        </w:rPr>
      </w:pPr>
    </w:p>
    <w:p w:rsidR="00557DE5" w:rsidRPr="00CE1E39" w:rsidP="00557DE5">
      <w:pPr>
        <w:tabs>
          <w:tab w:val="left" w:pos="6237"/>
        </w:tabs>
        <w:spacing w:after="0" w:line="240" w:lineRule="auto"/>
        <w:rPr>
          <w:rFonts w:ascii="Times New Roman" w:hAnsi="Times New Roman" w:cs="Times New Roman"/>
          <w:sz w:val="24"/>
          <w:szCs w:val="24"/>
        </w:rPr>
      </w:pPr>
      <w:r w:rsidRPr="00CE1E39">
        <w:rPr>
          <w:rFonts w:ascii="Times New Roman" w:hAnsi="Times New Roman" w:cs="Times New Roman"/>
          <w:sz w:val="24"/>
          <w:szCs w:val="24"/>
        </w:rPr>
        <w:t>Jurševica</w:t>
      </w:r>
      <w:r>
        <w:rPr>
          <w:rFonts w:ascii="Times New Roman" w:hAnsi="Times New Roman" w:cs="Times New Roman"/>
          <w:sz w:val="24"/>
          <w:szCs w:val="24"/>
        </w:rPr>
        <w:t xml:space="preserve"> 67876186</w:t>
      </w:r>
    </w:p>
    <w:p w:rsidR="00557DE5" w:rsidP="00557DE5">
      <w:pPr>
        <w:tabs>
          <w:tab w:val="left" w:pos="6237"/>
        </w:tabs>
        <w:spacing w:after="0" w:line="240" w:lineRule="auto"/>
        <w:rPr>
          <w:rFonts w:ascii="Times New Roman" w:hAnsi="Times New Roman" w:cs="Times New Roman"/>
          <w:sz w:val="24"/>
          <w:szCs w:val="24"/>
        </w:rPr>
      </w:pPr>
      <w:r>
        <w:fldChar w:fldCharType="begin"/>
      </w:r>
      <w:r>
        <w:instrText xml:space="preserve"> HYPERLINK "mailto:anita.jursevica@vm.gov.lv" </w:instrText>
      </w:r>
      <w:r>
        <w:fldChar w:fldCharType="separate"/>
      </w:r>
      <w:r w:rsidRPr="008E0F42" w:rsidR="00EF1477">
        <w:rPr>
          <w:rStyle w:val="Hyperlink"/>
          <w:rFonts w:ascii="Times New Roman" w:hAnsi="Times New Roman" w:cs="Times New Roman"/>
          <w:sz w:val="24"/>
          <w:szCs w:val="24"/>
        </w:rPr>
        <w:t>anita.jursevica@vm.gov.lv</w:t>
      </w:r>
      <w:r>
        <w:fldChar w:fldCharType="end"/>
      </w:r>
    </w:p>
    <w:p w:rsidR="00390E26" w:rsidRPr="00CE1E39" w:rsidP="00390E26">
      <w:pPr>
        <w:ind w:right="-3228"/>
        <w:contextualSpacing/>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Kasparāns</w:t>
      </w:r>
      <w:bookmarkStart w:id="1" w:name="OLE_LINK5"/>
      <w:r>
        <w:rPr>
          <w:rFonts w:ascii="Times New Roman" w:eastAsia="Times New Roman" w:hAnsi="Times New Roman" w:cs="Times New Roman"/>
          <w:sz w:val="24"/>
          <w:szCs w:val="24"/>
          <w:lang w:eastAsia="lv-LV"/>
        </w:rPr>
        <w:t>67876043</w:t>
      </w:r>
    </w:p>
    <w:p w:rsidR="00390E26" w:rsidRPr="00CE1E39" w:rsidP="00390E26">
      <w:pPr>
        <w:ind w:right="-3228"/>
        <w:contextualSpacing/>
        <w:rPr>
          <w:rFonts w:ascii="Times New Roman" w:hAnsi="Times New Roman" w:cs="Times New Roman"/>
          <w:sz w:val="24"/>
          <w:szCs w:val="24"/>
        </w:rPr>
      </w:pPr>
      <w:r>
        <w:fldChar w:fldCharType="begin"/>
      </w:r>
      <w:r>
        <w:instrText xml:space="preserve"> HYPERLINK "mailto:aris.kasparans@vm.gov.lv" </w:instrText>
      </w:r>
      <w:r>
        <w:fldChar w:fldCharType="separate"/>
      </w:r>
      <w:r w:rsidRPr="000A3741" w:rsidR="00EF1477">
        <w:rPr>
          <w:rStyle w:val="Hyperlink"/>
          <w:rFonts w:ascii="Times New Roman" w:eastAsia="Times New Roman" w:hAnsi="Times New Roman" w:cs="Times New Roman"/>
          <w:sz w:val="24"/>
          <w:szCs w:val="24"/>
          <w:lang w:eastAsia="lv-LV"/>
        </w:rPr>
        <w:t>aris.kasparans@vm.gov.lv</w:t>
      </w:r>
      <w:r>
        <w:fldChar w:fldCharType="end"/>
      </w:r>
    </w:p>
    <w:p w:rsidR="00557DE5" w:rsidRPr="00CE1E39" w:rsidP="00557DE5">
      <w:pPr>
        <w:tabs>
          <w:tab w:val="left" w:pos="6237"/>
        </w:tabs>
        <w:spacing w:after="0" w:line="240" w:lineRule="auto"/>
        <w:rPr>
          <w:rFonts w:ascii="Times New Roman" w:hAnsi="Times New Roman" w:cs="Times New Roman"/>
          <w:sz w:val="24"/>
          <w:szCs w:val="24"/>
        </w:rPr>
      </w:pPr>
      <w:bookmarkEnd w:id="1"/>
    </w:p>
    <w:p w:rsidR="000F368B"/>
    <w:sectPr w:rsidSect="008800B3">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31E" w:rsidRPr="00894C55">
    <w:pPr>
      <w:pStyle w:val="Footer"/>
      <w:rPr>
        <w:rFonts w:ascii="Times New Roman" w:hAnsi="Times New Roman" w:cs="Times New Roman"/>
        <w:sz w:val="20"/>
        <w:szCs w:val="20"/>
      </w:rPr>
    </w:pPr>
    <w:r>
      <w:rPr>
        <w:rFonts w:ascii="Times New Roman" w:hAnsi="Times New Roman" w:cs="Times New Roman"/>
        <w:sz w:val="20"/>
        <w:szCs w:val="20"/>
      </w:rPr>
      <w:t>VManot_26</w:t>
    </w:r>
    <w:r>
      <w:rPr>
        <w:rFonts w:ascii="Times New Roman" w:hAnsi="Times New Roman" w:cs="Times New Roman"/>
        <w:sz w:val="20"/>
        <w:szCs w:val="20"/>
      </w:rPr>
      <w:t>0917_finlik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31E" w:rsidRPr="009A2654">
    <w:pPr>
      <w:pStyle w:val="Footer"/>
      <w:rPr>
        <w:rFonts w:ascii="Times New Roman" w:hAnsi="Times New Roman" w:cs="Times New Roman"/>
        <w:sz w:val="20"/>
        <w:szCs w:val="20"/>
      </w:rPr>
    </w:pPr>
    <w:r>
      <w:rPr>
        <w:rFonts w:ascii="Times New Roman" w:hAnsi="Times New Roman" w:cs="Times New Roman"/>
        <w:sz w:val="20"/>
        <w:szCs w:val="20"/>
      </w:rPr>
      <w:t>VManot_26</w:t>
    </w:r>
    <w:r>
      <w:rPr>
        <w:rFonts w:ascii="Times New Roman" w:hAnsi="Times New Roman" w:cs="Times New Roman"/>
        <w:sz w:val="20"/>
        <w:szCs w:val="20"/>
      </w:rPr>
      <w:t>0917_finlik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3354847"/>
      <w:docPartObj>
        <w:docPartGallery w:val="Page Numbers (Top of Page)"/>
        <w:docPartUnique/>
      </w:docPartObj>
    </w:sdtPr>
    <w:sdtEndPr>
      <w:rPr>
        <w:rFonts w:ascii="Times New Roman" w:hAnsi="Times New Roman" w:cs="Times New Roman"/>
        <w:noProof/>
        <w:sz w:val="24"/>
        <w:szCs w:val="20"/>
      </w:rPr>
    </w:sdtEndPr>
    <w:sdtContent>
      <w:p w:rsidR="0041531E"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6A8A">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6764E"/>
    <w:multiLevelType w:val="hybridMultilevel"/>
    <w:tmpl w:val="0B46B93A"/>
    <w:lvl w:ilvl="0">
      <w:start w:val="0"/>
      <w:numFmt w:val="bullet"/>
      <w:lvlText w:val=""/>
      <w:lvlJc w:val="left"/>
      <w:pPr>
        <w:ind w:left="388" w:hanging="360"/>
      </w:pPr>
      <w:rPr>
        <w:rFonts w:ascii="Symbol" w:eastAsia="Times New Roman" w:hAnsi="Symbol" w:cs="Times New Roman" w:hint="default"/>
      </w:rPr>
    </w:lvl>
    <w:lvl w:ilvl="1" w:tentative="1">
      <w:start w:val="1"/>
      <w:numFmt w:val="bullet"/>
      <w:lvlText w:val="o"/>
      <w:lvlJc w:val="left"/>
      <w:pPr>
        <w:ind w:left="1108" w:hanging="360"/>
      </w:pPr>
      <w:rPr>
        <w:rFonts w:ascii="Courier New" w:hAnsi="Courier New" w:cs="Courier New" w:hint="default"/>
      </w:rPr>
    </w:lvl>
    <w:lvl w:ilvl="2" w:tentative="1">
      <w:start w:val="1"/>
      <w:numFmt w:val="bullet"/>
      <w:lvlText w:val=""/>
      <w:lvlJc w:val="left"/>
      <w:pPr>
        <w:ind w:left="1828" w:hanging="360"/>
      </w:pPr>
      <w:rPr>
        <w:rFonts w:ascii="Wingdings" w:hAnsi="Wingdings" w:hint="default"/>
      </w:rPr>
    </w:lvl>
    <w:lvl w:ilvl="3" w:tentative="1">
      <w:start w:val="1"/>
      <w:numFmt w:val="bullet"/>
      <w:lvlText w:val=""/>
      <w:lvlJc w:val="left"/>
      <w:pPr>
        <w:ind w:left="2548" w:hanging="360"/>
      </w:pPr>
      <w:rPr>
        <w:rFonts w:ascii="Symbol" w:hAnsi="Symbol" w:hint="default"/>
      </w:rPr>
    </w:lvl>
    <w:lvl w:ilvl="4" w:tentative="1">
      <w:start w:val="1"/>
      <w:numFmt w:val="bullet"/>
      <w:lvlText w:val="o"/>
      <w:lvlJc w:val="left"/>
      <w:pPr>
        <w:ind w:left="3268" w:hanging="360"/>
      </w:pPr>
      <w:rPr>
        <w:rFonts w:ascii="Courier New" w:hAnsi="Courier New" w:cs="Courier New" w:hint="default"/>
      </w:rPr>
    </w:lvl>
    <w:lvl w:ilvl="5" w:tentative="1">
      <w:start w:val="1"/>
      <w:numFmt w:val="bullet"/>
      <w:lvlText w:val=""/>
      <w:lvlJc w:val="left"/>
      <w:pPr>
        <w:ind w:left="3988" w:hanging="360"/>
      </w:pPr>
      <w:rPr>
        <w:rFonts w:ascii="Wingdings" w:hAnsi="Wingdings" w:hint="default"/>
      </w:rPr>
    </w:lvl>
    <w:lvl w:ilvl="6" w:tentative="1">
      <w:start w:val="1"/>
      <w:numFmt w:val="bullet"/>
      <w:lvlText w:val=""/>
      <w:lvlJc w:val="left"/>
      <w:pPr>
        <w:ind w:left="4708" w:hanging="360"/>
      </w:pPr>
      <w:rPr>
        <w:rFonts w:ascii="Symbol" w:hAnsi="Symbol" w:hint="default"/>
      </w:rPr>
    </w:lvl>
    <w:lvl w:ilvl="7" w:tentative="1">
      <w:start w:val="1"/>
      <w:numFmt w:val="bullet"/>
      <w:lvlText w:val="o"/>
      <w:lvlJc w:val="left"/>
      <w:pPr>
        <w:ind w:left="5428" w:hanging="360"/>
      </w:pPr>
      <w:rPr>
        <w:rFonts w:ascii="Courier New" w:hAnsi="Courier New" w:cs="Courier New" w:hint="default"/>
      </w:rPr>
    </w:lvl>
    <w:lvl w:ilvl="8" w:tentative="1">
      <w:start w:val="1"/>
      <w:numFmt w:val="bullet"/>
      <w:lvlText w:val=""/>
      <w:lvlJc w:val="left"/>
      <w:pPr>
        <w:ind w:left="6148" w:hanging="360"/>
      </w:pPr>
      <w:rPr>
        <w:rFonts w:ascii="Wingdings" w:hAnsi="Wingdings" w:hint="default"/>
      </w:rPr>
    </w:lvl>
  </w:abstractNum>
  <w:abstractNum w:abstractNumId="1">
    <w:nsid w:val="23B8759A"/>
    <w:multiLevelType w:val="multilevel"/>
    <w:tmpl w:val="E9FAD28E"/>
    <w:lvl w:ilvl="0">
      <w:start w:val="4"/>
      <w:numFmt w:val="decimal"/>
      <w:lvlText w:val="%1."/>
      <w:lvlJc w:val="left"/>
      <w:pPr>
        <w:ind w:left="450" w:hanging="45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1240" w:hanging="180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8080" w:hanging="2160"/>
      </w:pPr>
      <w:rPr>
        <w:rFonts w:hint="default"/>
      </w:rPr>
    </w:lvl>
  </w:abstractNum>
  <w:abstractNum w:abstractNumId="2">
    <w:nsid w:val="3D8E2897"/>
    <w:multiLevelType w:val="multilevel"/>
    <w:tmpl w:val="B386B5AE"/>
    <w:lvl w:ilvl="0">
      <w:start w:val="3"/>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3">
    <w:nsid w:val="4AAD0105"/>
    <w:multiLevelType w:val="hybridMultilevel"/>
    <w:tmpl w:val="A9DE5D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2A482A"/>
    <w:multiLevelType w:val="hybridMultilevel"/>
    <w:tmpl w:val="8550B8F0"/>
    <w:lvl w:ilvl="0">
      <w:start w:val="1"/>
      <w:numFmt w:val="decimal"/>
      <w:lvlText w:val="%1)"/>
      <w:lvlJc w:val="left"/>
      <w:pPr>
        <w:ind w:left="388" w:hanging="360"/>
      </w:pPr>
      <w:rPr>
        <w:rFonts w:hint="default"/>
      </w:rPr>
    </w:lvl>
    <w:lvl w:ilvl="1" w:tentative="1">
      <w:start w:val="1"/>
      <w:numFmt w:val="lowerLetter"/>
      <w:lvlText w:val="%2."/>
      <w:lvlJc w:val="left"/>
      <w:pPr>
        <w:ind w:left="1108" w:hanging="360"/>
      </w:pPr>
    </w:lvl>
    <w:lvl w:ilvl="2" w:tentative="1">
      <w:start w:val="1"/>
      <w:numFmt w:val="lowerRoman"/>
      <w:lvlText w:val="%3."/>
      <w:lvlJc w:val="right"/>
      <w:pPr>
        <w:ind w:left="1828" w:hanging="180"/>
      </w:pPr>
    </w:lvl>
    <w:lvl w:ilvl="3" w:tentative="1">
      <w:start w:val="1"/>
      <w:numFmt w:val="decimal"/>
      <w:lvlText w:val="%4."/>
      <w:lvlJc w:val="left"/>
      <w:pPr>
        <w:ind w:left="2548" w:hanging="360"/>
      </w:pPr>
    </w:lvl>
    <w:lvl w:ilvl="4" w:tentative="1">
      <w:start w:val="1"/>
      <w:numFmt w:val="lowerLetter"/>
      <w:lvlText w:val="%5."/>
      <w:lvlJc w:val="left"/>
      <w:pPr>
        <w:ind w:left="3268" w:hanging="360"/>
      </w:pPr>
    </w:lvl>
    <w:lvl w:ilvl="5" w:tentative="1">
      <w:start w:val="1"/>
      <w:numFmt w:val="lowerRoman"/>
      <w:lvlText w:val="%6."/>
      <w:lvlJc w:val="right"/>
      <w:pPr>
        <w:ind w:left="3988" w:hanging="180"/>
      </w:pPr>
    </w:lvl>
    <w:lvl w:ilvl="6" w:tentative="1">
      <w:start w:val="1"/>
      <w:numFmt w:val="decimal"/>
      <w:lvlText w:val="%7."/>
      <w:lvlJc w:val="left"/>
      <w:pPr>
        <w:ind w:left="4708" w:hanging="360"/>
      </w:pPr>
    </w:lvl>
    <w:lvl w:ilvl="7" w:tentative="1">
      <w:start w:val="1"/>
      <w:numFmt w:val="lowerLetter"/>
      <w:lvlText w:val="%8."/>
      <w:lvlJc w:val="left"/>
      <w:pPr>
        <w:ind w:left="5428" w:hanging="360"/>
      </w:pPr>
    </w:lvl>
    <w:lvl w:ilvl="8" w:tentative="1">
      <w:start w:val="1"/>
      <w:numFmt w:val="lowerRoman"/>
      <w:lvlText w:val="%9."/>
      <w:lvlJc w:val="right"/>
      <w:pPr>
        <w:ind w:left="6148" w:hanging="180"/>
      </w:pPr>
    </w:lvl>
  </w:abstractNum>
  <w:abstractNum w:abstractNumId="5">
    <w:nsid w:val="65757C70"/>
    <w:multiLevelType w:val="multilevel"/>
    <w:tmpl w:val="70B6718C"/>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68000DAB"/>
    <w:multiLevelType w:val="hybridMultilevel"/>
    <w:tmpl w:val="E5187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96B0548"/>
    <w:multiLevelType w:val="hybridMultilevel"/>
    <w:tmpl w:val="7240695C"/>
    <w:lvl w:ilvl="0">
      <w:start w:val="14"/>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nsid w:val="7F77400A"/>
    <w:multiLevelType w:val="multilevel"/>
    <w:tmpl w:val="EE828712"/>
    <w:lvl w:ilvl="0">
      <w:start w:val="1"/>
      <w:numFmt w:val="decimal"/>
      <w:lvlText w:val="%1."/>
      <w:lvlJc w:val="left"/>
      <w:pPr>
        <w:ind w:left="720"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3"/>
  </w:num>
  <w:num w:numId="2">
    <w:abstractNumId w:val="6"/>
  </w:num>
  <w:num w:numId="3">
    <w:abstractNumId w:val="8"/>
  </w:num>
  <w:num w:numId="4">
    <w:abstractNumId w:val="5"/>
  </w:num>
  <w:num w:numId="5">
    <w:abstractNumId w:val="9"/>
  </w:num>
  <w:num w:numId="6">
    <w:abstractNumId w:val="2"/>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E5"/>
    <w:rsid w:val="00004D4C"/>
    <w:rsid w:val="0003090F"/>
    <w:rsid w:val="000A3741"/>
    <w:rsid w:val="000A773B"/>
    <w:rsid w:val="000B7726"/>
    <w:rsid w:val="000B79F4"/>
    <w:rsid w:val="000D283D"/>
    <w:rsid w:val="000E5E06"/>
    <w:rsid w:val="000F368B"/>
    <w:rsid w:val="001512E6"/>
    <w:rsid w:val="001824A0"/>
    <w:rsid w:val="00193DEF"/>
    <w:rsid w:val="001A2C44"/>
    <w:rsid w:val="001C0575"/>
    <w:rsid w:val="001C5ADF"/>
    <w:rsid w:val="001D51F9"/>
    <w:rsid w:val="001E58E3"/>
    <w:rsid w:val="001F07CF"/>
    <w:rsid w:val="002051DA"/>
    <w:rsid w:val="00207DC7"/>
    <w:rsid w:val="002316A8"/>
    <w:rsid w:val="00233041"/>
    <w:rsid w:val="002335AF"/>
    <w:rsid w:val="002344F8"/>
    <w:rsid w:val="00236B43"/>
    <w:rsid w:val="0028029C"/>
    <w:rsid w:val="002832C2"/>
    <w:rsid w:val="002A382A"/>
    <w:rsid w:val="002C118A"/>
    <w:rsid w:val="002D5FB4"/>
    <w:rsid w:val="003204F7"/>
    <w:rsid w:val="003335C7"/>
    <w:rsid w:val="003579A4"/>
    <w:rsid w:val="00364287"/>
    <w:rsid w:val="0037344F"/>
    <w:rsid w:val="00384190"/>
    <w:rsid w:val="003862B7"/>
    <w:rsid w:val="00390E26"/>
    <w:rsid w:val="003925D6"/>
    <w:rsid w:val="003A6D1C"/>
    <w:rsid w:val="003C4CA0"/>
    <w:rsid w:val="003E14A3"/>
    <w:rsid w:val="004045BE"/>
    <w:rsid w:val="00414CE7"/>
    <w:rsid w:val="0041531E"/>
    <w:rsid w:val="004205D5"/>
    <w:rsid w:val="00422406"/>
    <w:rsid w:val="00463B49"/>
    <w:rsid w:val="004A673B"/>
    <w:rsid w:val="004C09A6"/>
    <w:rsid w:val="005547C2"/>
    <w:rsid w:val="00557DE5"/>
    <w:rsid w:val="005970CE"/>
    <w:rsid w:val="005B6EAD"/>
    <w:rsid w:val="005C3C5E"/>
    <w:rsid w:val="005D0987"/>
    <w:rsid w:val="006253D9"/>
    <w:rsid w:val="0063096C"/>
    <w:rsid w:val="00654C0A"/>
    <w:rsid w:val="00675309"/>
    <w:rsid w:val="00695135"/>
    <w:rsid w:val="006B3457"/>
    <w:rsid w:val="006B487D"/>
    <w:rsid w:val="006C04F7"/>
    <w:rsid w:val="006E2E67"/>
    <w:rsid w:val="00716151"/>
    <w:rsid w:val="007202EF"/>
    <w:rsid w:val="00726D8E"/>
    <w:rsid w:val="00736CB6"/>
    <w:rsid w:val="007401BE"/>
    <w:rsid w:val="00757F2D"/>
    <w:rsid w:val="00777612"/>
    <w:rsid w:val="007E4DB2"/>
    <w:rsid w:val="007F0EC2"/>
    <w:rsid w:val="00812E47"/>
    <w:rsid w:val="0082052A"/>
    <w:rsid w:val="00822530"/>
    <w:rsid w:val="00835F90"/>
    <w:rsid w:val="00843FA1"/>
    <w:rsid w:val="0087030B"/>
    <w:rsid w:val="0087356E"/>
    <w:rsid w:val="008800B3"/>
    <w:rsid w:val="00894C55"/>
    <w:rsid w:val="008E0F42"/>
    <w:rsid w:val="008F2204"/>
    <w:rsid w:val="009011F2"/>
    <w:rsid w:val="00923F39"/>
    <w:rsid w:val="00966A8A"/>
    <w:rsid w:val="009A2654"/>
    <w:rsid w:val="009B074E"/>
    <w:rsid w:val="009D06EC"/>
    <w:rsid w:val="009D4C7F"/>
    <w:rsid w:val="00A14022"/>
    <w:rsid w:val="00A410B6"/>
    <w:rsid w:val="00A42638"/>
    <w:rsid w:val="00AB1F49"/>
    <w:rsid w:val="00AE1A5A"/>
    <w:rsid w:val="00AE2BBE"/>
    <w:rsid w:val="00AF51B6"/>
    <w:rsid w:val="00B0396B"/>
    <w:rsid w:val="00B25099"/>
    <w:rsid w:val="00B84A63"/>
    <w:rsid w:val="00B9198F"/>
    <w:rsid w:val="00BB0040"/>
    <w:rsid w:val="00BB471C"/>
    <w:rsid w:val="00BC37EB"/>
    <w:rsid w:val="00BC3B3D"/>
    <w:rsid w:val="00C06E5E"/>
    <w:rsid w:val="00C1325A"/>
    <w:rsid w:val="00C25B49"/>
    <w:rsid w:val="00C501E6"/>
    <w:rsid w:val="00CC5070"/>
    <w:rsid w:val="00CD657F"/>
    <w:rsid w:val="00CD732C"/>
    <w:rsid w:val="00CE1E39"/>
    <w:rsid w:val="00D1662E"/>
    <w:rsid w:val="00D943C5"/>
    <w:rsid w:val="00D95AE4"/>
    <w:rsid w:val="00DD1EB8"/>
    <w:rsid w:val="00DD2601"/>
    <w:rsid w:val="00E07EF6"/>
    <w:rsid w:val="00E11B7D"/>
    <w:rsid w:val="00E36EC3"/>
    <w:rsid w:val="00E65C0B"/>
    <w:rsid w:val="00E7012B"/>
    <w:rsid w:val="00E94485"/>
    <w:rsid w:val="00EA5D68"/>
    <w:rsid w:val="00EF0690"/>
    <w:rsid w:val="00EF1477"/>
    <w:rsid w:val="00EF45F4"/>
    <w:rsid w:val="00F03028"/>
    <w:rsid w:val="00F14427"/>
    <w:rsid w:val="00F30144"/>
    <w:rsid w:val="00F3722B"/>
    <w:rsid w:val="00F45F18"/>
    <w:rsid w:val="00F57BDC"/>
    <w:rsid w:val="00F910D7"/>
    <w:rsid w:val="00FA0E41"/>
    <w:rsid w:val="00FB0641"/>
    <w:rsid w:val="00FB3D02"/>
    <w:rsid w:val="00FD0778"/>
    <w:rsid w:val="00FD1FA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517640F5-562D-4717-A7B1-D515A1AF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E5"/>
    <w:rPr>
      <w:color w:val="0000FF"/>
      <w:u w:val="single"/>
    </w:rPr>
  </w:style>
  <w:style w:type="paragraph" w:styleId="Header">
    <w:name w:val="header"/>
    <w:basedOn w:val="Normal"/>
    <w:link w:val="HeaderChar"/>
    <w:uiPriority w:val="99"/>
    <w:unhideWhenUsed/>
    <w:rsid w:val="00557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E5"/>
  </w:style>
  <w:style w:type="paragraph" w:styleId="Footer">
    <w:name w:val="footer"/>
    <w:basedOn w:val="Normal"/>
    <w:link w:val="FooterChar"/>
    <w:uiPriority w:val="99"/>
    <w:unhideWhenUsed/>
    <w:rsid w:val="00557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E5"/>
  </w:style>
  <w:style w:type="paragraph" w:styleId="ListParagraph">
    <w:name w:val="List Paragraph"/>
    <w:basedOn w:val="Normal"/>
    <w:link w:val="ListParagraphChar"/>
    <w:uiPriority w:val="99"/>
    <w:qFormat/>
    <w:rsid w:val="00557DE5"/>
    <w:pPr>
      <w:ind w:left="720"/>
      <w:contextualSpacing/>
    </w:pPr>
  </w:style>
  <w:style w:type="paragraph" w:customStyle="1" w:styleId="naisf">
    <w:name w:val="naisf"/>
    <w:basedOn w:val="Normal"/>
    <w:rsid w:val="003579A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3579A4"/>
    <w:pPr>
      <w:spacing w:before="75" w:after="75" w:line="240" w:lineRule="auto"/>
      <w:jc w:val="center"/>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579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579A4"/>
    <w:rPr>
      <w:rFonts w:ascii="Times New Roman" w:eastAsia="Times New Roman" w:hAnsi="Times New Roman" w:cs="Times New Roman"/>
      <w:sz w:val="24"/>
      <w:szCs w:val="24"/>
      <w:lang w:eastAsia="lv-LV"/>
    </w:rPr>
  </w:style>
  <w:style w:type="paragraph" w:customStyle="1" w:styleId="Statuti">
    <w:name w:val="Statuti"/>
    <w:basedOn w:val="Normal"/>
    <w:rsid w:val="003579A4"/>
    <w:pPr>
      <w:numPr>
        <w:ilvl w:val="3"/>
        <w:numId w:val="3"/>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3579A4"/>
    <w:pPr>
      <w:numPr>
        <w:ilvl w:val="4"/>
        <w:numId w:val="3"/>
      </w:numPr>
      <w:spacing w:before="60" w:after="120" w:line="240" w:lineRule="auto"/>
    </w:pPr>
    <w:rPr>
      <w:rFonts w:ascii="Times New Roman" w:eastAsia="Times New Roman" w:hAnsi="Times New Roman" w:cs="Times New Roman"/>
      <w:sz w:val="24"/>
      <w:szCs w:val="20"/>
      <w:lang w:eastAsia="lv-LV"/>
    </w:rPr>
  </w:style>
  <w:style w:type="paragraph" w:customStyle="1" w:styleId="Teksts">
    <w:name w:val="Teksts"/>
    <w:basedOn w:val="Normal"/>
    <w:link w:val="TekstsChar"/>
    <w:rsid w:val="003579A4"/>
    <w:pPr>
      <w:spacing w:after="0" w:line="360" w:lineRule="auto"/>
      <w:ind w:firstLine="720"/>
      <w:jc w:val="both"/>
    </w:pPr>
    <w:rPr>
      <w:rFonts w:ascii="Times New Roman" w:eastAsia="Times New Roman" w:hAnsi="Times New Roman" w:cs="Arial Unicode MS"/>
      <w:sz w:val="24"/>
      <w:szCs w:val="24"/>
      <w:lang w:eastAsia="lv-LV" w:bidi="lo-LA"/>
    </w:rPr>
  </w:style>
  <w:style w:type="paragraph" w:customStyle="1" w:styleId="Virsraksti1">
    <w:name w:val="Virsraksti1"/>
    <w:basedOn w:val="Teksts"/>
    <w:rsid w:val="003579A4"/>
    <w:pPr>
      <w:numPr>
        <w:numId w:val="3"/>
      </w:numPr>
      <w:spacing w:before="120" w:after="120" w:line="240" w:lineRule="auto"/>
      <w:ind w:left="720" w:hanging="360"/>
    </w:pPr>
    <w:rPr>
      <w:b/>
      <w:sz w:val="32"/>
    </w:rPr>
  </w:style>
  <w:style w:type="paragraph" w:customStyle="1" w:styleId="Virsraksti2">
    <w:name w:val="Virsraksti_2"/>
    <w:basedOn w:val="Teksts"/>
    <w:rsid w:val="003579A4"/>
    <w:pPr>
      <w:numPr>
        <w:ilvl w:val="1"/>
        <w:numId w:val="3"/>
      </w:numPr>
      <w:spacing w:before="120" w:after="120" w:line="240" w:lineRule="auto"/>
      <w:ind w:left="1440" w:hanging="360"/>
    </w:pPr>
    <w:rPr>
      <w:b/>
      <w:sz w:val="28"/>
    </w:rPr>
  </w:style>
  <w:style w:type="paragraph" w:customStyle="1" w:styleId="Virsraksti3">
    <w:name w:val="Virsraksti_3"/>
    <w:basedOn w:val="Teksts"/>
    <w:rsid w:val="003579A4"/>
    <w:pPr>
      <w:numPr>
        <w:ilvl w:val="2"/>
        <w:numId w:val="3"/>
      </w:numPr>
      <w:spacing w:before="120" w:after="120" w:line="240" w:lineRule="auto"/>
      <w:ind w:left="2160" w:hanging="180"/>
    </w:pPr>
    <w:rPr>
      <w:rFonts w:ascii="Times New Roman Bold" w:hAnsi="Times New Roman Bold"/>
      <w:b/>
    </w:rPr>
  </w:style>
  <w:style w:type="character" w:customStyle="1" w:styleId="TekstsChar">
    <w:name w:val="Teksts Char"/>
    <w:basedOn w:val="DefaultParagraphFont"/>
    <w:link w:val="Teksts"/>
    <w:rsid w:val="003579A4"/>
    <w:rPr>
      <w:rFonts w:ascii="Times New Roman" w:eastAsia="Times New Roman" w:hAnsi="Times New Roman" w:cs="Arial Unicode MS"/>
      <w:sz w:val="24"/>
      <w:szCs w:val="24"/>
      <w:lang w:eastAsia="lv-LV" w:bidi="lo-LA"/>
    </w:rPr>
  </w:style>
  <w:style w:type="character" w:customStyle="1" w:styleId="ListParagraphChar">
    <w:name w:val="List Paragraph Char"/>
    <w:link w:val="ListParagraph"/>
    <w:uiPriority w:val="99"/>
    <w:locked/>
    <w:rsid w:val="003579A4"/>
  </w:style>
  <w:style w:type="paragraph" w:customStyle="1" w:styleId="tv2131">
    <w:name w:val="tv2131"/>
    <w:basedOn w:val="Normal"/>
    <w:rsid w:val="005D0987"/>
    <w:pPr>
      <w:spacing w:before="240" w:after="0" w:line="360" w:lineRule="auto"/>
      <w:ind w:firstLine="300"/>
      <w:jc w:val="both"/>
    </w:pPr>
    <w:rPr>
      <w:rFonts w:ascii="Verdana" w:eastAsia="Times New Roman" w:hAnsi="Verdana" w:cs="Times New Roman"/>
      <w:sz w:val="18"/>
      <w:szCs w:val="18"/>
      <w:lang w:val="en-US"/>
    </w:rPr>
  </w:style>
  <w:style w:type="paragraph" w:customStyle="1" w:styleId="naiskr">
    <w:name w:val="naiskr"/>
    <w:basedOn w:val="Normal"/>
    <w:rsid w:val="003862B7"/>
    <w:pPr>
      <w:spacing w:before="75" w:after="75"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90E26"/>
    <w:rPr>
      <w:color w:val="2B579A"/>
      <w:shd w:val="clear" w:color="auto" w:fill="E6E6E6"/>
    </w:rPr>
  </w:style>
  <w:style w:type="paragraph" w:styleId="BalloonText">
    <w:name w:val="Balloon Text"/>
    <w:basedOn w:val="Normal"/>
    <w:link w:val="BalloonTextChar"/>
    <w:uiPriority w:val="99"/>
    <w:semiHidden/>
    <w:unhideWhenUsed/>
    <w:rsid w:val="00E07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F6"/>
    <w:rPr>
      <w:rFonts w:ascii="Segoe UI" w:hAnsi="Segoe UI" w:cs="Segoe UI"/>
      <w:sz w:val="18"/>
      <w:szCs w:val="18"/>
    </w:rPr>
  </w:style>
  <w:style w:type="character" w:styleId="CommentReference">
    <w:name w:val="annotation reference"/>
    <w:basedOn w:val="DefaultParagraphFont"/>
    <w:uiPriority w:val="99"/>
    <w:semiHidden/>
    <w:unhideWhenUsed/>
    <w:rsid w:val="000D283D"/>
    <w:rPr>
      <w:sz w:val="16"/>
      <w:szCs w:val="16"/>
    </w:rPr>
  </w:style>
  <w:style w:type="paragraph" w:styleId="CommentText">
    <w:name w:val="annotation text"/>
    <w:basedOn w:val="Normal"/>
    <w:link w:val="CommentTextChar"/>
    <w:uiPriority w:val="99"/>
    <w:semiHidden/>
    <w:unhideWhenUsed/>
    <w:rsid w:val="000D283D"/>
    <w:pPr>
      <w:spacing w:line="240" w:lineRule="auto"/>
    </w:pPr>
    <w:rPr>
      <w:sz w:val="20"/>
      <w:szCs w:val="20"/>
    </w:rPr>
  </w:style>
  <w:style w:type="character" w:customStyle="1" w:styleId="CommentTextChar">
    <w:name w:val="Comment Text Char"/>
    <w:basedOn w:val="DefaultParagraphFont"/>
    <w:link w:val="CommentText"/>
    <w:uiPriority w:val="99"/>
    <w:semiHidden/>
    <w:rsid w:val="000D283D"/>
    <w:rPr>
      <w:sz w:val="20"/>
      <w:szCs w:val="20"/>
    </w:rPr>
  </w:style>
  <w:style w:type="paragraph" w:styleId="CommentSubject">
    <w:name w:val="annotation subject"/>
    <w:basedOn w:val="CommentText"/>
    <w:next w:val="CommentText"/>
    <w:link w:val="CommentSubjectChar"/>
    <w:uiPriority w:val="99"/>
    <w:semiHidden/>
    <w:unhideWhenUsed/>
    <w:rsid w:val="000D283D"/>
    <w:rPr>
      <w:b/>
      <w:bCs/>
    </w:rPr>
  </w:style>
  <w:style w:type="character" w:customStyle="1" w:styleId="CommentSubjectChar">
    <w:name w:val="Comment Subject Char"/>
    <w:basedOn w:val="CommentTextChar"/>
    <w:link w:val="CommentSubject"/>
    <w:uiPriority w:val="99"/>
    <w:semiHidden/>
    <w:rsid w:val="000D2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29193</Words>
  <Characters>16641</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Likumprojekta "Veselības aprūpes finansēšanas likums" sākotnējās ietekmes novērtējuma ziņojums</vt:lpstr>
    </vt:vector>
  </TitlesOfParts>
  <Company>Veselības ministrija</Company>
  <LinksUpToDate>false</LinksUpToDate>
  <CharactersWithSpaces>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"Veselības aprūpes finansēšanas likums" sākotnējās ietekmes novērtējuma ziņojums</dc:title>
  <dc:subject>Anotācija</dc:subject>
  <dc:creator>Anita Jurševica</dc:creator>
  <cp:keywords>Anotācija</cp:keywords>
  <dc:description>67876186, 
anita.jursevica@vm.gov.lv</dc:description>
  <cp:lastModifiedBy>Anita Jurševica</cp:lastModifiedBy>
  <cp:revision>3</cp:revision>
  <cp:lastPrinted>2017-09-25T06:36:00Z</cp:lastPrinted>
  <dcterms:created xsi:type="dcterms:W3CDTF">2017-09-26T06:15:00Z</dcterms:created>
  <dcterms:modified xsi:type="dcterms:W3CDTF">2017-09-26T06:23:00Z</dcterms:modified>
</cp:coreProperties>
</file>