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06" w:rsidRPr="00B45666" w:rsidRDefault="00DD2228" w:rsidP="003C2151">
      <w:pPr>
        <w:jc w:val="center"/>
        <w:rPr>
          <w:b/>
          <w:bCs/>
          <w:sz w:val="26"/>
          <w:szCs w:val="26"/>
        </w:rPr>
      </w:pPr>
      <w:r w:rsidRPr="00B45666">
        <w:rPr>
          <w:b/>
          <w:bCs/>
          <w:sz w:val="26"/>
          <w:szCs w:val="26"/>
        </w:rPr>
        <w:t xml:space="preserve">Informatīvais ziņojums </w:t>
      </w:r>
      <w:r w:rsidR="004B51FA" w:rsidRPr="00B45666">
        <w:rPr>
          <w:b/>
          <w:bCs/>
          <w:sz w:val="26"/>
          <w:szCs w:val="26"/>
        </w:rPr>
        <w:t xml:space="preserve">“Par </w:t>
      </w:r>
      <w:r w:rsidR="00377170">
        <w:rPr>
          <w:b/>
          <w:bCs/>
          <w:sz w:val="26"/>
          <w:szCs w:val="26"/>
        </w:rPr>
        <w:t>tālāku rindu samazināšanu sekundārā ambulatorā veselības aprūpē</w:t>
      </w:r>
      <w:r w:rsidR="004B51FA" w:rsidRPr="00B45666">
        <w:rPr>
          <w:b/>
          <w:bCs/>
          <w:sz w:val="26"/>
          <w:szCs w:val="26"/>
        </w:rPr>
        <w:t>”</w:t>
      </w:r>
    </w:p>
    <w:p w:rsidR="003C2151" w:rsidRDefault="003C2151" w:rsidP="00B45666">
      <w:pPr>
        <w:spacing w:after="80"/>
        <w:ind w:firstLine="720"/>
        <w:jc w:val="both"/>
      </w:pPr>
    </w:p>
    <w:p w:rsidR="00377170" w:rsidRPr="00377170" w:rsidRDefault="00DD2228" w:rsidP="00377170">
      <w:pPr>
        <w:spacing w:after="80"/>
        <w:ind w:firstLine="720"/>
        <w:jc w:val="both"/>
        <w:rPr>
          <w:color w:val="2A2A2A"/>
        </w:rPr>
      </w:pPr>
      <w:r w:rsidRPr="00377170">
        <w:t>Informatīvais ziņojums</w:t>
      </w:r>
      <w:r w:rsidR="00245344" w:rsidRPr="00377170">
        <w:t xml:space="preserve"> (turpmāk </w:t>
      </w:r>
      <w:r w:rsidRPr="00377170">
        <w:t>–</w:t>
      </w:r>
      <w:r>
        <w:t xml:space="preserve">Informatīvais </w:t>
      </w:r>
      <w:r w:rsidR="00245344" w:rsidRPr="00377170">
        <w:t xml:space="preserve">ziņojums) ir sagatavots atbilstoši </w:t>
      </w:r>
      <w:r w:rsidR="00F615C8" w:rsidRPr="00377170">
        <w:t xml:space="preserve">Ministru kabineta </w:t>
      </w:r>
      <w:r w:rsidRPr="00377170">
        <w:t>2017</w:t>
      </w:r>
      <w:r w:rsidR="00C14920" w:rsidRPr="00377170">
        <w:t xml:space="preserve">.gada </w:t>
      </w:r>
      <w:r w:rsidRPr="00377170">
        <w:t>14</w:t>
      </w:r>
      <w:r w:rsidR="00F615C8" w:rsidRPr="00377170">
        <w:t>.</w:t>
      </w:r>
      <w:r w:rsidRPr="00377170">
        <w:t>februāra sēdes protokola Nr.7 45</w:t>
      </w:r>
      <w:r w:rsidR="00F615C8" w:rsidRPr="00377170">
        <w:t xml:space="preserve">§ </w:t>
      </w:r>
      <w:r w:rsidRPr="00377170">
        <w:t>3</w:t>
      </w:r>
      <w:r w:rsidR="00D6429B" w:rsidRPr="00377170">
        <w:t>.punktam, kas nosaka</w:t>
      </w:r>
      <w:r w:rsidR="002918FA">
        <w:t xml:space="preserve"> </w:t>
      </w:r>
      <w:r w:rsidR="00D6429B" w:rsidRPr="00377170">
        <w:t xml:space="preserve">Veselības ministrijai </w:t>
      </w:r>
      <w:r w:rsidRPr="00377170">
        <w:t>sagatavot un līdz 2017.gada 18.martam iesniegt izskatīšanai Ministru kabinetā informatīvo ziņojumu ar analīzi un priekšlikum</w:t>
      </w:r>
      <w:r w:rsidR="002918FA">
        <w:t>iem</w:t>
      </w:r>
      <w:r w:rsidRPr="00377170">
        <w:t xml:space="preserve"> par veicamajiem pasākumiem un papildus nepieciešamo finansējumu, </w:t>
      </w:r>
      <w:r w:rsidRPr="00377170">
        <w:rPr>
          <w:color w:val="2A2A2A"/>
        </w:rPr>
        <w:t>lai nodrošinātu tālāku rindu samazināšanu sekundārās ambulatorās veselības aprūpes pakalpojumiem, nepārskatot pakalpojumu apmaksas tarifus, ieskaitot prognozes par piedāvājuma izmaiņām sa</w:t>
      </w:r>
      <w:r w:rsidR="002918FA">
        <w:rPr>
          <w:color w:val="2A2A2A"/>
        </w:rPr>
        <w:t>istībā</w:t>
      </w:r>
      <w:r w:rsidRPr="00377170">
        <w:rPr>
          <w:color w:val="2A2A2A"/>
        </w:rPr>
        <w:t xml:space="preserve"> ar pacientu uzvedības maiņu, vairāk izvēloties valsts apmaksātos pakalpojumus. </w:t>
      </w:r>
    </w:p>
    <w:p w:rsidR="007F392F" w:rsidRPr="003B6DC4" w:rsidRDefault="00DD2228" w:rsidP="00E7493A">
      <w:pPr>
        <w:spacing w:after="80"/>
        <w:ind w:firstLine="709"/>
        <w:jc w:val="both"/>
        <w:rPr>
          <w:color w:val="000000" w:themeColor="text1"/>
        </w:rPr>
      </w:pPr>
      <w:r>
        <w:t xml:space="preserve">Informatīvais ziņojums izstrādāts ar mērķi īstenot </w:t>
      </w:r>
      <w:r w:rsidR="00E7493A">
        <w:t>attīstības</w:t>
      </w:r>
      <w:r w:rsidR="00E7493A" w:rsidRPr="003B6DC4">
        <w:t xml:space="preserve"> plānošanas dokumentā „Sabiedrības veselības pamatnostādnes 2014.-2020.gadam”</w:t>
      </w:r>
      <w:r>
        <w:rPr>
          <w:rStyle w:val="FootnoteReference"/>
          <w:color w:val="414142"/>
        </w:rPr>
        <w:footnoteReference w:id="2"/>
      </w:r>
      <w:r w:rsidR="00E7493A">
        <w:t xml:space="preserve"> noteikto - </w:t>
      </w:r>
      <w:r w:rsidRPr="003B6DC4">
        <w:t>palielināt Latvijas iedzīvotāju veselīgi nodzīvoto mūža gadu skaitu un novērst priekšlaicīgu nāvi, saglabājot, uzlabojot un atjaunojot iedzīvotāju</w:t>
      </w:r>
      <w:r w:rsidR="00E7493A">
        <w:t xml:space="preserve"> veselību. Lai sasniegtu šo </w:t>
      </w:r>
      <w:r w:rsidRPr="003B6DC4">
        <w:t xml:space="preserve">mērķi, līdz </w:t>
      </w:r>
      <w:r w:rsidRPr="003B6DC4">
        <w:rPr>
          <w:color w:val="000000" w:themeColor="text1"/>
        </w:rPr>
        <w:t xml:space="preserve">2020. gadam </w:t>
      </w:r>
      <w:r w:rsidR="004D142A">
        <w:rPr>
          <w:color w:val="000000" w:themeColor="text1"/>
        </w:rPr>
        <w:t>ir plānots</w:t>
      </w:r>
      <w:r w:rsidRPr="003B6DC4">
        <w:rPr>
          <w:color w:val="000000" w:themeColor="text1"/>
        </w:rPr>
        <w:t>:</w:t>
      </w:r>
    </w:p>
    <w:p w:rsidR="007F392F" w:rsidRPr="003B6DC4" w:rsidRDefault="00DD2228" w:rsidP="00D6632E">
      <w:pPr>
        <w:pStyle w:val="ListParagraph"/>
        <w:numPr>
          <w:ilvl w:val="0"/>
          <w:numId w:val="1"/>
        </w:numPr>
        <w:shd w:val="clear" w:color="auto" w:fill="FFFFFF"/>
        <w:tabs>
          <w:tab w:val="left" w:pos="1134"/>
        </w:tabs>
        <w:spacing w:after="80"/>
        <w:ind w:firstLine="108"/>
        <w:jc w:val="both"/>
        <w:rPr>
          <w:rFonts w:ascii="Times New Roman" w:eastAsia="Times New Roman" w:hAnsi="Times New Roman"/>
          <w:color w:val="000000" w:themeColor="text1"/>
          <w:sz w:val="24"/>
          <w:szCs w:val="24"/>
          <w:lang w:val="lv-LV" w:eastAsia="lv-LV"/>
        </w:rPr>
      </w:pPr>
      <w:r w:rsidRPr="003B6DC4">
        <w:rPr>
          <w:rFonts w:ascii="Times New Roman" w:eastAsia="Times New Roman" w:hAnsi="Times New Roman"/>
          <w:color w:val="000000" w:themeColor="text1"/>
          <w:sz w:val="24"/>
          <w:szCs w:val="24"/>
          <w:lang w:val="lv-LV" w:eastAsia="lv-LV"/>
        </w:rPr>
        <w:t>par trim gadiem palielināt veselīgi nodzīvoto mūža gadu skaitu (2020. gadā sasniegt 57 gadus vīriešiem un 60 gadus sievietēm)</w:t>
      </w:r>
      <w:r>
        <w:rPr>
          <w:rStyle w:val="FootnoteReference"/>
          <w:rFonts w:ascii="Times New Roman" w:eastAsia="Times New Roman" w:hAnsi="Times New Roman"/>
          <w:color w:val="000000" w:themeColor="text1"/>
          <w:sz w:val="24"/>
          <w:szCs w:val="24"/>
          <w:lang w:val="lv-LV" w:eastAsia="lv-LV"/>
        </w:rPr>
        <w:footnoteReference w:id="3"/>
      </w:r>
      <w:r w:rsidRPr="003B6DC4">
        <w:rPr>
          <w:rFonts w:ascii="Times New Roman" w:eastAsia="Times New Roman" w:hAnsi="Times New Roman"/>
          <w:color w:val="000000" w:themeColor="text1"/>
          <w:sz w:val="24"/>
          <w:szCs w:val="24"/>
          <w:lang w:val="lv-LV" w:eastAsia="lv-LV"/>
        </w:rPr>
        <w:t>;</w:t>
      </w:r>
    </w:p>
    <w:p w:rsidR="007F392F" w:rsidRDefault="00DD2228" w:rsidP="00D6632E">
      <w:pPr>
        <w:pStyle w:val="ListParagraph"/>
        <w:numPr>
          <w:ilvl w:val="0"/>
          <w:numId w:val="1"/>
        </w:numPr>
        <w:shd w:val="clear" w:color="auto" w:fill="FFFFFF"/>
        <w:tabs>
          <w:tab w:val="left" w:pos="1134"/>
        </w:tabs>
        <w:spacing w:after="80"/>
        <w:ind w:firstLine="108"/>
        <w:jc w:val="both"/>
        <w:rPr>
          <w:rFonts w:ascii="Times New Roman" w:eastAsia="Times New Roman" w:hAnsi="Times New Roman"/>
          <w:color w:val="000000" w:themeColor="text1"/>
          <w:sz w:val="24"/>
          <w:szCs w:val="24"/>
          <w:lang w:val="lv-LV" w:eastAsia="lv-LV"/>
        </w:rPr>
      </w:pPr>
      <w:r w:rsidRPr="003B6DC4">
        <w:rPr>
          <w:rFonts w:ascii="Times New Roman" w:eastAsia="Times New Roman" w:hAnsi="Times New Roman"/>
          <w:color w:val="000000" w:themeColor="text1"/>
          <w:sz w:val="24"/>
          <w:szCs w:val="24"/>
          <w:lang w:val="lv-LV" w:eastAsia="lv-LV"/>
        </w:rPr>
        <w:t>par 11 % samazināt potenciāli zaudēto mūža gadu (līdz 64 gadu vecumam)</w:t>
      </w:r>
      <w:r>
        <w:rPr>
          <w:rStyle w:val="FootnoteReference"/>
          <w:rFonts w:ascii="Times New Roman" w:eastAsia="Times New Roman" w:hAnsi="Times New Roman"/>
          <w:color w:val="000000" w:themeColor="text1"/>
          <w:sz w:val="24"/>
          <w:szCs w:val="24"/>
          <w:lang w:val="lv-LV" w:eastAsia="lv-LV"/>
        </w:rPr>
        <w:footnoteReference w:id="4"/>
      </w:r>
      <w:r w:rsidRPr="003B6DC4">
        <w:rPr>
          <w:rFonts w:ascii="Times New Roman" w:eastAsia="Times New Roman" w:hAnsi="Times New Roman"/>
          <w:color w:val="000000" w:themeColor="text1"/>
          <w:sz w:val="24"/>
          <w:szCs w:val="24"/>
          <w:lang w:val="lv-LV" w:eastAsia="lv-LV"/>
        </w:rPr>
        <w:t xml:space="preserve"> rādītāju (2020. gadā sasniegt 5 300 uz 100 000 iedzīvotāju).</w:t>
      </w:r>
    </w:p>
    <w:p w:rsidR="002918FA" w:rsidRDefault="00DD2228" w:rsidP="00863152">
      <w:pPr>
        <w:shd w:val="clear" w:color="auto" w:fill="FFFFFF"/>
        <w:tabs>
          <w:tab w:val="left" w:pos="709"/>
        </w:tabs>
        <w:spacing w:after="80"/>
        <w:jc w:val="both"/>
        <w:rPr>
          <w:color w:val="000000" w:themeColor="text1"/>
        </w:rPr>
      </w:pPr>
      <w:r>
        <w:rPr>
          <w:color w:val="000000" w:themeColor="text1"/>
        </w:rPr>
        <w:tab/>
      </w:r>
      <w:r w:rsidR="003067FC">
        <w:rPr>
          <w:color w:val="000000" w:themeColor="text1"/>
        </w:rPr>
        <w:t xml:space="preserve">Lai palielinātu veselīgi nodzīvoto mūža gadu skaitu, kā arī samazinātu potenciāli zaudētos mūža gadus,  </w:t>
      </w:r>
      <w:r w:rsidR="003D2C70">
        <w:rPr>
          <w:color w:val="000000" w:themeColor="text1"/>
        </w:rPr>
        <w:t>pacientiem nepieciešams nodrošināt savlaicīgu diagnostiku un ārstēšanu slimību agrīnā</w:t>
      </w:r>
      <w:r>
        <w:rPr>
          <w:color w:val="000000" w:themeColor="text1"/>
        </w:rPr>
        <w:t xml:space="preserve"> </w:t>
      </w:r>
      <w:r w:rsidR="003D2C70">
        <w:rPr>
          <w:color w:val="000000" w:themeColor="text1"/>
        </w:rPr>
        <w:t>st</w:t>
      </w:r>
      <w:r>
        <w:rPr>
          <w:color w:val="000000" w:themeColor="text1"/>
        </w:rPr>
        <w:t>adijā</w:t>
      </w:r>
      <w:r w:rsidR="003D2C70">
        <w:rPr>
          <w:color w:val="000000" w:themeColor="text1"/>
        </w:rPr>
        <w:t xml:space="preserve">, kas </w:t>
      </w:r>
      <w:r>
        <w:rPr>
          <w:color w:val="000000" w:themeColor="text1"/>
        </w:rPr>
        <w:t xml:space="preserve">sniedz ne tikai medicīniski, bet arī ekonomiski efektīvāku rezultātu </w:t>
      </w:r>
      <w:r w:rsidR="003D2C70">
        <w:rPr>
          <w:color w:val="000000" w:themeColor="text1"/>
        </w:rPr>
        <w:t xml:space="preserve">nekā neatliekamās medicīniskās </w:t>
      </w:r>
      <w:r>
        <w:rPr>
          <w:color w:val="000000" w:themeColor="text1"/>
        </w:rPr>
        <w:t xml:space="preserve">palīdzības </w:t>
      </w:r>
      <w:r w:rsidR="003D2C70">
        <w:rPr>
          <w:color w:val="000000" w:themeColor="text1"/>
        </w:rPr>
        <w:t xml:space="preserve">vai plānveida stacionārās palīdzības sniegšana. </w:t>
      </w:r>
      <w:r w:rsidR="003067FC">
        <w:rPr>
          <w:color w:val="000000" w:themeColor="text1"/>
        </w:rPr>
        <w:t xml:space="preserve"> </w:t>
      </w:r>
      <w:r>
        <w:rPr>
          <w:color w:val="000000" w:themeColor="text1"/>
        </w:rPr>
        <w:t>Nākamais posms aiz primārās veselības aprūpes, kurā var ambulatori saņemt speciālistu konsultācijas un diagnostiskos izmeklējumus ir sekundārā ambulatorā veselības aprūpe.</w:t>
      </w:r>
    </w:p>
    <w:p w:rsidR="00886420" w:rsidRPr="003067FC" w:rsidRDefault="00886420" w:rsidP="003067FC">
      <w:pPr>
        <w:shd w:val="clear" w:color="auto" w:fill="FFFFFF"/>
        <w:tabs>
          <w:tab w:val="left" w:pos="1134"/>
        </w:tabs>
        <w:spacing w:after="80"/>
        <w:jc w:val="both"/>
        <w:rPr>
          <w:color w:val="000000" w:themeColor="text1"/>
        </w:rPr>
      </w:pPr>
    </w:p>
    <w:p w:rsidR="003A2CC3" w:rsidRPr="003B6DC4" w:rsidRDefault="00DD2228" w:rsidP="00D6632E">
      <w:pPr>
        <w:pStyle w:val="Heading1"/>
        <w:numPr>
          <w:ilvl w:val="0"/>
          <w:numId w:val="2"/>
        </w:numPr>
        <w:spacing w:before="0" w:after="200"/>
        <w:ind w:left="357" w:hanging="357"/>
        <w:jc w:val="center"/>
        <w:rPr>
          <w:rFonts w:ascii="Times New Roman" w:hAnsi="Times New Roman" w:cs="Times New Roman"/>
          <w:b/>
          <w:color w:val="auto"/>
          <w:sz w:val="28"/>
          <w:szCs w:val="28"/>
        </w:rPr>
      </w:pPr>
      <w:r w:rsidRPr="003B6DC4">
        <w:rPr>
          <w:rFonts w:ascii="Times New Roman" w:hAnsi="Times New Roman" w:cs="Times New Roman"/>
          <w:b/>
          <w:color w:val="auto"/>
          <w:sz w:val="28"/>
          <w:szCs w:val="28"/>
        </w:rPr>
        <w:t xml:space="preserve">Esošās situācijas </w:t>
      </w:r>
      <w:r w:rsidR="00F87A35" w:rsidRPr="003B6DC4">
        <w:rPr>
          <w:rFonts w:ascii="Times New Roman" w:hAnsi="Times New Roman" w:cs="Times New Roman"/>
          <w:b/>
          <w:color w:val="auto"/>
          <w:sz w:val="28"/>
          <w:szCs w:val="28"/>
        </w:rPr>
        <w:t>apraksts</w:t>
      </w:r>
      <w:r w:rsidR="00503B59">
        <w:rPr>
          <w:rFonts w:ascii="Times New Roman" w:hAnsi="Times New Roman" w:cs="Times New Roman"/>
          <w:b/>
          <w:color w:val="auto"/>
          <w:sz w:val="28"/>
          <w:szCs w:val="28"/>
        </w:rPr>
        <w:t xml:space="preserve"> un </w:t>
      </w:r>
      <w:proofErr w:type="spellStart"/>
      <w:r w:rsidR="00503B59">
        <w:rPr>
          <w:rFonts w:ascii="Times New Roman" w:hAnsi="Times New Roman" w:cs="Times New Roman"/>
          <w:b/>
          <w:color w:val="auto"/>
          <w:sz w:val="28"/>
          <w:szCs w:val="28"/>
        </w:rPr>
        <w:t>izvērtējums</w:t>
      </w:r>
      <w:proofErr w:type="spellEnd"/>
    </w:p>
    <w:p w:rsidR="00B90904" w:rsidRDefault="00DD2228" w:rsidP="00B90904">
      <w:pPr>
        <w:ind w:firstLine="720"/>
        <w:jc w:val="both"/>
      </w:pPr>
      <w:r w:rsidRPr="00BE28E0">
        <w:rPr>
          <w:lang w:bidi="lo-LA"/>
        </w:rPr>
        <w:t>Sekundārā ambulatorā veselības aprūpe ir veselības aprūpes pakalpojumu kopums, ko sniedz kādā slimību profilā specializējusies ārstniecības persona vai ārstniecības atbalsta persona, kā arī ambulatori veiktie laboratoriskie, vizuālās diagnostikas izmeklēj</w:t>
      </w:r>
      <w:r>
        <w:rPr>
          <w:lang w:bidi="lo-LA"/>
        </w:rPr>
        <w:t>umi un dienas stacionārā sniegtā</w:t>
      </w:r>
      <w:r w:rsidRPr="00BE28E0">
        <w:rPr>
          <w:lang w:bidi="lo-LA"/>
        </w:rPr>
        <w:t xml:space="preserve"> veselības aprūpe. </w:t>
      </w:r>
      <w:r>
        <w:rPr>
          <w:lang w:bidi="lo-LA"/>
        </w:rPr>
        <w:t>Sekundārai ambulatorai veselības aprūpei ir ļoti būtiska loma iedzīvotāju veselības uzturēšanā un uzlabošanā, nodrošinot iedzīvotājiem konsultācijas un ārstēšanu ambulator</w:t>
      </w:r>
      <w:r w:rsidR="002461FF">
        <w:rPr>
          <w:lang w:bidi="lo-LA"/>
        </w:rPr>
        <w:t xml:space="preserve">i. </w:t>
      </w:r>
      <w:r w:rsidR="002918FA">
        <w:rPr>
          <w:lang w:bidi="lo-LA"/>
        </w:rPr>
        <w:t>Ņ</w:t>
      </w:r>
      <w:r>
        <w:t>emot vērā potenciāli zaudēto mūža gadu rādītāju</w:t>
      </w:r>
      <w:r w:rsidRPr="003B6DC4">
        <w:t xml:space="preserve"> un iekšzemes kopproduktu uz vienu iedzīvotāju, valsts tautsaimniecība saistībā ar priekšlaicīgi mirušajiem zaudējusi vairāk nekā 1 </w:t>
      </w:r>
      <w:r w:rsidRPr="003B6DC4">
        <w:lastRenderedPageBreak/>
        <w:t xml:space="preserve">miljardu </w:t>
      </w:r>
      <w:proofErr w:type="spellStart"/>
      <w:r w:rsidRPr="003B6DC4">
        <w:rPr>
          <w:i/>
        </w:rPr>
        <w:t>euro</w:t>
      </w:r>
      <w:proofErr w:type="spellEnd"/>
      <w:r w:rsidRPr="003B6DC4">
        <w:rPr>
          <w:i/>
        </w:rPr>
        <w:t xml:space="preserve"> </w:t>
      </w:r>
      <w:r w:rsidRPr="003B6DC4">
        <w:t>gadā</w:t>
      </w:r>
      <w:r>
        <w:rPr>
          <w:rStyle w:val="FootnoteReference"/>
        </w:rPr>
        <w:footnoteReference w:id="5"/>
      </w:r>
      <w:r w:rsidRPr="003B6DC4">
        <w:t xml:space="preserve">, savukārt valsts budžets tikai neiekasētajos darbaspēka nodokļos, neskaitot citus nodokļu veidus, zaudējis vairāk nekā 431 miljonu </w:t>
      </w:r>
      <w:proofErr w:type="spellStart"/>
      <w:r w:rsidRPr="003B6DC4">
        <w:rPr>
          <w:i/>
        </w:rPr>
        <w:t>euro</w:t>
      </w:r>
      <w:proofErr w:type="spellEnd"/>
      <w:r>
        <w:rPr>
          <w:rStyle w:val="FootnoteReference"/>
          <w:i/>
        </w:rPr>
        <w:footnoteReference w:id="6"/>
      </w:r>
      <w:r w:rsidRPr="003B6DC4">
        <w:t>.</w:t>
      </w:r>
    </w:p>
    <w:p w:rsidR="002461FF" w:rsidRDefault="00DD2228" w:rsidP="00B90904">
      <w:pPr>
        <w:ind w:firstLine="720"/>
        <w:jc w:val="both"/>
      </w:pPr>
      <w:r>
        <w:t xml:space="preserve">Atbilstoši </w:t>
      </w:r>
      <w:r w:rsidRPr="00377170">
        <w:t xml:space="preserve">Ministru kabineta 2017.gada 14.februāra sēdes protokola Nr.7 45§ </w:t>
      </w:r>
      <w:r>
        <w:t>1</w:t>
      </w:r>
      <w:r w:rsidRPr="00377170">
        <w:t>.</w:t>
      </w:r>
      <w:r>
        <w:t>un 5</w:t>
      </w:r>
      <w:r w:rsidR="00572EC7">
        <w:t>.</w:t>
      </w:r>
      <w:r w:rsidRPr="00377170">
        <w:t>punktam</w:t>
      </w:r>
      <w:r>
        <w:t xml:space="preserve">, Veselības ministrijai 2017.gadā piešķirts rezervētais finansējums sekundārās ambulatorās veselības aprūpes pakalpojumu pieejamības uzlabošanai 16 599 307 </w:t>
      </w:r>
      <w:proofErr w:type="spellStart"/>
      <w:r w:rsidR="00195916" w:rsidRPr="00B3708B">
        <w:rPr>
          <w:i/>
        </w:rPr>
        <w:t>euro</w:t>
      </w:r>
      <w:proofErr w:type="spellEnd"/>
      <w:r w:rsidRPr="00B3708B">
        <w:rPr>
          <w:i/>
        </w:rPr>
        <w:t xml:space="preserve"> </w:t>
      </w:r>
      <w:r>
        <w:t xml:space="preserve">apmērā. </w:t>
      </w:r>
      <w:r w:rsidR="00404214">
        <w:t>A</w:t>
      </w:r>
      <w:r w:rsidR="00572EC7">
        <w:t xml:space="preserve">r minēto papildus pieejamības nodrošinājumu </w:t>
      </w:r>
      <w:r w:rsidR="00404214">
        <w:t xml:space="preserve">plānots nosegt aptuveni 25 % rindu samazinājumu. </w:t>
      </w:r>
      <w:r>
        <w:t xml:space="preserve">Lai realizētu plānoto rindu samazinājumu, </w:t>
      </w:r>
      <w:r w:rsidR="00572EC7">
        <w:t xml:space="preserve">Nacionālais veselības dienests noslēdzis līgumus </w:t>
      </w:r>
      <w:r w:rsidR="00572EC7" w:rsidRPr="003E1BFF">
        <w:t xml:space="preserve">ar </w:t>
      </w:r>
      <w:r w:rsidR="003E1BFF" w:rsidRPr="003E1BFF">
        <w:t>252</w:t>
      </w:r>
      <w:r w:rsidR="00572EC7" w:rsidRPr="003E1BFF">
        <w:t xml:space="preserve"> ārstniecības</w:t>
      </w:r>
      <w:r w:rsidR="00572EC7">
        <w:t xml:space="preserve"> iestādēm par valsts apmaksātu </w:t>
      </w:r>
      <w:r w:rsidR="003D2C70">
        <w:t xml:space="preserve">papildus </w:t>
      </w:r>
      <w:r w:rsidR="00572EC7">
        <w:t xml:space="preserve">270 246 speciālistu konsultāciju sniegšanu, par 328 076 </w:t>
      </w:r>
      <w:r w:rsidR="003D2C70">
        <w:t xml:space="preserve">papildus </w:t>
      </w:r>
      <w:r w:rsidR="00572EC7">
        <w:t xml:space="preserve">ambulatoro izmeklējumu un terapiju sniegšanu, par 62 472 </w:t>
      </w:r>
      <w:r w:rsidR="003D2C70">
        <w:t xml:space="preserve">papildus </w:t>
      </w:r>
      <w:r w:rsidR="00572EC7">
        <w:t xml:space="preserve">dienas stacionāra pakalpojumu sniegšanu un 70 028 </w:t>
      </w:r>
      <w:r w:rsidR="003D2C70">
        <w:t xml:space="preserve">papildus </w:t>
      </w:r>
      <w:r w:rsidR="00572EC7">
        <w:t xml:space="preserve">ambulatoro rehabilitāciju veikšanu. </w:t>
      </w:r>
    </w:p>
    <w:p w:rsidR="00FE3068" w:rsidRDefault="00DD2228" w:rsidP="00B90904">
      <w:pPr>
        <w:ind w:firstLine="720"/>
        <w:jc w:val="both"/>
      </w:pPr>
      <w:r>
        <w:t xml:space="preserve">Tomēr 25 % rindu samazinājums </w:t>
      </w:r>
      <w:r w:rsidR="002461FF">
        <w:t>tikai daļēji sniegs</w:t>
      </w:r>
      <w:r>
        <w:t xml:space="preserve"> nepieciešamo pienesumu tautsaimniecībai </w:t>
      </w:r>
      <w:r w:rsidR="002461FF">
        <w:t xml:space="preserve">atgriežot </w:t>
      </w:r>
      <w:r>
        <w:t>pacient</w:t>
      </w:r>
      <w:r w:rsidR="002461FF">
        <w:t>us aktīvā darba dzīvē vai funkcionēšanā</w:t>
      </w:r>
      <w:r>
        <w:t xml:space="preserve">. </w:t>
      </w:r>
      <w:r w:rsidR="002461FF">
        <w:t>Attiecīgi,</w:t>
      </w:r>
      <w:r>
        <w:t xml:space="preserve"> reformu ietvaros plānots turpināt intervenci ambulatoro pakalpojumu pi</w:t>
      </w:r>
      <w:r w:rsidR="003D2C70">
        <w:t>eejamības jomā sasniedzot</w:t>
      </w:r>
      <w:r>
        <w:t xml:space="preserve"> </w:t>
      </w:r>
      <w:r w:rsidR="00F039BA">
        <w:t xml:space="preserve">virs </w:t>
      </w:r>
      <w:r>
        <w:t>50 % gaidīšanas rindu samazin</w:t>
      </w:r>
      <w:r w:rsidR="00615095">
        <w:t>ājumu, ka</w:t>
      </w:r>
      <w:r w:rsidR="002461FF">
        <w:t>m nepieciešami</w:t>
      </w:r>
      <w:r w:rsidR="003D2C70">
        <w:t xml:space="preserve"> </w:t>
      </w:r>
      <w:r w:rsidR="00195916">
        <w:t xml:space="preserve">24 898 970 </w:t>
      </w:r>
      <w:proofErr w:type="spellStart"/>
      <w:r w:rsidR="00195916" w:rsidRPr="00B3708B">
        <w:rPr>
          <w:i/>
        </w:rPr>
        <w:t>euro</w:t>
      </w:r>
      <w:proofErr w:type="spellEnd"/>
      <w:r w:rsidR="002461FF">
        <w:t xml:space="preserve"> jeb </w:t>
      </w:r>
      <w:r w:rsidR="00195916">
        <w:t xml:space="preserve"> 1 096 219 </w:t>
      </w:r>
      <w:r w:rsidR="002461FF">
        <w:t>ār</w:t>
      </w:r>
      <w:r w:rsidR="00B3708B">
        <w:t>s</w:t>
      </w:r>
      <w:r w:rsidR="002461FF">
        <w:t xml:space="preserve">tniecības un diagnostiskie </w:t>
      </w:r>
      <w:r w:rsidR="00195916">
        <w:t>pakalpojum</w:t>
      </w:r>
      <w:r w:rsidR="002461FF">
        <w:t>i</w:t>
      </w:r>
      <w:r w:rsidR="00195916">
        <w:t xml:space="preserve">. </w:t>
      </w:r>
    </w:p>
    <w:p w:rsidR="00FE3068" w:rsidRDefault="00DD2228" w:rsidP="00FE3068">
      <w:pPr>
        <w:ind w:firstLine="720"/>
        <w:jc w:val="both"/>
      </w:pPr>
      <w:r>
        <w:t xml:space="preserve">Atbilstoši Nacionālā veselības dienesta aptaujas datiem, apzinātas ārstniecības iestādes un to iespējas sniegt papildus valsts apmaksātos pakalpojumus, nepārskatot pakalpojumu tarifus (skat.1.tabulu). </w:t>
      </w:r>
    </w:p>
    <w:p w:rsidR="00D1191F" w:rsidRDefault="00D1191F" w:rsidP="00FE3068">
      <w:pPr>
        <w:ind w:firstLine="720"/>
        <w:jc w:val="both"/>
      </w:pPr>
    </w:p>
    <w:p w:rsidR="00D1191F" w:rsidRDefault="00D1191F" w:rsidP="00FE3068">
      <w:pPr>
        <w:ind w:firstLine="720"/>
        <w:jc w:val="both"/>
      </w:pPr>
    </w:p>
    <w:p w:rsidR="00FE3068" w:rsidRPr="008603A3" w:rsidRDefault="00DD2228" w:rsidP="00FE3068">
      <w:pPr>
        <w:ind w:firstLine="720"/>
        <w:jc w:val="right"/>
        <w:rPr>
          <w:i/>
        </w:rPr>
      </w:pPr>
      <w:r>
        <w:rPr>
          <w:i/>
        </w:rPr>
        <w:t>1</w:t>
      </w:r>
      <w:r w:rsidRPr="008603A3">
        <w:rPr>
          <w:i/>
        </w:rPr>
        <w:t xml:space="preserve">.tabula </w:t>
      </w:r>
    </w:p>
    <w:p w:rsidR="00FE3068" w:rsidRDefault="00DD2228" w:rsidP="00FE3068">
      <w:pPr>
        <w:spacing w:after="120"/>
        <w:jc w:val="center"/>
        <w:rPr>
          <w:noProof/>
        </w:rPr>
      </w:pPr>
      <w:r w:rsidRPr="008603A3">
        <w:rPr>
          <w:b/>
        </w:rPr>
        <w:t>Ārstniecības iestāžu iespējas sniegt papildus veselības aprūpes pakalpojumus</w:t>
      </w:r>
    </w:p>
    <w:tbl>
      <w:tblPr>
        <w:tblW w:w="6091" w:type="dxa"/>
        <w:jc w:val="center"/>
        <w:tblLook w:val="04A0" w:firstRow="1" w:lastRow="0" w:firstColumn="1" w:lastColumn="0" w:noHBand="0" w:noVBand="1"/>
      </w:tblPr>
      <w:tblGrid>
        <w:gridCol w:w="864"/>
        <w:gridCol w:w="2959"/>
        <w:gridCol w:w="2268"/>
      </w:tblGrid>
      <w:tr w:rsidR="0014269D" w:rsidTr="00F56918">
        <w:trPr>
          <w:trHeight w:val="276"/>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E3068" w:rsidRPr="002B2539" w:rsidRDefault="00DD2228" w:rsidP="000676E3">
            <w:pPr>
              <w:jc w:val="center"/>
              <w:rPr>
                <w:b/>
                <w:bCs/>
                <w:color w:val="000000"/>
              </w:rPr>
            </w:pPr>
            <w:r w:rsidRPr="002B2539">
              <w:rPr>
                <w:b/>
                <w:bCs/>
                <w:color w:val="000000"/>
              </w:rPr>
              <w:t>Nr. p. k.</w:t>
            </w:r>
          </w:p>
        </w:tc>
        <w:tc>
          <w:tcPr>
            <w:tcW w:w="2959"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E3068" w:rsidRPr="002B2539" w:rsidRDefault="00DD2228" w:rsidP="000676E3">
            <w:pPr>
              <w:jc w:val="center"/>
              <w:rPr>
                <w:b/>
                <w:bCs/>
                <w:color w:val="000000"/>
              </w:rPr>
            </w:pPr>
            <w:r w:rsidRPr="002B2539">
              <w:rPr>
                <w:b/>
                <w:bCs/>
                <w:color w:val="000000"/>
              </w:rPr>
              <w:t>Pakalpojumu veids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FE3068" w:rsidRPr="002B2539" w:rsidRDefault="00DD2228" w:rsidP="000676E3">
            <w:pPr>
              <w:jc w:val="center"/>
              <w:rPr>
                <w:b/>
                <w:bCs/>
                <w:color w:val="000000"/>
              </w:rPr>
            </w:pPr>
            <w:r>
              <w:rPr>
                <w:b/>
                <w:bCs/>
                <w:color w:val="000000"/>
              </w:rPr>
              <w:t>Pakalpojumu skaits gadā</w:t>
            </w:r>
          </w:p>
        </w:tc>
      </w:tr>
      <w:tr w:rsidR="0014269D" w:rsidTr="00F56918">
        <w:trPr>
          <w:trHeight w:val="517"/>
          <w:jc w:val="center"/>
        </w:trPr>
        <w:tc>
          <w:tcPr>
            <w:tcW w:w="864"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E3068" w:rsidRPr="002B2539" w:rsidRDefault="00FE3068" w:rsidP="000676E3">
            <w:pPr>
              <w:rPr>
                <w:bCs/>
                <w:color w:val="000000"/>
              </w:rPr>
            </w:pPr>
          </w:p>
        </w:tc>
        <w:tc>
          <w:tcPr>
            <w:tcW w:w="2959"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E3068" w:rsidRPr="002B2539" w:rsidRDefault="00FE3068" w:rsidP="000676E3">
            <w:pPr>
              <w:rPr>
                <w:bCs/>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E3068" w:rsidRPr="002B2539" w:rsidRDefault="00FE3068" w:rsidP="000676E3">
            <w:pPr>
              <w:rPr>
                <w:bCs/>
                <w:color w:val="000000"/>
              </w:rPr>
            </w:pPr>
          </w:p>
        </w:tc>
      </w:tr>
      <w:tr w:rsidR="0014269D" w:rsidTr="00F56918">
        <w:trPr>
          <w:trHeight w:val="30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E3068" w:rsidRPr="002B2539" w:rsidRDefault="00DD2228" w:rsidP="000676E3">
            <w:pPr>
              <w:jc w:val="center"/>
              <w:rPr>
                <w:color w:val="000000"/>
                <w:sz w:val="20"/>
                <w:szCs w:val="20"/>
              </w:rPr>
            </w:pPr>
            <w:r w:rsidRPr="002B2539">
              <w:rPr>
                <w:color w:val="000000"/>
                <w:sz w:val="20"/>
                <w:szCs w:val="20"/>
              </w:rPr>
              <w:t>1</w:t>
            </w:r>
          </w:p>
        </w:tc>
        <w:tc>
          <w:tcPr>
            <w:tcW w:w="2959" w:type="dxa"/>
            <w:tcBorders>
              <w:top w:val="nil"/>
              <w:left w:val="nil"/>
              <w:bottom w:val="single" w:sz="4" w:space="0" w:color="auto"/>
              <w:right w:val="single" w:sz="4" w:space="0" w:color="auto"/>
            </w:tcBorders>
            <w:shd w:val="clear" w:color="auto" w:fill="D9D9D9" w:themeFill="background1" w:themeFillShade="D9"/>
            <w:vAlign w:val="bottom"/>
            <w:hideMark/>
          </w:tcPr>
          <w:p w:rsidR="00FE3068" w:rsidRPr="002B2539" w:rsidRDefault="00DD2228" w:rsidP="000676E3">
            <w:pPr>
              <w:jc w:val="center"/>
              <w:rPr>
                <w:color w:val="000000"/>
                <w:sz w:val="20"/>
                <w:szCs w:val="20"/>
              </w:rPr>
            </w:pPr>
            <w:r w:rsidRPr="002B2539">
              <w:rPr>
                <w:color w:val="000000"/>
                <w:sz w:val="20"/>
                <w:szCs w:val="20"/>
              </w:rPr>
              <w:t>2</w:t>
            </w:r>
          </w:p>
        </w:tc>
        <w:tc>
          <w:tcPr>
            <w:tcW w:w="2268" w:type="dxa"/>
            <w:tcBorders>
              <w:top w:val="nil"/>
              <w:left w:val="nil"/>
              <w:bottom w:val="single" w:sz="4" w:space="0" w:color="auto"/>
              <w:right w:val="single" w:sz="4" w:space="0" w:color="auto"/>
            </w:tcBorders>
            <w:shd w:val="clear" w:color="auto" w:fill="D9D9D9" w:themeFill="background1" w:themeFillShade="D9"/>
            <w:vAlign w:val="bottom"/>
            <w:hideMark/>
          </w:tcPr>
          <w:p w:rsidR="00FE3068" w:rsidRPr="002B2539" w:rsidRDefault="00DD2228" w:rsidP="000676E3">
            <w:pPr>
              <w:jc w:val="center"/>
              <w:rPr>
                <w:color w:val="000000"/>
                <w:sz w:val="20"/>
                <w:szCs w:val="20"/>
              </w:rPr>
            </w:pPr>
            <w:r w:rsidRPr="002B2539">
              <w:rPr>
                <w:color w:val="000000"/>
                <w:sz w:val="20"/>
                <w:szCs w:val="20"/>
              </w:rPr>
              <w:t>3</w:t>
            </w:r>
          </w:p>
        </w:tc>
      </w:tr>
      <w:tr w:rsidR="0014269D" w:rsidTr="000676E3">
        <w:trPr>
          <w:trHeight w:val="315"/>
          <w:jc w:val="center"/>
        </w:trPr>
        <w:tc>
          <w:tcPr>
            <w:tcW w:w="864" w:type="dxa"/>
            <w:tcBorders>
              <w:top w:val="nil"/>
              <w:left w:val="single" w:sz="4" w:space="0" w:color="auto"/>
              <w:bottom w:val="single" w:sz="4" w:space="0" w:color="auto"/>
              <w:right w:val="single" w:sz="4" w:space="0" w:color="auto"/>
            </w:tcBorders>
            <w:shd w:val="clear" w:color="auto" w:fill="auto"/>
            <w:vAlign w:val="bottom"/>
            <w:hideMark/>
          </w:tcPr>
          <w:p w:rsidR="00FE3068" w:rsidRPr="002B2539" w:rsidRDefault="00DD2228" w:rsidP="000676E3">
            <w:pPr>
              <w:jc w:val="right"/>
              <w:rPr>
                <w:bCs/>
                <w:color w:val="000000"/>
              </w:rPr>
            </w:pPr>
            <w:r w:rsidRPr="002B2539">
              <w:rPr>
                <w:bCs/>
                <w:color w:val="000000"/>
              </w:rPr>
              <w:t>1</w:t>
            </w:r>
          </w:p>
        </w:tc>
        <w:tc>
          <w:tcPr>
            <w:tcW w:w="2959" w:type="dxa"/>
            <w:tcBorders>
              <w:top w:val="nil"/>
              <w:left w:val="nil"/>
              <w:bottom w:val="single" w:sz="4" w:space="0" w:color="auto"/>
              <w:right w:val="single" w:sz="4" w:space="0" w:color="auto"/>
            </w:tcBorders>
            <w:shd w:val="clear" w:color="auto" w:fill="auto"/>
            <w:noWrap/>
            <w:vAlign w:val="bottom"/>
            <w:hideMark/>
          </w:tcPr>
          <w:p w:rsidR="00FE3068" w:rsidRPr="002B2539" w:rsidRDefault="00DD2228" w:rsidP="000676E3">
            <w:pPr>
              <w:rPr>
                <w:color w:val="000000"/>
              </w:rPr>
            </w:pPr>
            <w:r w:rsidRPr="002B2539">
              <w:rPr>
                <w:color w:val="000000"/>
              </w:rPr>
              <w:t>Izmeklējumi</w:t>
            </w:r>
          </w:p>
        </w:tc>
        <w:tc>
          <w:tcPr>
            <w:tcW w:w="2268" w:type="dxa"/>
            <w:tcBorders>
              <w:top w:val="nil"/>
              <w:left w:val="nil"/>
              <w:bottom w:val="single" w:sz="4" w:space="0" w:color="auto"/>
              <w:right w:val="single" w:sz="4" w:space="0" w:color="auto"/>
            </w:tcBorders>
            <w:shd w:val="clear" w:color="auto" w:fill="auto"/>
            <w:noWrap/>
            <w:vAlign w:val="bottom"/>
            <w:hideMark/>
          </w:tcPr>
          <w:p w:rsidR="00FE3068" w:rsidRPr="002B2539" w:rsidRDefault="00DD2228" w:rsidP="000676E3">
            <w:pPr>
              <w:jc w:val="right"/>
              <w:rPr>
                <w:bCs/>
                <w:color w:val="000000"/>
              </w:rPr>
            </w:pPr>
            <w:r w:rsidRPr="002B2539">
              <w:rPr>
                <w:bCs/>
                <w:color w:val="000000"/>
              </w:rPr>
              <w:t>615 663</w:t>
            </w:r>
          </w:p>
        </w:tc>
      </w:tr>
      <w:tr w:rsidR="0014269D" w:rsidTr="000676E3">
        <w:trPr>
          <w:trHeight w:val="315"/>
          <w:jc w:val="center"/>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FE3068" w:rsidRPr="002B2539" w:rsidRDefault="00DD2228" w:rsidP="000676E3">
            <w:pPr>
              <w:jc w:val="right"/>
              <w:rPr>
                <w:bCs/>
                <w:color w:val="000000"/>
              </w:rPr>
            </w:pPr>
            <w:r w:rsidRPr="002B2539">
              <w:rPr>
                <w:bCs/>
                <w:color w:val="000000"/>
              </w:rPr>
              <w:t>2</w:t>
            </w:r>
          </w:p>
        </w:tc>
        <w:tc>
          <w:tcPr>
            <w:tcW w:w="2959" w:type="dxa"/>
            <w:tcBorders>
              <w:top w:val="nil"/>
              <w:left w:val="nil"/>
              <w:bottom w:val="single" w:sz="4" w:space="0" w:color="auto"/>
              <w:right w:val="single" w:sz="4" w:space="0" w:color="auto"/>
            </w:tcBorders>
            <w:shd w:val="clear" w:color="auto" w:fill="auto"/>
            <w:noWrap/>
            <w:vAlign w:val="bottom"/>
            <w:hideMark/>
          </w:tcPr>
          <w:p w:rsidR="00FE3068" w:rsidRPr="002B2539" w:rsidRDefault="00DD2228" w:rsidP="000676E3">
            <w:pPr>
              <w:rPr>
                <w:color w:val="000000"/>
              </w:rPr>
            </w:pPr>
            <w:r w:rsidRPr="002B2539">
              <w:rPr>
                <w:color w:val="000000"/>
              </w:rPr>
              <w:t>Rehabilitācijas pakalpojumi</w:t>
            </w:r>
          </w:p>
        </w:tc>
        <w:tc>
          <w:tcPr>
            <w:tcW w:w="2268" w:type="dxa"/>
            <w:tcBorders>
              <w:top w:val="nil"/>
              <w:left w:val="nil"/>
              <w:bottom w:val="single" w:sz="4" w:space="0" w:color="auto"/>
              <w:right w:val="single" w:sz="4" w:space="0" w:color="auto"/>
            </w:tcBorders>
            <w:shd w:val="clear" w:color="auto" w:fill="auto"/>
            <w:noWrap/>
            <w:vAlign w:val="bottom"/>
            <w:hideMark/>
          </w:tcPr>
          <w:p w:rsidR="00FE3068" w:rsidRPr="002B2539" w:rsidRDefault="00DD2228" w:rsidP="000676E3">
            <w:pPr>
              <w:jc w:val="right"/>
              <w:rPr>
                <w:bCs/>
                <w:color w:val="000000"/>
              </w:rPr>
            </w:pPr>
            <w:r w:rsidRPr="002B2539">
              <w:rPr>
                <w:bCs/>
                <w:color w:val="000000"/>
              </w:rPr>
              <w:t>334 154</w:t>
            </w:r>
          </w:p>
        </w:tc>
      </w:tr>
      <w:tr w:rsidR="0014269D" w:rsidTr="000676E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3068" w:rsidRPr="002B2539" w:rsidRDefault="00DD2228" w:rsidP="000676E3">
            <w:pPr>
              <w:jc w:val="right"/>
              <w:rPr>
                <w:bCs/>
                <w:color w:val="000000"/>
              </w:rPr>
            </w:pPr>
            <w:r w:rsidRPr="002B2539">
              <w:rPr>
                <w:bCs/>
                <w:color w:val="000000"/>
              </w:rPr>
              <w:t>3</w:t>
            </w: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068" w:rsidRPr="002B2539" w:rsidRDefault="00DD2228" w:rsidP="000676E3">
            <w:pPr>
              <w:rPr>
                <w:color w:val="000000"/>
              </w:rPr>
            </w:pPr>
            <w:r w:rsidRPr="002B2539">
              <w:rPr>
                <w:color w:val="000000"/>
              </w:rPr>
              <w:t>Speciālistu konsultācijas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068" w:rsidRPr="002B2539" w:rsidRDefault="00DD2228" w:rsidP="000676E3">
            <w:pPr>
              <w:jc w:val="right"/>
              <w:rPr>
                <w:bCs/>
                <w:color w:val="000000"/>
              </w:rPr>
            </w:pPr>
            <w:r w:rsidRPr="002B2539">
              <w:rPr>
                <w:bCs/>
                <w:color w:val="000000"/>
              </w:rPr>
              <w:t>550 548</w:t>
            </w:r>
          </w:p>
        </w:tc>
      </w:tr>
      <w:tr w:rsidR="0014269D" w:rsidTr="000676E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068" w:rsidRPr="002B2539" w:rsidRDefault="00DD2228" w:rsidP="000676E3">
            <w:pPr>
              <w:jc w:val="right"/>
              <w:rPr>
                <w:bCs/>
                <w:color w:val="000000"/>
              </w:rPr>
            </w:pPr>
            <w:r w:rsidRPr="002B2539">
              <w:rPr>
                <w:bCs/>
                <w:color w:val="000000"/>
              </w:rPr>
              <w:t>4</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FE3068" w:rsidRPr="002B2539" w:rsidRDefault="00DD2228" w:rsidP="000676E3">
            <w:pPr>
              <w:rPr>
                <w:color w:val="000000"/>
              </w:rPr>
            </w:pPr>
            <w:r w:rsidRPr="002B2539">
              <w:rPr>
                <w:color w:val="000000"/>
              </w:rPr>
              <w:t>Dienas stacionārs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E3068" w:rsidRPr="002B2539" w:rsidRDefault="00DD2228" w:rsidP="000676E3">
            <w:pPr>
              <w:jc w:val="right"/>
              <w:rPr>
                <w:bCs/>
                <w:color w:val="000000"/>
              </w:rPr>
            </w:pPr>
            <w:r w:rsidRPr="002B2539">
              <w:rPr>
                <w:bCs/>
                <w:color w:val="000000"/>
              </w:rPr>
              <w:t>113 640</w:t>
            </w:r>
          </w:p>
        </w:tc>
      </w:tr>
      <w:tr w:rsidR="0014269D" w:rsidTr="00F56918">
        <w:trPr>
          <w:trHeight w:val="31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E3068" w:rsidRPr="002B2539" w:rsidRDefault="00FE3068" w:rsidP="000676E3">
            <w:pPr>
              <w:jc w:val="right"/>
              <w:rPr>
                <w:b/>
                <w:bCs/>
                <w:color w:val="000000"/>
              </w:rPr>
            </w:pPr>
          </w:p>
        </w:tc>
        <w:tc>
          <w:tcPr>
            <w:tcW w:w="2959" w:type="dxa"/>
            <w:tcBorders>
              <w:top w:val="nil"/>
              <w:left w:val="nil"/>
              <w:bottom w:val="single" w:sz="4" w:space="0" w:color="auto"/>
              <w:right w:val="single" w:sz="4" w:space="0" w:color="auto"/>
            </w:tcBorders>
            <w:shd w:val="clear" w:color="auto" w:fill="D9D9D9" w:themeFill="background1" w:themeFillShade="D9"/>
            <w:noWrap/>
            <w:vAlign w:val="bottom"/>
            <w:hideMark/>
          </w:tcPr>
          <w:p w:rsidR="00FE3068" w:rsidRPr="002B2539" w:rsidRDefault="00DD2228" w:rsidP="000676E3">
            <w:pPr>
              <w:rPr>
                <w:b/>
                <w:bCs/>
                <w:color w:val="000000"/>
              </w:rPr>
            </w:pPr>
            <w:r w:rsidRPr="002B2539">
              <w:rPr>
                <w:b/>
                <w:bCs/>
                <w:color w:val="000000"/>
              </w:rPr>
              <w:t>Kopā</w:t>
            </w:r>
          </w:p>
        </w:tc>
        <w:tc>
          <w:tcPr>
            <w:tcW w:w="2268" w:type="dxa"/>
            <w:tcBorders>
              <w:top w:val="nil"/>
              <w:left w:val="nil"/>
              <w:bottom w:val="single" w:sz="4" w:space="0" w:color="auto"/>
              <w:right w:val="single" w:sz="4" w:space="0" w:color="auto"/>
            </w:tcBorders>
            <w:shd w:val="clear" w:color="auto" w:fill="D9D9D9" w:themeFill="background1" w:themeFillShade="D9"/>
            <w:noWrap/>
            <w:vAlign w:val="bottom"/>
            <w:hideMark/>
          </w:tcPr>
          <w:p w:rsidR="00FE3068" w:rsidRPr="002B2539" w:rsidRDefault="00DD2228" w:rsidP="000676E3">
            <w:pPr>
              <w:jc w:val="right"/>
              <w:rPr>
                <w:b/>
                <w:bCs/>
                <w:color w:val="000000"/>
              </w:rPr>
            </w:pPr>
            <w:r w:rsidRPr="002B2539">
              <w:rPr>
                <w:b/>
                <w:bCs/>
                <w:color w:val="000000"/>
              </w:rPr>
              <w:t>1 614 005</w:t>
            </w:r>
          </w:p>
        </w:tc>
      </w:tr>
    </w:tbl>
    <w:p w:rsidR="00FE3068" w:rsidRPr="008603A3" w:rsidRDefault="00DD2228" w:rsidP="00FE3068">
      <w:pPr>
        <w:jc w:val="both"/>
        <w:rPr>
          <w:i/>
          <w:sz w:val="20"/>
          <w:szCs w:val="20"/>
        </w:rPr>
      </w:pPr>
      <w:r w:rsidRPr="006E1FFA">
        <w:rPr>
          <w:i/>
          <w:sz w:val="20"/>
          <w:szCs w:val="20"/>
        </w:rPr>
        <w:t>Avots</w:t>
      </w:r>
      <w:r w:rsidRPr="008603A3">
        <w:rPr>
          <w:i/>
          <w:sz w:val="20"/>
          <w:szCs w:val="20"/>
        </w:rPr>
        <w:t>: NVD, 2016.gada decembra aptaujas dati</w:t>
      </w:r>
    </w:p>
    <w:p w:rsidR="00FE3068" w:rsidRDefault="00FE3068" w:rsidP="00B3708B">
      <w:pPr>
        <w:jc w:val="both"/>
      </w:pPr>
    </w:p>
    <w:p w:rsidR="00D1191F" w:rsidRPr="00B3708B" w:rsidRDefault="00D1191F" w:rsidP="00B3708B">
      <w:pPr>
        <w:jc w:val="both"/>
      </w:pPr>
    </w:p>
    <w:p w:rsidR="00FE3068" w:rsidRPr="00B3708B" w:rsidRDefault="00DD2228" w:rsidP="00FE3068">
      <w:pPr>
        <w:ind w:firstLine="720"/>
        <w:jc w:val="both"/>
      </w:pPr>
      <w:r w:rsidRPr="00B3708B">
        <w:t xml:space="preserve">Pakalpojumu pieejamības aptvere uzrādīta bez sekundārās ambulatorās veselības aprūpes pakalpojumu pieejamības uzlabošanai papildus piešķirtā finansējuma 16 599 307 </w:t>
      </w:r>
      <w:proofErr w:type="spellStart"/>
      <w:r w:rsidRPr="00B3708B">
        <w:rPr>
          <w:i/>
        </w:rPr>
        <w:t>euro</w:t>
      </w:r>
      <w:proofErr w:type="spellEnd"/>
      <w:r w:rsidRPr="00B3708B">
        <w:t xml:space="preserve"> sadalījuma Līdz ar ko vēl iespējamais papildus ambulatoro veselības aprūpes pakalpojumu pieejamības nodrošinājums 2017.gadā un turpmāk  prognozējams kā 883 183 pakalpojumi visās sadaļās kopā skat.2.tabulu)</w:t>
      </w:r>
      <w:r w:rsidR="008B6079">
        <w:t xml:space="preserve">. </w:t>
      </w:r>
    </w:p>
    <w:p w:rsidR="00FE3068" w:rsidRDefault="00FE3068" w:rsidP="00FE3068">
      <w:pPr>
        <w:ind w:firstLine="720"/>
        <w:jc w:val="both"/>
      </w:pPr>
    </w:p>
    <w:p w:rsidR="00D1191F" w:rsidRDefault="00D1191F" w:rsidP="00FE3068">
      <w:pPr>
        <w:ind w:firstLine="720"/>
        <w:jc w:val="both"/>
      </w:pPr>
    </w:p>
    <w:p w:rsidR="00D1191F" w:rsidRPr="00B3708B" w:rsidRDefault="00D1191F" w:rsidP="00FE3068">
      <w:pPr>
        <w:ind w:firstLine="720"/>
        <w:jc w:val="both"/>
      </w:pPr>
    </w:p>
    <w:p w:rsidR="00FE3068" w:rsidRPr="008603A3" w:rsidRDefault="00DD2228" w:rsidP="00FE3068">
      <w:pPr>
        <w:ind w:firstLine="720"/>
        <w:jc w:val="right"/>
        <w:rPr>
          <w:i/>
        </w:rPr>
      </w:pPr>
      <w:r w:rsidRPr="00B3708B">
        <w:rPr>
          <w:i/>
        </w:rPr>
        <w:t>2.tabula</w:t>
      </w:r>
      <w:r w:rsidRPr="008603A3">
        <w:rPr>
          <w:i/>
        </w:rPr>
        <w:t xml:space="preserve"> </w:t>
      </w:r>
    </w:p>
    <w:p w:rsidR="00FE3068" w:rsidRDefault="00DD2228" w:rsidP="00FE3068">
      <w:pPr>
        <w:spacing w:after="120"/>
        <w:jc w:val="center"/>
        <w:rPr>
          <w:b/>
        </w:rPr>
      </w:pPr>
      <w:r w:rsidRPr="008603A3">
        <w:rPr>
          <w:b/>
        </w:rPr>
        <w:lastRenderedPageBreak/>
        <w:t>Ārstniecības iestāžu iespējas sniegt papildus veselības aprūpes pakalpojumus</w:t>
      </w:r>
    </w:p>
    <w:tbl>
      <w:tblPr>
        <w:tblW w:w="6804" w:type="dxa"/>
        <w:tblInd w:w="1696" w:type="dxa"/>
        <w:tblLook w:val="04A0" w:firstRow="1" w:lastRow="0" w:firstColumn="1" w:lastColumn="0" w:noHBand="0" w:noVBand="1"/>
      </w:tblPr>
      <w:tblGrid>
        <w:gridCol w:w="960"/>
        <w:gridCol w:w="3718"/>
        <w:gridCol w:w="2126"/>
      </w:tblGrid>
      <w:tr w:rsidR="0014269D" w:rsidTr="00F56918">
        <w:trPr>
          <w:trHeight w:val="630"/>
        </w:trPr>
        <w:tc>
          <w:tcPr>
            <w:tcW w:w="96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E3068" w:rsidRPr="00682A71" w:rsidRDefault="00DD2228" w:rsidP="000676E3">
            <w:pPr>
              <w:jc w:val="center"/>
              <w:rPr>
                <w:b/>
                <w:bCs/>
                <w:color w:val="000000"/>
              </w:rPr>
            </w:pPr>
            <w:r w:rsidRPr="00682A71">
              <w:rPr>
                <w:b/>
                <w:bCs/>
                <w:color w:val="000000"/>
              </w:rPr>
              <w:t>Nr. p. k.</w:t>
            </w:r>
          </w:p>
        </w:tc>
        <w:tc>
          <w:tcPr>
            <w:tcW w:w="371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E3068" w:rsidRPr="00682A71" w:rsidRDefault="00DD2228" w:rsidP="00F56918">
            <w:r w:rsidRPr="00B00DD9">
              <w:t>Pakalpojumu</w:t>
            </w:r>
            <w:r w:rsidRPr="00682A71">
              <w:t xml:space="preserve"> veids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FE3068" w:rsidRPr="00682A71" w:rsidRDefault="00DD2228" w:rsidP="000676E3">
            <w:pPr>
              <w:jc w:val="center"/>
              <w:rPr>
                <w:b/>
                <w:bCs/>
                <w:color w:val="000000"/>
              </w:rPr>
            </w:pPr>
            <w:r w:rsidRPr="00682A71">
              <w:rPr>
                <w:b/>
                <w:bCs/>
                <w:color w:val="000000"/>
              </w:rPr>
              <w:t>Pakalpojumu skaits gadā</w:t>
            </w:r>
          </w:p>
        </w:tc>
      </w:tr>
      <w:tr w:rsidR="0014269D" w:rsidTr="00B3708B">
        <w:trPr>
          <w:trHeight w:val="51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E3068" w:rsidRPr="00682A71" w:rsidRDefault="00FE3068" w:rsidP="000676E3">
            <w:pPr>
              <w:jc w:val="center"/>
              <w:rPr>
                <w:b/>
                <w:bCs/>
                <w:color w:val="000000"/>
              </w:rPr>
            </w:pPr>
          </w:p>
        </w:tc>
        <w:tc>
          <w:tcPr>
            <w:tcW w:w="3718" w:type="dxa"/>
            <w:vMerge/>
            <w:tcBorders>
              <w:top w:val="single" w:sz="4" w:space="0" w:color="auto"/>
              <w:left w:val="single" w:sz="4" w:space="0" w:color="auto"/>
              <w:bottom w:val="single" w:sz="4" w:space="0" w:color="auto"/>
              <w:right w:val="single" w:sz="4" w:space="0" w:color="auto"/>
            </w:tcBorders>
            <w:vAlign w:val="center"/>
            <w:hideMark/>
          </w:tcPr>
          <w:p w:rsidR="00FE3068" w:rsidRPr="00682A71" w:rsidRDefault="00FE3068" w:rsidP="000676E3">
            <w:pPr>
              <w:jc w:val="cente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E3068" w:rsidRPr="00682A71" w:rsidRDefault="00FE3068" w:rsidP="000676E3">
            <w:pPr>
              <w:jc w:val="center"/>
              <w:rPr>
                <w:b/>
                <w:bCs/>
                <w:color w:val="000000"/>
              </w:rPr>
            </w:pPr>
          </w:p>
        </w:tc>
      </w:tr>
      <w:tr w:rsidR="0014269D" w:rsidTr="00F56918">
        <w:trPr>
          <w:trHeight w:val="300"/>
        </w:trPr>
        <w:tc>
          <w:tcPr>
            <w:tcW w:w="9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E3068" w:rsidRPr="00682A71" w:rsidRDefault="00DD2228" w:rsidP="000676E3">
            <w:pPr>
              <w:jc w:val="center"/>
              <w:rPr>
                <w:color w:val="000000"/>
                <w:sz w:val="20"/>
                <w:szCs w:val="20"/>
              </w:rPr>
            </w:pPr>
            <w:r w:rsidRPr="00682A71">
              <w:rPr>
                <w:color w:val="000000"/>
                <w:sz w:val="20"/>
                <w:szCs w:val="20"/>
              </w:rPr>
              <w:t>1</w:t>
            </w:r>
          </w:p>
        </w:tc>
        <w:tc>
          <w:tcPr>
            <w:tcW w:w="3718" w:type="dxa"/>
            <w:tcBorders>
              <w:top w:val="nil"/>
              <w:left w:val="nil"/>
              <w:bottom w:val="single" w:sz="4" w:space="0" w:color="auto"/>
              <w:right w:val="single" w:sz="4" w:space="0" w:color="auto"/>
            </w:tcBorders>
            <w:shd w:val="clear" w:color="auto" w:fill="D9D9D9" w:themeFill="background1" w:themeFillShade="D9"/>
            <w:vAlign w:val="center"/>
            <w:hideMark/>
          </w:tcPr>
          <w:p w:rsidR="00FE3068" w:rsidRPr="00682A71" w:rsidRDefault="00DD2228" w:rsidP="000676E3">
            <w:pPr>
              <w:jc w:val="center"/>
              <w:rPr>
                <w:color w:val="000000"/>
                <w:sz w:val="20"/>
                <w:szCs w:val="20"/>
              </w:rPr>
            </w:pPr>
            <w:r w:rsidRPr="00682A71">
              <w:rPr>
                <w:color w:val="000000"/>
                <w:sz w:val="20"/>
                <w:szCs w:val="20"/>
              </w:rPr>
              <w:t>2</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FE3068" w:rsidRPr="00682A71" w:rsidRDefault="00DD2228" w:rsidP="000676E3">
            <w:pPr>
              <w:jc w:val="center"/>
              <w:rPr>
                <w:color w:val="000000"/>
                <w:sz w:val="20"/>
                <w:szCs w:val="20"/>
              </w:rPr>
            </w:pPr>
            <w:r w:rsidRPr="00682A71">
              <w:rPr>
                <w:color w:val="000000"/>
                <w:sz w:val="20"/>
                <w:szCs w:val="20"/>
              </w:rPr>
              <w:t>3</w:t>
            </w:r>
          </w:p>
        </w:tc>
      </w:tr>
      <w:tr w:rsidR="0014269D" w:rsidTr="00B3708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3068" w:rsidRPr="00682A71" w:rsidRDefault="00DD2228" w:rsidP="000676E3">
            <w:pPr>
              <w:jc w:val="center"/>
              <w:rPr>
                <w:color w:val="000000"/>
              </w:rPr>
            </w:pPr>
            <w:r w:rsidRPr="00682A71">
              <w:rPr>
                <w:color w:val="000000"/>
              </w:rPr>
              <w:t>1</w:t>
            </w:r>
          </w:p>
        </w:tc>
        <w:tc>
          <w:tcPr>
            <w:tcW w:w="3718" w:type="dxa"/>
            <w:tcBorders>
              <w:top w:val="nil"/>
              <w:left w:val="nil"/>
              <w:bottom w:val="single" w:sz="4" w:space="0" w:color="auto"/>
              <w:right w:val="single" w:sz="4" w:space="0" w:color="auto"/>
            </w:tcBorders>
            <w:shd w:val="clear" w:color="auto" w:fill="auto"/>
            <w:noWrap/>
            <w:vAlign w:val="center"/>
            <w:hideMark/>
          </w:tcPr>
          <w:p w:rsidR="00FE3068" w:rsidRPr="00682A71" w:rsidRDefault="00DD2228" w:rsidP="000676E3">
            <w:pPr>
              <w:jc w:val="center"/>
              <w:rPr>
                <w:color w:val="000000"/>
              </w:rPr>
            </w:pPr>
            <w:r w:rsidRPr="00682A71">
              <w:rPr>
                <w:color w:val="000000"/>
              </w:rPr>
              <w:t>Izmeklējumi</w:t>
            </w:r>
          </w:p>
        </w:tc>
        <w:tc>
          <w:tcPr>
            <w:tcW w:w="2126" w:type="dxa"/>
            <w:tcBorders>
              <w:top w:val="nil"/>
              <w:left w:val="nil"/>
              <w:bottom w:val="single" w:sz="4" w:space="0" w:color="auto"/>
              <w:right w:val="single" w:sz="4" w:space="0" w:color="auto"/>
            </w:tcBorders>
            <w:shd w:val="clear" w:color="auto" w:fill="auto"/>
            <w:noWrap/>
            <w:vAlign w:val="bottom"/>
            <w:hideMark/>
          </w:tcPr>
          <w:p w:rsidR="00FE3068" w:rsidRPr="00682A71" w:rsidRDefault="00DD2228" w:rsidP="000676E3">
            <w:pPr>
              <w:jc w:val="center"/>
              <w:rPr>
                <w:color w:val="000000"/>
              </w:rPr>
            </w:pPr>
            <w:r w:rsidRPr="00682A71">
              <w:rPr>
                <w:color w:val="000000"/>
              </w:rPr>
              <w:t>287 587</w:t>
            </w:r>
          </w:p>
        </w:tc>
      </w:tr>
      <w:tr w:rsidR="0014269D" w:rsidTr="00B3708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3068" w:rsidRPr="00682A71" w:rsidRDefault="00DD2228" w:rsidP="000676E3">
            <w:pPr>
              <w:jc w:val="center"/>
              <w:rPr>
                <w:color w:val="000000"/>
              </w:rPr>
            </w:pPr>
            <w:r w:rsidRPr="00682A71">
              <w:rPr>
                <w:color w:val="000000"/>
              </w:rPr>
              <w:t>2</w:t>
            </w:r>
          </w:p>
        </w:tc>
        <w:tc>
          <w:tcPr>
            <w:tcW w:w="3718" w:type="dxa"/>
            <w:tcBorders>
              <w:top w:val="nil"/>
              <w:left w:val="nil"/>
              <w:bottom w:val="single" w:sz="4" w:space="0" w:color="auto"/>
              <w:right w:val="single" w:sz="4" w:space="0" w:color="auto"/>
            </w:tcBorders>
            <w:shd w:val="clear" w:color="auto" w:fill="auto"/>
            <w:noWrap/>
            <w:vAlign w:val="center"/>
            <w:hideMark/>
          </w:tcPr>
          <w:p w:rsidR="00FE3068" w:rsidRPr="00682A71" w:rsidRDefault="00DD2228" w:rsidP="000676E3">
            <w:pPr>
              <w:jc w:val="center"/>
              <w:rPr>
                <w:color w:val="000000"/>
              </w:rPr>
            </w:pPr>
            <w:r w:rsidRPr="00682A71">
              <w:rPr>
                <w:color w:val="000000"/>
              </w:rPr>
              <w:t>Rehabilitācijas pakalpojumi</w:t>
            </w:r>
          </w:p>
        </w:tc>
        <w:tc>
          <w:tcPr>
            <w:tcW w:w="2126" w:type="dxa"/>
            <w:tcBorders>
              <w:top w:val="nil"/>
              <w:left w:val="nil"/>
              <w:bottom w:val="single" w:sz="4" w:space="0" w:color="auto"/>
              <w:right w:val="single" w:sz="4" w:space="0" w:color="auto"/>
            </w:tcBorders>
            <w:shd w:val="clear" w:color="auto" w:fill="auto"/>
            <w:noWrap/>
            <w:vAlign w:val="bottom"/>
            <w:hideMark/>
          </w:tcPr>
          <w:p w:rsidR="00FE3068" w:rsidRPr="00682A71" w:rsidRDefault="00DD2228" w:rsidP="000676E3">
            <w:pPr>
              <w:jc w:val="center"/>
              <w:rPr>
                <w:color w:val="000000"/>
              </w:rPr>
            </w:pPr>
            <w:r w:rsidRPr="00682A71">
              <w:rPr>
                <w:color w:val="000000"/>
              </w:rPr>
              <w:t>264 126</w:t>
            </w:r>
          </w:p>
        </w:tc>
      </w:tr>
      <w:tr w:rsidR="0014269D" w:rsidTr="00B3708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3068" w:rsidRPr="00682A71" w:rsidRDefault="00DD2228" w:rsidP="000676E3">
            <w:pPr>
              <w:jc w:val="center"/>
              <w:rPr>
                <w:color w:val="000000"/>
              </w:rPr>
            </w:pPr>
            <w:r w:rsidRPr="00682A71">
              <w:rPr>
                <w:color w:val="000000"/>
              </w:rPr>
              <w:t>3</w:t>
            </w:r>
          </w:p>
        </w:tc>
        <w:tc>
          <w:tcPr>
            <w:tcW w:w="3718" w:type="dxa"/>
            <w:tcBorders>
              <w:top w:val="nil"/>
              <w:left w:val="nil"/>
              <w:bottom w:val="single" w:sz="4" w:space="0" w:color="auto"/>
              <w:right w:val="single" w:sz="4" w:space="0" w:color="auto"/>
            </w:tcBorders>
            <w:shd w:val="clear" w:color="auto" w:fill="auto"/>
            <w:noWrap/>
            <w:vAlign w:val="center"/>
            <w:hideMark/>
          </w:tcPr>
          <w:p w:rsidR="00FE3068" w:rsidRPr="00682A71" w:rsidRDefault="00DD2228" w:rsidP="000676E3">
            <w:pPr>
              <w:jc w:val="center"/>
              <w:rPr>
                <w:color w:val="000000"/>
              </w:rPr>
            </w:pPr>
            <w:r w:rsidRPr="00682A71">
              <w:rPr>
                <w:color w:val="000000"/>
              </w:rPr>
              <w:t>Speciālistu konsultācijas</w:t>
            </w:r>
          </w:p>
        </w:tc>
        <w:tc>
          <w:tcPr>
            <w:tcW w:w="2126" w:type="dxa"/>
            <w:tcBorders>
              <w:top w:val="nil"/>
              <w:left w:val="nil"/>
              <w:bottom w:val="single" w:sz="4" w:space="0" w:color="auto"/>
              <w:right w:val="single" w:sz="4" w:space="0" w:color="auto"/>
            </w:tcBorders>
            <w:shd w:val="clear" w:color="auto" w:fill="auto"/>
            <w:noWrap/>
            <w:vAlign w:val="bottom"/>
            <w:hideMark/>
          </w:tcPr>
          <w:p w:rsidR="00FE3068" w:rsidRPr="00682A71" w:rsidRDefault="00DD2228" w:rsidP="000676E3">
            <w:pPr>
              <w:jc w:val="center"/>
              <w:rPr>
                <w:color w:val="000000"/>
              </w:rPr>
            </w:pPr>
            <w:r w:rsidRPr="00682A71">
              <w:rPr>
                <w:color w:val="000000"/>
              </w:rPr>
              <w:t>280 302</w:t>
            </w:r>
          </w:p>
        </w:tc>
      </w:tr>
      <w:tr w:rsidR="0014269D" w:rsidTr="00B3708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3068" w:rsidRPr="00682A71" w:rsidRDefault="00DD2228" w:rsidP="000676E3">
            <w:pPr>
              <w:jc w:val="center"/>
              <w:rPr>
                <w:color w:val="000000"/>
              </w:rPr>
            </w:pPr>
            <w:r w:rsidRPr="00682A71">
              <w:rPr>
                <w:color w:val="000000"/>
              </w:rPr>
              <w:t>4</w:t>
            </w:r>
          </w:p>
        </w:tc>
        <w:tc>
          <w:tcPr>
            <w:tcW w:w="3718" w:type="dxa"/>
            <w:tcBorders>
              <w:top w:val="nil"/>
              <w:left w:val="nil"/>
              <w:bottom w:val="single" w:sz="4" w:space="0" w:color="auto"/>
              <w:right w:val="single" w:sz="4" w:space="0" w:color="auto"/>
            </w:tcBorders>
            <w:shd w:val="clear" w:color="auto" w:fill="auto"/>
            <w:noWrap/>
            <w:vAlign w:val="center"/>
            <w:hideMark/>
          </w:tcPr>
          <w:p w:rsidR="00FE3068" w:rsidRPr="00682A71" w:rsidRDefault="00DD2228" w:rsidP="000676E3">
            <w:pPr>
              <w:jc w:val="center"/>
              <w:rPr>
                <w:color w:val="000000"/>
              </w:rPr>
            </w:pPr>
            <w:r w:rsidRPr="00682A71">
              <w:rPr>
                <w:color w:val="000000"/>
              </w:rPr>
              <w:t>Dienas stacionārs</w:t>
            </w:r>
          </w:p>
        </w:tc>
        <w:tc>
          <w:tcPr>
            <w:tcW w:w="2126" w:type="dxa"/>
            <w:tcBorders>
              <w:top w:val="nil"/>
              <w:left w:val="nil"/>
              <w:bottom w:val="single" w:sz="4" w:space="0" w:color="auto"/>
              <w:right w:val="single" w:sz="4" w:space="0" w:color="auto"/>
            </w:tcBorders>
            <w:shd w:val="clear" w:color="auto" w:fill="auto"/>
            <w:noWrap/>
            <w:vAlign w:val="bottom"/>
            <w:hideMark/>
          </w:tcPr>
          <w:p w:rsidR="00FE3068" w:rsidRPr="00682A71" w:rsidRDefault="00DD2228" w:rsidP="000676E3">
            <w:pPr>
              <w:jc w:val="center"/>
              <w:rPr>
                <w:color w:val="000000"/>
              </w:rPr>
            </w:pPr>
            <w:r w:rsidRPr="00682A71">
              <w:rPr>
                <w:color w:val="000000"/>
              </w:rPr>
              <w:t>51 168</w:t>
            </w:r>
          </w:p>
        </w:tc>
      </w:tr>
      <w:tr w:rsidR="0014269D" w:rsidTr="00F56918">
        <w:trPr>
          <w:trHeight w:val="315"/>
        </w:trPr>
        <w:tc>
          <w:tcPr>
            <w:tcW w:w="96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E3068" w:rsidRPr="00682A71" w:rsidRDefault="00FE3068" w:rsidP="000676E3">
            <w:pPr>
              <w:jc w:val="center"/>
              <w:rPr>
                <w:color w:val="000000"/>
              </w:rPr>
            </w:pPr>
          </w:p>
        </w:tc>
        <w:tc>
          <w:tcPr>
            <w:tcW w:w="3718" w:type="dxa"/>
            <w:tcBorders>
              <w:top w:val="nil"/>
              <w:left w:val="nil"/>
              <w:bottom w:val="single" w:sz="4" w:space="0" w:color="auto"/>
              <w:right w:val="single" w:sz="4" w:space="0" w:color="auto"/>
            </w:tcBorders>
            <w:shd w:val="clear" w:color="auto" w:fill="D9D9D9" w:themeFill="background1" w:themeFillShade="D9"/>
            <w:noWrap/>
            <w:vAlign w:val="center"/>
            <w:hideMark/>
          </w:tcPr>
          <w:p w:rsidR="00FE3068" w:rsidRPr="00682A71" w:rsidRDefault="00DD2228" w:rsidP="000676E3">
            <w:pPr>
              <w:jc w:val="center"/>
              <w:rPr>
                <w:b/>
                <w:bCs/>
                <w:color w:val="000000"/>
              </w:rPr>
            </w:pPr>
            <w:r w:rsidRPr="00682A71">
              <w:rPr>
                <w:b/>
                <w:bCs/>
                <w:color w:val="000000"/>
              </w:rPr>
              <w:t>Kopā</w:t>
            </w:r>
          </w:p>
        </w:tc>
        <w:tc>
          <w:tcPr>
            <w:tcW w:w="2126" w:type="dxa"/>
            <w:tcBorders>
              <w:top w:val="nil"/>
              <w:left w:val="nil"/>
              <w:bottom w:val="single" w:sz="4" w:space="0" w:color="auto"/>
              <w:right w:val="single" w:sz="4" w:space="0" w:color="auto"/>
            </w:tcBorders>
            <w:shd w:val="clear" w:color="auto" w:fill="D9D9D9" w:themeFill="background1" w:themeFillShade="D9"/>
            <w:noWrap/>
            <w:vAlign w:val="bottom"/>
            <w:hideMark/>
          </w:tcPr>
          <w:p w:rsidR="00FE3068" w:rsidRPr="00682A71" w:rsidRDefault="00DD2228" w:rsidP="000676E3">
            <w:pPr>
              <w:jc w:val="center"/>
              <w:rPr>
                <w:b/>
                <w:bCs/>
                <w:color w:val="000000"/>
              </w:rPr>
            </w:pPr>
            <w:r w:rsidRPr="00682A71">
              <w:rPr>
                <w:b/>
                <w:bCs/>
                <w:color w:val="000000"/>
              </w:rPr>
              <w:t>883 183</w:t>
            </w:r>
          </w:p>
        </w:tc>
      </w:tr>
    </w:tbl>
    <w:p w:rsidR="00FE3068" w:rsidRDefault="00DD2228" w:rsidP="00FE3068">
      <w:pPr>
        <w:jc w:val="both"/>
        <w:rPr>
          <w:i/>
          <w:sz w:val="20"/>
          <w:szCs w:val="20"/>
        </w:rPr>
      </w:pPr>
      <w:r w:rsidRPr="006E1FFA">
        <w:rPr>
          <w:i/>
          <w:sz w:val="20"/>
          <w:szCs w:val="20"/>
        </w:rPr>
        <w:t>Avots</w:t>
      </w:r>
      <w:r w:rsidRPr="008603A3">
        <w:rPr>
          <w:i/>
          <w:sz w:val="20"/>
          <w:szCs w:val="20"/>
        </w:rPr>
        <w:t>: NVD, 2016.gada decembra aptaujas dati</w:t>
      </w:r>
      <w:r>
        <w:rPr>
          <w:i/>
          <w:sz w:val="20"/>
          <w:szCs w:val="20"/>
        </w:rPr>
        <w:t xml:space="preserve"> (koriģētie)</w:t>
      </w:r>
    </w:p>
    <w:p w:rsidR="00FE3068" w:rsidRDefault="00FE3068" w:rsidP="00B3708B">
      <w:pPr>
        <w:jc w:val="both"/>
      </w:pPr>
    </w:p>
    <w:p w:rsidR="001F77C9" w:rsidRDefault="00DD2228" w:rsidP="00F56918">
      <w:pPr>
        <w:ind w:firstLine="720"/>
        <w:jc w:val="both"/>
      </w:pPr>
      <w:r>
        <w:t xml:space="preserve">Šajā gadījumā gan pakalpojumu pieejamības </w:t>
      </w:r>
      <w:r w:rsidRPr="00B3708B">
        <w:t xml:space="preserve">nodrošinājums </w:t>
      </w:r>
      <w:r w:rsidR="00FE3068" w:rsidRPr="00B3708B">
        <w:t xml:space="preserve">tieši </w:t>
      </w:r>
      <w:r w:rsidRPr="00B3708B">
        <w:t xml:space="preserve">korelē </w:t>
      </w:r>
      <w:r>
        <w:t xml:space="preserve">ar  pārējo tarifa elementu, tajā skaitā darba samaksas </w:t>
      </w:r>
      <w:r w:rsidRPr="008B6079">
        <w:t>palielinājumu. Lai ārstniecības iestādes uzņemtos saistības nodrošināt iev</w:t>
      </w:r>
      <w:r w:rsidR="00195916" w:rsidRPr="008B6079">
        <w:t>ērojamu</w:t>
      </w:r>
      <w:r w:rsidR="00F039BA" w:rsidRPr="008B6079">
        <w:t xml:space="preserve"> </w:t>
      </w:r>
      <w:r w:rsidR="00195916" w:rsidRPr="008B6079">
        <w:t xml:space="preserve">papildus </w:t>
      </w:r>
      <w:r w:rsidRPr="008B6079">
        <w:t>valsts apmaksāto pakalpojumu klāstu iedzīvotājiem, sniedzamajiem pakalpojumiem jābūt rentabliem, atbilstošiem ārstniecības iestāžu faktiskajām izmaksām</w:t>
      </w:r>
      <w:r w:rsidR="00195916" w:rsidRPr="008B6079">
        <w:t>, kā arī v</w:t>
      </w:r>
      <w:r w:rsidR="00615095" w:rsidRPr="008B6079">
        <w:t>alsts apmaks</w:t>
      </w:r>
      <w:r w:rsidR="00195916" w:rsidRPr="008B6079">
        <w:t>ātajiem</w:t>
      </w:r>
      <w:r w:rsidR="00615095" w:rsidRPr="008B6079">
        <w:t xml:space="preserve"> paka</w:t>
      </w:r>
      <w:r w:rsidR="00195916" w:rsidRPr="008B6079">
        <w:t>lpojumiem</w:t>
      </w:r>
      <w:r w:rsidR="00615095" w:rsidRPr="008B6079">
        <w:t xml:space="preserve"> (</w:t>
      </w:r>
      <w:r w:rsidR="00195916" w:rsidRPr="008B6079">
        <w:t>tarifiem</w:t>
      </w:r>
      <w:r w:rsidR="00615095" w:rsidRPr="008B6079">
        <w:t xml:space="preserve">) </w:t>
      </w:r>
      <w:r w:rsidR="00195916" w:rsidRPr="008B6079">
        <w:t xml:space="preserve">jānodrošina </w:t>
      </w:r>
      <w:r w:rsidR="00615095" w:rsidRPr="008B6079">
        <w:t>konkurētspēj</w:t>
      </w:r>
      <w:r w:rsidR="00195916" w:rsidRPr="008B6079">
        <w:t>īgs</w:t>
      </w:r>
      <w:r w:rsidR="00615095" w:rsidRPr="008B6079">
        <w:t xml:space="preserve"> ārstniec</w:t>
      </w:r>
      <w:r w:rsidR="00195916" w:rsidRPr="008B6079">
        <w:t>ības personu atalgojums</w:t>
      </w:r>
      <w:r w:rsidR="00615095" w:rsidRPr="008B6079">
        <w:t xml:space="preserve"> darba tirgū.</w:t>
      </w:r>
      <w:r w:rsidR="00D97722" w:rsidRPr="008B6079">
        <w:t xml:space="preserve"> Kā piemērs sarūko</w:t>
      </w:r>
      <w:r w:rsidRPr="008B6079">
        <w:t>šam</w:t>
      </w:r>
      <w:r w:rsidR="00D97722" w:rsidRPr="008B6079">
        <w:t xml:space="preserve"> valsts apmaksāto pakalpojumu skaitam uzskatāmi redzams bērnu zobārstniecības jom</w:t>
      </w:r>
      <w:r w:rsidRPr="008B6079">
        <w:t>ā. Ar katru gadu mazinās ārstniecības iestāžu skaits, kas noslēdz līgumu ar NVD par valsts</w:t>
      </w:r>
      <w:r w:rsidRPr="001F77C9">
        <w:t xml:space="preserve"> apmaksātu zobārstniecības pakalpojumu sniegšanu, kā galveno iemeslu norādot nepietiekamus tarifus par zobārstniecības manipulācijām. No 2014.gada trīs gadu laikā </w:t>
      </w:r>
      <w:proofErr w:type="spellStart"/>
      <w:r w:rsidRPr="001F77C9">
        <w:t>līgumiestāžu</w:t>
      </w:r>
      <w:proofErr w:type="spellEnd"/>
      <w:r w:rsidRPr="001F77C9">
        <w:t xml:space="preserve"> skaits mazinājies par </w:t>
      </w:r>
      <w:r w:rsidRPr="008E224C">
        <w:t xml:space="preserve">54, skat. </w:t>
      </w:r>
      <w:r>
        <w:t>3.tabulu.</w:t>
      </w:r>
    </w:p>
    <w:p w:rsidR="001F77C9" w:rsidRPr="00F56918" w:rsidRDefault="00DD2228" w:rsidP="00F56918">
      <w:pPr>
        <w:ind w:firstLine="720"/>
        <w:jc w:val="right"/>
        <w:rPr>
          <w:i/>
        </w:rPr>
      </w:pPr>
      <w:r w:rsidRPr="00F56918">
        <w:rPr>
          <w:i/>
        </w:rPr>
        <w:t xml:space="preserve">3.tabula </w:t>
      </w:r>
    </w:p>
    <w:p w:rsidR="001F77C9" w:rsidRPr="001F77C9" w:rsidRDefault="001F77C9" w:rsidP="00F56918">
      <w:pPr>
        <w:jc w:val="both"/>
      </w:pPr>
    </w:p>
    <w:p w:rsidR="001F77C9" w:rsidRDefault="00DD2228" w:rsidP="001F77C9">
      <w:pPr>
        <w:jc w:val="center"/>
        <w:rPr>
          <w:sz w:val="28"/>
          <w:szCs w:val="28"/>
        </w:rPr>
      </w:pPr>
      <w:r>
        <w:rPr>
          <w:noProof/>
        </w:rPr>
        <w:drawing>
          <wp:inline distT="0" distB="0" distL="0" distR="0" wp14:anchorId="24FEAB68" wp14:editId="590280AF">
            <wp:extent cx="4572000" cy="2743200"/>
            <wp:effectExtent l="0" t="0" r="0" b="0"/>
            <wp:docPr id="4" name="Chart 4">
              <a:extLst xmlns:a="http://schemas.openxmlformats.org/drawingml/2006/main">
                <a:ext uri="{FF2B5EF4-FFF2-40B4-BE49-F238E27FC236}">
                  <a16:creationId xmlns:a16="http://schemas.microsoft.com/office/drawing/2014/main" id="{02AAB7A6-1AD3-4E0F-9B55-30589DF407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77C9" w:rsidRDefault="00DD2228" w:rsidP="00F56918">
      <w:pPr>
        <w:jc w:val="both"/>
      </w:pPr>
      <w:r w:rsidRPr="006E1FFA">
        <w:rPr>
          <w:i/>
          <w:sz w:val="20"/>
          <w:szCs w:val="20"/>
        </w:rPr>
        <w:t>Avots</w:t>
      </w:r>
      <w:r w:rsidRPr="008603A3">
        <w:rPr>
          <w:i/>
          <w:sz w:val="20"/>
          <w:szCs w:val="20"/>
        </w:rPr>
        <w:t>: NVD</w:t>
      </w:r>
    </w:p>
    <w:p w:rsidR="00D97722" w:rsidRDefault="00D97722" w:rsidP="00B90904">
      <w:pPr>
        <w:ind w:firstLine="720"/>
        <w:jc w:val="both"/>
      </w:pPr>
    </w:p>
    <w:p w:rsidR="001F77C9" w:rsidRDefault="00DD2228" w:rsidP="009A2699">
      <w:pPr>
        <w:ind w:firstLine="720"/>
        <w:jc w:val="both"/>
      </w:pPr>
      <w:r w:rsidRPr="00F56918">
        <w:t>Gaidīšanas rindas garums</w:t>
      </w:r>
      <w:r w:rsidR="008E224C">
        <w:t xml:space="preserve"> uz zobārstniecības pakalpojumiem </w:t>
      </w:r>
      <w:r w:rsidRPr="001F77C9">
        <w:t xml:space="preserve"> </w:t>
      </w:r>
      <w:r w:rsidRPr="00F56918">
        <w:t>ir atšķirīgs</w:t>
      </w:r>
      <w:r w:rsidRPr="001F77C9">
        <w:t xml:space="preserve">: sākot no tā, ka rindas nav vai tā mazāka par 5 dienām </w:t>
      </w:r>
      <w:r w:rsidRPr="00F56918">
        <w:t>līdz pat 480 dienām</w:t>
      </w:r>
      <w:r w:rsidRPr="001F77C9">
        <w:t>. Vismazākā gaidīšanas rinda ir Latgales un Zemgales NVD teritoriālajās nodaļās.</w:t>
      </w:r>
      <w:r w:rsidRPr="008E224C">
        <w:t xml:space="preserve"> Gaidīšanas rindas garums vidēji valstī 20 dienas</w:t>
      </w:r>
      <w:r w:rsidR="008E224C">
        <w:t xml:space="preserve"> </w:t>
      </w:r>
      <w:r w:rsidR="008E224C">
        <w:lastRenderedPageBreak/>
        <w:t>(skat.4.tabula)</w:t>
      </w:r>
      <w:r w:rsidRPr="008E224C">
        <w:t>. Ņemot vērā to, ka zobārstniecības pakalpojumi bieži nepieciešami akūtās situācijās, gaidīšanas laiks tādos gadījumos ir īpaši būtisks.</w:t>
      </w:r>
    </w:p>
    <w:p w:rsidR="008E224C" w:rsidRDefault="00DD2228" w:rsidP="00F56918">
      <w:pPr>
        <w:jc w:val="right"/>
        <w:rPr>
          <w:i/>
        </w:rPr>
      </w:pPr>
      <w:r w:rsidRPr="00F56918">
        <w:rPr>
          <w:i/>
        </w:rPr>
        <w:t>4.tabula</w:t>
      </w:r>
    </w:p>
    <w:p w:rsidR="00F56918" w:rsidRPr="00F56918" w:rsidRDefault="00DD2228" w:rsidP="00F56918">
      <w:pPr>
        <w:jc w:val="center"/>
        <w:rPr>
          <w:b/>
        </w:rPr>
      </w:pPr>
      <w:r w:rsidRPr="00F56918">
        <w:rPr>
          <w:b/>
        </w:rPr>
        <w:t>Bērnu zobārstniecības pakalpojumi</w:t>
      </w:r>
    </w:p>
    <w:p w:rsidR="00F56918" w:rsidRDefault="00F56918" w:rsidP="00F56918">
      <w:pPr>
        <w:jc w:val="center"/>
        <w:rPr>
          <w:i/>
        </w:rPr>
      </w:pPr>
    </w:p>
    <w:tbl>
      <w:tblPr>
        <w:tblW w:w="7220" w:type="dxa"/>
        <w:jc w:val="center"/>
        <w:shd w:val="clear" w:color="auto" w:fill="D9D9D9" w:themeFill="background1" w:themeFillShade="D9"/>
        <w:tblLook w:val="04A0" w:firstRow="1" w:lastRow="0" w:firstColumn="1" w:lastColumn="0" w:noHBand="0" w:noVBand="1"/>
      </w:tblPr>
      <w:tblGrid>
        <w:gridCol w:w="699"/>
        <w:gridCol w:w="2020"/>
        <w:gridCol w:w="1723"/>
        <w:gridCol w:w="1492"/>
        <w:gridCol w:w="1286"/>
      </w:tblGrid>
      <w:tr w:rsidR="0014269D" w:rsidTr="00F56918">
        <w:trPr>
          <w:trHeight w:val="645"/>
          <w:jc w:val="center"/>
        </w:trPr>
        <w:tc>
          <w:tcPr>
            <w:tcW w:w="699" w:type="dxa"/>
            <w:tcBorders>
              <w:top w:val="single" w:sz="8" w:space="0" w:color="auto"/>
              <w:left w:val="single" w:sz="8" w:space="0" w:color="auto"/>
              <w:right w:val="single" w:sz="8" w:space="0" w:color="auto"/>
            </w:tcBorders>
            <w:shd w:val="clear" w:color="auto" w:fill="548DD4" w:themeFill="text2" w:themeFillTint="99"/>
          </w:tcPr>
          <w:p w:rsidR="008E224C" w:rsidRPr="008E224C" w:rsidRDefault="008E224C" w:rsidP="00F56918">
            <w:pPr>
              <w:rPr>
                <w:color w:val="000000"/>
                <w:sz w:val="22"/>
                <w:szCs w:val="22"/>
              </w:rPr>
            </w:pPr>
          </w:p>
        </w:tc>
        <w:tc>
          <w:tcPr>
            <w:tcW w:w="2020" w:type="dxa"/>
            <w:vMerge w:val="restart"/>
            <w:tcBorders>
              <w:top w:val="single" w:sz="8" w:space="0" w:color="auto"/>
              <w:left w:val="single" w:sz="8" w:space="0" w:color="auto"/>
              <w:right w:val="single" w:sz="8" w:space="0" w:color="auto"/>
            </w:tcBorders>
            <w:shd w:val="clear" w:color="auto" w:fill="548DD4" w:themeFill="text2" w:themeFillTint="99"/>
            <w:noWrap/>
            <w:vAlign w:val="bottom"/>
            <w:hideMark/>
          </w:tcPr>
          <w:p w:rsidR="008E224C" w:rsidRPr="008E224C" w:rsidRDefault="00DD2228" w:rsidP="00F56918">
            <w:pPr>
              <w:spacing w:line="480" w:lineRule="auto"/>
              <w:jc w:val="center"/>
              <w:rPr>
                <w:color w:val="000000"/>
                <w:sz w:val="22"/>
                <w:szCs w:val="22"/>
              </w:rPr>
            </w:pPr>
            <w:r w:rsidRPr="008E224C">
              <w:rPr>
                <w:color w:val="000000"/>
                <w:sz w:val="22"/>
                <w:szCs w:val="22"/>
              </w:rPr>
              <w:t>Teritoriālā nodaļa</w:t>
            </w:r>
          </w:p>
          <w:p w:rsidR="008E224C" w:rsidRPr="008E224C" w:rsidRDefault="008E224C" w:rsidP="00F56918">
            <w:pPr>
              <w:spacing w:line="480" w:lineRule="auto"/>
              <w:jc w:val="center"/>
              <w:rPr>
                <w:color w:val="000000"/>
                <w:sz w:val="22"/>
                <w:szCs w:val="22"/>
              </w:rPr>
            </w:pPr>
          </w:p>
        </w:tc>
        <w:tc>
          <w:tcPr>
            <w:tcW w:w="4501" w:type="dxa"/>
            <w:gridSpan w:val="3"/>
            <w:tcBorders>
              <w:top w:val="single" w:sz="8" w:space="0" w:color="auto"/>
              <w:left w:val="nil"/>
              <w:bottom w:val="single" w:sz="4" w:space="0" w:color="auto"/>
              <w:right w:val="single" w:sz="8" w:space="0" w:color="000000"/>
            </w:tcBorders>
            <w:shd w:val="clear" w:color="auto" w:fill="548DD4" w:themeFill="text2" w:themeFillTint="99"/>
            <w:vAlign w:val="center"/>
          </w:tcPr>
          <w:p w:rsidR="008E224C" w:rsidRPr="008E224C" w:rsidRDefault="00DD2228" w:rsidP="00F56918">
            <w:pPr>
              <w:jc w:val="center"/>
              <w:rPr>
                <w:bCs/>
                <w:color w:val="000000"/>
                <w:sz w:val="22"/>
                <w:szCs w:val="22"/>
              </w:rPr>
            </w:pPr>
            <w:r w:rsidRPr="008E224C">
              <w:rPr>
                <w:bCs/>
                <w:color w:val="000000"/>
                <w:sz w:val="22"/>
                <w:szCs w:val="22"/>
              </w:rPr>
              <w:t>Gaidīšanas rindas uz bērnu zobārstniecības pakalpojumiem</w:t>
            </w:r>
          </w:p>
        </w:tc>
      </w:tr>
      <w:tr w:rsidR="0014269D" w:rsidTr="00F56918">
        <w:trPr>
          <w:trHeight w:val="1125"/>
          <w:jc w:val="center"/>
        </w:trPr>
        <w:tc>
          <w:tcPr>
            <w:tcW w:w="699" w:type="dxa"/>
            <w:tcBorders>
              <w:left w:val="single" w:sz="8" w:space="0" w:color="auto"/>
              <w:bottom w:val="single" w:sz="4" w:space="0" w:color="auto"/>
              <w:right w:val="single" w:sz="8" w:space="0" w:color="auto"/>
            </w:tcBorders>
            <w:shd w:val="clear" w:color="auto" w:fill="548DD4" w:themeFill="text2" w:themeFillTint="99"/>
          </w:tcPr>
          <w:p w:rsidR="008E224C" w:rsidRPr="008E224C" w:rsidRDefault="00DD2228" w:rsidP="00F56918">
            <w:pPr>
              <w:rPr>
                <w:color w:val="000000"/>
                <w:sz w:val="22"/>
                <w:szCs w:val="22"/>
              </w:rPr>
            </w:pPr>
            <w:r w:rsidRPr="008E224C">
              <w:rPr>
                <w:rFonts w:eastAsiaTheme="minorHAnsi"/>
                <w:bCs/>
                <w:color w:val="000000"/>
                <w:sz w:val="22"/>
                <w:szCs w:val="22"/>
                <w:lang w:eastAsia="en-US"/>
              </w:rPr>
              <w:t>Nr. p. k.</w:t>
            </w:r>
          </w:p>
        </w:tc>
        <w:tc>
          <w:tcPr>
            <w:tcW w:w="2020" w:type="dxa"/>
            <w:vMerge/>
            <w:tcBorders>
              <w:left w:val="single" w:sz="8" w:space="0" w:color="auto"/>
              <w:bottom w:val="single" w:sz="4" w:space="0" w:color="auto"/>
              <w:right w:val="single" w:sz="8" w:space="0" w:color="auto"/>
            </w:tcBorders>
            <w:shd w:val="clear" w:color="auto" w:fill="548DD4" w:themeFill="text2" w:themeFillTint="99"/>
            <w:noWrap/>
            <w:vAlign w:val="bottom"/>
            <w:hideMark/>
          </w:tcPr>
          <w:p w:rsidR="008E224C" w:rsidRPr="008E224C" w:rsidRDefault="008E224C" w:rsidP="00F56918">
            <w:pPr>
              <w:rPr>
                <w:color w:val="000000"/>
                <w:sz w:val="22"/>
                <w:szCs w:val="22"/>
              </w:rPr>
            </w:pPr>
          </w:p>
        </w:tc>
        <w:tc>
          <w:tcPr>
            <w:tcW w:w="1723" w:type="dxa"/>
            <w:tcBorders>
              <w:top w:val="nil"/>
              <w:left w:val="nil"/>
              <w:bottom w:val="single" w:sz="4" w:space="0" w:color="auto"/>
              <w:right w:val="single" w:sz="4" w:space="0" w:color="auto"/>
            </w:tcBorders>
            <w:shd w:val="clear" w:color="auto" w:fill="548DD4" w:themeFill="text2" w:themeFillTint="99"/>
            <w:vAlign w:val="center"/>
            <w:hideMark/>
          </w:tcPr>
          <w:p w:rsidR="008E224C" w:rsidRPr="008E224C" w:rsidRDefault="00DD2228" w:rsidP="00F56918">
            <w:pPr>
              <w:jc w:val="center"/>
              <w:rPr>
                <w:bCs/>
                <w:color w:val="000000"/>
                <w:sz w:val="22"/>
                <w:szCs w:val="22"/>
              </w:rPr>
            </w:pPr>
            <w:r w:rsidRPr="008E224C">
              <w:rPr>
                <w:bCs/>
                <w:color w:val="000000"/>
                <w:sz w:val="22"/>
                <w:szCs w:val="22"/>
              </w:rPr>
              <w:t>vidējais rindas garums (dienas)</w:t>
            </w:r>
          </w:p>
        </w:tc>
        <w:tc>
          <w:tcPr>
            <w:tcW w:w="1492" w:type="dxa"/>
            <w:tcBorders>
              <w:top w:val="nil"/>
              <w:left w:val="nil"/>
              <w:bottom w:val="single" w:sz="4" w:space="0" w:color="auto"/>
              <w:right w:val="single" w:sz="4" w:space="0" w:color="auto"/>
            </w:tcBorders>
            <w:shd w:val="clear" w:color="auto" w:fill="548DD4" w:themeFill="text2" w:themeFillTint="99"/>
            <w:vAlign w:val="center"/>
            <w:hideMark/>
          </w:tcPr>
          <w:p w:rsidR="008E224C" w:rsidRPr="008E224C" w:rsidRDefault="00DD2228" w:rsidP="00F56918">
            <w:pPr>
              <w:jc w:val="center"/>
              <w:rPr>
                <w:bCs/>
                <w:color w:val="000000"/>
                <w:sz w:val="22"/>
                <w:szCs w:val="22"/>
              </w:rPr>
            </w:pPr>
            <w:r w:rsidRPr="008E224C">
              <w:rPr>
                <w:bCs/>
                <w:color w:val="000000"/>
                <w:sz w:val="22"/>
                <w:szCs w:val="22"/>
              </w:rPr>
              <w:t>garākā rinda (dienas)</w:t>
            </w:r>
          </w:p>
        </w:tc>
        <w:tc>
          <w:tcPr>
            <w:tcW w:w="1286" w:type="dxa"/>
            <w:tcBorders>
              <w:top w:val="nil"/>
              <w:left w:val="nil"/>
              <w:bottom w:val="single" w:sz="4" w:space="0" w:color="auto"/>
              <w:right w:val="single" w:sz="8" w:space="0" w:color="auto"/>
            </w:tcBorders>
            <w:shd w:val="clear" w:color="auto" w:fill="548DD4" w:themeFill="text2" w:themeFillTint="99"/>
            <w:vAlign w:val="center"/>
            <w:hideMark/>
          </w:tcPr>
          <w:p w:rsidR="008E224C" w:rsidRPr="008E224C" w:rsidRDefault="00DD2228" w:rsidP="00F56918">
            <w:pPr>
              <w:jc w:val="center"/>
              <w:rPr>
                <w:bCs/>
                <w:color w:val="000000"/>
                <w:sz w:val="22"/>
                <w:szCs w:val="22"/>
              </w:rPr>
            </w:pPr>
            <w:r w:rsidRPr="008E224C">
              <w:rPr>
                <w:bCs/>
                <w:color w:val="000000"/>
                <w:sz w:val="22"/>
                <w:szCs w:val="22"/>
              </w:rPr>
              <w:t>īsākā rinda (dienas)</w:t>
            </w:r>
          </w:p>
        </w:tc>
      </w:tr>
      <w:tr w:rsidR="0014269D" w:rsidTr="00F56918">
        <w:trPr>
          <w:trHeight w:val="315"/>
          <w:jc w:val="center"/>
        </w:trPr>
        <w:tc>
          <w:tcPr>
            <w:tcW w:w="699" w:type="dxa"/>
            <w:tcBorders>
              <w:top w:val="nil"/>
              <w:left w:val="single" w:sz="8" w:space="0" w:color="auto"/>
              <w:bottom w:val="single" w:sz="4" w:space="0" w:color="auto"/>
              <w:right w:val="single" w:sz="8" w:space="0" w:color="auto"/>
            </w:tcBorders>
            <w:shd w:val="clear" w:color="auto" w:fill="FFFFFF" w:themeFill="background1"/>
          </w:tcPr>
          <w:p w:rsidR="008E224C" w:rsidRPr="008E224C" w:rsidRDefault="00DD2228" w:rsidP="00F56918">
            <w:pPr>
              <w:jc w:val="center"/>
              <w:rPr>
                <w:bCs/>
                <w:color w:val="000000"/>
                <w:sz w:val="22"/>
                <w:szCs w:val="22"/>
              </w:rPr>
            </w:pPr>
            <w:r w:rsidRPr="008E224C">
              <w:rPr>
                <w:bCs/>
                <w:color w:val="000000"/>
                <w:sz w:val="22"/>
                <w:szCs w:val="22"/>
              </w:rPr>
              <w:t>1.</w:t>
            </w:r>
          </w:p>
        </w:tc>
        <w:tc>
          <w:tcPr>
            <w:tcW w:w="20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8E224C" w:rsidRPr="008E224C" w:rsidRDefault="00DD2228" w:rsidP="00F56918">
            <w:pPr>
              <w:jc w:val="center"/>
              <w:rPr>
                <w:bCs/>
                <w:color w:val="000000"/>
                <w:sz w:val="22"/>
                <w:szCs w:val="22"/>
              </w:rPr>
            </w:pPr>
            <w:r w:rsidRPr="008E224C">
              <w:rPr>
                <w:bCs/>
                <w:color w:val="000000"/>
                <w:sz w:val="22"/>
                <w:szCs w:val="22"/>
              </w:rPr>
              <w:t>Rīgas nodaļā</w:t>
            </w:r>
          </w:p>
        </w:tc>
        <w:tc>
          <w:tcPr>
            <w:tcW w:w="1723" w:type="dxa"/>
            <w:tcBorders>
              <w:top w:val="nil"/>
              <w:left w:val="nil"/>
              <w:bottom w:val="single" w:sz="4" w:space="0" w:color="auto"/>
              <w:right w:val="single" w:sz="4"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25</w:t>
            </w:r>
          </w:p>
        </w:tc>
        <w:tc>
          <w:tcPr>
            <w:tcW w:w="1492" w:type="dxa"/>
            <w:tcBorders>
              <w:top w:val="nil"/>
              <w:left w:val="nil"/>
              <w:bottom w:val="single" w:sz="4" w:space="0" w:color="auto"/>
              <w:right w:val="single" w:sz="4"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480</w:t>
            </w:r>
          </w:p>
        </w:tc>
        <w:tc>
          <w:tcPr>
            <w:tcW w:w="1286" w:type="dxa"/>
            <w:tcBorders>
              <w:top w:val="nil"/>
              <w:left w:val="nil"/>
              <w:bottom w:val="single" w:sz="4" w:space="0" w:color="auto"/>
              <w:right w:val="single" w:sz="8"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0</w:t>
            </w:r>
          </w:p>
        </w:tc>
      </w:tr>
      <w:tr w:rsidR="0014269D" w:rsidTr="00F56918">
        <w:trPr>
          <w:trHeight w:val="315"/>
          <w:jc w:val="center"/>
        </w:trPr>
        <w:tc>
          <w:tcPr>
            <w:tcW w:w="699" w:type="dxa"/>
            <w:tcBorders>
              <w:top w:val="nil"/>
              <w:left w:val="single" w:sz="8" w:space="0" w:color="auto"/>
              <w:bottom w:val="single" w:sz="4" w:space="0" w:color="auto"/>
              <w:right w:val="single" w:sz="8" w:space="0" w:color="auto"/>
            </w:tcBorders>
            <w:shd w:val="clear" w:color="auto" w:fill="FFFFFF" w:themeFill="background1"/>
          </w:tcPr>
          <w:p w:rsidR="008E224C" w:rsidRPr="008E224C" w:rsidRDefault="00DD2228" w:rsidP="00F56918">
            <w:pPr>
              <w:jc w:val="center"/>
              <w:rPr>
                <w:bCs/>
                <w:color w:val="000000"/>
                <w:sz w:val="22"/>
                <w:szCs w:val="22"/>
              </w:rPr>
            </w:pPr>
            <w:r w:rsidRPr="008E224C">
              <w:rPr>
                <w:bCs/>
                <w:color w:val="000000"/>
                <w:sz w:val="22"/>
                <w:szCs w:val="22"/>
              </w:rPr>
              <w:t>2.</w:t>
            </w:r>
          </w:p>
        </w:tc>
        <w:tc>
          <w:tcPr>
            <w:tcW w:w="20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8E224C" w:rsidRPr="008E224C" w:rsidRDefault="00DD2228" w:rsidP="00F56918">
            <w:pPr>
              <w:jc w:val="center"/>
              <w:rPr>
                <w:bCs/>
                <w:color w:val="000000"/>
                <w:sz w:val="22"/>
                <w:szCs w:val="22"/>
              </w:rPr>
            </w:pPr>
            <w:r w:rsidRPr="008E224C">
              <w:rPr>
                <w:bCs/>
                <w:color w:val="000000"/>
                <w:sz w:val="22"/>
                <w:szCs w:val="22"/>
              </w:rPr>
              <w:t>Vidzemes nodaļā</w:t>
            </w:r>
          </w:p>
        </w:tc>
        <w:tc>
          <w:tcPr>
            <w:tcW w:w="1723" w:type="dxa"/>
            <w:tcBorders>
              <w:top w:val="nil"/>
              <w:left w:val="nil"/>
              <w:bottom w:val="single" w:sz="4" w:space="0" w:color="auto"/>
              <w:right w:val="single" w:sz="4"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29</w:t>
            </w:r>
          </w:p>
        </w:tc>
        <w:tc>
          <w:tcPr>
            <w:tcW w:w="1492" w:type="dxa"/>
            <w:tcBorders>
              <w:top w:val="nil"/>
              <w:left w:val="nil"/>
              <w:bottom w:val="single" w:sz="4" w:space="0" w:color="auto"/>
              <w:right w:val="single" w:sz="4"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231</w:t>
            </w:r>
          </w:p>
        </w:tc>
        <w:tc>
          <w:tcPr>
            <w:tcW w:w="1286" w:type="dxa"/>
            <w:tcBorders>
              <w:top w:val="nil"/>
              <w:left w:val="nil"/>
              <w:bottom w:val="single" w:sz="4" w:space="0" w:color="auto"/>
              <w:right w:val="single" w:sz="8"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0</w:t>
            </w:r>
          </w:p>
        </w:tc>
      </w:tr>
      <w:tr w:rsidR="0014269D" w:rsidTr="00F56918">
        <w:trPr>
          <w:trHeight w:val="315"/>
          <w:jc w:val="center"/>
        </w:trPr>
        <w:tc>
          <w:tcPr>
            <w:tcW w:w="699" w:type="dxa"/>
            <w:tcBorders>
              <w:top w:val="nil"/>
              <w:left w:val="single" w:sz="8" w:space="0" w:color="auto"/>
              <w:bottom w:val="single" w:sz="4" w:space="0" w:color="auto"/>
              <w:right w:val="single" w:sz="8" w:space="0" w:color="auto"/>
            </w:tcBorders>
            <w:shd w:val="clear" w:color="auto" w:fill="FFFFFF" w:themeFill="background1"/>
          </w:tcPr>
          <w:p w:rsidR="008E224C" w:rsidRPr="008E224C" w:rsidRDefault="00DD2228" w:rsidP="00F56918">
            <w:pPr>
              <w:jc w:val="center"/>
              <w:rPr>
                <w:bCs/>
                <w:color w:val="000000"/>
                <w:sz w:val="22"/>
                <w:szCs w:val="22"/>
              </w:rPr>
            </w:pPr>
            <w:r w:rsidRPr="008E224C">
              <w:rPr>
                <w:bCs/>
                <w:color w:val="000000"/>
                <w:sz w:val="22"/>
                <w:szCs w:val="22"/>
              </w:rPr>
              <w:t>3.</w:t>
            </w:r>
          </w:p>
        </w:tc>
        <w:tc>
          <w:tcPr>
            <w:tcW w:w="20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8E224C" w:rsidRPr="008E224C" w:rsidRDefault="00DD2228" w:rsidP="00F56918">
            <w:pPr>
              <w:jc w:val="center"/>
              <w:rPr>
                <w:bCs/>
                <w:color w:val="000000"/>
                <w:sz w:val="22"/>
                <w:szCs w:val="22"/>
              </w:rPr>
            </w:pPr>
            <w:r w:rsidRPr="008E224C">
              <w:rPr>
                <w:bCs/>
                <w:color w:val="000000"/>
                <w:sz w:val="22"/>
                <w:szCs w:val="22"/>
              </w:rPr>
              <w:t>Kurzemes nodaļa</w:t>
            </w:r>
          </w:p>
        </w:tc>
        <w:tc>
          <w:tcPr>
            <w:tcW w:w="1723" w:type="dxa"/>
            <w:tcBorders>
              <w:top w:val="nil"/>
              <w:left w:val="nil"/>
              <w:bottom w:val="single" w:sz="4" w:space="0" w:color="auto"/>
              <w:right w:val="single" w:sz="4"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25</w:t>
            </w:r>
          </w:p>
        </w:tc>
        <w:tc>
          <w:tcPr>
            <w:tcW w:w="1492" w:type="dxa"/>
            <w:tcBorders>
              <w:top w:val="nil"/>
              <w:left w:val="nil"/>
              <w:bottom w:val="single" w:sz="4" w:space="0" w:color="auto"/>
              <w:right w:val="single" w:sz="4"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200</w:t>
            </w:r>
          </w:p>
        </w:tc>
        <w:tc>
          <w:tcPr>
            <w:tcW w:w="1286" w:type="dxa"/>
            <w:tcBorders>
              <w:top w:val="nil"/>
              <w:left w:val="nil"/>
              <w:bottom w:val="single" w:sz="4" w:space="0" w:color="auto"/>
              <w:right w:val="single" w:sz="8"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0</w:t>
            </w:r>
          </w:p>
        </w:tc>
      </w:tr>
      <w:tr w:rsidR="0014269D" w:rsidTr="00F56918">
        <w:trPr>
          <w:trHeight w:val="315"/>
          <w:jc w:val="center"/>
        </w:trPr>
        <w:tc>
          <w:tcPr>
            <w:tcW w:w="699" w:type="dxa"/>
            <w:tcBorders>
              <w:top w:val="nil"/>
              <w:left w:val="single" w:sz="8" w:space="0" w:color="auto"/>
              <w:bottom w:val="single" w:sz="4" w:space="0" w:color="auto"/>
              <w:right w:val="single" w:sz="8" w:space="0" w:color="auto"/>
            </w:tcBorders>
            <w:shd w:val="clear" w:color="auto" w:fill="FFFFFF" w:themeFill="background1"/>
          </w:tcPr>
          <w:p w:rsidR="008E224C" w:rsidRPr="008E224C" w:rsidRDefault="00DD2228" w:rsidP="00F56918">
            <w:pPr>
              <w:jc w:val="center"/>
              <w:rPr>
                <w:bCs/>
                <w:color w:val="000000"/>
                <w:sz w:val="22"/>
                <w:szCs w:val="22"/>
              </w:rPr>
            </w:pPr>
            <w:r w:rsidRPr="008E224C">
              <w:rPr>
                <w:bCs/>
                <w:color w:val="000000"/>
                <w:sz w:val="22"/>
                <w:szCs w:val="22"/>
              </w:rPr>
              <w:t>4.</w:t>
            </w:r>
          </w:p>
        </w:tc>
        <w:tc>
          <w:tcPr>
            <w:tcW w:w="20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8E224C" w:rsidRPr="008E224C" w:rsidRDefault="00DD2228" w:rsidP="00F56918">
            <w:pPr>
              <w:jc w:val="center"/>
              <w:rPr>
                <w:bCs/>
                <w:color w:val="000000"/>
                <w:sz w:val="22"/>
                <w:szCs w:val="22"/>
              </w:rPr>
            </w:pPr>
            <w:r w:rsidRPr="008E224C">
              <w:rPr>
                <w:bCs/>
                <w:color w:val="000000"/>
                <w:sz w:val="22"/>
                <w:szCs w:val="22"/>
              </w:rPr>
              <w:t>Zemgales nodaļa</w:t>
            </w:r>
          </w:p>
        </w:tc>
        <w:tc>
          <w:tcPr>
            <w:tcW w:w="1723" w:type="dxa"/>
            <w:tcBorders>
              <w:top w:val="nil"/>
              <w:left w:val="nil"/>
              <w:bottom w:val="single" w:sz="4" w:space="0" w:color="auto"/>
              <w:right w:val="single" w:sz="4"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17</w:t>
            </w:r>
          </w:p>
        </w:tc>
        <w:tc>
          <w:tcPr>
            <w:tcW w:w="1492" w:type="dxa"/>
            <w:tcBorders>
              <w:top w:val="nil"/>
              <w:left w:val="nil"/>
              <w:bottom w:val="single" w:sz="4" w:space="0" w:color="auto"/>
              <w:right w:val="single" w:sz="4"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66</w:t>
            </w:r>
          </w:p>
        </w:tc>
        <w:tc>
          <w:tcPr>
            <w:tcW w:w="1286" w:type="dxa"/>
            <w:tcBorders>
              <w:top w:val="nil"/>
              <w:left w:val="nil"/>
              <w:bottom w:val="single" w:sz="4" w:space="0" w:color="auto"/>
              <w:right w:val="single" w:sz="8"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0</w:t>
            </w:r>
          </w:p>
        </w:tc>
      </w:tr>
      <w:tr w:rsidR="0014269D" w:rsidTr="00F56918">
        <w:trPr>
          <w:trHeight w:val="330"/>
          <w:jc w:val="center"/>
        </w:trPr>
        <w:tc>
          <w:tcPr>
            <w:tcW w:w="699" w:type="dxa"/>
            <w:tcBorders>
              <w:top w:val="nil"/>
              <w:left w:val="single" w:sz="8" w:space="0" w:color="auto"/>
              <w:bottom w:val="single" w:sz="8" w:space="0" w:color="auto"/>
              <w:right w:val="single" w:sz="8" w:space="0" w:color="auto"/>
            </w:tcBorders>
            <w:shd w:val="clear" w:color="auto" w:fill="FFFFFF" w:themeFill="background1"/>
          </w:tcPr>
          <w:p w:rsidR="008E224C" w:rsidRPr="008E224C" w:rsidRDefault="00DD2228" w:rsidP="00F56918">
            <w:pPr>
              <w:jc w:val="center"/>
              <w:rPr>
                <w:bCs/>
                <w:color w:val="000000"/>
                <w:sz w:val="22"/>
                <w:szCs w:val="22"/>
              </w:rPr>
            </w:pPr>
            <w:r w:rsidRPr="008E224C">
              <w:rPr>
                <w:bCs/>
                <w:color w:val="000000"/>
                <w:sz w:val="22"/>
                <w:szCs w:val="22"/>
              </w:rPr>
              <w:t>5.</w:t>
            </w:r>
          </w:p>
        </w:tc>
        <w:tc>
          <w:tcPr>
            <w:tcW w:w="20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E224C" w:rsidRPr="008E224C" w:rsidRDefault="00DD2228" w:rsidP="00F56918">
            <w:pPr>
              <w:jc w:val="center"/>
              <w:rPr>
                <w:bCs/>
                <w:color w:val="000000"/>
                <w:sz w:val="22"/>
                <w:szCs w:val="22"/>
              </w:rPr>
            </w:pPr>
            <w:r w:rsidRPr="008E224C">
              <w:rPr>
                <w:bCs/>
                <w:color w:val="000000"/>
                <w:sz w:val="22"/>
                <w:szCs w:val="22"/>
              </w:rPr>
              <w:t>Latgales nodaļa</w:t>
            </w:r>
          </w:p>
        </w:tc>
        <w:tc>
          <w:tcPr>
            <w:tcW w:w="1723" w:type="dxa"/>
            <w:tcBorders>
              <w:top w:val="nil"/>
              <w:left w:val="nil"/>
              <w:bottom w:val="single" w:sz="8" w:space="0" w:color="auto"/>
              <w:right w:val="single" w:sz="4"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5</w:t>
            </w:r>
          </w:p>
        </w:tc>
        <w:tc>
          <w:tcPr>
            <w:tcW w:w="1492" w:type="dxa"/>
            <w:tcBorders>
              <w:top w:val="nil"/>
              <w:left w:val="nil"/>
              <w:bottom w:val="single" w:sz="8" w:space="0" w:color="auto"/>
              <w:right w:val="single" w:sz="4"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60</w:t>
            </w:r>
          </w:p>
        </w:tc>
        <w:tc>
          <w:tcPr>
            <w:tcW w:w="1286" w:type="dxa"/>
            <w:tcBorders>
              <w:top w:val="nil"/>
              <w:left w:val="nil"/>
              <w:bottom w:val="single" w:sz="8" w:space="0" w:color="auto"/>
              <w:right w:val="single" w:sz="8" w:space="0" w:color="auto"/>
            </w:tcBorders>
            <w:shd w:val="clear" w:color="auto" w:fill="FFFFFF" w:themeFill="background1"/>
            <w:noWrap/>
            <w:vAlign w:val="center"/>
            <w:hideMark/>
          </w:tcPr>
          <w:p w:rsidR="008E224C" w:rsidRPr="008E224C" w:rsidRDefault="00DD2228" w:rsidP="00F56918">
            <w:pPr>
              <w:jc w:val="center"/>
              <w:rPr>
                <w:color w:val="000000"/>
                <w:sz w:val="22"/>
                <w:szCs w:val="22"/>
              </w:rPr>
            </w:pPr>
            <w:r w:rsidRPr="008E224C">
              <w:rPr>
                <w:color w:val="000000"/>
                <w:sz w:val="22"/>
                <w:szCs w:val="22"/>
              </w:rPr>
              <w:t>0</w:t>
            </w:r>
          </w:p>
        </w:tc>
      </w:tr>
    </w:tbl>
    <w:p w:rsidR="00F56918" w:rsidRDefault="00DD2228" w:rsidP="00F56918">
      <w:pPr>
        <w:jc w:val="both"/>
      </w:pPr>
      <w:r w:rsidRPr="006E1FFA">
        <w:rPr>
          <w:i/>
          <w:sz w:val="20"/>
          <w:szCs w:val="20"/>
        </w:rPr>
        <w:t>Avots</w:t>
      </w:r>
      <w:r w:rsidRPr="008603A3">
        <w:rPr>
          <w:i/>
          <w:sz w:val="20"/>
          <w:szCs w:val="20"/>
        </w:rPr>
        <w:t>: NVD</w:t>
      </w:r>
    </w:p>
    <w:p w:rsidR="00F56918" w:rsidRDefault="00F56918" w:rsidP="00F56918">
      <w:pPr>
        <w:ind w:firstLine="720"/>
        <w:jc w:val="both"/>
      </w:pPr>
    </w:p>
    <w:p w:rsidR="008E224C" w:rsidRPr="008E224C" w:rsidRDefault="00DD2228" w:rsidP="00B90904">
      <w:pPr>
        <w:ind w:firstLine="720"/>
        <w:jc w:val="both"/>
      </w:pPr>
      <w:r w:rsidRPr="00F56918">
        <w:t xml:space="preserve">Arī pie zobu higiēnista rindas garums ir atšķirīgs: sākot no tā, ka rindas nav vai tā mazāka par 5 dienām līdz pat 200 dienām. Vismazākā gaidīšanas rinda ir Latgales NVD teritoriālajā nodaļā, lai gan tur ir mazākais pakalpojumu sniedzēju skaits, skat. 5.tabula. </w:t>
      </w:r>
    </w:p>
    <w:p w:rsidR="008E224C" w:rsidRDefault="00DD2228" w:rsidP="00F56918">
      <w:pPr>
        <w:jc w:val="right"/>
        <w:rPr>
          <w:i/>
        </w:rPr>
      </w:pPr>
      <w:r w:rsidRPr="00F56918">
        <w:rPr>
          <w:i/>
        </w:rPr>
        <w:t>5.tabula</w:t>
      </w:r>
    </w:p>
    <w:p w:rsidR="00F56918" w:rsidRPr="00F56918" w:rsidRDefault="00DD2228" w:rsidP="00F56918">
      <w:pPr>
        <w:jc w:val="center"/>
        <w:rPr>
          <w:b/>
        </w:rPr>
      </w:pPr>
      <w:r w:rsidRPr="00F56918">
        <w:rPr>
          <w:b/>
        </w:rPr>
        <w:t>Bērnu hig</w:t>
      </w:r>
      <w:r w:rsidR="00863152">
        <w:rPr>
          <w:b/>
        </w:rPr>
        <w:t>i</w:t>
      </w:r>
      <w:r w:rsidRPr="00F56918">
        <w:rPr>
          <w:b/>
        </w:rPr>
        <w:t>ēnista pakalpojumi</w:t>
      </w:r>
    </w:p>
    <w:p w:rsidR="008E224C" w:rsidRDefault="008E224C" w:rsidP="00B90904">
      <w:pPr>
        <w:ind w:firstLine="720"/>
        <w:jc w:val="both"/>
      </w:pPr>
    </w:p>
    <w:tbl>
      <w:tblPr>
        <w:tblW w:w="7153" w:type="dxa"/>
        <w:jc w:val="center"/>
        <w:tblLook w:val="04A0" w:firstRow="1" w:lastRow="0" w:firstColumn="1" w:lastColumn="0" w:noHBand="0" w:noVBand="1"/>
      </w:tblPr>
      <w:tblGrid>
        <w:gridCol w:w="728"/>
        <w:gridCol w:w="1956"/>
        <w:gridCol w:w="1701"/>
        <w:gridCol w:w="1559"/>
        <w:gridCol w:w="1209"/>
      </w:tblGrid>
      <w:tr w:rsidR="0014269D" w:rsidTr="00CB04A7">
        <w:trPr>
          <w:trHeight w:val="315"/>
          <w:jc w:val="center"/>
        </w:trPr>
        <w:tc>
          <w:tcPr>
            <w:tcW w:w="728" w:type="dxa"/>
            <w:vMerge w:val="restart"/>
            <w:tcBorders>
              <w:top w:val="single" w:sz="8" w:space="0" w:color="auto"/>
              <w:left w:val="single" w:sz="8" w:space="0" w:color="auto"/>
              <w:right w:val="single" w:sz="8" w:space="0" w:color="auto"/>
            </w:tcBorders>
            <w:shd w:val="clear" w:color="auto" w:fill="548DD4" w:themeFill="text2" w:themeFillTint="99"/>
          </w:tcPr>
          <w:p w:rsidR="00CB04A7" w:rsidRDefault="00CB04A7" w:rsidP="00CB04A7">
            <w:pPr>
              <w:jc w:val="center"/>
              <w:rPr>
                <w:rFonts w:eastAsiaTheme="minorHAnsi"/>
                <w:bCs/>
                <w:color w:val="000000"/>
                <w:sz w:val="22"/>
                <w:szCs w:val="22"/>
                <w:lang w:eastAsia="en-US"/>
              </w:rPr>
            </w:pPr>
          </w:p>
          <w:p w:rsidR="00CB04A7" w:rsidRDefault="00CB04A7" w:rsidP="00CB04A7">
            <w:pPr>
              <w:jc w:val="center"/>
              <w:rPr>
                <w:rFonts w:eastAsiaTheme="minorHAnsi"/>
                <w:bCs/>
                <w:color w:val="000000"/>
                <w:sz w:val="22"/>
                <w:szCs w:val="22"/>
                <w:lang w:eastAsia="en-US"/>
              </w:rPr>
            </w:pPr>
          </w:p>
          <w:p w:rsidR="00CB04A7" w:rsidRPr="006A466A" w:rsidRDefault="00DD2228" w:rsidP="00CB04A7">
            <w:pPr>
              <w:jc w:val="center"/>
              <w:rPr>
                <w:color w:val="000000"/>
              </w:rPr>
            </w:pPr>
            <w:r w:rsidRPr="008E224C">
              <w:rPr>
                <w:rFonts w:eastAsiaTheme="minorHAnsi"/>
                <w:bCs/>
                <w:color w:val="000000"/>
                <w:sz w:val="22"/>
                <w:szCs w:val="22"/>
                <w:lang w:eastAsia="en-US"/>
              </w:rPr>
              <w:t>Nr. p. k.</w:t>
            </w:r>
          </w:p>
        </w:tc>
        <w:tc>
          <w:tcPr>
            <w:tcW w:w="1956" w:type="dxa"/>
            <w:vMerge w:val="restart"/>
            <w:tcBorders>
              <w:top w:val="single" w:sz="8" w:space="0" w:color="auto"/>
              <w:left w:val="single" w:sz="8" w:space="0" w:color="auto"/>
              <w:right w:val="single" w:sz="8" w:space="0" w:color="auto"/>
            </w:tcBorders>
            <w:shd w:val="clear" w:color="auto" w:fill="548DD4" w:themeFill="text2" w:themeFillTint="99"/>
            <w:noWrap/>
            <w:vAlign w:val="bottom"/>
            <w:hideMark/>
          </w:tcPr>
          <w:p w:rsidR="00CB04A7" w:rsidRPr="006A466A" w:rsidRDefault="00DD2228" w:rsidP="00CB04A7">
            <w:pPr>
              <w:spacing w:line="480" w:lineRule="auto"/>
              <w:jc w:val="center"/>
              <w:rPr>
                <w:color w:val="000000"/>
                <w:sz w:val="22"/>
                <w:szCs w:val="22"/>
              </w:rPr>
            </w:pPr>
            <w:r w:rsidRPr="006A466A">
              <w:rPr>
                <w:color w:val="000000"/>
              </w:rPr>
              <w:t> </w:t>
            </w:r>
            <w:r w:rsidRPr="006A466A">
              <w:rPr>
                <w:color w:val="000000"/>
                <w:sz w:val="22"/>
                <w:szCs w:val="22"/>
              </w:rPr>
              <w:t>Teritoriālā nodaļa</w:t>
            </w:r>
          </w:p>
          <w:p w:rsidR="00CB04A7" w:rsidRPr="006A466A" w:rsidRDefault="00CB04A7" w:rsidP="00CB04A7">
            <w:pPr>
              <w:rPr>
                <w:color w:val="000000"/>
              </w:rPr>
            </w:pPr>
          </w:p>
          <w:p w:rsidR="00CB04A7" w:rsidRPr="006A466A" w:rsidRDefault="00DD2228" w:rsidP="00CB04A7">
            <w:pPr>
              <w:rPr>
                <w:color w:val="000000"/>
              </w:rPr>
            </w:pPr>
            <w:r w:rsidRPr="006A466A">
              <w:rPr>
                <w:color w:val="000000"/>
              </w:rPr>
              <w:t> </w:t>
            </w:r>
          </w:p>
        </w:tc>
        <w:tc>
          <w:tcPr>
            <w:tcW w:w="4469" w:type="dxa"/>
            <w:gridSpan w:val="3"/>
            <w:tcBorders>
              <w:top w:val="single" w:sz="8" w:space="0" w:color="auto"/>
              <w:left w:val="nil"/>
              <w:bottom w:val="single" w:sz="4" w:space="0" w:color="auto"/>
              <w:right w:val="single" w:sz="8" w:space="0" w:color="000000"/>
            </w:tcBorders>
            <w:shd w:val="clear" w:color="auto" w:fill="548DD4" w:themeFill="text2" w:themeFillTint="99"/>
            <w:vAlign w:val="center"/>
          </w:tcPr>
          <w:p w:rsidR="00CB04A7" w:rsidRPr="006A466A" w:rsidRDefault="00DD2228" w:rsidP="00CB04A7">
            <w:pPr>
              <w:jc w:val="center"/>
              <w:rPr>
                <w:bCs/>
                <w:color w:val="000000"/>
              </w:rPr>
            </w:pPr>
            <w:r>
              <w:rPr>
                <w:bCs/>
                <w:color w:val="000000"/>
              </w:rPr>
              <w:t xml:space="preserve">Gaidīšanas rindas </w:t>
            </w:r>
            <w:r w:rsidRPr="006A466A">
              <w:rPr>
                <w:bCs/>
                <w:color w:val="000000"/>
              </w:rPr>
              <w:t>pie zobu higiēnista</w:t>
            </w:r>
          </w:p>
        </w:tc>
      </w:tr>
      <w:tr w:rsidR="0014269D" w:rsidTr="00CB04A7">
        <w:trPr>
          <w:trHeight w:val="1260"/>
          <w:jc w:val="center"/>
        </w:trPr>
        <w:tc>
          <w:tcPr>
            <w:tcW w:w="728" w:type="dxa"/>
            <w:vMerge/>
            <w:tcBorders>
              <w:left w:val="single" w:sz="8" w:space="0" w:color="auto"/>
              <w:bottom w:val="single" w:sz="4" w:space="0" w:color="auto"/>
              <w:right w:val="single" w:sz="8" w:space="0" w:color="auto"/>
            </w:tcBorders>
            <w:shd w:val="clear" w:color="auto" w:fill="548DD4" w:themeFill="text2" w:themeFillTint="99"/>
          </w:tcPr>
          <w:p w:rsidR="00CB04A7" w:rsidRPr="006A466A" w:rsidRDefault="00CB04A7" w:rsidP="00CB04A7">
            <w:pPr>
              <w:rPr>
                <w:color w:val="000000"/>
              </w:rPr>
            </w:pPr>
          </w:p>
        </w:tc>
        <w:tc>
          <w:tcPr>
            <w:tcW w:w="1956" w:type="dxa"/>
            <w:vMerge/>
            <w:tcBorders>
              <w:left w:val="single" w:sz="8" w:space="0" w:color="auto"/>
              <w:bottom w:val="single" w:sz="4" w:space="0" w:color="auto"/>
              <w:right w:val="single" w:sz="8" w:space="0" w:color="auto"/>
            </w:tcBorders>
            <w:shd w:val="clear" w:color="auto" w:fill="548DD4" w:themeFill="text2" w:themeFillTint="99"/>
            <w:noWrap/>
            <w:vAlign w:val="bottom"/>
            <w:hideMark/>
          </w:tcPr>
          <w:p w:rsidR="00CB04A7" w:rsidRPr="006A466A" w:rsidRDefault="00CB04A7" w:rsidP="00CB04A7">
            <w:pPr>
              <w:rPr>
                <w:color w:val="000000"/>
              </w:rPr>
            </w:pPr>
          </w:p>
        </w:tc>
        <w:tc>
          <w:tcPr>
            <w:tcW w:w="1701" w:type="dxa"/>
            <w:tcBorders>
              <w:top w:val="nil"/>
              <w:left w:val="nil"/>
              <w:bottom w:val="single" w:sz="4" w:space="0" w:color="auto"/>
              <w:right w:val="single" w:sz="4" w:space="0" w:color="auto"/>
            </w:tcBorders>
            <w:shd w:val="clear" w:color="auto" w:fill="548DD4" w:themeFill="text2" w:themeFillTint="99"/>
            <w:vAlign w:val="center"/>
            <w:hideMark/>
          </w:tcPr>
          <w:p w:rsidR="00CB04A7" w:rsidRPr="006A466A" w:rsidRDefault="00DD2228" w:rsidP="00CB04A7">
            <w:pPr>
              <w:jc w:val="center"/>
              <w:rPr>
                <w:bCs/>
                <w:color w:val="000000"/>
              </w:rPr>
            </w:pPr>
            <w:r w:rsidRPr="006A466A">
              <w:rPr>
                <w:bCs/>
                <w:color w:val="000000"/>
              </w:rPr>
              <w:t>vidējais rindas garums (dienas)</w:t>
            </w:r>
          </w:p>
        </w:tc>
        <w:tc>
          <w:tcPr>
            <w:tcW w:w="1559" w:type="dxa"/>
            <w:tcBorders>
              <w:top w:val="nil"/>
              <w:left w:val="nil"/>
              <w:bottom w:val="single" w:sz="4" w:space="0" w:color="auto"/>
              <w:right w:val="single" w:sz="4" w:space="0" w:color="auto"/>
            </w:tcBorders>
            <w:shd w:val="clear" w:color="auto" w:fill="548DD4" w:themeFill="text2" w:themeFillTint="99"/>
            <w:vAlign w:val="center"/>
            <w:hideMark/>
          </w:tcPr>
          <w:p w:rsidR="00CB04A7" w:rsidRPr="006A466A" w:rsidRDefault="00DD2228" w:rsidP="00CB04A7">
            <w:pPr>
              <w:jc w:val="center"/>
              <w:rPr>
                <w:bCs/>
                <w:color w:val="000000"/>
              </w:rPr>
            </w:pPr>
            <w:r w:rsidRPr="006A466A">
              <w:rPr>
                <w:bCs/>
                <w:color w:val="000000"/>
              </w:rPr>
              <w:t>garākā rinda (dienas)</w:t>
            </w:r>
          </w:p>
        </w:tc>
        <w:tc>
          <w:tcPr>
            <w:tcW w:w="1209" w:type="dxa"/>
            <w:tcBorders>
              <w:top w:val="nil"/>
              <w:left w:val="nil"/>
              <w:bottom w:val="single" w:sz="4" w:space="0" w:color="auto"/>
              <w:right w:val="single" w:sz="8" w:space="0" w:color="auto"/>
            </w:tcBorders>
            <w:shd w:val="clear" w:color="auto" w:fill="548DD4" w:themeFill="text2" w:themeFillTint="99"/>
            <w:vAlign w:val="center"/>
            <w:hideMark/>
          </w:tcPr>
          <w:p w:rsidR="00CB04A7" w:rsidRPr="006A466A" w:rsidRDefault="00DD2228" w:rsidP="00CB04A7">
            <w:pPr>
              <w:jc w:val="center"/>
              <w:rPr>
                <w:bCs/>
                <w:color w:val="000000"/>
              </w:rPr>
            </w:pPr>
            <w:r w:rsidRPr="006A466A">
              <w:rPr>
                <w:bCs/>
                <w:color w:val="000000"/>
              </w:rPr>
              <w:t>īsākā rinda (dienas)</w:t>
            </w:r>
          </w:p>
        </w:tc>
      </w:tr>
      <w:tr w:rsidR="0014269D" w:rsidTr="00CB04A7">
        <w:trPr>
          <w:trHeight w:val="315"/>
          <w:jc w:val="center"/>
        </w:trPr>
        <w:tc>
          <w:tcPr>
            <w:tcW w:w="728" w:type="dxa"/>
            <w:tcBorders>
              <w:top w:val="nil"/>
              <w:left w:val="single" w:sz="8" w:space="0" w:color="auto"/>
              <w:bottom w:val="single" w:sz="4" w:space="0" w:color="auto"/>
              <w:right w:val="single" w:sz="8" w:space="0" w:color="auto"/>
            </w:tcBorders>
          </w:tcPr>
          <w:p w:rsidR="00CB04A7" w:rsidRPr="006A466A" w:rsidRDefault="00DD2228" w:rsidP="00CB04A7">
            <w:pPr>
              <w:shd w:val="clear" w:color="auto" w:fill="FFFFFF" w:themeFill="background1"/>
              <w:jc w:val="center"/>
              <w:rPr>
                <w:bCs/>
                <w:color w:val="000000"/>
              </w:rPr>
            </w:pPr>
            <w:r>
              <w:rPr>
                <w:bCs/>
                <w:color w:val="000000"/>
              </w:rPr>
              <w:t>1.</w:t>
            </w:r>
          </w:p>
        </w:tc>
        <w:tc>
          <w:tcPr>
            <w:tcW w:w="1956" w:type="dxa"/>
            <w:tcBorders>
              <w:top w:val="nil"/>
              <w:left w:val="single" w:sz="8" w:space="0" w:color="auto"/>
              <w:bottom w:val="single" w:sz="4" w:space="0" w:color="auto"/>
              <w:right w:val="single" w:sz="8" w:space="0" w:color="auto"/>
            </w:tcBorders>
            <w:shd w:val="clear" w:color="auto" w:fill="auto"/>
            <w:noWrap/>
            <w:vAlign w:val="center"/>
            <w:hideMark/>
          </w:tcPr>
          <w:p w:rsidR="00CB04A7" w:rsidRPr="006A466A" w:rsidRDefault="00DD2228" w:rsidP="00CB04A7">
            <w:pPr>
              <w:shd w:val="clear" w:color="auto" w:fill="FFFFFF" w:themeFill="background1"/>
              <w:jc w:val="center"/>
              <w:rPr>
                <w:bCs/>
                <w:color w:val="000000"/>
              </w:rPr>
            </w:pPr>
            <w:r w:rsidRPr="006A466A">
              <w:rPr>
                <w:bCs/>
                <w:color w:val="000000"/>
              </w:rPr>
              <w:t>Rīgas nodaļā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12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150</w:t>
            </w:r>
          </w:p>
        </w:tc>
        <w:tc>
          <w:tcPr>
            <w:tcW w:w="1209" w:type="dxa"/>
            <w:tcBorders>
              <w:top w:val="nil"/>
              <w:left w:val="nil"/>
              <w:bottom w:val="single" w:sz="4" w:space="0" w:color="auto"/>
              <w:right w:val="single" w:sz="8"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0</w:t>
            </w:r>
          </w:p>
        </w:tc>
      </w:tr>
      <w:tr w:rsidR="0014269D" w:rsidTr="00CB04A7">
        <w:trPr>
          <w:trHeight w:val="315"/>
          <w:jc w:val="center"/>
        </w:trPr>
        <w:tc>
          <w:tcPr>
            <w:tcW w:w="728" w:type="dxa"/>
            <w:tcBorders>
              <w:top w:val="nil"/>
              <w:left w:val="single" w:sz="8" w:space="0" w:color="auto"/>
              <w:bottom w:val="single" w:sz="4" w:space="0" w:color="auto"/>
              <w:right w:val="single" w:sz="8" w:space="0" w:color="auto"/>
            </w:tcBorders>
          </w:tcPr>
          <w:p w:rsidR="00CB04A7" w:rsidRPr="006A466A" w:rsidRDefault="00DD2228" w:rsidP="00CB04A7">
            <w:pPr>
              <w:shd w:val="clear" w:color="auto" w:fill="FFFFFF" w:themeFill="background1"/>
              <w:jc w:val="center"/>
              <w:rPr>
                <w:bCs/>
                <w:color w:val="000000"/>
              </w:rPr>
            </w:pPr>
            <w:r>
              <w:rPr>
                <w:bCs/>
                <w:color w:val="000000"/>
              </w:rPr>
              <w:t>2.</w:t>
            </w:r>
          </w:p>
        </w:tc>
        <w:tc>
          <w:tcPr>
            <w:tcW w:w="1956" w:type="dxa"/>
            <w:tcBorders>
              <w:top w:val="nil"/>
              <w:left w:val="single" w:sz="8" w:space="0" w:color="auto"/>
              <w:bottom w:val="single" w:sz="4" w:space="0" w:color="auto"/>
              <w:right w:val="single" w:sz="8" w:space="0" w:color="auto"/>
            </w:tcBorders>
            <w:shd w:val="clear" w:color="auto" w:fill="auto"/>
            <w:noWrap/>
            <w:vAlign w:val="center"/>
            <w:hideMark/>
          </w:tcPr>
          <w:p w:rsidR="00CB04A7" w:rsidRPr="006A466A" w:rsidRDefault="00DD2228" w:rsidP="00CB04A7">
            <w:pPr>
              <w:shd w:val="clear" w:color="auto" w:fill="FFFFFF" w:themeFill="background1"/>
              <w:jc w:val="center"/>
              <w:rPr>
                <w:bCs/>
                <w:color w:val="000000"/>
              </w:rPr>
            </w:pPr>
            <w:r w:rsidRPr="006A466A">
              <w:rPr>
                <w:bCs/>
                <w:color w:val="000000"/>
              </w:rPr>
              <w:t>Vidzemes nodaļā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11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60</w:t>
            </w:r>
          </w:p>
        </w:tc>
        <w:tc>
          <w:tcPr>
            <w:tcW w:w="1209" w:type="dxa"/>
            <w:tcBorders>
              <w:top w:val="nil"/>
              <w:left w:val="nil"/>
              <w:bottom w:val="single" w:sz="4" w:space="0" w:color="auto"/>
              <w:right w:val="single" w:sz="8"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0</w:t>
            </w:r>
          </w:p>
        </w:tc>
      </w:tr>
      <w:tr w:rsidR="0014269D" w:rsidTr="00CB04A7">
        <w:trPr>
          <w:trHeight w:val="315"/>
          <w:jc w:val="center"/>
        </w:trPr>
        <w:tc>
          <w:tcPr>
            <w:tcW w:w="728" w:type="dxa"/>
            <w:tcBorders>
              <w:top w:val="nil"/>
              <w:left w:val="single" w:sz="8" w:space="0" w:color="auto"/>
              <w:bottom w:val="single" w:sz="4" w:space="0" w:color="auto"/>
              <w:right w:val="single" w:sz="8" w:space="0" w:color="auto"/>
            </w:tcBorders>
          </w:tcPr>
          <w:p w:rsidR="00CB04A7" w:rsidRPr="006A466A" w:rsidRDefault="00DD2228" w:rsidP="00CB04A7">
            <w:pPr>
              <w:shd w:val="clear" w:color="auto" w:fill="FFFFFF" w:themeFill="background1"/>
              <w:jc w:val="center"/>
              <w:rPr>
                <w:bCs/>
                <w:color w:val="000000"/>
              </w:rPr>
            </w:pPr>
            <w:r>
              <w:rPr>
                <w:bCs/>
                <w:color w:val="000000"/>
              </w:rPr>
              <w:t>3.</w:t>
            </w:r>
          </w:p>
        </w:tc>
        <w:tc>
          <w:tcPr>
            <w:tcW w:w="1956" w:type="dxa"/>
            <w:tcBorders>
              <w:top w:val="nil"/>
              <w:left w:val="single" w:sz="8" w:space="0" w:color="auto"/>
              <w:bottom w:val="single" w:sz="4" w:space="0" w:color="auto"/>
              <w:right w:val="single" w:sz="8" w:space="0" w:color="auto"/>
            </w:tcBorders>
            <w:shd w:val="clear" w:color="auto" w:fill="auto"/>
            <w:noWrap/>
            <w:vAlign w:val="center"/>
            <w:hideMark/>
          </w:tcPr>
          <w:p w:rsidR="00CB04A7" w:rsidRPr="006A466A" w:rsidRDefault="00DD2228" w:rsidP="00CB04A7">
            <w:pPr>
              <w:shd w:val="clear" w:color="auto" w:fill="FFFFFF" w:themeFill="background1"/>
              <w:jc w:val="center"/>
              <w:rPr>
                <w:bCs/>
                <w:color w:val="000000"/>
              </w:rPr>
            </w:pPr>
            <w:r w:rsidRPr="006A466A">
              <w:rPr>
                <w:bCs/>
                <w:color w:val="000000"/>
              </w:rPr>
              <w:t>Kurzemes nodaļa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17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200</w:t>
            </w:r>
          </w:p>
        </w:tc>
        <w:tc>
          <w:tcPr>
            <w:tcW w:w="1209" w:type="dxa"/>
            <w:tcBorders>
              <w:top w:val="nil"/>
              <w:left w:val="nil"/>
              <w:bottom w:val="single" w:sz="4" w:space="0" w:color="auto"/>
              <w:right w:val="single" w:sz="8"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0</w:t>
            </w:r>
          </w:p>
        </w:tc>
      </w:tr>
      <w:tr w:rsidR="0014269D" w:rsidTr="00CB04A7">
        <w:trPr>
          <w:trHeight w:val="315"/>
          <w:jc w:val="center"/>
        </w:trPr>
        <w:tc>
          <w:tcPr>
            <w:tcW w:w="728" w:type="dxa"/>
            <w:tcBorders>
              <w:top w:val="nil"/>
              <w:left w:val="single" w:sz="8" w:space="0" w:color="auto"/>
              <w:bottom w:val="single" w:sz="4" w:space="0" w:color="auto"/>
              <w:right w:val="single" w:sz="8" w:space="0" w:color="auto"/>
            </w:tcBorders>
          </w:tcPr>
          <w:p w:rsidR="00CB04A7" w:rsidRPr="006A466A" w:rsidRDefault="00DD2228" w:rsidP="00CB04A7">
            <w:pPr>
              <w:shd w:val="clear" w:color="auto" w:fill="FFFFFF" w:themeFill="background1"/>
              <w:jc w:val="center"/>
              <w:rPr>
                <w:bCs/>
                <w:color w:val="000000"/>
              </w:rPr>
            </w:pPr>
            <w:r>
              <w:rPr>
                <w:bCs/>
                <w:color w:val="000000"/>
              </w:rPr>
              <w:t>4.</w:t>
            </w:r>
          </w:p>
        </w:tc>
        <w:tc>
          <w:tcPr>
            <w:tcW w:w="1956" w:type="dxa"/>
            <w:tcBorders>
              <w:top w:val="nil"/>
              <w:left w:val="single" w:sz="8" w:space="0" w:color="auto"/>
              <w:bottom w:val="single" w:sz="4" w:space="0" w:color="auto"/>
              <w:right w:val="single" w:sz="8" w:space="0" w:color="auto"/>
            </w:tcBorders>
            <w:shd w:val="clear" w:color="auto" w:fill="auto"/>
            <w:noWrap/>
            <w:vAlign w:val="center"/>
            <w:hideMark/>
          </w:tcPr>
          <w:p w:rsidR="00CB04A7" w:rsidRPr="006A466A" w:rsidRDefault="00DD2228" w:rsidP="00CB04A7">
            <w:pPr>
              <w:shd w:val="clear" w:color="auto" w:fill="FFFFFF" w:themeFill="background1"/>
              <w:jc w:val="center"/>
              <w:rPr>
                <w:bCs/>
                <w:color w:val="000000"/>
              </w:rPr>
            </w:pPr>
            <w:r w:rsidRPr="006A466A">
              <w:rPr>
                <w:bCs/>
                <w:color w:val="000000"/>
              </w:rPr>
              <w:t>Zemgales nodaļa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11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31</w:t>
            </w:r>
          </w:p>
        </w:tc>
        <w:tc>
          <w:tcPr>
            <w:tcW w:w="1209" w:type="dxa"/>
            <w:tcBorders>
              <w:top w:val="nil"/>
              <w:left w:val="nil"/>
              <w:bottom w:val="single" w:sz="4" w:space="0" w:color="auto"/>
              <w:right w:val="single" w:sz="8"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0</w:t>
            </w:r>
          </w:p>
        </w:tc>
      </w:tr>
      <w:tr w:rsidR="0014269D" w:rsidTr="00CB04A7">
        <w:trPr>
          <w:trHeight w:val="330"/>
          <w:jc w:val="center"/>
        </w:trPr>
        <w:tc>
          <w:tcPr>
            <w:tcW w:w="728" w:type="dxa"/>
            <w:tcBorders>
              <w:top w:val="nil"/>
              <w:left w:val="single" w:sz="8" w:space="0" w:color="auto"/>
              <w:bottom w:val="single" w:sz="8" w:space="0" w:color="auto"/>
              <w:right w:val="single" w:sz="8" w:space="0" w:color="auto"/>
            </w:tcBorders>
          </w:tcPr>
          <w:p w:rsidR="00CB04A7" w:rsidRPr="006A466A" w:rsidRDefault="00DD2228" w:rsidP="00CB04A7">
            <w:pPr>
              <w:shd w:val="clear" w:color="auto" w:fill="FFFFFF" w:themeFill="background1"/>
              <w:jc w:val="center"/>
              <w:rPr>
                <w:bCs/>
                <w:color w:val="000000"/>
              </w:rPr>
            </w:pPr>
            <w:r>
              <w:rPr>
                <w:bCs/>
                <w:color w:val="000000"/>
              </w:rPr>
              <w:t>5.</w:t>
            </w:r>
          </w:p>
        </w:tc>
        <w:tc>
          <w:tcPr>
            <w:tcW w:w="1956" w:type="dxa"/>
            <w:tcBorders>
              <w:top w:val="nil"/>
              <w:left w:val="single" w:sz="8" w:space="0" w:color="auto"/>
              <w:bottom w:val="single" w:sz="8" w:space="0" w:color="auto"/>
              <w:right w:val="single" w:sz="8" w:space="0" w:color="auto"/>
            </w:tcBorders>
            <w:shd w:val="clear" w:color="auto" w:fill="auto"/>
            <w:noWrap/>
            <w:vAlign w:val="center"/>
            <w:hideMark/>
          </w:tcPr>
          <w:p w:rsidR="00CB04A7" w:rsidRPr="006A466A" w:rsidRDefault="00DD2228" w:rsidP="00CB04A7">
            <w:pPr>
              <w:shd w:val="clear" w:color="auto" w:fill="FFFFFF" w:themeFill="background1"/>
              <w:jc w:val="center"/>
              <w:rPr>
                <w:bCs/>
                <w:color w:val="000000"/>
              </w:rPr>
            </w:pPr>
            <w:r w:rsidRPr="006A466A">
              <w:rPr>
                <w:bCs/>
                <w:color w:val="000000"/>
              </w:rPr>
              <w:t>Latgales nodaļa</w:t>
            </w:r>
          </w:p>
        </w:tc>
        <w:tc>
          <w:tcPr>
            <w:tcW w:w="1701" w:type="dxa"/>
            <w:tcBorders>
              <w:top w:val="nil"/>
              <w:left w:val="nil"/>
              <w:bottom w:val="single" w:sz="8" w:space="0" w:color="auto"/>
              <w:right w:val="single" w:sz="4"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1.4</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10</w:t>
            </w:r>
          </w:p>
        </w:tc>
        <w:tc>
          <w:tcPr>
            <w:tcW w:w="1209" w:type="dxa"/>
            <w:tcBorders>
              <w:top w:val="nil"/>
              <w:left w:val="nil"/>
              <w:bottom w:val="single" w:sz="8" w:space="0" w:color="auto"/>
              <w:right w:val="single" w:sz="8" w:space="0" w:color="auto"/>
            </w:tcBorders>
            <w:shd w:val="clear" w:color="auto" w:fill="FFFFFF" w:themeFill="background1"/>
            <w:noWrap/>
            <w:vAlign w:val="center"/>
            <w:hideMark/>
          </w:tcPr>
          <w:p w:rsidR="00CB04A7" w:rsidRPr="006A466A" w:rsidRDefault="00DD2228" w:rsidP="00CB04A7">
            <w:pPr>
              <w:shd w:val="clear" w:color="auto" w:fill="FFFFFF" w:themeFill="background1"/>
              <w:jc w:val="center"/>
              <w:rPr>
                <w:color w:val="000000"/>
              </w:rPr>
            </w:pPr>
            <w:r w:rsidRPr="006A466A">
              <w:rPr>
                <w:color w:val="000000"/>
              </w:rPr>
              <w:t>0</w:t>
            </w:r>
          </w:p>
        </w:tc>
      </w:tr>
    </w:tbl>
    <w:p w:rsidR="00CB04A7" w:rsidRDefault="00DD2228" w:rsidP="00CB04A7">
      <w:pPr>
        <w:jc w:val="both"/>
      </w:pPr>
      <w:r w:rsidRPr="006E1FFA">
        <w:rPr>
          <w:i/>
          <w:sz w:val="20"/>
          <w:szCs w:val="20"/>
        </w:rPr>
        <w:t>Avots</w:t>
      </w:r>
      <w:r w:rsidRPr="008603A3">
        <w:rPr>
          <w:i/>
          <w:sz w:val="20"/>
          <w:szCs w:val="20"/>
        </w:rPr>
        <w:t>: NVD</w:t>
      </w:r>
    </w:p>
    <w:p w:rsidR="00CB04A7" w:rsidRDefault="00CB04A7" w:rsidP="00CB04A7">
      <w:pPr>
        <w:jc w:val="both"/>
      </w:pPr>
    </w:p>
    <w:p w:rsidR="00C10E3F" w:rsidRDefault="00DD2228" w:rsidP="009A2699">
      <w:pPr>
        <w:ind w:firstLine="720"/>
        <w:jc w:val="both"/>
      </w:pPr>
      <w:r w:rsidRPr="00C10E3F">
        <w:t xml:space="preserve">Ārstniecības iestāžu, kas sniedz zobārstniecības un zobu higiēnas pakalpojumus, kapacitāte atsevišķās teritorijās ir nepietiekama, īpaši uzsverot Rīgas teritoriju, kur pakalpojumu sniedzēju interesi un aktivitāti lielā mērā nosaka finansējums. Finansējuma trūkuma rezultātā ar katru </w:t>
      </w:r>
      <w:r w:rsidRPr="00F56918">
        <w:t xml:space="preserve">gadu mazinās valsts apmaksāto pakalpojumu skaits bērnu zobārstniecībā (2015. gadā ir bijuši 545 865 apmeklējumi zobārstniecībā, kas ir par 37 590 apmeklējumiem mazāk nekā 2014. gadā, bet 2014. gadā bijuši 583 455 apmeklējumi zobārstniecībā, kas ir par 4575 apmeklējumiem mazāk nekā 2013. gadā), skat.6.tabulu. </w:t>
      </w:r>
    </w:p>
    <w:p w:rsidR="00CB04A7" w:rsidRPr="00F56918" w:rsidRDefault="00CB04A7" w:rsidP="00F56918">
      <w:pPr>
        <w:jc w:val="both"/>
      </w:pPr>
    </w:p>
    <w:p w:rsidR="00C10E3F" w:rsidRPr="00F56918" w:rsidRDefault="00DD2228" w:rsidP="00F56918">
      <w:pPr>
        <w:jc w:val="right"/>
        <w:rPr>
          <w:i/>
        </w:rPr>
      </w:pPr>
      <w:r w:rsidRPr="00F56918">
        <w:rPr>
          <w:i/>
        </w:rPr>
        <w:lastRenderedPageBreak/>
        <w:t>6.tabula</w:t>
      </w:r>
    </w:p>
    <w:p w:rsidR="00C10E3F" w:rsidRDefault="00C10E3F" w:rsidP="00CB04A7">
      <w:pPr>
        <w:jc w:val="center"/>
        <w:rPr>
          <w:sz w:val="28"/>
          <w:szCs w:val="28"/>
        </w:rPr>
      </w:pPr>
    </w:p>
    <w:p w:rsidR="00C10E3F" w:rsidRDefault="00DD2228" w:rsidP="00CB04A7">
      <w:pPr>
        <w:jc w:val="both"/>
        <w:rPr>
          <w:sz w:val="28"/>
          <w:szCs w:val="28"/>
        </w:rPr>
      </w:pPr>
      <w:r>
        <w:rPr>
          <w:noProof/>
        </w:rPr>
        <w:drawing>
          <wp:inline distT="0" distB="0" distL="0" distR="0" wp14:anchorId="2443D4D3" wp14:editId="594859F3">
            <wp:extent cx="5943600" cy="1712595"/>
            <wp:effectExtent l="0" t="0" r="0" b="1905"/>
            <wp:docPr id="1" name="Chart 1">
              <a:extLst xmlns:a="http://schemas.openxmlformats.org/drawingml/2006/main">
                <a:ext uri="{FF2B5EF4-FFF2-40B4-BE49-F238E27FC236}">
                  <a16:creationId xmlns:a16="http://schemas.microsoft.com/office/drawing/2014/main" id="{333B1B84-6141-42A7-8F3F-F8C3B9DC3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5373" w:rsidRDefault="00DD2228" w:rsidP="00205373">
      <w:pPr>
        <w:jc w:val="both"/>
      </w:pPr>
      <w:r w:rsidRPr="006E1FFA">
        <w:rPr>
          <w:i/>
          <w:sz w:val="20"/>
          <w:szCs w:val="20"/>
        </w:rPr>
        <w:t>Avots</w:t>
      </w:r>
      <w:r w:rsidRPr="008603A3">
        <w:rPr>
          <w:i/>
          <w:sz w:val="20"/>
          <w:szCs w:val="20"/>
        </w:rPr>
        <w:t>: NVD</w:t>
      </w:r>
    </w:p>
    <w:p w:rsidR="00205373" w:rsidRDefault="00205373" w:rsidP="00CB04A7">
      <w:pPr>
        <w:jc w:val="both"/>
        <w:rPr>
          <w:sz w:val="28"/>
          <w:szCs w:val="28"/>
        </w:rPr>
      </w:pPr>
    </w:p>
    <w:p w:rsidR="00C10E3F" w:rsidRDefault="00DD2228" w:rsidP="009A2699">
      <w:pPr>
        <w:ind w:firstLine="720"/>
        <w:jc w:val="both"/>
        <w:rPr>
          <w:color w:val="000000"/>
          <w:shd w:val="clear" w:color="auto" w:fill="FFFFFF"/>
        </w:rPr>
      </w:pPr>
      <w:r>
        <w:t xml:space="preserve">Pieejamības izmaiņas valsts apmaksāto bērnu zobārstniecības pakalpojumu skaitā </w:t>
      </w:r>
      <w:r w:rsidR="00927C62">
        <w:t>sa</w:t>
      </w:r>
      <w:r>
        <w:t>mazina</w:t>
      </w:r>
      <w:r w:rsidRPr="00CB04A7">
        <w:t xml:space="preserve">  zobārstniec</w:t>
      </w:r>
      <w:r w:rsidR="00927C62">
        <w:t>ības aptveri, attiecīgi</w:t>
      </w:r>
      <w:r w:rsidRPr="00CB04A7">
        <w:t xml:space="preserve"> z</w:t>
      </w:r>
      <w:r w:rsidRPr="00CB04A7">
        <w:rPr>
          <w:color w:val="000000"/>
          <w:shd w:val="clear" w:color="auto" w:fill="FFFFFF"/>
        </w:rPr>
        <w:t>obārstu un zobu higiēnistu apmeklējušo bērnu vecumā līdz 18 gadiem īpatsvars no 2014. gada l</w:t>
      </w:r>
      <w:r w:rsidR="00927C62">
        <w:rPr>
          <w:color w:val="000000"/>
          <w:shd w:val="clear" w:color="auto" w:fill="FFFFFF"/>
        </w:rPr>
        <w:t>īdz 2016. gadam ir samazinājies.</w:t>
      </w:r>
      <w:r w:rsidRPr="00CB04A7">
        <w:rPr>
          <w:color w:val="000000"/>
          <w:shd w:val="clear" w:color="auto" w:fill="FFFFFF"/>
        </w:rPr>
        <w:t xml:space="preserve"> </w:t>
      </w:r>
      <w:r w:rsidR="00927C62">
        <w:rPr>
          <w:color w:val="000000"/>
          <w:shd w:val="clear" w:color="auto" w:fill="FFFFFF"/>
        </w:rPr>
        <w:t>Z</w:t>
      </w:r>
      <w:r w:rsidRPr="00CB04A7">
        <w:t>obārstniecības aptvere 2016.gadā 52,</w:t>
      </w:r>
      <w:r>
        <w:t>93%; 2015.gadā 55,02</w:t>
      </w:r>
      <w:r w:rsidRPr="00CB04A7">
        <w:t xml:space="preserve"> %, </w:t>
      </w:r>
      <w:r w:rsidRPr="00CB04A7">
        <w:rPr>
          <w:color w:val="000000"/>
          <w:shd w:val="clear" w:color="auto" w:fill="FFFFFF"/>
        </w:rPr>
        <w:t>2014. gadā - 57,72%</w:t>
      </w:r>
      <w:r w:rsidRPr="00C10E3F">
        <w:rPr>
          <w:color w:val="000000"/>
          <w:shd w:val="clear" w:color="auto" w:fill="FFFFFF"/>
        </w:rPr>
        <w:t>, skat.7</w:t>
      </w:r>
      <w:r w:rsidRPr="00CB04A7">
        <w:rPr>
          <w:color w:val="000000"/>
          <w:shd w:val="clear" w:color="auto" w:fill="FFFFFF"/>
        </w:rPr>
        <w:t xml:space="preserve">.tabula. </w:t>
      </w:r>
    </w:p>
    <w:p w:rsidR="00CB04A7" w:rsidRDefault="00CB04A7" w:rsidP="00CB04A7">
      <w:pPr>
        <w:jc w:val="both"/>
        <w:rPr>
          <w:color w:val="000000"/>
          <w:shd w:val="clear" w:color="auto" w:fill="FFFFFF"/>
        </w:rPr>
      </w:pPr>
    </w:p>
    <w:p w:rsidR="00F56918" w:rsidRPr="00CB04A7" w:rsidRDefault="00DD2228" w:rsidP="00CB04A7">
      <w:pPr>
        <w:jc w:val="right"/>
        <w:rPr>
          <w:i/>
          <w:color w:val="000000"/>
          <w:shd w:val="clear" w:color="auto" w:fill="FFFFFF"/>
        </w:rPr>
      </w:pPr>
      <w:r w:rsidRPr="00CB04A7">
        <w:rPr>
          <w:i/>
          <w:color w:val="000000"/>
          <w:shd w:val="clear" w:color="auto" w:fill="FFFFFF"/>
        </w:rPr>
        <w:t>7.tabula</w:t>
      </w:r>
    </w:p>
    <w:p w:rsidR="00F56918" w:rsidRPr="00CB04A7" w:rsidRDefault="00DD2228" w:rsidP="00CB04A7">
      <w:pPr>
        <w:jc w:val="center"/>
        <w:rPr>
          <w:color w:val="000000"/>
          <w:shd w:val="clear" w:color="auto" w:fill="FFFFFF"/>
        </w:rPr>
      </w:pPr>
      <w:r w:rsidRPr="00CB04A7">
        <w:rPr>
          <w:b/>
          <w:bCs/>
          <w:color w:val="000000"/>
        </w:rPr>
        <w:t>Bērnu aptvere NVD teritoriālās nodaļās 2015-2016.gadā</w:t>
      </w:r>
    </w:p>
    <w:p w:rsidR="00C10E3F" w:rsidRDefault="00C10E3F" w:rsidP="00CB04A7">
      <w:pPr>
        <w:jc w:val="right"/>
      </w:pPr>
    </w:p>
    <w:tbl>
      <w:tblPr>
        <w:tblStyle w:val="TableGrid"/>
        <w:tblW w:w="6804" w:type="dxa"/>
        <w:tblInd w:w="846" w:type="dxa"/>
        <w:tblLook w:val="04A0" w:firstRow="1" w:lastRow="0" w:firstColumn="1" w:lastColumn="0" w:noHBand="0" w:noVBand="1"/>
      </w:tblPr>
      <w:tblGrid>
        <w:gridCol w:w="576"/>
        <w:gridCol w:w="2259"/>
        <w:gridCol w:w="1276"/>
        <w:gridCol w:w="1275"/>
        <w:gridCol w:w="1418"/>
      </w:tblGrid>
      <w:tr w:rsidR="0014269D" w:rsidTr="00CB04A7">
        <w:tc>
          <w:tcPr>
            <w:tcW w:w="576" w:type="dxa"/>
          </w:tcPr>
          <w:p w:rsidR="00C10E3F" w:rsidRDefault="00DD2228" w:rsidP="00F11149">
            <w:pPr>
              <w:jc w:val="both"/>
            </w:pPr>
            <w:r>
              <w:t>Nr.</w:t>
            </w:r>
            <w:r w:rsidR="00CB04A7">
              <w:t xml:space="preserve"> </w:t>
            </w:r>
            <w:r>
              <w:t>p.k.</w:t>
            </w:r>
          </w:p>
        </w:tc>
        <w:tc>
          <w:tcPr>
            <w:tcW w:w="2259" w:type="dxa"/>
          </w:tcPr>
          <w:p w:rsidR="00C10E3F" w:rsidRPr="00CB04A7" w:rsidRDefault="00DD2228" w:rsidP="00F11149">
            <w:pPr>
              <w:jc w:val="both"/>
            </w:pPr>
            <w:r w:rsidRPr="00CB04A7">
              <w:rPr>
                <w:bCs/>
                <w:color w:val="000000"/>
              </w:rPr>
              <w:t>Teritoriālā nodaļa</w:t>
            </w:r>
          </w:p>
        </w:tc>
        <w:tc>
          <w:tcPr>
            <w:tcW w:w="1276" w:type="dxa"/>
          </w:tcPr>
          <w:p w:rsidR="00C10E3F" w:rsidRPr="00CB04A7" w:rsidRDefault="00DD2228" w:rsidP="00F11149">
            <w:pPr>
              <w:jc w:val="both"/>
            </w:pPr>
            <w:r w:rsidRPr="00CB04A7">
              <w:rPr>
                <w:bCs/>
                <w:color w:val="000000"/>
              </w:rPr>
              <w:t>2015.gads</w:t>
            </w:r>
          </w:p>
        </w:tc>
        <w:tc>
          <w:tcPr>
            <w:tcW w:w="1275" w:type="dxa"/>
          </w:tcPr>
          <w:p w:rsidR="00C10E3F" w:rsidRPr="00CB04A7" w:rsidRDefault="00DD2228" w:rsidP="00F11149">
            <w:pPr>
              <w:jc w:val="both"/>
            </w:pPr>
            <w:r w:rsidRPr="00CB04A7">
              <w:rPr>
                <w:bCs/>
                <w:color w:val="000000"/>
              </w:rPr>
              <w:t>2016.gads</w:t>
            </w:r>
          </w:p>
        </w:tc>
        <w:tc>
          <w:tcPr>
            <w:tcW w:w="1418" w:type="dxa"/>
          </w:tcPr>
          <w:p w:rsidR="00C10E3F" w:rsidRPr="00CB04A7" w:rsidRDefault="00DD2228" w:rsidP="00F11149">
            <w:pPr>
              <w:jc w:val="both"/>
            </w:pPr>
            <w:r w:rsidRPr="00CB04A7">
              <w:rPr>
                <w:bCs/>
                <w:color w:val="000000"/>
              </w:rPr>
              <w:t>Atšķirība starp 2015 un 2016.gadu</w:t>
            </w:r>
          </w:p>
        </w:tc>
      </w:tr>
      <w:tr w:rsidR="0014269D" w:rsidTr="00CB04A7">
        <w:tc>
          <w:tcPr>
            <w:tcW w:w="576" w:type="dxa"/>
          </w:tcPr>
          <w:p w:rsidR="00C10E3F" w:rsidRDefault="00DD2228" w:rsidP="00C10E3F">
            <w:pPr>
              <w:jc w:val="both"/>
            </w:pPr>
            <w:r>
              <w:t>1.</w:t>
            </w:r>
          </w:p>
        </w:tc>
        <w:tc>
          <w:tcPr>
            <w:tcW w:w="2259" w:type="dxa"/>
            <w:vAlign w:val="bottom"/>
          </w:tcPr>
          <w:p w:rsidR="00C10E3F" w:rsidRDefault="00DD2228" w:rsidP="00C10E3F">
            <w:pPr>
              <w:jc w:val="both"/>
            </w:pPr>
            <w:r w:rsidRPr="004E52E3">
              <w:rPr>
                <w:color w:val="000000"/>
              </w:rPr>
              <w:t>Kurzemes nodaļa</w:t>
            </w:r>
          </w:p>
        </w:tc>
        <w:tc>
          <w:tcPr>
            <w:tcW w:w="1276" w:type="dxa"/>
            <w:vAlign w:val="bottom"/>
          </w:tcPr>
          <w:p w:rsidR="00C10E3F" w:rsidRDefault="00DD2228" w:rsidP="00C10E3F">
            <w:pPr>
              <w:jc w:val="both"/>
            </w:pPr>
            <w:r w:rsidRPr="004E52E3">
              <w:rPr>
                <w:color w:val="000000"/>
              </w:rPr>
              <w:t>54.21%</w:t>
            </w:r>
          </w:p>
        </w:tc>
        <w:tc>
          <w:tcPr>
            <w:tcW w:w="1275" w:type="dxa"/>
            <w:vAlign w:val="bottom"/>
          </w:tcPr>
          <w:p w:rsidR="00C10E3F" w:rsidRDefault="00DD2228" w:rsidP="00C10E3F">
            <w:pPr>
              <w:jc w:val="both"/>
            </w:pPr>
            <w:r w:rsidRPr="004E52E3">
              <w:rPr>
                <w:color w:val="000000"/>
              </w:rPr>
              <w:t>49.10%</w:t>
            </w:r>
          </w:p>
        </w:tc>
        <w:tc>
          <w:tcPr>
            <w:tcW w:w="1418" w:type="dxa"/>
            <w:vAlign w:val="bottom"/>
          </w:tcPr>
          <w:p w:rsidR="00C10E3F" w:rsidRPr="00CB04A7" w:rsidRDefault="00DD2228" w:rsidP="00CB04A7">
            <w:r w:rsidRPr="00CB04A7">
              <w:t>-5.11%</w:t>
            </w:r>
          </w:p>
        </w:tc>
      </w:tr>
      <w:tr w:rsidR="0014269D" w:rsidTr="00CB04A7">
        <w:tc>
          <w:tcPr>
            <w:tcW w:w="576" w:type="dxa"/>
          </w:tcPr>
          <w:p w:rsidR="00C10E3F" w:rsidRDefault="00DD2228" w:rsidP="00C10E3F">
            <w:pPr>
              <w:jc w:val="both"/>
            </w:pPr>
            <w:r>
              <w:t>2.</w:t>
            </w:r>
          </w:p>
        </w:tc>
        <w:tc>
          <w:tcPr>
            <w:tcW w:w="2259" w:type="dxa"/>
            <w:vAlign w:val="bottom"/>
          </w:tcPr>
          <w:p w:rsidR="00C10E3F" w:rsidRDefault="00DD2228" w:rsidP="00C10E3F">
            <w:pPr>
              <w:jc w:val="both"/>
            </w:pPr>
            <w:r w:rsidRPr="004E52E3">
              <w:rPr>
                <w:color w:val="000000"/>
              </w:rPr>
              <w:t>Latgales nodaļa</w:t>
            </w:r>
          </w:p>
        </w:tc>
        <w:tc>
          <w:tcPr>
            <w:tcW w:w="1276" w:type="dxa"/>
            <w:vAlign w:val="bottom"/>
          </w:tcPr>
          <w:p w:rsidR="00C10E3F" w:rsidRDefault="00DD2228" w:rsidP="00C10E3F">
            <w:pPr>
              <w:jc w:val="both"/>
            </w:pPr>
            <w:r w:rsidRPr="004E52E3">
              <w:rPr>
                <w:color w:val="000000"/>
              </w:rPr>
              <w:t>59.75%</w:t>
            </w:r>
          </w:p>
        </w:tc>
        <w:tc>
          <w:tcPr>
            <w:tcW w:w="1275" w:type="dxa"/>
            <w:vAlign w:val="bottom"/>
          </w:tcPr>
          <w:p w:rsidR="00C10E3F" w:rsidRDefault="00DD2228" w:rsidP="00C10E3F">
            <w:pPr>
              <w:jc w:val="both"/>
            </w:pPr>
            <w:r w:rsidRPr="004E52E3">
              <w:rPr>
                <w:color w:val="000000"/>
              </w:rPr>
              <w:t>60.04%</w:t>
            </w:r>
          </w:p>
        </w:tc>
        <w:tc>
          <w:tcPr>
            <w:tcW w:w="1418" w:type="dxa"/>
            <w:vAlign w:val="bottom"/>
          </w:tcPr>
          <w:p w:rsidR="00C10E3F" w:rsidRPr="00CB04A7" w:rsidRDefault="00DD2228" w:rsidP="00C10E3F">
            <w:pPr>
              <w:jc w:val="both"/>
            </w:pPr>
            <w:r w:rsidRPr="00CB04A7">
              <w:t>0.29%</w:t>
            </w:r>
          </w:p>
        </w:tc>
      </w:tr>
      <w:tr w:rsidR="0014269D" w:rsidTr="00CB04A7">
        <w:tc>
          <w:tcPr>
            <w:tcW w:w="576" w:type="dxa"/>
          </w:tcPr>
          <w:p w:rsidR="00C10E3F" w:rsidRDefault="00DD2228" w:rsidP="00C10E3F">
            <w:pPr>
              <w:jc w:val="both"/>
            </w:pPr>
            <w:r>
              <w:t>3.</w:t>
            </w:r>
          </w:p>
        </w:tc>
        <w:tc>
          <w:tcPr>
            <w:tcW w:w="2259" w:type="dxa"/>
            <w:vAlign w:val="bottom"/>
          </w:tcPr>
          <w:p w:rsidR="00C10E3F" w:rsidRDefault="00DD2228" w:rsidP="00C10E3F">
            <w:pPr>
              <w:jc w:val="both"/>
            </w:pPr>
            <w:r w:rsidRPr="004E52E3">
              <w:rPr>
                <w:color w:val="000000"/>
              </w:rPr>
              <w:t>Rīgas nodaļa</w:t>
            </w:r>
          </w:p>
        </w:tc>
        <w:tc>
          <w:tcPr>
            <w:tcW w:w="1276" w:type="dxa"/>
            <w:vAlign w:val="bottom"/>
          </w:tcPr>
          <w:p w:rsidR="00C10E3F" w:rsidRDefault="00DD2228" w:rsidP="00C10E3F">
            <w:pPr>
              <w:jc w:val="both"/>
            </w:pPr>
            <w:r w:rsidRPr="004E52E3">
              <w:rPr>
                <w:color w:val="000000"/>
              </w:rPr>
              <w:t>52.33%</w:t>
            </w:r>
          </w:p>
        </w:tc>
        <w:tc>
          <w:tcPr>
            <w:tcW w:w="1275" w:type="dxa"/>
            <w:vAlign w:val="bottom"/>
          </w:tcPr>
          <w:p w:rsidR="00C10E3F" w:rsidRDefault="00DD2228" w:rsidP="00C10E3F">
            <w:pPr>
              <w:jc w:val="both"/>
            </w:pPr>
            <w:r w:rsidRPr="004E52E3">
              <w:rPr>
                <w:color w:val="000000"/>
              </w:rPr>
              <w:t>51.60%</w:t>
            </w:r>
          </w:p>
        </w:tc>
        <w:tc>
          <w:tcPr>
            <w:tcW w:w="1418" w:type="dxa"/>
            <w:vAlign w:val="bottom"/>
          </w:tcPr>
          <w:p w:rsidR="00C10E3F" w:rsidRPr="00CB04A7" w:rsidRDefault="00DD2228" w:rsidP="00C10E3F">
            <w:pPr>
              <w:jc w:val="both"/>
            </w:pPr>
            <w:r w:rsidRPr="00CB04A7">
              <w:t>-0.73%</w:t>
            </w:r>
          </w:p>
        </w:tc>
      </w:tr>
      <w:tr w:rsidR="0014269D" w:rsidTr="00CB04A7">
        <w:tc>
          <w:tcPr>
            <w:tcW w:w="576" w:type="dxa"/>
          </w:tcPr>
          <w:p w:rsidR="00C10E3F" w:rsidRDefault="00DD2228" w:rsidP="00C10E3F">
            <w:pPr>
              <w:jc w:val="both"/>
            </w:pPr>
            <w:r>
              <w:t>4.</w:t>
            </w:r>
          </w:p>
        </w:tc>
        <w:tc>
          <w:tcPr>
            <w:tcW w:w="2259" w:type="dxa"/>
            <w:vAlign w:val="bottom"/>
          </w:tcPr>
          <w:p w:rsidR="00C10E3F" w:rsidRDefault="00DD2228" w:rsidP="00C10E3F">
            <w:pPr>
              <w:jc w:val="both"/>
            </w:pPr>
            <w:r w:rsidRPr="004E52E3">
              <w:rPr>
                <w:color w:val="000000"/>
              </w:rPr>
              <w:t>Vidzemes nodaļa</w:t>
            </w:r>
          </w:p>
        </w:tc>
        <w:tc>
          <w:tcPr>
            <w:tcW w:w="1276" w:type="dxa"/>
            <w:vAlign w:val="bottom"/>
          </w:tcPr>
          <w:p w:rsidR="00C10E3F" w:rsidRDefault="00DD2228" w:rsidP="00C10E3F">
            <w:pPr>
              <w:jc w:val="both"/>
            </w:pPr>
            <w:r w:rsidRPr="004E52E3">
              <w:rPr>
                <w:color w:val="000000"/>
              </w:rPr>
              <w:t>63.57%</w:t>
            </w:r>
          </w:p>
        </w:tc>
        <w:tc>
          <w:tcPr>
            <w:tcW w:w="1275" w:type="dxa"/>
            <w:vAlign w:val="bottom"/>
          </w:tcPr>
          <w:p w:rsidR="00C10E3F" w:rsidRDefault="00DD2228" w:rsidP="00C10E3F">
            <w:pPr>
              <w:jc w:val="both"/>
            </w:pPr>
            <w:r w:rsidRPr="004E52E3">
              <w:rPr>
                <w:color w:val="000000"/>
              </w:rPr>
              <w:t>58.57%</w:t>
            </w:r>
          </w:p>
        </w:tc>
        <w:tc>
          <w:tcPr>
            <w:tcW w:w="1418" w:type="dxa"/>
            <w:vAlign w:val="bottom"/>
          </w:tcPr>
          <w:p w:rsidR="00C10E3F" w:rsidRPr="00CB04A7" w:rsidRDefault="00DD2228" w:rsidP="00C10E3F">
            <w:pPr>
              <w:jc w:val="both"/>
            </w:pPr>
            <w:r w:rsidRPr="00CB04A7">
              <w:t>-5.00%</w:t>
            </w:r>
          </w:p>
        </w:tc>
      </w:tr>
      <w:tr w:rsidR="0014269D" w:rsidTr="00CB04A7">
        <w:tc>
          <w:tcPr>
            <w:tcW w:w="576" w:type="dxa"/>
          </w:tcPr>
          <w:p w:rsidR="00C10E3F" w:rsidRDefault="00DD2228" w:rsidP="00C10E3F">
            <w:pPr>
              <w:jc w:val="both"/>
            </w:pPr>
            <w:r>
              <w:t>5.</w:t>
            </w:r>
          </w:p>
        </w:tc>
        <w:tc>
          <w:tcPr>
            <w:tcW w:w="2259" w:type="dxa"/>
            <w:vAlign w:val="bottom"/>
          </w:tcPr>
          <w:p w:rsidR="00C10E3F" w:rsidRDefault="00DD2228" w:rsidP="00C10E3F">
            <w:pPr>
              <w:jc w:val="both"/>
            </w:pPr>
            <w:r w:rsidRPr="004E52E3">
              <w:rPr>
                <w:color w:val="000000"/>
              </w:rPr>
              <w:t>Zemgales nodaļa</w:t>
            </w:r>
          </w:p>
        </w:tc>
        <w:tc>
          <w:tcPr>
            <w:tcW w:w="1276" w:type="dxa"/>
            <w:vAlign w:val="bottom"/>
          </w:tcPr>
          <w:p w:rsidR="00C10E3F" w:rsidRDefault="00DD2228" w:rsidP="00C10E3F">
            <w:pPr>
              <w:jc w:val="both"/>
            </w:pPr>
            <w:r w:rsidRPr="004E52E3">
              <w:rPr>
                <w:color w:val="000000"/>
              </w:rPr>
              <w:t>49.16%</w:t>
            </w:r>
          </w:p>
        </w:tc>
        <w:tc>
          <w:tcPr>
            <w:tcW w:w="1275" w:type="dxa"/>
            <w:vAlign w:val="bottom"/>
          </w:tcPr>
          <w:p w:rsidR="00C10E3F" w:rsidRDefault="00DD2228" w:rsidP="00C10E3F">
            <w:pPr>
              <w:jc w:val="both"/>
            </w:pPr>
            <w:r w:rsidRPr="004E52E3">
              <w:rPr>
                <w:color w:val="000000"/>
              </w:rPr>
              <w:t>47.78%</w:t>
            </w:r>
          </w:p>
        </w:tc>
        <w:tc>
          <w:tcPr>
            <w:tcW w:w="1418" w:type="dxa"/>
            <w:vAlign w:val="bottom"/>
          </w:tcPr>
          <w:p w:rsidR="00C10E3F" w:rsidRPr="00CB04A7" w:rsidRDefault="00DD2228" w:rsidP="00C10E3F">
            <w:pPr>
              <w:jc w:val="both"/>
            </w:pPr>
            <w:r w:rsidRPr="00CB04A7">
              <w:t>-1.38%</w:t>
            </w:r>
          </w:p>
        </w:tc>
      </w:tr>
      <w:tr w:rsidR="0014269D" w:rsidTr="00CB04A7">
        <w:tc>
          <w:tcPr>
            <w:tcW w:w="576" w:type="dxa"/>
          </w:tcPr>
          <w:p w:rsidR="00F56918" w:rsidRDefault="00F56918" w:rsidP="00F56918">
            <w:pPr>
              <w:jc w:val="both"/>
            </w:pPr>
          </w:p>
        </w:tc>
        <w:tc>
          <w:tcPr>
            <w:tcW w:w="2259" w:type="dxa"/>
          </w:tcPr>
          <w:p w:rsidR="00F56918" w:rsidRDefault="00DD2228" w:rsidP="00F56918">
            <w:pPr>
              <w:jc w:val="both"/>
            </w:pPr>
            <w:r w:rsidRPr="004E52E3">
              <w:rPr>
                <w:b/>
                <w:bCs/>
                <w:color w:val="000000"/>
              </w:rPr>
              <w:t>VALSTĪ</w:t>
            </w:r>
          </w:p>
        </w:tc>
        <w:tc>
          <w:tcPr>
            <w:tcW w:w="1276" w:type="dxa"/>
            <w:vAlign w:val="bottom"/>
          </w:tcPr>
          <w:p w:rsidR="00F56918" w:rsidRDefault="00DD2228" w:rsidP="00F56918">
            <w:pPr>
              <w:jc w:val="both"/>
            </w:pPr>
            <w:r w:rsidRPr="004E52E3">
              <w:rPr>
                <w:b/>
                <w:bCs/>
                <w:color w:val="000000"/>
              </w:rPr>
              <w:t>55.02%</w:t>
            </w:r>
          </w:p>
        </w:tc>
        <w:tc>
          <w:tcPr>
            <w:tcW w:w="1275" w:type="dxa"/>
            <w:vAlign w:val="bottom"/>
          </w:tcPr>
          <w:p w:rsidR="00F56918" w:rsidRDefault="00DD2228" w:rsidP="00F56918">
            <w:pPr>
              <w:jc w:val="both"/>
            </w:pPr>
            <w:r w:rsidRPr="004E52E3">
              <w:rPr>
                <w:b/>
                <w:bCs/>
                <w:color w:val="000000"/>
              </w:rPr>
              <w:t>52.93%</w:t>
            </w:r>
          </w:p>
        </w:tc>
        <w:tc>
          <w:tcPr>
            <w:tcW w:w="1418" w:type="dxa"/>
            <w:vAlign w:val="bottom"/>
          </w:tcPr>
          <w:p w:rsidR="00F56918" w:rsidRPr="00CB04A7" w:rsidRDefault="00DD2228" w:rsidP="00F56918">
            <w:pPr>
              <w:jc w:val="both"/>
            </w:pPr>
            <w:r w:rsidRPr="00CB04A7">
              <w:rPr>
                <w:b/>
                <w:bCs/>
              </w:rPr>
              <w:t>-2.09%</w:t>
            </w:r>
          </w:p>
        </w:tc>
      </w:tr>
    </w:tbl>
    <w:p w:rsidR="009D0754" w:rsidRDefault="00DD2228" w:rsidP="009D0754">
      <w:pPr>
        <w:jc w:val="both"/>
      </w:pPr>
      <w:r w:rsidRPr="006E1FFA">
        <w:rPr>
          <w:i/>
          <w:sz w:val="20"/>
          <w:szCs w:val="20"/>
        </w:rPr>
        <w:t>Avots</w:t>
      </w:r>
      <w:r w:rsidRPr="008603A3">
        <w:rPr>
          <w:i/>
          <w:sz w:val="20"/>
          <w:szCs w:val="20"/>
        </w:rPr>
        <w:t>: NVD</w:t>
      </w:r>
    </w:p>
    <w:p w:rsidR="00F11149" w:rsidRDefault="00F11149" w:rsidP="00032B87">
      <w:pPr>
        <w:jc w:val="both"/>
      </w:pPr>
    </w:p>
    <w:p w:rsidR="00B55B34" w:rsidRDefault="00DD2228" w:rsidP="00B90904">
      <w:pPr>
        <w:ind w:firstLine="720"/>
        <w:jc w:val="both"/>
      </w:pPr>
      <w:r>
        <w:t>Līdz ar minēto</w:t>
      </w:r>
      <w:r w:rsidR="002461FF">
        <w:t>,</w:t>
      </w:r>
      <w:r>
        <w:t xml:space="preserve"> </w:t>
      </w:r>
      <w:r w:rsidR="00590242">
        <w:t>Veselības ministrijas</w:t>
      </w:r>
      <w:r>
        <w:t xml:space="preserve"> ieskatā sekundāro ambulatoro veselības aprūpes pakalpojumu pieejamības uzlabojums nepārskatot </w:t>
      </w:r>
      <w:r w:rsidR="00D040EB">
        <w:t xml:space="preserve">veselības aprūpes </w:t>
      </w:r>
      <w:r>
        <w:t>paka</w:t>
      </w:r>
      <w:r w:rsidR="00F039BA">
        <w:t>lpojuma tarifus bū</w:t>
      </w:r>
      <w:r w:rsidR="00D040EB">
        <w:t>s</w:t>
      </w:r>
      <w:r>
        <w:t xml:space="preserve"> īslaicīgs risinājums samilzušo </w:t>
      </w:r>
      <w:r w:rsidR="00F039BA">
        <w:t xml:space="preserve">veselības aprūpes </w:t>
      </w:r>
      <w:r>
        <w:t>problēmu novēršanai</w:t>
      </w:r>
      <w:r w:rsidR="00D040EB">
        <w:t xml:space="preserve">, </w:t>
      </w:r>
      <w:r>
        <w:t>katrai ārstniecības iestādei līdztekus nes</w:t>
      </w:r>
      <w:r w:rsidR="00D040EB">
        <w:t>ot</w:t>
      </w:r>
      <w:r>
        <w:t xml:space="preserve"> papildus slogu, ko ārstniecības iestādei jāspēj kompensēt iekšējo resursu ietvaros,</w:t>
      </w:r>
      <w:r w:rsidR="00FE3068">
        <w:t xml:space="preserve"> kas praktiski ir izsmelti.</w:t>
      </w:r>
    </w:p>
    <w:p w:rsidR="004004F6" w:rsidRDefault="004004F6" w:rsidP="00B90904">
      <w:pPr>
        <w:ind w:firstLine="720"/>
        <w:jc w:val="both"/>
      </w:pPr>
    </w:p>
    <w:p w:rsidR="004B4729" w:rsidRDefault="00DD2228" w:rsidP="00B3708B">
      <w:pPr>
        <w:ind w:firstLine="720"/>
        <w:jc w:val="both"/>
      </w:pPr>
      <w:r w:rsidRPr="00FE3068">
        <w:t>Attiecīgi ārstniecības iestāžu pieejam</w:t>
      </w:r>
      <w:r w:rsidR="0035409C" w:rsidRPr="00FE3068">
        <w:t>ās</w:t>
      </w:r>
      <w:r w:rsidRPr="00FE3068">
        <w:t xml:space="preserve"> kapacit</w:t>
      </w:r>
      <w:r w:rsidR="0035409C" w:rsidRPr="00FE3068">
        <w:t>ātes</w:t>
      </w:r>
      <w:r w:rsidR="00F039BA" w:rsidRPr="00FE3068">
        <w:t xml:space="preserve"> </w:t>
      </w:r>
      <w:r w:rsidR="0035409C" w:rsidRPr="00FE3068">
        <w:t xml:space="preserve">ietvaros </w:t>
      </w:r>
      <w:r w:rsidRPr="00FE3068">
        <w:t xml:space="preserve">2017.un 2018.gadā papildus iespējams sniegt  883 183 pakalpojumus par </w:t>
      </w:r>
      <w:r w:rsidRPr="00FE3068">
        <w:rPr>
          <w:b/>
        </w:rPr>
        <w:t xml:space="preserve">16 269 698 </w:t>
      </w:r>
      <w:proofErr w:type="spellStart"/>
      <w:r w:rsidRPr="00B3708B">
        <w:rPr>
          <w:b/>
          <w:i/>
        </w:rPr>
        <w:t>euro</w:t>
      </w:r>
      <w:proofErr w:type="spellEnd"/>
      <w:r w:rsidRPr="00FE3068">
        <w:t xml:space="preserve"> (skat.</w:t>
      </w:r>
      <w:r w:rsidR="00927C62">
        <w:t>11</w:t>
      </w:r>
      <w:r w:rsidRPr="00FE3068">
        <w:t>.tabul</w:t>
      </w:r>
      <w:r w:rsidR="00FE3068" w:rsidRPr="00FE3068">
        <w:t>u</w:t>
      </w:r>
      <w:r w:rsidRPr="00FE3068">
        <w:t xml:space="preserve">). </w:t>
      </w:r>
      <w:r w:rsidR="00F7499B" w:rsidRPr="00FE3068">
        <w:t>Ar minēto pakalpojumu pieejamības p</w:t>
      </w:r>
      <w:r w:rsidRPr="00FE3068">
        <w:t>ieaugumu plānots nosegt  kopumā 55</w:t>
      </w:r>
      <w:r w:rsidR="00F7499B" w:rsidRPr="00FE3068">
        <w:t xml:space="preserve"> % no gaidīšanas rindu garuma</w:t>
      </w:r>
      <w:r w:rsidRPr="00FE3068">
        <w:t xml:space="preserve"> (bez </w:t>
      </w:r>
      <w:r w:rsidRPr="00B3708B">
        <w:rPr>
          <w:i/>
        </w:rPr>
        <w:t>“</w:t>
      </w:r>
      <w:proofErr w:type="spellStart"/>
      <w:r w:rsidRPr="00B3708B">
        <w:rPr>
          <w:i/>
        </w:rPr>
        <w:t>out</w:t>
      </w:r>
      <w:proofErr w:type="spellEnd"/>
      <w:r w:rsidRPr="00B3708B">
        <w:rPr>
          <w:i/>
        </w:rPr>
        <w:t xml:space="preserve"> </w:t>
      </w:r>
      <w:proofErr w:type="spellStart"/>
      <w:r w:rsidRPr="00B3708B">
        <w:rPr>
          <w:i/>
        </w:rPr>
        <w:t>of</w:t>
      </w:r>
      <w:proofErr w:type="spellEnd"/>
      <w:r w:rsidRPr="00B3708B">
        <w:rPr>
          <w:i/>
        </w:rPr>
        <w:t xml:space="preserve"> </w:t>
      </w:r>
      <w:proofErr w:type="spellStart"/>
      <w:r w:rsidRPr="00B3708B">
        <w:rPr>
          <w:i/>
        </w:rPr>
        <w:t>pocket</w:t>
      </w:r>
      <w:proofErr w:type="spellEnd"/>
      <w:r w:rsidRPr="00B3708B">
        <w:rPr>
          <w:i/>
        </w:rPr>
        <w:t>”</w:t>
      </w:r>
      <w:r w:rsidRPr="00FE3068">
        <w:t xml:space="preserve"> maksājumu ietekmes). </w:t>
      </w:r>
    </w:p>
    <w:p w:rsidR="00651B85" w:rsidRDefault="00DD2228" w:rsidP="00B3708B">
      <w:pPr>
        <w:ind w:firstLine="720"/>
        <w:jc w:val="both"/>
      </w:pPr>
      <w:r>
        <w:t xml:space="preserve">Izanalizējot vidējās izmaksas ambulatoro valsts veselības aprūpes pakalpojumu un maksas pakalpojumu segmentā skat.8. un 9.tabulu, secināms, ka pieejamības uzlabošanas rezultātā </w:t>
      </w:r>
      <w:r w:rsidR="00032B87">
        <w:t xml:space="preserve">daļa pacientu no </w:t>
      </w:r>
      <w:r>
        <w:t xml:space="preserve">maksas veselības aprūpes ieplūdīs valsts veselības aprūpes pakalpojumu apjomā. </w:t>
      </w:r>
    </w:p>
    <w:p w:rsidR="000676E3" w:rsidRPr="000676E3" w:rsidRDefault="00DD2228" w:rsidP="000676E3">
      <w:pPr>
        <w:jc w:val="right"/>
        <w:rPr>
          <w:i/>
        </w:rPr>
      </w:pPr>
      <w:r w:rsidRPr="000676E3">
        <w:rPr>
          <w:i/>
        </w:rPr>
        <w:lastRenderedPageBreak/>
        <w:t>8.tabula</w:t>
      </w:r>
    </w:p>
    <w:p w:rsidR="000676E3" w:rsidRDefault="000676E3" w:rsidP="000676E3">
      <w:pPr>
        <w:jc w:val="right"/>
      </w:pPr>
    </w:p>
    <w:p w:rsidR="000676E3" w:rsidRPr="000676E3" w:rsidRDefault="00DD2228" w:rsidP="000676E3">
      <w:pPr>
        <w:jc w:val="center"/>
        <w:rPr>
          <w:b/>
        </w:rPr>
      </w:pPr>
      <w:r w:rsidRPr="000676E3">
        <w:rPr>
          <w:b/>
        </w:rPr>
        <w:t>Ambulatoro izmeklējumu un terapijas vidējās izmaksas</w:t>
      </w:r>
    </w:p>
    <w:p w:rsidR="000676E3" w:rsidRDefault="000676E3" w:rsidP="000676E3">
      <w:pPr>
        <w:jc w:val="right"/>
      </w:pPr>
    </w:p>
    <w:tbl>
      <w:tblPr>
        <w:tblW w:w="8002" w:type="dxa"/>
        <w:tblLook w:val="04A0" w:firstRow="1" w:lastRow="0" w:firstColumn="1" w:lastColumn="0" w:noHBand="0" w:noVBand="1"/>
      </w:tblPr>
      <w:tblGrid>
        <w:gridCol w:w="645"/>
        <w:gridCol w:w="1965"/>
        <w:gridCol w:w="1115"/>
        <w:gridCol w:w="1125"/>
        <w:gridCol w:w="1125"/>
        <w:gridCol w:w="1125"/>
        <w:gridCol w:w="1125"/>
        <w:gridCol w:w="1125"/>
      </w:tblGrid>
      <w:tr w:rsidR="0014269D" w:rsidTr="000676E3">
        <w:trPr>
          <w:trHeight w:val="1857"/>
        </w:trPr>
        <w:tc>
          <w:tcPr>
            <w:tcW w:w="611"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0676E3" w:rsidRDefault="00DD2228">
            <w:pPr>
              <w:jc w:val="center"/>
              <w:rPr>
                <w:color w:val="000000"/>
                <w:sz w:val="22"/>
                <w:szCs w:val="22"/>
              </w:rPr>
            </w:pPr>
            <w:proofErr w:type="spellStart"/>
            <w:r>
              <w:rPr>
                <w:color w:val="000000"/>
                <w:sz w:val="22"/>
                <w:szCs w:val="22"/>
              </w:rPr>
              <w:t>N.p.k</w:t>
            </w:r>
            <w:proofErr w:type="spellEnd"/>
            <w:r>
              <w:rPr>
                <w:color w:val="000000"/>
                <w:sz w:val="22"/>
                <w:szCs w:val="22"/>
              </w:rPr>
              <w:t>.</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0676E3" w:rsidRDefault="00DD2228">
            <w:pPr>
              <w:jc w:val="center"/>
              <w:rPr>
                <w:sz w:val="22"/>
                <w:szCs w:val="22"/>
              </w:rPr>
            </w:pPr>
            <w:r>
              <w:rPr>
                <w:sz w:val="22"/>
                <w:szCs w:val="22"/>
              </w:rPr>
              <w:t>Izmeklējumi un terapija</w:t>
            </w:r>
          </w:p>
        </w:tc>
        <w:tc>
          <w:tcPr>
            <w:tcW w:w="94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sz w:val="22"/>
                <w:szCs w:val="22"/>
              </w:rPr>
            </w:pPr>
            <w:r>
              <w:rPr>
                <w:sz w:val="22"/>
                <w:szCs w:val="22"/>
              </w:rPr>
              <w:t xml:space="preserve"> Viena izmeklējuma vidējās izmaksas saskaņā ar MK 1529 noteiktajiem tarifiem </w:t>
            </w:r>
          </w:p>
        </w:tc>
        <w:tc>
          <w:tcPr>
            <w:tcW w:w="949"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sz w:val="22"/>
                <w:szCs w:val="22"/>
              </w:rPr>
            </w:pPr>
            <w:r>
              <w:rPr>
                <w:sz w:val="22"/>
                <w:szCs w:val="22"/>
              </w:rPr>
              <w:t>Medicīnas centra ARS pakalpojumu vidējās izmaksas</w:t>
            </w:r>
          </w:p>
        </w:tc>
        <w:tc>
          <w:tcPr>
            <w:tcW w:w="967"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sz w:val="22"/>
                <w:szCs w:val="22"/>
              </w:rPr>
            </w:pPr>
            <w:r>
              <w:rPr>
                <w:sz w:val="22"/>
                <w:szCs w:val="22"/>
              </w:rPr>
              <w:t>V</w:t>
            </w:r>
            <w:r w:rsidR="00863152">
              <w:rPr>
                <w:sz w:val="22"/>
                <w:szCs w:val="22"/>
              </w:rPr>
              <w:t>C 4</w:t>
            </w:r>
            <w:r>
              <w:rPr>
                <w:sz w:val="22"/>
                <w:szCs w:val="22"/>
              </w:rPr>
              <w:t xml:space="preserve"> pakalpojumu vidējās izmaksas</w:t>
            </w:r>
          </w:p>
        </w:tc>
        <w:tc>
          <w:tcPr>
            <w:tcW w:w="949"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sz w:val="22"/>
                <w:szCs w:val="22"/>
              </w:rPr>
            </w:pPr>
            <w:r>
              <w:rPr>
                <w:sz w:val="22"/>
                <w:szCs w:val="22"/>
              </w:rPr>
              <w:t>V</w:t>
            </w:r>
            <w:r w:rsidR="00863152">
              <w:rPr>
                <w:sz w:val="22"/>
                <w:szCs w:val="22"/>
              </w:rPr>
              <w:t>CA</w:t>
            </w:r>
            <w:r>
              <w:rPr>
                <w:sz w:val="22"/>
                <w:szCs w:val="22"/>
              </w:rPr>
              <w:t xml:space="preserve"> pakalpojumu vidējās izmaksas</w:t>
            </w:r>
          </w:p>
        </w:tc>
        <w:tc>
          <w:tcPr>
            <w:tcW w:w="949"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sz w:val="22"/>
                <w:szCs w:val="22"/>
              </w:rPr>
            </w:pPr>
            <w:r>
              <w:rPr>
                <w:sz w:val="22"/>
                <w:szCs w:val="22"/>
              </w:rPr>
              <w:t>Vidzemes slimnīcas pakalpojumu vidējās izmaksas</w:t>
            </w:r>
          </w:p>
        </w:tc>
        <w:tc>
          <w:tcPr>
            <w:tcW w:w="949"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sz w:val="22"/>
                <w:szCs w:val="22"/>
              </w:rPr>
            </w:pPr>
            <w:r>
              <w:rPr>
                <w:sz w:val="22"/>
                <w:szCs w:val="22"/>
              </w:rPr>
              <w:t>Liepājas reģionālā slimnīcas pakalpojumu vidējās izmaksas</w:t>
            </w:r>
          </w:p>
        </w:tc>
      </w:tr>
      <w:tr w:rsidR="0014269D" w:rsidTr="000676E3">
        <w:trPr>
          <w:trHeight w:val="232"/>
        </w:trPr>
        <w:tc>
          <w:tcPr>
            <w:tcW w:w="611"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676E3" w:rsidRDefault="000676E3">
            <w:pPr>
              <w:rPr>
                <w:color w:val="000000"/>
                <w:sz w:val="22"/>
                <w:szCs w:val="22"/>
              </w:rPr>
            </w:pPr>
          </w:p>
        </w:tc>
        <w:tc>
          <w:tcPr>
            <w:tcW w:w="1688"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676E3" w:rsidRDefault="000676E3">
            <w:pPr>
              <w:rPr>
                <w:sz w:val="22"/>
                <w:szCs w:val="22"/>
              </w:rPr>
            </w:pPr>
          </w:p>
        </w:tc>
        <w:tc>
          <w:tcPr>
            <w:tcW w:w="940"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sz w:val="22"/>
                <w:szCs w:val="22"/>
              </w:rPr>
            </w:pPr>
            <w:r>
              <w:rPr>
                <w:sz w:val="22"/>
                <w:szCs w:val="22"/>
              </w:rPr>
              <w:t xml:space="preserve">( </w:t>
            </w:r>
            <w:proofErr w:type="spellStart"/>
            <w:r>
              <w:rPr>
                <w:i/>
                <w:iCs/>
                <w:sz w:val="22"/>
                <w:szCs w:val="22"/>
              </w:rPr>
              <w:t>euro</w:t>
            </w:r>
            <w:proofErr w:type="spellEnd"/>
            <w:r>
              <w:rPr>
                <w:sz w:val="22"/>
                <w:szCs w:val="22"/>
              </w:rPr>
              <w:t>)</w:t>
            </w:r>
          </w:p>
        </w:tc>
        <w:tc>
          <w:tcPr>
            <w:tcW w:w="949"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sz w:val="22"/>
                <w:szCs w:val="22"/>
              </w:rPr>
            </w:pPr>
            <w:r>
              <w:rPr>
                <w:sz w:val="22"/>
                <w:szCs w:val="22"/>
              </w:rPr>
              <w:t xml:space="preserve">( </w:t>
            </w:r>
            <w:proofErr w:type="spellStart"/>
            <w:r>
              <w:rPr>
                <w:i/>
                <w:iCs/>
                <w:sz w:val="22"/>
                <w:szCs w:val="22"/>
              </w:rPr>
              <w:t>euro</w:t>
            </w:r>
            <w:proofErr w:type="spellEnd"/>
            <w:r>
              <w:rPr>
                <w:sz w:val="22"/>
                <w:szCs w:val="22"/>
              </w:rPr>
              <w:t>)</w:t>
            </w:r>
          </w:p>
        </w:tc>
        <w:tc>
          <w:tcPr>
            <w:tcW w:w="967"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sz w:val="22"/>
                <w:szCs w:val="22"/>
              </w:rPr>
            </w:pPr>
            <w:r>
              <w:rPr>
                <w:sz w:val="22"/>
                <w:szCs w:val="22"/>
              </w:rPr>
              <w:t xml:space="preserve">( </w:t>
            </w:r>
            <w:proofErr w:type="spellStart"/>
            <w:r>
              <w:rPr>
                <w:i/>
                <w:iCs/>
                <w:sz w:val="22"/>
                <w:szCs w:val="22"/>
              </w:rPr>
              <w:t>euro</w:t>
            </w:r>
            <w:proofErr w:type="spellEnd"/>
            <w:r>
              <w:rPr>
                <w:sz w:val="22"/>
                <w:szCs w:val="22"/>
              </w:rPr>
              <w:t>)</w:t>
            </w:r>
          </w:p>
        </w:tc>
        <w:tc>
          <w:tcPr>
            <w:tcW w:w="949"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sz w:val="22"/>
                <w:szCs w:val="22"/>
              </w:rPr>
            </w:pPr>
            <w:r>
              <w:rPr>
                <w:sz w:val="22"/>
                <w:szCs w:val="22"/>
              </w:rPr>
              <w:t xml:space="preserve">( </w:t>
            </w:r>
            <w:proofErr w:type="spellStart"/>
            <w:r>
              <w:rPr>
                <w:i/>
                <w:iCs/>
                <w:sz w:val="22"/>
                <w:szCs w:val="22"/>
              </w:rPr>
              <w:t>euro</w:t>
            </w:r>
            <w:proofErr w:type="spellEnd"/>
            <w:r>
              <w:rPr>
                <w:sz w:val="22"/>
                <w:szCs w:val="22"/>
              </w:rPr>
              <w:t>)</w:t>
            </w:r>
          </w:p>
        </w:tc>
        <w:tc>
          <w:tcPr>
            <w:tcW w:w="949"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sz w:val="22"/>
                <w:szCs w:val="22"/>
              </w:rPr>
            </w:pPr>
            <w:r>
              <w:rPr>
                <w:sz w:val="22"/>
                <w:szCs w:val="22"/>
              </w:rPr>
              <w:t xml:space="preserve">( </w:t>
            </w:r>
            <w:proofErr w:type="spellStart"/>
            <w:r>
              <w:rPr>
                <w:i/>
                <w:iCs/>
                <w:sz w:val="22"/>
                <w:szCs w:val="22"/>
              </w:rPr>
              <w:t>euro</w:t>
            </w:r>
            <w:proofErr w:type="spellEnd"/>
            <w:r>
              <w:rPr>
                <w:sz w:val="22"/>
                <w:szCs w:val="22"/>
              </w:rPr>
              <w:t>)</w:t>
            </w:r>
          </w:p>
        </w:tc>
        <w:tc>
          <w:tcPr>
            <w:tcW w:w="949"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sz w:val="22"/>
                <w:szCs w:val="22"/>
              </w:rPr>
            </w:pPr>
            <w:r>
              <w:rPr>
                <w:sz w:val="22"/>
                <w:szCs w:val="22"/>
              </w:rPr>
              <w:t xml:space="preserve">( </w:t>
            </w:r>
            <w:proofErr w:type="spellStart"/>
            <w:r>
              <w:rPr>
                <w:i/>
                <w:iCs/>
                <w:sz w:val="22"/>
                <w:szCs w:val="22"/>
              </w:rPr>
              <w:t>euro</w:t>
            </w:r>
            <w:proofErr w:type="spellEnd"/>
            <w:r>
              <w:rPr>
                <w:sz w:val="22"/>
                <w:szCs w:val="22"/>
              </w:rPr>
              <w:t>)</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1.</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Rentgenoloģija</w:t>
            </w:r>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8.70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28.40</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14.48</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15.93</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16.25</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13.16</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2.</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Kodolmagnētiskās rezonanse</w:t>
            </w:r>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98.31</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157.56</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205.00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162.88</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3.</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Datortomogrāfija</w:t>
            </w:r>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98.99</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115.78</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106.47</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157.13</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141.25</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163.10</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4.</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Ultrasonogrāfija</w:t>
            </w:r>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10.99</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44.79</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43.29</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36.71</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35.00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13.85</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5.</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Radionuklīdā diagnostika (</w:t>
            </w:r>
            <w:proofErr w:type="spellStart"/>
            <w:r>
              <w:rPr>
                <w:sz w:val="22"/>
                <w:szCs w:val="22"/>
              </w:rPr>
              <w:t>scintigrāfija</w:t>
            </w:r>
            <w:proofErr w:type="spellEnd"/>
            <w:r>
              <w:rPr>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68.42</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171.70</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6.</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proofErr w:type="spellStart"/>
            <w:r>
              <w:rPr>
                <w:sz w:val="22"/>
                <w:szCs w:val="22"/>
              </w:rPr>
              <w:t>Osteodensitometrija</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20.27</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36.00</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28.00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21.00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7.</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Sirds asinsvadu sistēmas funkcionālie izmeklējumi</w:t>
            </w:r>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9.91</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32.36</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30.50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24.62</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31.33</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20.00</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8.</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proofErr w:type="spellStart"/>
            <w:r>
              <w:rPr>
                <w:sz w:val="22"/>
                <w:szCs w:val="22"/>
              </w:rPr>
              <w:t>Endoskopija</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50.64</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73.39</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75.50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76.44</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65.00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76.00</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9.</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proofErr w:type="spellStart"/>
            <w:r>
              <w:rPr>
                <w:sz w:val="22"/>
                <w:szCs w:val="22"/>
              </w:rPr>
              <w:t>Neiroelektrofizioloģiskie</w:t>
            </w:r>
            <w:proofErr w:type="spellEnd"/>
            <w:r>
              <w:rPr>
                <w:sz w:val="22"/>
                <w:szCs w:val="22"/>
              </w:rPr>
              <w:t xml:space="preserve">  funkcionālie izmeklējumi</w:t>
            </w:r>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29.69</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38.25</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35.28</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10.</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proofErr w:type="spellStart"/>
            <w:r>
              <w:rPr>
                <w:sz w:val="22"/>
                <w:szCs w:val="22"/>
              </w:rPr>
              <w:t>Doplerogrāfija</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20.64</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36.00</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48.00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41.40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36.00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36.00</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11.</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proofErr w:type="spellStart"/>
            <w:r>
              <w:rPr>
                <w:sz w:val="22"/>
                <w:szCs w:val="22"/>
              </w:rPr>
              <w:t>Mammogrāfija</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15.59</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51.78</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30.00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21.00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17.00</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15.00</w:t>
            </w:r>
          </w:p>
        </w:tc>
      </w:tr>
      <w:tr w:rsidR="0014269D" w:rsidTr="000676E3">
        <w:trPr>
          <w:trHeight w:val="23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0676E3" w:rsidRDefault="00DD2228">
            <w:pPr>
              <w:jc w:val="center"/>
              <w:rPr>
                <w:color w:val="000000"/>
                <w:sz w:val="22"/>
                <w:szCs w:val="22"/>
              </w:rPr>
            </w:pPr>
            <w:r>
              <w:rPr>
                <w:color w:val="000000"/>
                <w:sz w:val="22"/>
                <w:szCs w:val="22"/>
              </w:rPr>
              <w:t>12.</w:t>
            </w:r>
          </w:p>
        </w:tc>
        <w:tc>
          <w:tcPr>
            <w:tcW w:w="1688"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Staru terapija</w:t>
            </w:r>
          </w:p>
        </w:tc>
        <w:tc>
          <w:tcPr>
            <w:tcW w:w="94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41.02</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71.67</w:t>
            </w:r>
          </w:p>
        </w:tc>
        <w:tc>
          <w:tcPr>
            <w:tcW w:w="967"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rPr>
                <w:sz w:val="22"/>
                <w:szCs w:val="22"/>
              </w:rPr>
            </w:pPr>
            <w:r>
              <w:rPr>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sz w:val="22"/>
                <w:szCs w:val="22"/>
              </w:rPr>
            </w:pPr>
            <w:r>
              <w:rPr>
                <w:sz w:val="22"/>
                <w:szCs w:val="22"/>
              </w:rPr>
              <w:t>52.00</w:t>
            </w:r>
          </w:p>
        </w:tc>
      </w:tr>
    </w:tbl>
    <w:p w:rsidR="009D0754" w:rsidRDefault="009D0754" w:rsidP="009D0754">
      <w:pPr>
        <w:jc w:val="both"/>
        <w:rPr>
          <w:i/>
          <w:sz w:val="20"/>
          <w:szCs w:val="20"/>
        </w:rPr>
      </w:pPr>
    </w:p>
    <w:p w:rsidR="009D0754" w:rsidRPr="009D0754" w:rsidRDefault="00DD2228" w:rsidP="009D0754">
      <w:pPr>
        <w:jc w:val="both"/>
        <w:rPr>
          <w:i/>
          <w:sz w:val="20"/>
          <w:szCs w:val="20"/>
        </w:rPr>
      </w:pPr>
      <w:r w:rsidRPr="009D0754">
        <w:rPr>
          <w:i/>
          <w:sz w:val="20"/>
          <w:szCs w:val="20"/>
        </w:rPr>
        <w:t>Avots: NVD dati, ārstniecības iestāžu mājaslapās pieejamā informācija</w:t>
      </w:r>
    </w:p>
    <w:p w:rsidR="009D0754" w:rsidRDefault="009D0754" w:rsidP="009D0754">
      <w:pPr>
        <w:jc w:val="both"/>
      </w:pPr>
    </w:p>
    <w:p w:rsidR="009D0754" w:rsidRPr="00E53D36" w:rsidRDefault="00DD2228" w:rsidP="009A2699">
      <w:pPr>
        <w:ind w:firstLine="720"/>
        <w:jc w:val="both"/>
      </w:pPr>
      <w:r w:rsidRPr="009D0754">
        <w:t>Apskatot ambulatoro izmeklējumu un terapijas vidējās izmak</w:t>
      </w:r>
      <w:r>
        <w:t>sas secināms</w:t>
      </w:r>
      <w:r w:rsidRPr="009D0754">
        <w:t>, ka maksas pakalpojumi ir ievērojami dārgāki kā valsts finans</w:t>
      </w:r>
      <w:r w:rsidR="001954FD">
        <w:t xml:space="preserve">ētie, lai gan viena un tā paša ārstniecības pakalpojuma sniegšanai ieguldītais tehniskais </w:t>
      </w:r>
      <w:r w:rsidR="00284C70">
        <w:t>risinājums un cilvēkresursu</w:t>
      </w:r>
      <w:r w:rsidR="001954FD">
        <w:t xml:space="preserve"> nodrošinājums būtiski </w:t>
      </w:r>
      <w:r w:rsidR="001954FD" w:rsidRPr="00103B85">
        <w:t xml:space="preserve">neatšķiras. Ņemot vērā Veselības </w:t>
      </w:r>
      <w:r w:rsidR="00284C70" w:rsidRPr="00103B85">
        <w:t xml:space="preserve">ministrijas 2017.gadā pārskatītos </w:t>
      </w:r>
      <w:r w:rsidR="001954FD" w:rsidRPr="00103B85">
        <w:t>radioloģijas tarifu</w:t>
      </w:r>
      <w:r w:rsidR="00284C70" w:rsidRPr="00103B85">
        <w:t xml:space="preserve">s attiecībā uz </w:t>
      </w:r>
      <w:r w:rsidR="001954FD" w:rsidRPr="00103B85">
        <w:t xml:space="preserve"> amortizācijas sa</w:t>
      </w:r>
      <w:r w:rsidR="00284C70" w:rsidRPr="00103B85">
        <w:t xml:space="preserve">daļu, </w:t>
      </w:r>
      <w:r w:rsidR="000C4AED" w:rsidRPr="00103B85">
        <w:t xml:space="preserve">proti, 2017.gada 28.martā izdarītos grozījumus </w:t>
      </w:r>
      <w:hyperlink r:id="rId10" w:tgtFrame="_blank" w:history="1">
        <w:r w:rsidR="000C4AED" w:rsidRPr="00103B85">
          <w:rPr>
            <w:rStyle w:val="Hyperlink"/>
            <w:color w:val="auto"/>
            <w:u w:val="none"/>
          </w:rPr>
          <w:t>Ministru kabineta 2013. gada 17. decembra noteikumos Nr. 1529 "Veselības aprūpes organizēšanas un finansēšanas kārtība"</w:t>
        </w:r>
      </w:hyperlink>
      <w:r w:rsidR="00E53D36" w:rsidRPr="00103B85">
        <w:t xml:space="preserve">, </w:t>
      </w:r>
      <w:r w:rsidR="00284C70" w:rsidRPr="00103B85">
        <w:t>secināms, ka ārstniecības personu darba samaksas atšķirība</w:t>
      </w:r>
      <w:r w:rsidR="004A2619" w:rsidRPr="00103B85">
        <w:t xml:space="preserve"> starp publisko</w:t>
      </w:r>
      <w:r w:rsidR="00284C70" w:rsidRPr="00103B85">
        <w:t xml:space="preserve"> un privāto sektoru ir ievērojama.</w:t>
      </w:r>
      <w:r w:rsidR="00284C70" w:rsidRPr="00E53D36">
        <w:t xml:space="preserve"> </w:t>
      </w:r>
    </w:p>
    <w:p w:rsidR="00D1191F" w:rsidRPr="00E53D36" w:rsidRDefault="00D1191F" w:rsidP="009D0754">
      <w:pPr>
        <w:jc w:val="both"/>
      </w:pPr>
    </w:p>
    <w:p w:rsidR="00D1191F" w:rsidRPr="009D0754" w:rsidRDefault="00D1191F" w:rsidP="009D0754">
      <w:pPr>
        <w:jc w:val="both"/>
      </w:pPr>
    </w:p>
    <w:p w:rsidR="009D0754" w:rsidRPr="009D0754" w:rsidRDefault="009D0754" w:rsidP="009D0754">
      <w:pPr>
        <w:jc w:val="right"/>
        <w:rPr>
          <w:i/>
        </w:rPr>
      </w:pPr>
    </w:p>
    <w:p w:rsidR="00D1191F" w:rsidRDefault="00D1191F" w:rsidP="00D1191F">
      <w:pPr>
        <w:jc w:val="center"/>
        <w:rPr>
          <w:b/>
        </w:rPr>
      </w:pPr>
    </w:p>
    <w:p w:rsidR="00D1191F" w:rsidRDefault="00D1191F" w:rsidP="00D1191F">
      <w:pPr>
        <w:jc w:val="center"/>
        <w:rPr>
          <w:b/>
        </w:rPr>
      </w:pPr>
    </w:p>
    <w:p w:rsidR="00D1191F" w:rsidRDefault="00D1191F" w:rsidP="00D1191F">
      <w:pPr>
        <w:jc w:val="center"/>
        <w:rPr>
          <w:b/>
        </w:rPr>
      </w:pPr>
    </w:p>
    <w:p w:rsidR="00D1191F" w:rsidRDefault="00D1191F" w:rsidP="00D1191F">
      <w:pPr>
        <w:jc w:val="center"/>
        <w:rPr>
          <w:b/>
        </w:rPr>
      </w:pPr>
    </w:p>
    <w:p w:rsidR="00D1191F" w:rsidRDefault="00D1191F" w:rsidP="00D1191F">
      <w:pPr>
        <w:jc w:val="center"/>
        <w:rPr>
          <w:b/>
        </w:rPr>
      </w:pPr>
    </w:p>
    <w:p w:rsidR="00D1191F" w:rsidRPr="009D0754" w:rsidRDefault="00DD2228" w:rsidP="00D1191F">
      <w:pPr>
        <w:jc w:val="right"/>
        <w:rPr>
          <w:i/>
        </w:rPr>
      </w:pPr>
      <w:r w:rsidRPr="009D0754">
        <w:rPr>
          <w:i/>
        </w:rPr>
        <w:t>9.tabula</w:t>
      </w:r>
    </w:p>
    <w:p w:rsidR="009D0754" w:rsidRPr="00D1191F" w:rsidRDefault="00DD2228" w:rsidP="00D1191F">
      <w:pPr>
        <w:jc w:val="center"/>
        <w:rPr>
          <w:b/>
        </w:rPr>
      </w:pPr>
      <w:r w:rsidRPr="009D0754">
        <w:rPr>
          <w:b/>
        </w:rPr>
        <w:t>Speciālistu konsultāciju izmaksas</w:t>
      </w:r>
    </w:p>
    <w:tbl>
      <w:tblPr>
        <w:tblW w:w="9493" w:type="dxa"/>
        <w:tblInd w:w="-147" w:type="dxa"/>
        <w:tblLayout w:type="fixed"/>
        <w:tblLook w:val="04A0" w:firstRow="1" w:lastRow="0" w:firstColumn="1" w:lastColumn="0" w:noHBand="0" w:noVBand="1"/>
      </w:tblPr>
      <w:tblGrid>
        <w:gridCol w:w="568"/>
        <w:gridCol w:w="1412"/>
        <w:gridCol w:w="1133"/>
        <w:gridCol w:w="851"/>
        <w:gridCol w:w="993"/>
        <w:gridCol w:w="850"/>
        <w:gridCol w:w="851"/>
        <w:gridCol w:w="850"/>
        <w:gridCol w:w="993"/>
        <w:gridCol w:w="992"/>
      </w:tblGrid>
      <w:tr w:rsidR="0014269D" w:rsidTr="00863152">
        <w:trPr>
          <w:trHeight w:val="2040"/>
        </w:trPr>
        <w:tc>
          <w:tcPr>
            <w:tcW w:w="568" w:type="dxa"/>
            <w:vMerge w:val="restart"/>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rsidR="000676E3" w:rsidRDefault="00DD2228">
            <w:pPr>
              <w:jc w:val="center"/>
              <w:rPr>
                <w:color w:val="414142"/>
                <w:sz w:val="20"/>
                <w:szCs w:val="20"/>
              </w:rPr>
            </w:pPr>
            <w:r>
              <w:rPr>
                <w:color w:val="414142"/>
                <w:sz w:val="20"/>
                <w:szCs w:val="20"/>
              </w:rPr>
              <w:t>N. p.k.</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676E3" w:rsidRDefault="00DD2228">
            <w:pPr>
              <w:jc w:val="center"/>
              <w:rPr>
                <w:color w:val="414142"/>
                <w:sz w:val="20"/>
                <w:szCs w:val="20"/>
              </w:rPr>
            </w:pPr>
            <w:r>
              <w:rPr>
                <w:color w:val="414142"/>
                <w:sz w:val="20"/>
                <w:szCs w:val="20"/>
              </w:rPr>
              <w:t>Specialitāte</w:t>
            </w:r>
          </w:p>
        </w:tc>
        <w:tc>
          <w:tcPr>
            <w:tcW w:w="1133"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color w:val="414142"/>
                <w:sz w:val="20"/>
                <w:szCs w:val="20"/>
              </w:rPr>
            </w:pPr>
            <w:r>
              <w:rPr>
                <w:color w:val="414142"/>
                <w:sz w:val="20"/>
                <w:szCs w:val="20"/>
              </w:rPr>
              <w:t>Pacienta iemaksa</w:t>
            </w:r>
          </w:p>
        </w:tc>
        <w:tc>
          <w:tcPr>
            <w:tcW w:w="851"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color w:val="414142"/>
                <w:sz w:val="20"/>
                <w:szCs w:val="20"/>
              </w:rPr>
            </w:pPr>
            <w:r>
              <w:rPr>
                <w:color w:val="414142"/>
                <w:sz w:val="20"/>
                <w:szCs w:val="20"/>
              </w:rPr>
              <w:t>Tarifs saskaņā ar MK 1529</w:t>
            </w:r>
          </w:p>
        </w:tc>
        <w:tc>
          <w:tcPr>
            <w:tcW w:w="993"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color w:val="414142"/>
                <w:sz w:val="20"/>
                <w:szCs w:val="20"/>
              </w:rPr>
            </w:pPr>
            <w:proofErr w:type="spellStart"/>
            <w:r>
              <w:rPr>
                <w:color w:val="414142"/>
                <w:sz w:val="20"/>
                <w:szCs w:val="20"/>
              </w:rPr>
              <w:t>Pakalpoj</w:t>
            </w:r>
            <w:proofErr w:type="spellEnd"/>
            <w:r w:rsidR="00863152">
              <w:rPr>
                <w:color w:val="414142"/>
                <w:sz w:val="20"/>
                <w:szCs w:val="20"/>
              </w:rPr>
              <w:t>.</w:t>
            </w:r>
            <w:r>
              <w:rPr>
                <w:color w:val="414142"/>
                <w:sz w:val="20"/>
                <w:szCs w:val="20"/>
              </w:rPr>
              <w:t xml:space="preserve"> cena, t.sk. pacienta iemaksa</w:t>
            </w:r>
          </w:p>
        </w:tc>
        <w:tc>
          <w:tcPr>
            <w:tcW w:w="85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color w:val="414142"/>
                <w:sz w:val="20"/>
                <w:szCs w:val="20"/>
              </w:rPr>
            </w:pPr>
            <w:r>
              <w:rPr>
                <w:color w:val="414142"/>
                <w:sz w:val="20"/>
                <w:szCs w:val="20"/>
              </w:rPr>
              <w:t xml:space="preserve">Medicīnas centrs ARS </w:t>
            </w:r>
          </w:p>
        </w:tc>
        <w:tc>
          <w:tcPr>
            <w:tcW w:w="851"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color w:val="414142"/>
                <w:sz w:val="20"/>
                <w:szCs w:val="20"/>
              </w:rPr>
            </w:pPr>
            <w:r>
              <w:rPr>
                <w:color w:val="414142"/>
                <w:sz w:val="20"/>
                <w:szCs w:val="20"/>
              </w:rPr>
              <w:t>V</w:t>
            </w:r>
            <w:r w:rsidR="00863152">
              <w:rPr>
                <w:color w:val="414142"/>
                <w:sz w:val="20"/>
                <w:szCs w:val="20"/>
              </w:rPr>
              <w:t>C 4</w:t>
            </w:r>
          </w:p>
        </w:tc>
        <w:tc>
          <w:tcPr>
            <w:tcW w:w="85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color w:val="414142"/>
                <w:sz w:val="20"/>
                <w:szCs w:val="20"/>
              </w:rPr>
            </w:pPr>
            <w:r>
              <w:rPr>
                <w:color w:val="414142"/>
                <w:sz w:val="20"/>
                <w:szCs w:val="20"/>
              </w:rPr>
              <w:t>VCA</w:t>
            </w:r>
          </w:p>
        </w:tc>
        <w:tc>
          <w:tcPr>
            <w:tcW w:w="993"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color w:val="414142"/>
                <w:sz w:val="20"/>
                <w:szCs w:val="20"/>
              </w:rPr>
            </w:pPr>
            <w:r>
              <w:rPr>
                <w:color w:val="414142"/>
                <w:sz w:val="20"/>
                <w:szCs w:val="20"/>
              </w:rPr>
              <w:t xml:space="preserve">Vidzemes slimnīca </w:t>
            </w:r>
          </w:p>
        </w:tc>
        <w:tc>
          <w:tcPr>
            <w:tcW w:w="99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0676E3" w:rsidRDefault="00DD2228">
            <w:pPr>
              <w:jc w:val="center"/>
              <w:rPr>
                <w:color w:val="414142"/>
                <w:sz w:val="20"/>
                <w:szCs w:val="20"/>
              </w:rPr>
            </w:pPr>
            <w:r>
              <w:rPr>
                <w:color w:val="414142"/>
                <w:sz w:val="20"/>
                <w:szCs w:val="20"/>
              </w:rPr>
              <w:t>Liepājas reģionālā slimnīca</w:t>
            </w:r>
          </w:p>
        </w:tc>
      </w:tr>
      <w:tr w:rsidR="0014269D" w:rsidTr="00863152">
        <w:trPr>
          <w:trHeight w:val="45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676E3" w:rsidRDefault="000676E3">
            <w:pPr>
              <w:rPr>
                <w:color w:val="414142"/>
                <w:sz w:val="20"/>
                <w:szCs w:val="20"/>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0676E3" w:rsidRDefault="000676E3">
            <w:pPr>
              <w:rPr>
                <w:color w:val="414142"/>
                <w:sz w:val="20"/>
                <w:szCs w:val="20"/>
              </w:rPr>
            </w:pP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color w:val="414142"/>
                <w:sz w:val="20"/>
                <w:szCs w:val="20"/>
              </w:rPr>
            </w:pPr>
            <w:r>
              <w:rPr>
                <w:color w:val="414142"/>
                <w:sz w:val="20"/>
                <w:szCs w:val="20"/>
              </w:rPr>
              <w:t xml:space="preserve">( </w:t>
            </w:r>
            <w:proofErr w:type="spellStart"/>
            <w:r>
              <w:rPr>
                <w:i/>
                <w:iCs/>
                <w:color w:val="414142"/>
                <w:sz w:val="20"/>
                <w:szCs w:val="20"/>
              </w:rPr>
              <w:t>euro</w:t>
            </w:r>
            <w:proofErr w:type="spellEnd"/>
            <w:r>
              <w:rPr>
                <w:color w:val="414142"/>
                <w:sz w:val="20"/>
                <w:szCs w:val="20"/>
              </w:rPr>
              <w:t>)</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color w:val="414142"/>
                <w:sz w:val="20"/>
                <w:szCs w:val="20"/>
              </w:rPr>
            </w:pPr>
            <w:r>
              <w:rPr>
                <w:color w:val="414142"/>
                <w:sz w:val="20"/>
                <w:szCs w:val="20"/>
              </w:rPr>
              <w:t xml:space="preserve">( </w:t>
            </w:r>
            <w:proofErr w:type="spellStart"/>
            <w:r>
              <w:rPr>
                <w:i/>
                <w:iCs/>
                <w:color w:val="414142"/>
                <w:sz w:val="20"/>
                <w:szCs w:val="20"/>
              </w:rPr>
              <w:t>euro</w:t>
            </w:r>
            <w:proofErr w:type="spellEnd"/>
            <w:r>
              <w:rPr>
                <w:color w:val="414142"/>
                <w:sz w:val="20"/>
                <w:szCs w:val="20"/>
              </w:rPr>
              <w:t>)</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color w:val="414142"/>
                <w:sz w:val="20"/>
                <w:szCs w:val="20"/>
              </w:rPr>
            </w:pPr>
            <w:r>
              <w:rPr>
                <w:color w:val="414142"/>
                <w:sz w:val="20"/>
                <w:szCs w:val="20"/>
              </w:rPr>
              <w:t xml:space="preserve">( </w:t>
            </w:r>
            <w:proofErr w:type="spellStart"/>
            <w:r>
              <w:rPr>
                <w:i/>
                <w:iCs/>
                <w:color w:val="414142"/>
                <w:sz w:val="20"/>
                <w:szCs w:val="20"/>
              </w:rPr>
              <w:t>euro</w:t>
            </w:r>
            <w:proofErr w:type="spellEnd"/>
            <w:r>
              <w:rPr>
                <w:color w:val="414142"/>
                <w:sz w:val="20"/>
                <w:szCs w:val="20"/>
              </w:rPr>
              <w:t>)</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color w:val="414142"/>
                <w:sz w:val="20"/>
                <w:szCs w:val="20"/>
              </w:rPr>
            </w:pPr>
            <w:r>
              <w:rPr>
                <w:color w:val="414142"/>
                <w:sz w:val="20"/>
                <w:szCs w:val="20"/>
              </w:rPr>
              <w:t xml:space="preserve">( </w:t>
            </w:r>
            <w:proofErr w:type="spellStart"/>
            <w:r>
              <w:rPr>
                <w:i/>
                <w:iCs/>
                <w:color w:val="414142"/>
                <w:sz w:val="20"/>
                <w:szCs w:val="20"/>
              </w:rPr>
              <w:t>euro</w:t>
            </w:r>
            <w:proofErr w:type="spellEnd"/>
            <w:r>
              <w:rPr>
                <w:color w:val="414142"/>
                <w:sz w:val="20"/>
                <w:szCs w:val="20"/>
              </w:rPr>
              <w:t>)</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color w:val="414142"/>
                <w:sz w:val="20"/>
                <w:szCs w:val="20"/>
              </w:rPr>
            </w:pPr>
            <w:r>
              <w:rPr>
                <w:color w:val="414142"/>
                <w:sz w:val="20"/>
                <w:szCs w:val="20"/>
              </w:rPr>
              <w:t xml:space="preserve">( </w:t>
            </w:r>
            <w:proofErr w:type="spellStart"/>
            <w:r>
              <w:rPr>
                <w:i/>
                <w:iCs/>
                <w:color w:val="414142"/>
                <w:sz w:val="20"/>
                <w:szCs w:val="20"/>
              </w:rPr>
              <w:t>euro</w:t>
            </w:r>
            <w:proofErr w:type="spellEnd"/>
            <w:r>
              <w:rPr>
                <w:color w:val="414142"/>
                <w:sz w:val="20"/>
                <w:szCs w:val="20"/>
              </w:rPr>
              <w:t>)</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color w:val="414142"/>
                <w:sz w:val="20"/>
                <w:szCs w:val="20"/>
              </w:rPr>
            </w:pPr>
            <w:r>
              <w:rPr>
                <w:color w:val="414142"/>
                <w:sz w:val="20"/>
                <w:szCs w:val="20"/>
              </w:rPr>
              <w:t xml:space="preserve">( </w:t>
            </w:r>
            <w:proofErr w:type="spellStart"/>
            <w:r>
              <w:rPr>
                <w:i/>
                <w:iCs/>
                <w:color w:val="414142"/>
                <w:sz w:val="20"/>
                <w:szCs w:val="20"/>
              </w:rPr>
              <w:t>euro</w:t>
            </w:r>
            <w:proofErr w:type="spellEnd"/>
            <w:r>
              <w:rPr>
                <w:color w:val="414142"/>
                <w:sz w:val="20"/>
                <w:szCs w:val="20"/>
              </w:rPr>
              <w:t>)</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color w:val="414142"/>
                <w:sz w:val="20"/>
                <w:szCs w:val="20"/>
              </w:rPr>
            </w:pPr>
            <w:r>
              <w:rPr>
                <w:color w:val="414142"/>
                <w:sz w:val="20"/>
                <w:szCs w:val="20"/>
              </w:rPr>
              <w:t xml:space="preserve">( </w:t>
            </w:r>
            <w:proofErr w:type="spellStart"/>
            <w:r>
              <w:rPr>
                <w:i/>
                <w:iCs/>
                <w:color w:val="414142"/>
                <w:sz w:val="20"/>
                <w:szCs w:val="20"/>
              </w:rPr>
              <w:t>euro</w:t>
            </w:r>
            <w:proofErr w:type="spellEnd"/>
            <w:r>
              <w:rPr>
                <w:color w:val="414142"/>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0676E3" w:rsidRDefault="00DD2228">
            <w:pPr>
              <w:jc w:val="center"/>
              <w:rPr>
                <w:color w:val="414142"/>
                <w:sz w:val="20"/>
                <w:szCs w:val="20"/>
              </w:rPr>
            </w:pPr>
            <w:r>
              <w:rPr>
                <w:color w:val="414142"/>
                <w:sz w:val="20"/>
                <w:szCs w:val="20"/>
              </w:rPr>
              <w:t xml:space="preserve">( </w:t>
            </w:r>
            <w:proofErr w:type="spellStart"/>
            <w:r>
              <w:rPr>
                <w:i/>
                <w:iCs/>
                <w:color w:val="414142"/>
                <w:sz w:val="20"/>
                <w:szCs w:val="20"/>
              </w:rPr>
              <w:t>euro</w:t>
            </w:r>
            <w:proofErr w:type="spellEnd"/>
            <w:r>
              <w:rPr>
                <w:color w:val="414142"/>
                <w:sz w:val="20"/>
                <w:szCs w:val="20"/>
              </w:rPr>
              <w:t>)</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Alergologs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38</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Algologs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35 vai 43</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3.</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Anesteziologsreanimatologs</w:t>
            </w:r>
            <w:proofErr w:type="spellEnd"/>
            <w:r>
              <w:rPr>
                <w:color w:val="414142"/>
                <w:sz w:val="20"/>
                <w:szCs w:val="20"/>
              </w:rPr>
              <w:t>*</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29</w:t>
            </w:r>
          </w:p>
        </w:tc>
        <w:tc>
          <w:tcPr>
            <w:tcW w:w="851"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26 vai 35 vai 43</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19.50, 30</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4.</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Arodslimību ārsts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24, 21</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5.</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Arodveselības un arodslimību ārsts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24, 21</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9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6.</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Asinsvadu ķirurgs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14.41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36</w:t>
            </w:r>
          </w:p>
        </w:tc>
        <w:tc>
          <w:tcPr>
            <w:tcW w:w="851"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 xml:space="preserve">49 ar </w:t>
            </w:r>
            <w:proofErr w:type="spellStart"/>
            <w:r>
              <w:rPr>
                <w:color w:val="000000"/>
                <w:sz w:val="20"/>
                <w:szCs w:val="20"/>
              </w:rPr>
              <w:t>duplekssonogrāf</w:t>
            </w:r>
            <w:proofErr w:type="spellEnd"/>
            <w:r w:rsidR="00863152">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 xml:space="preserve">33.5, 85 ar </w:t>
            </w:r>
            <w:proofErr w:type="spellStart"/>
            <w:r>
              <w:rPr>
                <w:color w:val="000000"/>
                <w:sz w:val="20"/>
                <w:szCs w:val="20"/>
              </w:rPr>
              <w:t>duplekssonogrāf</w:t>
            </w:r>
            <w:proofErr w:type="spellEnd"/>
            <w:r w:rsidR="00863152">
              <w:rPr>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7.</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Bērnu endokrinologs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11.27</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15.54</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32</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8.</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 xml:space="preserve">Bērnu </w:t>
            </w:r>
            <w:proofErr w:type="spellStart"/>
            <w:r>
              <w:rPr>
                <w:color w:val="414142"/>
                <w:sz w:val="20"/>
                <w:szCs w:val="20"/>
              </w:rPr>
              <w:t>gastroenterologs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11.27</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15.54</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9.</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Bērnu ginekologs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7.61</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11.88</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23, 33.50</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10.</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Bērnu ķirurgs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7.61</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11.88</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28</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22, 33.50, 35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11.</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Bērnu neirologs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11.27</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15.54</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25.50, 33.5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12.</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Bērnu psihiatrs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13.35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17.62</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57</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13.</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Dermatologs, venerologs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29 vai 36</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35, 38 vai 44</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lastRenderedPageBreak/>
              <w:t>14.</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Endokrinologs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36</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35</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33.5, 26.50, 45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 vai 30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6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15.</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Fizikālās un rehabilitācijas medicīnas ārsts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22, 33.50, 45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16.</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Flebologs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pPr>
              <w:ind w:firstLineChars="100" w:firstLine="200"/>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7.14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color w:val="000000"/>
                <w:sz w:val="20"/>
                <w:szCs w:val="20"/>
              </w:rPr>
            </w:pPr>
            <w:r>
              <w:rPr>
                <w:color w:val="000000"/>
                <w:sz w:val="20"/>
                <w:szCs w:val="20"/>
              </w:rPr>
              <w:t>11.41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color w:val="000000"/>
                <w:sz w:val="20"/>
                <w:szCs w:val="20"/>
              </w:rPr>
            </w:pPr>
            <w:r>
              <w:rPr>
                <w:color w:val="000000"/>
                <w:sz w:val="20"/>
                <w:szCs w:val="20"/>
              </w:rPr>
              <w:t>36</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pPr>
              <w:rPr>
                <w:color w:val="000000"/>
                <w:sz w:val="20"/>
                <w:szCs w:val="20"/>
              </w:rPr>
            </w:pPr>
            <w:r>
              <w:rPr>
                <w:color w:val="000000"/>
                <w:sz w:val="20"/>
                <w:szCs w:val="20"/>
              </w:rPr>
              <w:t>17 vai 36</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pPr>
              <w:rPr>
                <w:color w:val="000000"/>
                <w:sz w:val="20"/>
                <w:szCs w:val="20"/>
              </w:rPr>
            </w:pPr>
            <w:r>
              <w:rPr>
                <w:color w:val="000000"/>
                <w:sz w:val="20"/>
                <w:szCs w:val="20"/>
              </w:rPr>
              <w:t>33.50, 45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pP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pPr>
              <w:rPr>
                <w:color w:val="000000"/>
                <w:sz w:val="20"/>
                <w:szCs w:val="20"/>
              </w:rPr>
            </w:pPr>
            <w:r>
              <w:rPr>
                <w:color w:val="000000"/>
                <w:sz w:val="20"/>
                <w:szCs w:val="20"/>
              </w:rPr>
              <w:t> </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17.</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Gastroenterologs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pPr>
              <w:ind w:firstLineChars="100" w:firstLine="200"/>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10.78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color w:val="000000"/>
                <w:sz w:val="20"/>
                <w:szCs w:val="20"/>
              </w:rPr>
            </w:pPr>
            <w:r>
              <w:rPr>
                <w:color w:val="000000"/>
                <w:sz w:val="20"/>
                <w:szCs w:val="20"/>
              </w:rPr>
              <w:t>15.05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color w:val="000000"/>
                <w:sz w:val="20"/>
                <w:szCs w:val="20"/>
              </w:rPr>
            </w:pPr>
            <w:r>
              <w:rPr>
                <w:color w:val="000000"/>
                <w:sz w:val="20"/>
                <w:szCs w:val="20"/>
              </w:rPr>
              <w:t>43</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color w:val="000000"/>
                <w:sz w:val="20"/>
                <w:szCs w:val="20"/>
              </w:rPr>
            </w:pPr>
            <w:r>
              <w:rPr>
                <w:color w:val="000000"/>
                <w:sz w:val="20"/>
                <w:szCs w:val="20"/>
              </w:rPr>
              <w:t>35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pPr>
              <w:rPr>
                <w:color w:val="000000"/>
                <w:sz w:val="20"/>
                <w:szCs w:val="20"/>
              </w:rPr>
            </w:pPr>
            <w:r>
              <w:rPr>
                <w:color w:val="000000"/>
                <w:sz w:val="20"/>
                <w:szCs w:val="20"/>
              </w:rPr>
              <w:t>33.5, 45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pPr>
              <w:rPr>
                <w:color w:val="000000"/>
                <w:sz w:val="20"/>
                <w:szCs w:val="20"/>
              </w:rPr>
            </w:pPr>
            <w:r>
              <w:rPr>
                <w:color w:val="000000"/>
                <w:sz w:val="20"/>
                <w:szCs w:val="20"/>
              </w:rPr>
              <w:t>20 vai 40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color w:val="000000"/>
                <w:sz w:val="20"/>
                <w:szCs w:val="20"/>
              </w:rPr>
            </w:pPr>
            <w:r>
              <w:rPr>
                <w:color w:val="000000"/>
                <w:sz w:val="20"/>
                <w:szCs w:val="20"/>
              </w:rPr>
              <w:t>20</w:t>
            </w:r>
          </w:p>
        </w:tc>
      </w:tr>
      <w:tr w:rsidR="0014269D" w:rsidTr="00863152">
        <w:trPr>
          <w:trHeigh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18.</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Ginekologs, dzemdību speciālists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pPr>
              <w:ind w:firstLineChars="100" w:firstLine="200"/>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7.14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color w:val="000000"/>
                <w:sz w:val="20"/>
                <w:szCs w:val="20"/>
              </w:rPr>
            </w:pPr>
            <w:r>
              <w:rPr>
                <w:color w:val="000000"/>
                <w:sz w:val="20"/>
                <w:szCs w:val="20"/>
              </w:rPr>
              <w:t>11.41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pPr>
              <w:rPr>
                <w:color w:val="000000"/>
                <w:sz w:val="20"/>
                <w:szCs w:val="20"/>
              </w:rPr>
            </w:pPr>
            <w:r>
              <w:rPr>
                <w:color w:val="000000"/>
                <w:sz w:val="20"/>
                <w:szCs w:val="20"/>
              </w:rPr>
              <w:t>37 vai 42</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color w:val="000000"/>
                <w:sz w:val="20"/>
                <w:szCs w:val="20"/>
              </w:rPr>
            </w:pPr>
            <w:r>
              <w:rPr>
                <w:color w:val="000000"/>
                <w:sz w:val="20"/>
                <w:szCs w:val="20"/>
              </w:rPr>
              <w:t>36</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pPr>
              <w:rPr>
                <w:color w:val="000000"/>
                <w:sz w:val="20"/>
                <w:szCs w:val="20"/>
              </w:rPr>
            </w:pPr>
            <w:r>
              <w:rPr>
                <w:color w:val="000000"/>
                <w:sz w:val="20"/>
                <w:szCs w:val="20"/>
              </w:rPr>
              <w:t>31, 33.50, 40,45, 60</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pPr>
              <w:jc w:val="right"/>
              <w:rPr>
                <w:color w:val="000000"/>
                <w:sz w:val="20"/>
                <w:szCs w:val="20"/>
              </w:rPr>
            </w:pPr>
            <w:r>
              <w:rPr>
                <w:color w:val="000000"/>
                <w:sz w:val="20"/>
                <w:szCs w:val="20"/>
              </w:rPr>
              <w:t>20</w:t>
            </w:r>
          </w:p>
        </w:tc>
      </w:tr>
      <w:tr w:rsidR="0014269D" w:rsidTr="00863152">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19.</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Ģimenes (vispārējās prakses) ārsts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3.81</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8.08</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33 vai 40, konsultācija pa telefonu 29</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31.5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20.</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Hepatologs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21.</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Imunologs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43</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22.</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Infektologs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43</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23.</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Internists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43</w:t>
            </w:r>
          </w:p>
        </w:tc>
        <w:tc>
          <w:tcPr>
            <w:tcW w:w="851"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33 vai 44, konsultācija pa telefonu 29</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22, 31.50, 45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24.</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Kardiologs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32 vai 50</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32 vai 35</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26.50, 33.50, 45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 vai 30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25.</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Ķirurgs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11.41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29</w:t>
            </w:r>
          </w:p>
        </w:tc>
        <w:tc>
          <w:tcPr>
            <w:tcW w:w="851"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15, 31 vai 36</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22, 33.50, 45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26.</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Narkologs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10.57</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14.84</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27.</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Nefrologs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32</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22,33.50</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28.</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Neiroķirurgs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14.41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34 vai 40</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33.50, 21, 45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29.</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Neirologs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32 vai 36</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34 vai 45</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33.5, 22, 21, 45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30.</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Neonatologs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8.27</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12.54</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26.5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31.</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Oftalmologs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11.41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22,24, 33.50, 45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32.</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Onkologs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36</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 vai 30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20, 30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33.</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 xml:space="preserve">Onkologs </w:t>
            </w:r>
            <w:proofErr w:type="spellStart"/>
            <w:r>
              <w:rPr>
                <w:color w:val="414142"/>
                <w:sz w:val="20"/>
                <w:szCs w:val="20"/>
              </w:rPr>
              <w:t>ķīmijterapeits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46</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34.</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Onkoloģijas ķirurgs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11.41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46</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lastRenderedPageBreak/>
              <w:t>35.</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Otolaringologs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11.41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22, 33.50, 45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36.</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Pediatrs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11.27</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15.54</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26</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26.5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37.</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Plastikas ķirurgs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11.41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30</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38.</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Pneimonologs</w:t>
            </w:r>
            <w:proofErr w:type="spellEnd"/>
            <w:r>
              <w:rPr>
                <w:color w:val="414142"/>
                <w:sz w:val="20"/>
                <w:szCs w:val="20"/>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39.</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Psihiatrs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10.57</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14.84</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32</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23 vai 40</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31.50, 33.5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40.</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Radiologs terapeits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41.</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Reimatologs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10.78</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15.05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36</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43</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0676E3" w:rsidP="00863152">
            <w:pPr>
              <w:jc w:val="center"/>
              <w:rPr>
                <w:color w:val="000000"/>
                <w:sz w:val="20"/>
                <w:szCs w:val="20"/>
              </w:rPr>
            </w:pP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42.</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proofErr w:type="spellStart"/>
            <w:r>
              <w:rPr>
                <w:color w:val="414142"/>
                <w:sz w:val="20"/>
                <w:szCs w:val="20"/>
              </w:rPr>
              <w:t>Traumatologs</w:t>
            </w:r>
            <w:proofErr w:type="spellEnd"/>
            <w:r>
              <w:rPr>
                <w:color w:val="414142"/>
                <w:sz w:val="20"/>
                <w:szCs w:val="20"/>
              </w:rPr>
              <w:t>, ortopēds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11.41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36 vai 43</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39</w:t>
            </w:r>
          </w:p>
        </w:tc>
        <w:tc>
          <w:tcPr>
            <w:tcW w:w="850" w:type="dxa"/>
            <w:tcBorders>
              <w:top w:val="nil"/>
              <w:left w:val="nil"/>
              <w:bottom w:val="single" w:sz="4" w:space="0" w:color="auto"/>
              <w:right w:val="single" w:sz="4" w:space="0" w:color="auto"/>
            </w:tcBorders>
            <w:shd w:val="clear" w:color="auto" w:fill="auto"/>
            <w:vAlign w:val="bottom"/>
            <w:hideMark/>
          </w:tcPr>
          <w:p w:rsidR="000676E3" w:rsidRDefault="00DD2228" w:rsidP="00863152">
            <w:pPr>
              <w:jc w:val="center"/>
              <w:rPr>
                <w:color w:val="000000"/>
                <w:sz w:val="20"/>
                <w:szCs w:val="20"/>
              </w:rPr>
            </w:pPr>
            <w:r>
              <w:rPr>
                <w:color w:val="000000"/>
                <w:sz w:val="20"/>
                <w:szCs w:val="20"/>
              </w:rPr>
              <w:t>23, 33.50, 45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r w:rsidR="0014269D" w:rsidTr="0086315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76E3" w:rsidRDefault="00DD2228">
            <w:pPr>
              <w:jc w:val="center"/>
              <w:rPr>
                <w:color w:val="414142"/>
                <w:sz w:val="20"/>
                <w:szCs w:val="20"/>
              </w:rPr>
            </w:pPr>
            <w:r>
              <w:rPr>
                <w:color w:val="414142"/>
                <w:sz w:val="20"/>
                <w:szCs w:val="20"/>
              </w:rPr>
              <w:t>43.</w:t>
            </w:r>
          </w:p>
        </w:tc>
        <w:tc>
          <w:tcPr>
            <w:tcW w:w="1412" w:type="dxa"/>
            <w:tcBorders>
              <w:top w:val="nil"/>
              <w:left w:val="nil"/>
              <w:bottom w:val="single" w:sz="4" w:space="0" w:color="auto"/>
              <w:right w:val="single" w:sz="4" w:space="0" w:color="auto"/>
            </w:tcBorders>
            <w:shd w:val="clear" w:color="auto" w:fill="auto"/>
            <w:vAlign w:val="center"/>
            <w:hideMark/>
          </w:tcPr>
          <w:p w:rsidR="000676E3" w:rsidRDefault="00DD2228" w:rsidP="00863152">
            <w:pPr>
              <w:rPr>
                <w:color w:val="414142"/>
                <w:sz w:val="20"/>
                <w:szCs w:val="20"/>
              </w:rPr>
            </w:pPr>
            <w:r>
              <w:rPr>
                <w:color w:val="414142"/>
                <w:sz w:val="20"/>
                <w:szCs w:val="20"/>
              </w:rPr>
              <w:t>Urologs</w:t>
            </w:r>
          </w:p>
        </w:tc>
        <w:tc>
          <w:tcPr>
            <w:tcW w:w="1133" w:type="dxa"/>
            <w:tcBorders>
              <w:top w:val="nil"/>
              <w:left w:val="nil"/>
              <w:bottom w:val="single" w:sz="4" w:space="0" w:color="auto"/>
              <w:right w:val="single" w:sz="4" w:space="0" w:color="auto"/>
            </w:tcBorders>
            <w:shd w:val="clear" w:color="auto" w:fill="auto"/>
            <w:vAlign w:val="center"/>
            <w:hideMark/>
          </w:tcPr>
          <w:p w:rsidR="000676E3" w:rsidRDefault="00DD2228" w:rsidP="00863152">
            <w:pPr>
              <w:ind w:firstLineChars="100" w:firstLine="200"/>
              <w:jc w:val="center"/>
              <w:rPr>
                <w:color w:val="414142"/>
                <w:sz w:val="20"/>
                <w:szCs w:val="20"/>
              </w:rPr>
            </w:pPr>
            <w:r>
              <w:rPr>
                <w:color w:val="414142"/>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0676E3" w:rsidRDefault="00DD2228" w:rsidP="00863152">
            <w:pPr>
              <w:jc w:val="center"/>
              <w:rPr>
                <w:color w:val="414142"/>
                <w:sz w:val="20"/>
                <w:szCs w:val="20"/>
              </w:rPr>
            </w:pPr>
            <w:r>
              <w:rPr>
                <w:color w:val="414142"/>
                <w:sz w:val="20"/>
                <w:szCs w:val="20"/>
              </w:rPr>
              <w:t>7.14</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11.41</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32 vai 36</w:t>
            </w:r>
          </w:p>
        </w:tc>
        <w:tc>
          <w:tcPr>
            <w:tcW w:w="851"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35</w:t>
            </w:r>
          </w:p>
        </w:tc>
        <w:tc>
          <w:tcPr>
            <w:tcW w:w="850"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33.50, 45</w:t>
            </w:r>
          </w:p>
        </w:tc>
        <w:tc>
          <w:tcPr>
            <w:tcW w:w="993"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 vai 30</w:t>
            </w:r>
          </w:p>
        </w:tc>
        <w:tc>
          <w:tcPr>
            <w:tcW w:w="992" w:type="dxa"/>
            <w:tcBorders>
              <w:top w:val="nil"/>
              <w:left w:val="nil"/>
              <w:bottom w:val="single" w:sz="4" w:space="0" w:color="auto"/>
              <w:right w:val="single" w:sz="4" w:space="0" w:color="auto"/>
            </w:tcBorders>
            <w:shd w:val="clear" w:color="auto" w:fill="auto"/>
            <w:noWrap/>
            <w:vAlign w:val="bottom"/>
            <w:hideMark/>
          </w:tcPr>
          <w:p w:rsidR="000676E3" w:rsidRDefault="00DD2228" w:rsidP="00863152">
            <w:pPr>
              <w:jc w:val="center"/>
              <w:rPr>
                <w:color w:val="000000"/>
                <w:sz w:val="20"/>
                <w:szCs w:val="20"/>
              </w:rPr>
            </w:pPr>
            <w:r>
              <w:rPr>
                <w:color w:val="000000"/>
                <w:sz w:val="20"/>
                <w:szCs w:val="20"/>
              </w:rPr>
              <w:t>20</w:t>
            </w:r>
          </w:p>
        </w:tc>
      </w:tr>
    </w:tbl>
    <w:p w:rsidR="009D0754" w:rsidRPr="009D0754" w:rsidRDefault="00DD2228" w:rsidP="009D0754">
      <w:pPr>
        <w:jc w:val="both"/>
        <w:rPr>
          <w:i/>
          <w:sz w:val="20"/>
          <w:szCs w:val="20"/>
        </w:rPr>
      </w:pPr>
      <w:r w:rsidRPr="009D0754">
        <w:rPr>
          <w:i/>
          <w:sz w:val="20"/>
          <w:szCs w:val="20"/>
        </w:rPr>
        <w:t>Avots: NVD dati, ārstniecības iestāžu mājaslapās pieejamā informācija</w:t>
      </w:r>
    </w:p>
    <w:p w:rsidR="009A2699" w:rsidRDefault="009A2699" w:rsidP="000676E3">
      <w:pPr>
        <w:jc w:val="both"/>
      </w:pPr>
    </w:p>
    <w:p w:rsidR="000676E3" w:rsidRDefault="00DD2228" w:rsidP="009A2699">
      <w:pPr>
        <w:ind w:firstLine="720"/>
        <w:jc w:val="both"/>
      </w:pPr>
      <w:r w:rsidRPr="009D0754">
        <w:t xml:space="preserve">Apskatot </w:t>
      </w:r>
      <w:r>
        <w:t>speciālistu konsultāciju izmaksas,</w:t>
      </w:r>
      <w:r w:rsidR="00C5763A">
        <w:t xml:space="preserve"> ietverot pacientu iemaksas</w:t>
      </w:r>
      <w:r>
        <w:t>, secināms</w:t>
      </w:r>
      <w:r w:rsidRPr="009D0754">
        <w:t xml:space="preserve">, ka maksas </w:t>
      </w:r>
      <w:r>
        <w:t>speci</w:t>
      </w:r>
      <w:r w:rsidR="00DC28FF">
        <w:t>ālistu konsultācijas</w:t>
      </w:r>
      <w:r>
        <w:t xml:space="preserve"> ir </w:t>
      </w:r>
      <w:r w:rsidRPr="009D0754">
        <w:t>ievērojami dārg</w:t>
      </w:r>
      <w:r>
        <w:t>ākas kā valsts fi</w:t>
      </w:r>
      <w:r w:rsidR="00DC28FF">
        <w:t>n</w:t>
      </w:r>
      <w:r>
        <w:t>ansētās. Tajā pašā laikā saskatāma tendence konsultāciju pak</w:t>
      </w:r>
      <w:r w:rsidR="00DC28FF">
        <w:t>a</w:t>
      </w:r>
      <w:r>
        <w:t xml:space="preserve">lpojumus piedāvāt </w:t>
      </w:r>
      <w:r w:rsidR="009F4C8F">
        <w:t xml:space="preserve">salīdzinoši </w:t>
      </w:r>
      <w:r>
        <w:t xml:space="preserve">zemākās cenās </w:t>
      </w:r>
      <w:r w:rsidR="00DC28FF">
        <w:t xml:space="preserve">reģionālajās slimnīcās. </w:t>
      </w:r>
    </w:p>
    <w:p w:rsidR="00C5763A" w:rsidRDefault="00C5763A" w:rsidP="000676E3">
      <w:pPr>
        <w:jc w:val="both"/>
      </w:pPr>
    </w:p>
    <w:p w:rsidR="00187F39" w:rsidRPr="00FE3068" w:rsidRDefault="00DD2228" w:rsidP="009A2699">
      <w:pPr>
        <w:ind w:firstLine="720"/>
        <w:jc w:val="both"/>
        <w:rPr>
          <w:noProof/>
        </w:rPr>
      </w:pPr>
      <w:r>
        <w:t>Papildus tam</w:t>
      </w:r>
      <w:r w:rsidR="009F4C8F">
        <w:t xml:space="preserve"> saskaņā ar PVO datiem par </w:t>
      </w:r>
      <w:r w:rsidR="00F7499B" w:rsidRPr="00FE3068">
        <w:t xml:space="preserve">Latvijas lielo tiešo </w:t>
      </w:r>
      <w:r w:rsidR="00593A31" w:rsidRPr="00FE3068">
        <w:t xml:space="preserve">pacientu </w:t>
      </w:r>
      <w:r w:rsidR="00F7499B" w:rsidRPr="00FE3068">
        <w:t>maksājumu īpatsvaru</w:t>
      </w:r>
      <w:r w:rsidR="009F4C8F">
        <w:t>, kā arī maksas pakalpojumu cenām</w:t>
      </w:r>
      <w:r w:rsidR="00593A31" w:rsidRPr="00FE3068">
        <w:t>,</w:t>
      </w:r>
      <w:r w:rsidR="00927C62" w:rsidRPr="00927C62">
        <w:rPr>
          <w:color w:val="FF0000"/>
        </w:rPr>
        <w:t xml:space="preserve"> </w:t>
      </w:r>
      <w:r w:rsidR="00593A31" w:rsidRPr="00FE3068">
        <w:t xml:space="preserve">valsts </w:t>
      </w:r>
      <w:r w:rsidR="00F7499B" w:rsidRPr="00FE3068">
        <w:t>a</w:t>
      </w:r>
      <w:r w:rsidR="00593A31" w:rsidRPr="00FE3068">
        <w:t>p</w:t>
      </w:r>
      <w:r w:rsidR="00F7499B" w:rsidRPr="00FE3068">
        <w:t>maksāto pak</w:t>
      </w:r>
      <w:r w:rsidR="00593A31" w:rsidRPr="00FF74C2">
        <w:t>a</w:t>
      </w:r>
      <w:r w:rsidR="00F7499B" w:rsidRPr="00FF74C2">
        <w:t xml:space="preserve">lpojumu pieejamības uzlabošanas gadījumā </w:t>
      </w:r>
      <w:r w:rsidR="004B4729" w:rsidRPr="00FF74C2">
        <w:t xml:space="preserve">plānojama pacientu uzvedības maiņa - </w:t>
      </w:r>
      <w:r w:rsidR="00F7499B" w:rsidRPr="00FF74C2">
        <w:rPr>
          <w:noProof/>
        </w:rPr>
        <w:t xml:space="preserve">daļas pacientu pārvirzīšanās no maksas pakalpojumu uz valsts apmaksātu pakalpojumu sektoru, </w:t>
      </w:r>
      <w:r w:rsidR="004B4729" w:rsidRPr="003E0833">
        <w:rPr>
          <w:noProof/>
        </w:rPr>
        <w:t xml:space="preserve">līdz ar ko analizējot esošo situāciju ar papildus 883 183 sniedzamajiem pakalpojumiem </w:t>
      </w:r>
      <w:r w:rsidR="009F4C8F">
        <w:rPr>
          <w:noProof/>
        </w:rPr>
        <w:t xml:space="preserve">prognozējams </w:t>
      </w:r>
      <w:r w:rsidRPr="003E0833">
        <w:rPr>
          <w:noProof/>
        </w:rPr>
        <w:t xml:space="preserve">50 % </w:t>
      </w:r>
      <w:r w:rsidR="004B4729" w:rsidRPr="003E0833">
        <w:rPr>
          <w:noProof/>
        </w:rPr>
        <w:t>rindu garuma</w:t>
      </w:r>
      <w:r w:rsidRPr="003E0833">
        <w:rPr>
          <w:noProof/>
        </w:rPr>
        <w:t xml:space="preserve"> samazinājums</w:t>
      </w:r>
      <w:r w:rsidR="00F039BA" w:rsidRPr="00FE3068">
        <w:rPr>
          <w:noProof/>
        </w:rPr>
        <w:t xml:space="preserve"> (</w:t>
      </w:r>
      <w:r w:rsidR="00F039BA" w:rsidRPr="00FE3068">
        <w:t>ar “</w:t>
      </w:r>
      <w:proofErr w:type="spellStart"/>
      <w:r w:rsidR="00F039BA" w:rsidRPr="00B3708B">
        <w:rPr>
          <w:i/>
        </w:rPr>
        <w:t>out</w:t>
      </w:r>
      <w:proofErr w:type="spellEnd"/>
      <w:r w:rsidR="00F039BA" w:rsidRPr="00B3708B">
        <w:rPr>
          <w:i/>
        </w:rPr>
        <w:t xml:space="preserve"> </w:t>
      </w:r>
      <w:proofErr w:type="spellStart"/>
      <w:r w:rsidR="00F039BA" w:rsidRPr="00B3708B">
        <w:rPr>
          <w:i/>
        </w:rPr>
        <w:t>of</w:t>
      </w:r>
      <w:proofErr w:type="spellEnd"/>
      <w:r w:rsidR="00F039BA" w:rsidRPr="00B3708B">
        <w:rPr>
          <w:i/>
        </w:rPr>
        <w:t xml:space="preserve"> </w:t>
      </w:r>
      <w:proofErr w:type="spellStart"/>
      <w:r w:rsidR="00F039BA" w:rsidRPr="00B3708B">
        <w:rPr>
          <w:i/>
        </w:rPr>
        <w:t>pocket</w:t>
      </w:r>
      <w:proofErr w:type="spellEnd"/>
      <w:r w:rsidR="00F039BA" w:rsidRPr="00B3708B">
        <w:rPr>
          <w:i/>
        </w:rPr>
        <w:t>”</w:t>
      </w:r>
      <w:r w:rsidR="00F039BA" w:rsidRPr="00D040EB">
        <w:t xml:space="preserve"> maksājumu ietekmi)</w:t>
      </w:r>
      <w:r w:rsidR="004B4729" w:rsidRPr="00D040EB">
        <w:rPr>
          <w:noProof/>
        </w:rPr>
        <w:t xml:space="preserve">. </w:t>
      </w:r>
      <w:r w:rsidRPr="00D040EB">
        <w:rPr>
          <w:noProof/>
        </w:rPr>
        <w:t xml:space="preserve">Pacientu </w:t>
      </w:r>
      <w:r w:rsidRPr="00B3708B">
        <w:rPr>
          <w:noProof/>
        </w:rPr>
        <w:t>uzvedības maiņa aprēķināta balstoties uz Centrālās statistikas pārvaldes 2016.gada “Iedzīvotāju veselības apsekošanas rezultātiem”.</w:t>
      </w:r>
      <w:r w:rsidR="00D040EB">
        <w:rPr>
          <w:noProof/>
        </w:rPr>
        <w:t xml:space="preserve"> </w:t>
      </w:r>
      <w:r w:rsidRPr="00B3708B">
        <w:rPr>
          <w:noProof/>
        </w:rPr>
        <w:t>Pacientu uzvedības maiņas noteikšanai izmantotie rādīt</w:t>
      </w:r>
      <w:r w:rsidR="009F4C8F">
        <w:rPr>
          <w:noProof/>
        </w:rPr>
        <w:t>āji skatāmi 10</w:t>
      </w:r>
      <w:r w:rsidR="0073659A" w:rsidRPr="00B3708B">
        <w:rPr>
          <w:noProof/>
        </w:rPr>
        <w:t xml:space="preserve">.tabulā. </w:t>
      </w:r>
    </w:p>
    <w:p w:rsidR="0073659A" w:rsidRPr="0073659A" w:rsidRDefault="00DD2228" w:rsidP="0073659A">
      <w:pPr>
        <w:ind w:firstLine="720"/>
        <w:jc w:val="right"/>
        <w:rPr>
          <w:i/>
        </w:rPr>
      </w:pPr>
      <w:r>
        <w:rPr>
          <w:i/>
        </w:rPr>
        <w:t>10</w:t>
      </w:r>
      <w:r w:rsidRPr="008603A3">
        <w:rPr>
          <w:i/>
        </w:rPr>
        <w:t xml:space="preserve">.tabula </w:t>
      </w:r>
    </w:p>
    <w:tbl>
      <w:tblPr>
        <w:tblW w:w="9399" w:type="dxa"/>
        <w:tblLook w:val="04A0" w:firstRow="1" w:lastRow="0" w:firstColumn="1" w:lastColumn="0" w:noHBand="0" w:noVBand="1"/>
      </w:tblPr>
      <w:tblGrid>
        <w:gridCol w:w="704"/>
        <w:gridCol w:w="7371"/>
        <w:gridCol w:w="1324"/>
      </w:tblGrid>
      <w:tr w:rsidR="0014269D" w:rsidTr="009A269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F39" w:rsidRPr="00FE3068" w:rsidRDefault="00DD2228" w:rsidP="00187F39">
            <w:pPr>
              <w:jc w:val="right"/>
              <w:rPr>
                <w:color w:val="000000"/>
              </w:rPr>
            </w:pPr>
            <w:r w:rsidRPr="00565BE7">
              <w:rPr>
                <w:color w:val="000000"/>
              </w:rPr>
              <w:t>1</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187F39" w:rsidRPr="00FE3068" w:rsidRDefault="00DD2228" w:rsidP="00F039BA">
            <w:pPr>
              <w:rPr>
                <w:color w:val="000000"/>
              </w:rPr>
            </w:pPr>
            <w:r w:rsidRPr="00565BE7">
              <w:rPr>
                <w:color w:val="000000"/>
              </w:rPr>
              <w:t>Latvijas iedzīvotāju skaits 2017.gadā</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187F39" w:rsidRPr="00FE3068" w:rsidRDefault="00DD2228" w:rsidP="00187F39">
            <w:pPr>
              <w:jc w:val="right"/>
              <w:rPr>
                <w:color w:val="000000"/>
              </w:rPr>
            </w:pPr>
            <w:r w:rsidRPr="00565BE7">
              <w:rPr>
                <w:color w:val="000000"/>
              </w:rPr>
              <w:t>1</w:t>
            </w:r>
            <w:r w:rsidR="00F039BA" w:rsidRPr="00565BE7">
              <w:rPr>
                <w:color w:val="000000"/>
              </w:rPr>
              <w:t> </w:t>
            </w:r>
            <w:r w:rsidRPr="00565BE7">
              <w:rPr>
                <w:color w:val="000000"/>
              </w:rPr>
              <w:t>949</w:t>
            </w:r>
            <w:r w:rsidR="00F039BA" w:rsidRPr="00565BE7">
              <w:rPr>
                <w:color w:val="000000"/>
              </w:rPr>
              <w:t xml:space="preserve"> </w:t>
            </w:r>
            <w:r w:rsidRPr="00565BE7">
              <w:rPr>
                <w:color w:val="000000"/>
              </w:rPr>
              <w:t>267</w:t>
            </w:r>
          </w:p>
        </w:tc>
      </w:tr>
      <w:tr w:rsidR="0014269D" w:rsidTr="009A2699">
        <w:trPr>
          <w:trHeight w:val="38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87F39" w:rsidRPr="00FE3068" w:rsidRDefault="00DD2228" w:rsidP="00187F39">
            <w:pPr>
              <w:jc w:val="right"/>
              <w:rPr>
                <w:color w:val="000000"/>
              </w:rPr>
            </w:pPr>
            <w:r w:rsidRPr="00565BE7">
              <w:rPr>
                <w:color w:val="000000"/>
              </w:rPr>
              <w:t>2</w:t>
            </w:r>
          </w:p>
        </w:tc>
        <w:tc>
          <w:tcPr>
            <w:tcW w:w="7371" w:type="dxa"/>
            <w:tcBorders>
              <w:top w:val="nil"/>
              <w:left w:val="nil"/>
              <w:bottom w:val="single" w:sz="4" w:space="0" w:color="auto"/>
              <w:right w:val="single" w:sz="4" w:space="0" w:color="auto"/>
            </w:tcBorders>
            <w:shd w:val="clear" w:color="auto" w:fill="auto"/>
            <w:vAlign w:val="bottom"/>
            <w:hideMark/>
          </w:tcPr>
          <w:p w:rsidR="00187F39" w:rsidRPr="00FE3068" w:rsidRDefault="00DD2228" w:rsidP="00F039BA">
            <w:pPr>
              <w:rPr>
                <w:color w:val="000000"/>
              </w:rPr>
            </w:pPr>
            <w:r w:rsidRPr="00565BE7">
              <w:rPr>
                <w:color w:val="000000"/>
              </w:rPr>
              <w:t>Iedzīvotāju skaits %, kuri rindu, attāluma vai finanšu dēļ nav saņēmuši veselības aprūpes pakalpojumus</w:t>
            </w:r>
          </w:p>
        </w:tc>
        <w:tc>
          <w:tcPr>
            <w:tcW w:w="1324" w:type="dxa"/>
            <w:tcBorders>
              <w:top w:val="nil"/>
              <w:left w:val="nil"/>
              <w:bottom w:val="single" w:sz="4" w:space="0" w:color="auto"/>
              <w:right w:val="single" w:sz="4" w:space="0" w:color="auto"/>
            </w:tcBorders>
            <w:shd w:val="clear" w:color="auto" w:fill="auto"/>
            <w:noWrap/>
            <w:vAlign w:val="bottom"/>
            <w:hideMark/>
          </w:tcPr>
          <w:p w:rsidR="00187F39" w:rsidRPr="00FE3068" w:rsidRDefault="00DD2228" w:rsidP="00187F39">
            <w:pPr>
              <w:jc w:val="right"/>
              <w:rPr>
                <w:color w:val="000000"/>
              </w:rPr>
            </w:pPr>
            <w:r w:rsidRPr="00565BE7">
              <w:rPr>
                <w:color w:val="000000"/>
              </w:rPr>
              <w:t>13,8%</w:t>
            </w:r>
            <w:r>
              <w:rPr>
                <w:rStyle w:val="FootnoteReference"/>
                <w:noProof/>
              </w:rPr>
              <w:footnoteReference w:id="7"/>
            </w:r>
          </w:p>
        </w:tc>
      </w:tr>
      <w:tr w:rsidR="0014269D" w:rsidTr="009A2699">
        <w:trPr>
          <w:trHeight w:val="8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87F39" w:rsidRPr="00FE3068" w:rsidRDefault="00DD2228" w:rsidP="00187F39">
            <w:pPr>
              <w:jc w:val="right"/>
              <w:rPr>
                <w:color w:val="000000"/>
              </w:rPr>
            </w:pPr>
            <w:r w:rsidRPr="00565BE7">
              <w:rPr>
                <w:color w:val="000000"/>
              </w:rPr>
              <w:t>3</w:t>
            </w:r>
          </w:p>
        </w:tc>
        <w:tc>
          <w:tcPr>
            <w:tcW w:w="7371" w:type="dxa"/>
            <w:tcBorders>
              <w:top w:val="nil"/>
              <w:left w:val="nil"/>
              <w:bottom w:val="single" w:sz="4" w:space="0" w:color="auto"/>
              <w:right w:val="single" w:sz="4" w:space="0" w:color="auto"/>
            </w:tcBorders>
            <w:shd w:val="clear" w:color="auto" w:fill="auto"/>
            <w:vAlign w:val="bottom"/>
            <w:hideMark/>
          </w:tcPr>
          <w:p w:rsidR="00187F39" w:rsidRPr="00FE3068" w:rsidRDefault="00DD2228" w:rsidP="00187F39">
            <w:pPr>
              <w:rPr>
                <w:color w:val="000000"/>
              </w:rPr>
            </w:pPr>
            <w:r w:rsidRPr="00565BE7">
              <w:rPr>
                <w:color w:val="000000"/>
              </w:rPr>
              <w:t>Iedzīvotāju skaits, kuri rindu, attāluma vai finanšu dēļ nav saņēmuši sekundāros ambulatoros</w:t>
            </w:r>
            <w:r w:rsidR="009A2699">
              <w:rPr>
                <w:color w:val="000000"/>
              </w:rPr>
              <w:t xml:space="preserve"> veselības aprūpes pakalpojumus</w:t>
            </w:r>
          </w:p>
        </w:tc>
        <w:tc>
          <w:tcPr>
            <w:tcW w:w="1324" w:type="dxa"/>
            <w:tcBorders>
              <w:top w:val="nil"/>
              <w:left w:val="nil"/>
              <w:bottom w:val="single" w:sz="4" w:space="0" w:color="auto"/>
              <w:right w:val="single" w:sz="4" w:space="0" w:color="auto"/>
            </w:tcBorders>
            <w:shd w:val="clear" w:color="auto" w:fill="auto"/>
            <w:noWrap/>
            <w:vAlign w:val="bottom"/>
            <w:hideMark/>
          </w:tcPr>
          <w:p w:rsidR="00187F39" w:rsidRPr="00FE3068" w:rsidRDefault="00DD2228" w:rsidP="00187F39">
            <w:pPr>
              <w:jc w:val="right"/>
              <w:rPr>
                <w:color w:val="000000"/>
              </w:rPr>
            </w:pPr>
            <w:r w:rsidRPr="00565BE7">
              <w:rPr>
                <w:color w:val="000000"/>
              </w:rPr>
              <w:t>268</w:t>
            </w:r>
            <w:r w:rsidR="00F039BA" w:rsidRPr="00565BE7">
              <w:rPr>
                <w:color w:val="000000"/>
              </w:rPr>
              <w:t xml:space="preserve"> </w:t>
            </w:r>
            <w:r w:rsidRPr="00565BE7">
              <w:rPr>
                <w:color w:val="000000"/>
              </w:rPr>
              <w:t>999</w:t>
            </w:r>
          </w:p>
        </w:tc>
      </w:tr>
      <w:tr w:rsidR="0014269D" w:rsidTr="009A2699">
        <w:trPr>
          <w:trHeight w:val="42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87F39" w:rsidRPr="00FE3068" w:rsidRDefault="00DD2228" w:rsidP="00187F39">
            <w:pPr>
              <w:jc w:val="right"/>
              <w:rPr>
                <w:color w:val="000000"/>
              </w:rPr>
            </w:pPr>
            <w:r w:rsidRPr="00565BE7">
              <w:rPr>
                <w:color w:val="000000"/>
              </w:rPr>
              <w:t>4</w:t>
            </w:r>
          </w:p>
        </w:tc>
        <w:tc>
          <w:tcPr>
            <w:tcW w:w="7371" w:type="dxa"/>
            <w:tcBorders>
              <w:top w:val="nil"/>
              <w:left w:val="nil"/>
              <w:bottom w:val="single" w:sz="4" w:space="0" w:color="auto"/>
              <w:right w:val="single" w:sz="4" w:space="0" w:color="auto"/>
            </w:tcBorders>
            <w:shd w:val="clear" w:color="auto" w:fill="auto"/>
            <w:vAlign w:val="bottom"/>
            <w:hideMark/>
          </w:tcPr>
          <w:p w:rsidR="00187F39" w:rsidRPr="00FE3068" w:rsidRDefault="00DD2228" w:rsidP="00187F39">
            <w:pPr>
              <w:rPr>
                <w:color w:val="000000"/>
              </w:rPr>
            </w:pPr>
            <w:r w:rsidRPr="00565BE7">
              <w:rPr>
                <w:color w:val="000000"/>
              </w:rPr>
              <w:t xml:space="preserve">Konsultāciju biežums </w:t>
            </w:r>
            <w:r w:rsidR="000B2CA3" w:rsidRPr="00565BE7">
              <w:rPr>
                <w:color w:val="000000"/>
              </w:rPr>
              <w:t xml:space="preserve">pie speciālistiem </w:t>
            </w:r>
            <w:r w:rsidRPr="00565BE7">
              <w:rPr>
                <w:color w:val="000000"/>
              </w:rPr>
              <w:t>divas vai</w:t>
            </w:r>
            <w:r w:rsidR="00F039BA" w:rsidRPr="00565BE7">
              <w:rPr>
                <w:color w:val="000000"/>
              </w:rPr>
              <w:t xml:space="preserve"> vairāk reižu (</w:t>
            </w:r>
            <w:r w:rsidR="000B2CA3" w:rsidRPr="00565BE7">
              <w:rPr>
                <w:color w:val="000000"/>
              </w:rPr>
              <w:t>četrās nedēļās</w:t>
            </w:r>
            <w:r w:rsidR="00F039BA" w:rsidRPr="00565BE7">
              <w:rPr>
                <w:color w:val="000000"/>
              </w:rPr>
              <w:t>)</w:t>
            </w:r>
          </w:p>
        </w:tc>
        <w:tc>
          <w:tcPr>
            <w:tcW w:w="1324" w:type="dxa"/>
            <w:tcBorders>
              <w:top w:val="nil"/>
              <w:left w:val="nil"/>
              <w:bottom w:val="single" w:sz="4" w:space="0" w:color="auto"/>
              <w:right w:val="single" w:sz="4" w:space="0" w:color="auto"/>
            </w:tcBorders>
            <w:shd w:val="clear" w:color="auto" w:fill="auto"/>
            <w:noWrap/>
            <w:vAlign w:val="bottom"/>
            <w:hideMark/>
          </w:tcPr>
          <w:p w:rsidR="00187F39" w:rsidRPr="00FE3068" w:rsidRDefault="00DD2228" w:rsidP="00187F39">
            <w:pPr>
              <w:jc w:val="right"/>
              <w:rPr>
                <w:color w:val="000000"/>
              </w:rPr>
            </w:pPr>
            <w:r w:rsidRPr="00565BE7">
              <w:rPr>
                <w:color w:val="000000"/>
              </w:rPr>
              <w:t>4,7%</w:t>
            </w:r>
            <w:r>
              <w:rPr>
                <w:rStyle w:val="FootnoteReference"/>
                <w:noProof/>
              </w:rPr>
              <w:footnoteReference w:id="8"/>
            </w:r>
          </w:p>
        </w:tc>
      </w:tr>
      <w:tr w:rsidR="0014269D" w:rsidTr="009A2699">
        <w:trPr>
          <w:trHeight w:val="5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87F39" w:rsidRPr="00FE3068" w:rsidRDefault="00DD2228" w:rsidP="00187F39">
            <w:pPr>
              <w:jc w:val="right"/>
              <w:rPr>
                <w:color w:val="000000"/>
              </w:rPr>
            </w:pPr>
            <w:r w:rsidRPr="00565BE7">
              <w:rPr>
                <w:color w:val="000000"/>
              </w:rPr>
              <w:t>5</w:t>
            </w:r>
          </w:p>
        </w:tc>
        <w:tc>
          <w:tcPr>
            <w:tcW w:w="7371" w:type="dxa"/>
            <w:tcBorders>
              <w:top w:val="nil"/>
              <w:left w:val="nil"/>
              <w:bottom w:val="single" w:sz="4" w:space="0" w:color="auto"/>
              <w:right w:val="single" w:sz="4" w:space="0" w:color="auto"/>
            </w:tcBorders>
            <w:shd w:val="clear" w:color="auto" w:fill="D9D9D9" w:themeFill="background1" w:themeFillShade="D9"/>
            <w:vAlign w:val="bottom"/>
            <w:hideMark/>
          </w:tcPr>
          <w:p w:rsidR="00187F39" w:rsidRPr="00FE3068" w:rsidRDefault="00DD2228" w:rsidP="00187F39">
            <w:pPr>
              <w:rPr>
                <w:color w:val="000000"/>
              </w:rPr>
            </w:pPr>
            <w:r w:rsidRPr="00565BE7">
              <w:rPr>
                <w:color w:val="000000"/>
              </w:rPr>
              <w:t>Nesaņemto sekundāro ambulatoro veselības aprūpes pakalpojumu skaits</w:t>
            </w:r>
            <w:r w:rsidR="00F039BA" w:rsidRPr="00565BE7">
              <w:rPr>
                <w:color w:val="000000"/>
              </w:rPr>
              <w:t xml:space="preserve"> (rindu, attāluma vai finanšu dēļ)</w:t>
            </w:r>
          </w:p>
        </w:tc>
        <w:tc>
          <w:tcPr>
            <w:tcW w:w="1324" w:type="dxa"/>
            <w:tcBorders>
              <w:top w:val="nil"/>
              <w:left w:val="nil"/>
              <w:bottom w:val="single" w:sz="4" w:space="0" w:color="auto"/>
              <w:right w:val="single" w:sz="4" w:space="0" w:color="auto"/>
            </w:tcBorders>
            <w:shd w:val="clear" w:color="auto" w:fill="D9D9D9" w:themeFill="background1" w:themeFillShade="D9"/>
            <w:noWrap/>
            <w:vAlign w:val="bottom"/>
            <w:hideMark/>
          </w:tcPr>
          <w:p w:rsidR="00187F39" w:rsidRPr="00FE3068" w:rsidRDefault="00DD2228" w:rsidP="00187F39">
            <w:pPr>
              <w:jc w:val="right"/>
              <w:rPr>
                <w:color w:val="000000"/>
              </w:rPr>
            </w:pPr>
            <w:r w:rsidRPr="00565BE7">
              <w:rPr>
                <w:color w:val="000000"/>
              </w:rPr>
              <w:t>281</w:t>
            </w:r>
            <w:r w:rsidR="00F039BA" w:rsidRPr="00565BE7">
              <w:rPr>
                <w:color w:val="000000"/>
              </w:rPr>
              <w:t xml:space="preserve"> </w:t>
            </w:r>
            <w:r w:rsidRPr="00565BE7">
              <w:rPr>
                <w:color w:val="000000"/>
              </w:rPr>
              <w:t>642</w:t>
            </w:r>
          </w:p>
        </w:tc>
      </w:tr>
    </w:tbl>
    <w:p w:rsidR="00187F39" w:rsidRPr="00187F39" w:rsidRDefault="00187F39" w:rsidP="005A1E8B">
      <w:pPr>
        <w:jc w:val="both"/>
        <w:rPr>
          <w:noProof/>
          <w:sz w:val="22"/>
          <w:szCs w:val="22"/>
        </w:rPr>
      </w:pPr>
    </w:p>
    <w:p w:rsidR="00612C04" w:rsidRDefault="00DD2228" w:rsidP="00565BE7">
      <w:pPr>
        <w:ind w:firstLine="720"/>
        <w:jc w:val="both"/>
        <w:rPr>
          <w:noProof/>
        </w:rPr>
      </w:pPr>
      <w:r w:rsidRPr="00565BE7">
        <w:rPr>
          <w:noProof/>
        </w:rPr>
        <w:t>Balstoties uz šobrīd esošajiem rindu garumiem sekundārājā ambulatorā veselības aprūpē</w:t>
      </w:r>
      <w:r w:rsidR="00D040EB">
        <w:rPr>
          <w:noProof/>
        </w:rPr>
        <w:t>,</w:t>
      </w:r>
      <w:r w:rsidRPr="00565BE7">
        <w:rPr>
          <w:noProof/>
        </w:rPr>
        <w:t xml:space="preserve"> aprēķināts nepieciešamais pieejamības palielinājums attiecīgam rindu samazinājumam bez </w:t>
      </w:r>
      <w:r w:rsidRPr="00565BE7">
        <w:rPr>
          <w:noProof/>
        </w:rPr>
        <w:lastRenderedPageBreak/>
        <w:t>pacientu uzvedības maiņas, kā arī noteikts prognozējamais rindu samazinājums ar pacientu pār</w:t>
      </w:r>
      <w:r w:rsidR="00D040EB">
        <w:rPr>
          <w:noProof/>
        </w:rPr>
        <w:t>e</w:t>
      </w:r>
      <w:r w:rsidRPr="00565BE7">
        <w:rPr>
          <w:noProof/>
        </w:rPr>
        <w:t>ju uz valsts apmaksāto pakalpojumu segmentu (rindu samazinājums – koriģētais)</w:t>
      </w:r>
      <w:r w:rsidR="00D040EB">
        <w:rPr>
          <w:noProof/>
        </w:rPr>
        <w:t xml:space="preserve"> (s</w:t>
      </w:r>
      <w:r w:rsidRPr="00565BE7">
        <w:rPr>
          <w:noProof/>
        </w:rPr>
        <w:t>kat. 1. attēlu</w:t>
      </w:r>
      <w:r w:rsidR="00D040EB">
        <w:rPr>
          <w:noProof/>
        </w:rPr>
        <w:t>)</w:t>
      </w:r>
      <w:r w:rsidRPr="00565BE7">
        <w:rPr>
          <w:noProof/>
        </w:rPr>
        <w:t xml:space="preserve">. </w:t>
      </w:r>
    </w:p>
    <w:p w:rsidR="00565BE7" w:rsidRPr="00565BE7" w:rsidRDefault="00565BE7" w:rsidP="00565BE7">
      <w:pPr>
        <w:ind w:firstLine="720"/>
        <w:jc w:val="both"/>
        <w:rPr>
          <w:noProof/>
        </w:rPr>
      </w:pPr>
    </w:p>
    <w:p w:rsidR="00612C04" w:rsidRDefault="00DD2228" w:rsidP="00612C04">
      <w:pPr>
        <w:jc w:val="right"/>
        <w:rPr>
          <w:noProof/>
          <w:sz w:val="22"/>
          <w:szCs w:val="22"/>
        </w:rPr>
      </w:pPr>
      <w:r>
        <w:rPr>
          <w:i/>
        </w:rPr>
        <w:t>1.attēls</w:t>
      </w:r>
    </w:p>
    <w:p w:rsidR="0073659A" w:rsidRDefault="00DD2228" w:rsidP="005A1E8B">
      <w:pPr>
        <w:jc w:val="both"/>
        <w:rPr>
          <w:noProof/>
          <w:sz w:val="22"/>
          <w:szCs w:val="22"/>
        </w:rPr>
      </w:pPr>
      <w:r w:rsidRPr="000B2CA3">
        <w:rPr>
          <w:noProof/>
          <w:sz w:val="22"/>
          <w:szCs w:val="22"/>
        </w:rPr>
        <w:drawing>
          <wp:inline distT="0" distB="0" distL="0" distR="0">
            <wp:extent cx="5810250" cy="2533650"/>
            <wp:effectExtent l="0" t="0" r="0" b="0"/>
            <wp:docPr id="2" name="Chart 1">
              <a:extLst xmlns:a="http://schemas.openxmlformats.org/drawingml/2006/main">
                <a:ext uri="{FF2B5EF4-FFF2-40B4-BE49-F238E27FC236}">
                  <a16:creationId xmlns:a16="http://schemas.microsoft.com/office/drawing/2014/main" id="{2E178C44-037D-4E74-B60A-0E9C05917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659A" w:rsidRDefault="0073659A" w:rsidP="005A1E8B">
      <w:pPr>
        <w:jc w:val="both"/>
        <w:rPr>
          <w:noProof/>
          <w:sz w:val="22"/>
          <w:szCs w:val="22"/>
        </w:rPr>
      </w:pPr>
    </w:p>
    <w:p w:rsidR="00503B59" w:rsidRPr="00565BE7" w:rsidRDefault="00DD2228" w:rsidP="00565BE7">
      <w:pPr>
        <w:ind w:firstLine="720"/>
        <w:jc w:val="both"/>
        <w:rPr>
          <w:noProof/>
        </w:rPr>
      </w:pPr>
      <w:r w:rsidRPr="00565BE7">
        <w:rPr>
          <w:noProof/>
        </w:rPr>
        <w:t>Attēlā uzskatāmi atspoguļots, ka pastāvīgi samazinot rindu garumu par konkrētu procentpunktu, īstenais rindu garums samazināsies mazākā apmērā, jo pakāpeniski valsts apmaksāto pakalpojumu segmentā iepl</w:t>
      </w:r>
      <w:r w:rsidR="00FF74C2">
        <w:rPr>
          <w:noProof/>
        </w:rPr>
        <w:t>ū</w:t>
      </w:r>
      <w:r w:rsidRPr="00565BE7">
        <w:rPr>
          <w:noProof/>
        </w:rPr>
        <w:t>dīs no 1.</w:t>
      </w:r>
      <w:r w:rsidR="00FF74C2">
        <w:rPr>
          <w:noProof/>
        </w:rPr>
        <w:t xml:space="preserve">līdz </w:t>
      </w:r>
      <w:r w:rsidRPr="00565BE7">
        <w:rPr>
          <w:noProof/>
        </w:rPr>
        <w:t xml:space="preserve">5.kvintilei esošie iedzīvotāji. </w:t>
      </w:r>
    </w:p>
    <w:p w:rsidR="00A45DB7" w:rsidRPr="00565BE7" w:rsidRDefault="00DD2228" w:rsidP="00565BE7">
      <w:pPr>
        <w:ind w:firstLine="720"/>
        <w:jc w:val="both"/>
        <w:rPr>
          <w:noProof/>
        </w:rPr>
      </w:pPr>
      <w:r w:rsidRPr="00565BE7">
        <w:rPr>
          <w:noProof/>
        </w:rPr>
        <w:t xml:space="preserve">Attiecībā uz 2019.gadā iespējamo papildus pieejamības palielinājumu, ievērojot jau </w:t>
      </w:r>
      <w:r w:rsidRPr="00FF74C2">
        <w:rPr>
          <w:noProof/>
        </w:rPr>
        <w:t xml:space="preserve">Veselības ministrijas reformu ieviešanas plānā plānoto rindu samazinājumu </w:t>
      </w:r>
      <w:r w:rsidR="0039396A" w:rsidRPr="00FF74C2">
        <w:t xml:space="preserve">2019.gadā </w:t>
      </w:r>
      <w:r w:rsidR="0035409C" w:rsidRPr="00FF74C2">
        <w:t>un turpmāk</w:t>
      </w:r>
      <w:r w:rsidR="00503B59" w:rsidRPr="00FF74C2">
        <w:t>ajos gados</w:t>
      </w:r>
      <w:r w:rsidRPr="00FF74C2">
        <w:t>,</w:t>
      </w:r>
      <w:r w:rsidR="00503B59" w:rsidRPr="00FF74C2">
        <w:t xml:space="preserve"> </w:t>
      </w:r>
      <w:r w:rsidR="008A2E12" w:rsidRPr="00FF74C2">
        <w:t xml:space="preserve">ārstniecības iestāžu esošās kapacitātes ietvaros </w:t>
      </w:r>
      <w:r w:rsidR="0039396A" w:rsidRPr="00FF74C2">
        <w:t xml:space="preserve">iespējams </w:t>
      </w:r>
      <w:r w:rsidR="00D75297" w:rsidRPr="00FF74C2">
        <w:t xml:space="preserve">papildus sniegt 335 073 pakalpojumus </w:t>
      </w:r>
      <w:r w:rsidR="006A5BD4" w:rsidRPr="00FF74C2">
        <w:t xml:space="preserve">par </w:t>
      </w:r>
      <w:r w:rsidR="006A5BD4" w:rsidRPr="00FF74C2">
        <w:rPr>
          <w:b/>
        </w:rPr>
        <w:t>3 820</w:t>
      </w:r>
      <w:r w:rsidR="00FF74C2">
        <w:rPr>
          <w:b/>
        </w:rPr>
        <w:t> </w:t>
      </w:r>
      <w:r w:rsidR="006A5BD4" w:rsidRPr="00FF74C2">
        <w:rPr>
          <w:b/>
        </w:rPr>
        <w:t>330</w:t>
      </w:r>
      <w:r w:rsidR="00FF74C2">
        <w:rPr>
          <w:b/>
        </w:rPr>
        <w:t xml:space="preserve"> </w:t>
      </w:r>
      <w:proofErr w:type="spellStart"/>
      <w:r w:rsidR="006A5BD4" w:rsidRPr="00565BE7">
        <w:rPr>
          <w:b/>
          <w:i/>
        </w:rPr>
        <w:t>euro</w:t>
      </w:r>
      <w:proofErr w:type="spellEnd"/>
      <w:r w:rsidR="00F7499B" w:rsidRPr="00FF74C2">
        <w:t xml:space="preserve"> gadā</w:t>
      </w:r>
      <w:r w:rsidR="008A2E12" w:rsidRPr="00FF74C2">
        <w:t xml:space="preserve">, </w:t>
      </w:r>
      <w:r w:rsidR="00503B59" w:rsidRPr="00FF74C2">
        <w:t xml:space="preserve">attiecīgi </w:t>
      </w:r>
      <w:r w:rsidR="008A2E12" w:rsidRPr="00FF74C2">
        <w:t xml:space="preserve">nosedzot </w:t>
      </w:r>
      <w:r w:rsidR="00503B59" w:rsidRPr="00FF74C2">
        <w:t xml:space="preserve">to pašu </w:t>
      </w:r>
      <w:r w:rsidR="008A2E12" w:rsidRPr="00FF74C2">
        <w:t>rindu samazinājumu</w:t>
      </w:r>
      <w:r w:rsidR="00503B59" w:rsidRPr="00FF74C2">
        <w:t xml:space="preserve">, ko 2017.-2018.gadā - </w:t>
      </w:r>
      <w:r w:rsidR="008A2E12" w:rsidRPr="00FF74C2">
        <w:t xml:space="preserve"> </w:t>
      </w:r>
      <w:r w:rsidRPr="00FF74C2">
        <w:t xml:space="preserve">50 % </w:t>
      </w:r>
      <w:r w:rsidR="00503B59" w:rsidRPr="00FF74C2">
        <w:t xml:space="preserve">no rindu garuma (ietverot </w:t>
      </w:r>
      <w:r w:rsidR="008A2E12" w:rsidRPr="00FF74C2">
        <w:t>pacientu uzvedības maiņu</w:t>
      </w:r>
      <w:r w:rsidR="00503B59" w:rsidRPr="00FF74C2">
        <w:t>)</w:t>
      </w:r>
      <w:r w:rsidR="00FF74C2">
        <w:t xml:space="preserve"> (</w:t>
      </w:r>
      <w:r w:rsidR="00503B59" w:rsidRPr="00FF74C2">
        <w:t>skat.</w:t>
      </w:r>
      <w:r w:rsidR="009F4C8F">
        <w:t>11</w:t>
      </w:r>
      <w:r w:rsidR="00503B59" w:rsidRPr="00FF74C2">
        <w:t>.tabulu</w:t>
      </w:r>
      <w:r w:rsidR="00FF74C2">
        <w:t>)</w:t>
      </w:r>
      <w:r w:rsidR="00503B59" w:rsidRPr="00FF74C2">
        <w:t>.</w:t>
      </w:r>
      <w:r w:rsidR="008A2E12" w:rsidRPr="00FF74C2">
        <w:t xml:space="preserve">  </w:t>
      </w:r>
    </w:p>
    <w:p w:rsidR="00565BE7" w:rsidRDefault="00565BE7" w:rsidP="00A45DB7">
      <w:pPr>
        <w:ind w:firstLine="720"/>
        <w:jc w:val="right"/>
        <w:rPr>
          <w:i/>
        </w:rPr>
      </w:pPr>
    </w:p>
    <w:p w:rsidR="00A45DB7" w:rsidRDefault="00DD2228" w:rsidP="00A45DB7">
      <w:pPr>
        <w:ind w:firstLine="720"/>
        <w:jc w:val="right"/>
        <w:rPr>
          <w:i/>
        </w:rPr>
      </w:pPr>
      <w:r>
        <w:rPr>
          <w:i/>
        </w:rPr>
        <w:t>11</w:t>
      </w:r>
      <w:r w:rsidRPr="003B6DC4">
        <w:rPr>
          <w:i/>
        </w:rPr>
        <w:t xml:space="preserve">.tabula </w:t>
      </w:r>
    </w:p>
    <w:p w:rsidR="009E1154" w:rsidRPr="003B6DC4" w:rsidRDefault="009E1154" w:rsidP="00612C04">
      <w:pPr>
        <w:rPr>
          <w:i/>
        </w:rPr>
      </w:pPr>
    </w:p>
    <w:p w:rsidR="00A45DB7" w:rsidRPr="003B6DC4" w:rsidRDefault="00DD2228" w:rsidP="00A45DB7">
      <w:pPr>
        <w:jc w:val="center"/>
        <w:rPr>
          <w:b/>
        </w:rPr>
      </w:pPr>
      <w:r w:rsidRPr="00565BE7">
        <w:rPr>
          <w:b/>
        </w:rPr>
        <w:t>Plānotais sekundārās</w:t>
      </w:r>
      <w:r w:rsidRPr="003B6DC4">
        <w:rPr>
          <w:b/>
        </w:rPr>
        <w:t xml:space="preserve"> ambulatorās veselības aprūpes pakalpojumu skaits</w:t>
      </w:r>
    </w:p>
    <w:tbl>
      <w:tblPr>
        <w:tblW w:w="9951" w:type="dxa"/>
        <w:tblInd w:w="-5" w:type="dxa"/>
        <w:tblLook w:val="04A0" w:firstRow="1" w:lastRow="0" w:firstColumn="1" w:lastColumn="0" w:noHBand="0" w:noVBand="1"/>
      </w:tblPr>
      <w:tblGrid>
        <w:gridCol w:w="457"/>
        <w:gridCol w:w="683"/>
        <w:gridCol w:w="711"/>
        <w:gridCol w:w="1038"/>
        <w:gridCol w:w="1080"/>
        <w:gridCol w:w="1073"/>
        <w:gridCol w:w="912"/>
        <w:gridCol w:w="992"/>
        <w:gridCol w:w="991"/>
        <w:gridCol w:w="994"/>
        <w:gridCol w:w="535"/>
        <w:gridCol w:w="457"/>
        <w:gridCol w:w="28"/>
      </w:tblGrid>
      <w:tr w:rsidR="0014269D" w:rsidTr="00D1191F">
        <w:trPr>
          <w:gridAfter w:val="1"/>
          <w:wAfter w:w="28" w:type="dxa"/>
          <w:cantSplit/>
          <w:trHeight w:val="1620"/>
        </w:trPr>
        <w:tc>
          <w:tcPr>
            <w:tcW w:w="4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9E1154" w:rsidRPr="00590242" w:rsidRDefault="00DD2228">
            <w:pPr>
              <w:rPr>
                <w:color w:val="000000"/>
                <w:sz w:val="16"/>
                <w:szCs w:val="16"/>
              </w:rPr>
            </w:pPr>
            <w:r w:rsidRPr="00590242">
              <w:rPr>
                <w:color w:val="000000"/>
                <w:sz w:val="16"/>
                <w:szCs w:val="16"/>
              </w:rPr>
              <w:t>Nr.</w:t>
            </w:r>
          </w:p>
          <w:p w:rsidR="009E1154" w:rsidRPr="00590242" w:rsidRDefault="00DD2228">
            <w:pPr>
              <w:rPr>
                <w:color w:val="000000"/>
                <w:sz w:val="16"/>
                <w:szCs w:val="16"/>
              </w:rPr>
            </w:pPr>
            <w:r w:rsidRPr="00590242">
              <w:rPr>
                <w:color w:val="000000"/>
                <w:sz w:val="16"/>
                <w:szCs w:val="16"/>
              </w:rPr>
              <w:t>p.k.</w:t>
            </w:r>
          </w:p>
        </w:tc>
        <w:tc>
          <w:tcPr>
            <w:tcW w:w="683"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9E1154" w:rsidRDefault="00DD2228">
            <w:pPr>
              <w:rPr>
                <w:color w:val="000000"/>
                <w:sz w:val="20"/>
                <w:szCs w:val="20"/>
              </w:rPr>
            </w:pPr>
            <w:r>
              <w:rPr>
                <w:color w:val="000000"/>
                <w:sz w:val="20"/>
                <w:szCs w:val="20"/>
              </w:rPr>
              <w:t>Pakal</w:t>
            </w:r>
            <w:r w:rsidR="008B6079">
              <w:rPr>
                <w:color w:val="000000"/>
                <w:sz w:val="20"/>
                <w:szCs w:val="20"/>
              </w:rPr>
              <w:t xml:space="preserve"> </w:t>
            </w:r>
            <w:r w:rsidR="00D1191F">
              <w:rPr>
                <w:color w:val="000000"/>
                <w:sz w:val="20"/>
                <w:szCs w:val="20"/>
              </w:rPr>
              <w:t>-</w:t>
            </w:r>
            <w:proofErr w:type="spellStart"/>
            <w:r w:rsidR="008B6079">
              <w:rPr>
                <w:color w:val="000000"/>
                <w:sz w:val="20"/>
                <w:szCs w:val="20"/>
              </w:rPr>
              <w:t>po</w:t>
            </w:r>
            <w:r>
              <w:rPr>
                <w:color w:val="000000"/>
                <w:sz w:val="20"/>
                <w:szCs w:val="20"/>
              </w:rPr>
              <w:t>ju</w:t>
            </w:r>
            <w:proofErr w:type="spellEnd"/>
            <w:r w:rsidR="008B6079">
              <w:rPr>
                <w:color w:val="000000"/>
                <w:sz w:val="20"/>
                <w:szCs w:val="20"/>
              </w:rPr>
              <w:t xml:space="preserve"> - </w:t>
            </w:r>
            <w:proofErr w:type="spellStart"/>
            <w:r>
              <w:rPr>
                <w:color w:val="000000"/>
                <w:sz w:val="20"/>
                <w:szCs w:val="20"/>
              </w:rPr>
              <w:t>ma</w:t>
            </w:r>
            <w:proofErr w:type="spellEnd"/>
            <w:r>
              <w:rPr>
                <w:color w:val="000000"/>
                <w:sz w:val="20"/>
                <w:szCs w:val="20"/>
              </w:rPr>
              <w:t xml:space="preserve"> veids</w:t>
            </w:r>
          </w:p>
        </w:tc>
        <w:tc>
          <w:tcPr>
            <w:tcW w:w="711" w:type="dxa"/>
            <w:tcBorders>
              <w:top w:val="single" w:sz="4" w:space="0" w:color="auto"/>
              <w:left w:val="nil"/>
              <w:bottom w:val="single" w:sz="4" w:space="0" w:color="auto"/>
              <w:right w:val="single" w:sz="4" w:space="0" w:color="auto"/>
            </w:tcBorders>
            <w:shd w:val="clear" w:color="auto" w:fill="548DD4" w:themeFill="text2" w:themeFillTint="99"/>
            <w:textDirection w:val="btLr"/>
            <w:vAlign w:val="center"/>
            <w:hideMark/>
          </w:tcPr>
          <w:p w:rsidR="009E1154" w:rsidRDefault="00DD2228">
            <w:pPr>
              <w:jc w:val="center"/>
              <w:rPr>
                <w:b/>
                <w:bCs/>
                <w:color w:val="000000"/>
                <w:sz w:val="20"/>
                <w:szCs w:val="20"/>
              </w:rPr>
            </w:pPr>
            <w:r>
              <w:rPr>
                <w:b/>
                <w:bCs/>
                <w:color w:val="000000"/>
                <w:sz w:val="20"/>
                <w:szCs w:val="20"/>
              </w:rPr>
              <w:t>Vienas ārstēšanas vidējās izmaksas</w:t>
            </w:r>
          </w:p>
        </w:tc>
        <w:tc>
          <w:tcPr>
            <w:tcW w:w="1038" w:type="dxa"/>
            <w:tcBorders>
              <w:top w:val="single" w:sz="4" w:space="0" w:color="auto"/>
              <w:left w:val="nil"/>
              <w:bottom w:val="single" w:sz="4" w:space="0" w:color="auto"/>
              <w:right w:val="single" w:sz="4" w:space="0" w:color="auto"/>
            </w:tcBorders>
            <w:shd w:val="clear" w:color="auto" w:fill="548DD4" w:themeFill="text2" w:themeFillTint="99"/>
            <w:textDirection w:val="btLr"/>
            <w:vAlign w:val="center"/>
            <w:hideMark/>
          </w:tcPr>
          <w:p w:rsidR="009E1154" w:rsidRDefault="00DD2228">
            <w:pPr>
              <w:jc w:val="center"/>
              <w:rPr>
                <w:b/>
                <w:bCs/>
                <w:color w:val="000000"/>
                <w:sz w:val="20"/>
                <w:szCs w:val="20"/>
              </w:rPr>
            </w:pPr>
            <w:r>
              <w:rPr>
                <w:b/>
                <w:bCs/>
                <w:color w:val="000000"/>
                <w:sz w:val="20"/>
                <w:szCs w:val="20"/>
              </w:rPr>
              <w:t>Plānotais finansējums (ar  finansējuma piešķīrumu)</w:t>
            </w:r>
          </w:p>
        </w:tc>
        <w:tc>
          <w:tcPr>
            <w:tcW w:w="1080" w:type="dxa"/>
            <w:tcBorders>
              <w:top w:val="single" w:sz="4" w:space="0" w:color="auto"/>
              <w:left w:val="nil"/>
              <w:bottom w:val="single" w:sz="4" w:space="0" w:color="auto"/>
              <w:right w:val="single" w:sz="4" w:space="0" w:color="auto"/>
            </w:tcBorders>
            <w:shd w:val="clear" w:color="auto" w:fill="548DD4" w:themeFill="text2" w:themeFillTint="99"/>
            <w:textDirection w:val="btLr"/>
            <w:vAlign w:val="center"/>
            <w:hideMark/>
          </w:tcPr>
          <w:p w:rsidR="009E1154" w:rsidRDefault="00DD2228">
            <w:pPr>
              <w:jc w:val="center"/>
              <w:rPr>
                <w:b/>
                <w:bCs/>
                <w:color w:val="000000"/>
                <w:sz w:val="20"/>
                <w:szCs w:val="20"/>
              </w:rPr>
            </w:pPr>
            <w:r>
              <w:rPr>
                <w:b/>
                <w:bCs/>
                <w:color w:val="000000"/>
                <w:sz w:val="20"/>
                <w:szCs w:val="20"/>
              </w:rPr>
              <w:t>Plānotais finansējums *</w:t>
            </w:r>
          </w:p>
        </w:tc>
        <w:tc>
          <w:tcPr>
            <w:tcW w:w="1073" w:type="dxa"/>
            <w:tcBorders>
              <w:top w:val="single" w:sz="4" w:space="0" w:color="auto"/>
              <w:left w:val="nil"/>
              <w:bottom w:val="single" w:sz="4" w:space="0" w:color="auto"/>
              <w:right w:val="single" w:sz="4" w:space="0" w:color="auto"/>
            </w:tcBorders>
            <w:shd w:val="clear" w:color="auto" w:fill="548DD4" w:themeFill="text2" w:themeFillTint="99"/>
            <w:textDirection w:val="btLr"/>
            <w:vAlign w:val="center"/>
            <w:hideMark/>
          </w:tcPr>
          <w:p w:rsidR="009E1154" w:rsidRDefault="00DD2228">
            <w:pPr>
              <w:jc w:val="center"/>
              <w:rPr>
                <w:b/>
                <w:bCs/>
                <w:color w:val="000000"/>
                <w:sz w:val="20"/>
                <w:szCs w:val="20"/>
              </w:rPr>
            </w:pPr>
            <w:r>
              <w:rPr>
                <w:b/>
                <w:bCs/>
                <w:color w:val="000000"/>
                <w:sz w:val="20"/>
                <w:szCs w:val="20"/>
              </w:rPr>
              <w:t>Papildus iespējamais finansējums</w:t>
            </w:r>
          </w:p>
        </w:tc>
        <w:tc>
          <w:tcPr>
            <w:tcW w:w="912" w:type="dxa"/>
            <w:tcBorders>
              <w:top w:val="single" w:sz="4" w:space="0" w:color="auto"/>
              <w:left w:val="nil"/>
              <w:bottom w:val="single" w:sz="4" w:space="0" w:color="auto"/>
              <w:right w:val="single" w:sz="4" w:space="0" w:color="auto"/>
            </w:tcBorders>
            <w:shd w:val="clear" w:color="auto" w:fill="548DD4" w:themeFill="text2" w:themeFillTint="99"/>
            <w:textDirection w:val="btLr"/>
            <w:vAlign w:val="center"/>
            <w:hideMark/>
          </w:tcPr>
          <w:p w:rsidR="009E1154" w:rsidRDefault="00DD2228">
            <w:pPr>
              <w:jc w:val="center"/>
              <w:rPr>
                <w:b/>
                <w:bCs/>
                <w:color w:val="000000"/>
                <w:sz w:val="20"/>
                <w:szCs w:val="20"/>
              </w:rPr>
            </w:pPr>
            <w:r>
              <w:rPr>
                <w:b/>
                <w:bCs/>
                <w:color w:val="000000"/>
                <w:sz w:val="20"/>
                <w:szCs w:val="20"/>
              </w:rPr>
              <w:t>Papildus iespējamais finansējums</w:t>
            </w:r>
          </w:p>
        </w:tc>
        <w:tc>
          <w:tcPr>
            <w:tcW w:w="992" w:type="dxa"/>
            <w:tcBorders>
              <w:top w:val="single" w:sz="4" w:space="0" w:color="auto"/>
              <w:left w:val="nil"/>
              <w:bottom w:val="single" w:sz="4" w:space="0" w:color="auto"/>
              <w:right w:val="single" w:sz="4" w:space="0" w:color="auto"/>
            </w:tcBorders>
            <w:shd w:val="clear" w:color="auto" w:fill="548DD4" w:themeFill="text2" w:themeFillTint="99"/>
            <w:textDirection w:val="btLr"/>
            <w:vAlign w:val="center"/>
            <w:hideMark/>
          </w:tcPr>
          <w:p w:rsidR="009E1154" w:rsidRDefault="00DD2228">
            <w:pPr>
              <w:jc w:val="center"/>
              <w:rPr>
                <w:b/>
                <w:bCs/>
                <w:color w:val="000000"/>
                <w:sz w:val="20"/>
                <w:szCs w:val="20"/>
              </w:rPr>
            </w:pPr>
            <w:r>
              <w:rPr>
                <w:b/>
                <w:bCs/>
                <w:color w:val="000000"/>
                <w:sz w:val="20"/>
                <w:szCs w:val="20"/>
              </w:rPr>
              <w:t>Plānotais pakalpojumu skaits ( ar  finansējuma piešķīrumu)</w:t>
            </w:r>
          </w:p>
        </w:tc>
        <w:tc>
          <w:tcPr>
            <w:tcW w:w="991" w:type="dxa"/>
            <w:tcBorders>
              <w:top w:val="single" w:sz="4" w:space="0" w:color="auto"/>
              <w:left w:val="nil"/>
              <w:bottom w:val="single" w:sz="4" w:space="0" w:color="auto"/>
              <w:right w:val="single" w:sz="4" w:space="0" w:color="auto"/>
            </w:tcBorders>
            <w:shd w:val="clear" w:color="auto" w:fill="548DD4" w:themeFill="text2" w:themeFillTint="99"/>
            <w:textDirection w:val="btLr"/>
            <w:vAlign w:val="center"/>
            <w:hideMark/>
          </w:tcPr>
          <w:p w:rsidR="009E1154" w:rsidRDefault="00DD2228">
            <w:pPr>
              <w:jc w:val="center"/>
              <w:rPr>
                <w:b/>
                <w:bCs/>
                <w:color w:val="000000"/>
                <w:sz w:val="20"/>
                <w:szCs w:val="20"/>
              </w:rPr>
            </w:pPr>
            <w:r>
              <w:rPr>
                <w:b/>
                <w:bCs/>
                <w:color w:val="000000"/>
                <w:sz w:val="20"/>
                <w:szCs w:val="20"/>
              </w:rPr>
              <w:t>Plānotais pakalpojumu skaits *</w:t>
            </w:r>
          </w:p>
        </w:tc>
        <w:tc>
          <w:tcPr>
            <w:tcW w:w="994" w:type="dxa"/>
            <w:tcBorders>
              <w:top w:val="single" w:sz="4" w:space="0" w:color="auto"/>
              <w:left w:val="nil"/>
              <w:bottom w:val="single" w:sz="4" w:space="0" w:color="auto"/>
              <w:right w:val="single" w:sz="4" w:space="0" w:color="auto"/>
            </w:tcBorders>
            <w:shd w:val="clear" w:color="auto" w:fill="548DD4" w:themeFill="text2" w:themeFillTint="99"/>
            <w:textDirection w:val="btLr"/>
            <w:vAlign w:val="center"/>
            <w:hideMark/>
          </w:tcPr>
          <w:p w:rsidR="009E1154" w:rsidRDefault="00DD2228">
            <w:pPr>
              <w:jc w:val="center"/>
              <w:rPr>
                <w:b/>
                <w:bCs/>
                <w:color w:val="000000"/>
                <w:sz w:val="20"/>
                <w:szCs w:val="20"/>
              </w:rPr>
            </w:pPr>
            <w:r>
              <w:rPr>
                <w:b/>
                <w:bCs/>
                <w:color w:val="000000"/>
                <w:sz w:val="20"/>
                <w:szCs w:val="20"/>
              </w:rPr>
              <w:t>Plānotais pakalpojumu skaits ar papildus iespējamā finansējuma  piešķīrumu</w:t>
            </w:r>
          </w:p>
        </w:tc>
        <w:tc>
          <w:tcPr>
            <w:tcW w:w="992" w:type="dxa"/>
            <w:gridSpan w:val="2"/>
            <w:tcBorders>
              <w:top w:val="single" w:sz="4" w:space="0" w:color="auto"/>
              <w:left w:val="nil"/>
              <w:bottom w:val="single" w:sz="4" w:space="0" w:color="auto"/>
              <w:right w:val="single" w:sz="4" w:space="0" w:color="auto"/>
            </w:tcBorders>
            <w:shd w:val="clear" w:color="auto" w:fill="548DD4" w:themeFill="text2" w:themeFillTint="99"/>
            <w:textDirection w:val="btLr"/>
            <w:vAlign w:val="center"/>
            <w:hideMark/>
          </w:tcPr>
          <w:p w:rsidR="009E1154" w:rsidRDefault="00DD2228">
            <w:pPr>
              <w:jc w:val="center"/>
              <w:rPr>
                <w:b/>
                <w:bCs/>
                <w:color w:val="000000"/>
                <w:sz w:val="20"/>
                <w:szCs w:val="20"/>
              </w:rPr>
            </w:pPr>
            <w:r>
              <w:rPr>
                <w:b/>
                <w:bCs/>
                <w:color w:val="000000"/>
                <w:sz w:val="20"/>
                <w:szCs w:val="20"/>
              </w:rPr>
              <w:t>Plānotais pakalpojumu skaits ar papildus iespējamā finansējuma  piešķīrumu</w:t>
            </w:r>
          </w:p>
        </w:tc>
      </w:tr>
      <w:tr w:rsidR="0014269D" w:rsidTr="00D1191F">
        <w:trPr>
          <w:gridAfter w:val="1"/>
          <w:wAfter w:w="28" w:type="dxa"/>
          <w:trHeight w:val="540"/>
        </w:trPr>
        <w:tc>
          <w:tcPr>
            <w:tcW w:w="45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E1154" w:rsidRPr="00590242" w:rsidRDefault="00DD2228">
            <w:pPr>
              <w:jc w:val="center"/>
              <w:rPr>
                <w:b/>
                <w:bCs/>
                <w:color w:val="000000"/>
                <w:sz w:val="16"/>
                <w:szCs w:val="16"/>
              </w:rPr>
            </w:pPr>
            <w:r w:rsidRPr="00590242">
              <w:rPr>
                <w:b/>
                <w:bCs/>
                <w:color w:val="000000"/>
                <w:sz w:val="16"/>
                <w:szCs w:val="16"/>
              </w:rPr>
              <w:t> </w:t>
            </w:r>
          </w:p>
        </w:tc>
        <w:tc>
          <w:tcPr>
            <w:tcW w:w="68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E1154" w:rsidRDefault="00DD2228">
            <w:pPr>
              <w:jc w:val="center"/>
              <w:rPr>
                <w:b/>
                <w:bCs/>
                <w:color w:val="000000"/>
                <w:sz w:val="20"/>
                <w:szCs w:val="20"/>
              </w:rPr>
            </w:pPr>
            <w:r>
              <w:rPr>
                <w:b/>
                <w:bCs/>
                <w:color w:val="000000"/>
                <w:sz w:val="20"/>
                <w:szCs w:val="20"/>
              </w:rPr>
              <w:t> </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Default="00DD2228">
            <w:pPr>
              <w:jc w:val="center"/>
              <w:rPr>
                <w:i/>
                <w:iCs/>
                <w:color w:val="000000"/>
                <w:sz w:val="20"/>
                <w:szCs w:val="20"/>
              </w:rPr>
            </w:pPr>
            <w:r>
              <w:rPr>
                <w:i/>
                <w:iCs/>
                <w:color w:val="000000"/>
                <w:sz w:val="20"/>
                <w:szCs w:val="20"/>
              </w:rPr>
              <w:t> </w:t>
            </w:r>
          </w:p>
        </w:tc>
        <w:tc>
          <w:tcPr>
            <w:tcW w:w="1038"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Default="00DD2228">
            <w:pPr>
              <w:jc w:val="center"/>
              <w:rPr>
                <w:b/>
                <w:bCs/>
                <w:color w:val="000000"/>
                <w:sz w:val="20"/>
                <w:szCs w:val="20"/>
              </w:rPr>
            </w:pPr>
            <w:r>
              <w:rPr>
                <w:b/>
                <w:bCs/>
                <w:color w:val="000000"/>
                <w:sz w:val="20"/>
                <w:szCs w:val="20"/>
              </w:rPr>
              <w:t>2017 un 2018</w:t>
            </w:r>
          </w:p>
        </w:tc>
        <w:tc>
          <w:tcPr>
            <w:tcW w:w="1080"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Default="00DD2228">
            <w:pPr>
              <w:jc w:val="center"/>
              <w:rPr>
                <w:b/>
                <w:bCs/>
                <w:color w:val="000000"/>
                <w:sz w:val="20"/>
                <w:szCs w:val="20"/>
              </w:rPr>
            </w:pPr>
            <w:r>
              <w:rPr>
                <w:b/>
                <w:bCs/>
                <w:color w:val="000000"/>
                <w:sz w:val="20"/>
                <w:szCs w:val="20"/>
              </w:rPr>
              <w:t>2019</w:t>
            </w:r>
          </w:p>
        </w:tc>
        <w:tc>
          <w:tcPr>
            <w:tcW w:w="1073"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Default="00DD2228">
            <w:pPr>
              <w:jc w:val="center"/>
              <w:rPr>
                <w:b/>
                <w:bCs/>
                <w:i/>
                <w:iCs/>
                <w:color w:val="000000"/>
                <w:sz w:val="20"/>
                <w:szCs w:val="20"/>
              </w:rPr>
            </w:pPr>
            <w:r>
              <w:rPr>
                <w:b/>
                <w:bCs/>
                <w:i/>
                <w:iCs/>
                <w:color w:val="000000"/>
                <w:sz w:val="20"/>
                <w:szCs w:val="20"/>
              </w:rPr>
              <w:t xml:space="preserve">2017 un 2018 </w:t>
            </w:r>
          </w:p>
        </w:tc>
        <w:tc>
          <w:tcPr>
            <w:tcW w:w="912"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Default="00DD2228">
            <w:pPr>
              <w:jc w:val="center"/>
              <w:rPr>
                <w:b/>
                <w:bCs/>
                <w:i/>
                <w:iCs/>
                <w:color w:val="000000"/>
                <w:sz w:val="20"/>
                <w:szCs w:val="20"/>
              </w:rPr>
            </w:pPr>
            <w:r>
              <w:rPr>
                <w:b/>
                <w:bCs/>
                <w:i/>
                <w:iCs/>
                <w:color w:val="000000"/>
                <w:sz w:val="20"/>
                <w:szCs w:val="20"/>
              </w:rPr>
              <w:t>2019</w:t>
            </w:r>
          </w:p>
        </w:tc>
        <w:tc>
          <w:tcPr>
            <w:tcW w:w="99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E1154" w:rsidRDefault="00DD2228">
            <w:pPr>
              <w:jc w:val="center"/>
              <w:rPr>
                <w:b/>
                <w:bCs/>
                <w:color w:val="000000"/>
                <w:sz w:val="20"/>
                <w:szCs w:val="20"/>
              </w:rPr>
            </w:pPr>
            <w:r>
              <w:rPr>
                <w:b/>
                <w:bCs/>
                <w:color w:val="000000"/>
                <w:sz w:val="20"/>
                <w:szCs w:val="20"/>
              </w:rPr>
              <w:t>2017 un 2018</w:t>
            </w:r>
          </w:p>
        </w:tc>
        <w:tc>
          <w:tcPr>
            <w:tcW w:w="99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E1154" w:rsidRDefault="00DD2228">
            <w:pPr>
              <w:jc w:val="center"/>
              <w:rPr>
                <w:b/>
                <w:bCs/>
                <w:color w:val="000000"/>
                <w:sz w:val="20"/>
                <w:szCs w:val="20"/>
              </w:rPr>
            </w:pPr>
            <w:r>
              <w:rPr>
                <w:b/>
                <w:bCs/>
                <w:color w:val="000000"/>
                <w:sz w:val="20"/>
                <w:szCs w:val="20"/>
              </w:rPr>
              <w:t>2019</w:t>
            </w:r>
          </w:p>
        </w:tc>
        <w:tc>
          <w:tcPr>
            <w:tcW w:w="99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E1154" w:rsidRDefault="00DD2228">
            <w:pPr>
              <w:jc w:val="center"/>
              <w:rPr>
                <w:b/>
                <w:bCs/>
                <w:color w:val="000000"/>
                <w:sz w:val="20"/>
                <w:szCs w:val="20"/>
              </w:rPr>
            </w:pPr>
            <w:r>
              <w:rPr>
                <w:b/>
                <w:bCs/>
                <w:color w:val="000000"/>
                <w:sz w:val="20"/>
                <w:szCs w:val="20"/>
              </w:rPr>
              <w:t>2017 un 2018</w:t>
            </w:r>
          </w:p>
        </w:tc>
        <w:tc>
          <w:tcPr>
            <w:tcW w:w="992"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E1154" w:rsidRDefault="00DD2228">
            <w:pPr>
              <w:jc w:val="center"/>
              <w:rPr>
                <w:b/>
                <w:bCs/>
                <w:color w:val="000000"/>
                <w:sz w:val="20"/>
                <w:szCs w:val="20"/>
              </w:rPr>
            </w:pPr>
            <w:r>
              <w:rPr>
                <w:b/>
                <w:bCs/>
                <w:color w:val="000000"/>
                <w:sz w:val="20"/>
                <w:szCs w:val="20"/>
              </w:rPr>
              <w:t>2019</w:t>
            </w:r>
          </w:p>
        </w:tc>
      </w:tr>
      <w:tr w:rsidR="0014269D" w:rsidTr="00D1191F">
        <w:trPr>
          <w:gridAfter w:val="1"/>
          <w:wAfter w:w="28" w:type="dxa"/>
          <w:trHeight w:val="300"/>
        </w:trPr>
        <w:tc>
          <w:tcPr>
            <w:tcW w:w="457" w:type="dxa"/>
            <w:vMerge/>
            <w:tcBorders>
              <w:top w:val="nil"/>
              <w:left w:val="single" w:sz="4" w:space="0" w:color="auto"/>
              <w:bottom w:val="single" w:sz="4" w:space="0" w:color="auto"/>
              <w:right w:val="single" w:sz="4" w:space="0" w:color="auto"/>
            </w:tcBorders>
            <w:vAlign w:val="center"/>
            <w:hideMark/>
          </w:tcPr>
          <w:p w:rsidR="009E1154" w:rsidRPr="00590242" w:rsidRDefault="009E1154">
            <w:pPr>
              <w:rPr>
                <w:b/>
                <w:bCs/>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9E1154" w:rsidRDefault="009E1154">
            <w:pPr>
              <w:rPr>
                <w:b/>
                <w:bCs/>
                <w:color w:val="000000"/>
                <w:sz w:val="20"/>
                <w:szCs w:val="20"/>
              </w:rPr>
            </w:pP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Pr="00590242" w:rsidRDefault="00DD2228">
            <w:pPr>
              <w:jc w:val="center"/>
              <w:rPr>
                <w:i/>
                <w:iCs/>
                <w:color w:val="000000"/>
                <w:sz w:val="16"/>
                <w:szCs w:val="16"/>
              </w:rPr>
            </w:pPr>
            <w:r w:rsidRPr="00590242">
              <w:rPr>
                <w:i/>
                <w:iCs/>
                <w:color w:val="000000"/>
                <w:sz w:val="16"/>
                <w:szCs w:val="16"/>
              </w:rPr>
              <w:t>(</w:t>
            </w:r>
            <w:proofErr w:type="spellStart"/>
            <w:r w:rsidRPr="00590242">
              <w:rPr>
                <w:i/>
                <w:iCs/>
                <w:color w:val="000000"/>
                <w:sz w:val="16"/>
                <w:szCs w:val="16"/>
              </w:rPr>
              <w:t>euro</w:t>
            </w:r>
            <w:proofErr w:type="spellEnd"/>
            <w:r w:rsidRPr="00590242">
              <w:rPr>
                <w:i/>
                <w:iCs/>
                <w:color w:val="000000"/>
                <w:sz w:val="16"/>
                <w:szCs w:val="16"/>
              </w:rPr>
              <w:t>)</w:t>
            </w:r>
          </w:p>
        </w:tc>
        <w:tc>
          <w:tcPr>
            <w:tcW w:w="1038"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Default="00DD2228">
            <w:pPr>
              <w:jc w:val="center"/>
              <w:rPr>
                <w:i/>
                <w:iCs/>
                <w:color w:val="000000"/>
                <w:sz w:val="20"/>
                <w:szCs w:val="20"/>
              </w:rPr>
            </w:pPr>
            <w:r>
              <w:rPr>
                <w:i/>
                <w:iCs/>
                <w:color w:val="000000"/>
                <w:sz w:val="20"/>
                <w:szCs w:val="20"/>
              </w:rPr>
              <w:t>(</w:t>
            </w:r>
            <w:proofErr w:type="spellStart"/>
            <w:r>
              <w:rPr>
                <w:i/>
                <w:iCs/>
                <w:color w:val="000000"/>
                <w:sz w:val="20"/>
                <w:szCs w:val="20"/>
              </w:rPr>
              <w:t>euro</w:t>
            </w:r>
            <w:proofErr w:type="spellEnd"/>
            <w:r>
              <w:rPr>
                <w:i/>
                <w:iCs/>
                <w:color w:val="000000"/>
                <w:sz w:val="20"/>
                <w:szCs w:val="20"/>
              </w:rPr>
              <w:t>)</w:t>
            </w:r>
          </w:p>
        </w:tc>
        <w:tc>
          <w:tcPr>
            <w:tcW w:w="1080"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Default="00DD2228">
            <w:pPr>
              <w:jc w:val="center"/>
              <w:rPr>
                <w:i/>
                <w:iCs/>
                <w:color w:val="000000"/>
                <w:sz w:val="20"/>
                <w:szCs w:val="20"/>
              </w:rPr>
            </w:pPr>
            <w:r>
              <w:rPr>
                <w:i/>
                <w:iCs/>
                <w:color w:val="000000"/>
                <w:sz w:val="20"/>
                <w:szCs w:val="20"/>
              </w:rPr>
              <w:t>(</w:t>
            </w:r>
            <w:proofErr w:type="spellStart"/>
            <w:r>
              <w:rPr>
                <w:i/>
                <w:iCs/>
                <w:color w:val="000000"/>
                <w:sz w:val="20"/>
                <w:szCs w:val="20"/>
              </w:rPr>
              <w:t>euro</w:t>
            </w:r>
            <w:proofErr w:type="spellEnd"/>
            <w:r>
              <w:rPr>
                <w:i/>
                <w:iCs/>
                <w:color w:val="000000"/>
                <w:sz w:val="20"/>
                <w:szCs w:val="20"/>
              </w:rPr>
              <w:t>)</w:t>
            </w:r>
          </w:p>
        </w:tc>
        <w:tc>
          <w:tcPr>
            <w:tcW w:w="1073"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Default="00DD2228">
            <w:pPr>
              <w:jc w:val="center"/>
              <w:rPr>
                <w:i/>
                <w:iCs/>
                <w:color w:val="000000"/>
                <w:sz w:val="20"/>
                <w:szCs w:val="20"/>
              </w:rPr>
            </w:pPr>
            <w:r>
              <w:rPr>
                <w:i/>
                <w:iCs/>
                <w:color w:val="000000"/>
                <w:sz w:val="20"/>
                <w:szCs w:val="20"/>
              </w:rPr>
              <w:t>(</w:t>
            </w:r>
            <w:proofErr w:type="spellStart"/>
            <w:r>
              <w:rPr>
                <w:i/>
                <w:iCs/>
                <w:color w:val="000000"/>
                <w:sz w:val="20"/>
                <w:szCs w:val="20"/>
              </w:rPr>
              <w:t>euro</w:t>
            </w:r>
            <w:proofErr w:type="spellEnd"/>
            <w:r>
              <w:rPr>
                <w:i/>
                <w:iCs/>
                <w:color w:val="000000"/>
                <w:sz w:val="20"/>
                <w:szCs w:val="20"/>
              </w:rPr>
              <w:t>)</w:t>
            </w:r>
          </w:p>
        </w:tc>
        <w:tc>
          <w:tcPr>
            <w:tcW w:w="912"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Default="00DD2228">
            <w:pPr>
              <w:jc w:val="center"/>
              <w:rPr>
                <w:i/>
                <w:iCs/>
                <w:color w:val="000000"/>
                <w:sz w:val="20"/>
                <w:szCs w:val="20"/>
              </w:rPr>
            </w:pPr>
            <w:r>
              <w:rPr>
                <w:i/>
                <w:iCs/>
                <w:color w:val="000000"/>
                <w:sz w:val="20"/>
                <w:szCs w:val="20"/>
              </w:rPr>
              <w:t>(</w:t>
            </w:r>
            <w:proofErr w:type="spellStart"/>
            <w:r>
              <w:rPr>
                <w:i/>
                <w:iCs/>
                <w:color w:val="000000"/>
                <w:sz w:val="20"/>
                <w:szCs w:val="20"/>
              </w:rPr>
              <w:t>euro</w:t>
            </w:r>
            <w:proofErr w:type="spellEnd"/>
            <w:r>
              <w:rPr>
                <w:i/>
                <w:iCs/>
                <w:color w:val="000000"/>
                <w:sz w:val="20"/>
                <w:szCs w:val="20"/>
              </w:rPr>
              <w:t>)</w:t>
            </w:r>
          </w:p>
        </w:tc>
        <w:tc>
          <w:tcPr>
            <w:tcW w:w="99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E1154" w:rsidRDefault="009E1154">
            <w:pPr>
              <w:rPr>
                <w:b/>
                <w:bCs/>
                <w:color w:val="000000"/>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9E1154" w:rsidRDefault="009E1154">
            <w:pPr>
              <w:rPr>
                <w:b/>
                <w:bCs/>
                <w:color w:val="000000"/>
                <w:sz w:val="20"/>
                <w:szCs w:val="20"/>
              </w:rPr>
            </w:pPr>
          </w:p>
        </w:tc>
        <w:tc>
          <w:tcPr>
            <w:tcW w:w="994" w:type="dxa"/>
            <w:vMerge/>
            <w:tcBorders>
              <w:top w:val="nil"/>
              <w:left w:val="single" w:sz="4" w:space="0" w:color="auto"/>
              <w:bottom w:val="single" w:sz="4" w:space="0" w:color="auto"/>
              <w:right w:val="single" w:sz="4" w:space="0" w:color="auto"/>
            </w:tcBorders>
            <w:vAlign w:val="center"/>
            <w:hideMark/>
          </w:tcPr>
          <w:p w:rsidR="009E1154" w:rsidRDefault="009E1154">
            <w:pPr>
              <w:rPr>
                <w:b/>
                <w:bCs/>
                <w:color w:val="000000"/>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9E1154" w:rsidRDefault="009E1154">
            <w:pPr>
              <w:rPr>
                <w:b/>
                <w:bCs/>
                <w:color w:val="000000"/>
                <w:sz w:val="20"/>
                <w:szCs w:val="20"/>
              </w:rPr>
            </w:pPr>
          </w:p>
        </w:tc>
      </w:tr>
      <w:tr w:rsidR="0014269D" w:rsidTr="00D1191F">
        <w:trPr>
          <w:gridAfter w:val="1"/>
          <w:wAfter w:w="28"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6"/>
                <w:szCs w:val="16"/>
              </w:rPr>
            </w:pPr>
            <w:r w:rsidRPr="00590242">
              <w:rPr>
                <w:color w:val="000000"/>
                <w:sz w:val="16"/>
                <w:szCs w:val="16"/>
              </w:rPr>
              <w:t>1</w:t>
            </w:r>
          </w:p>
        </w:tc>
        <w:tc>
          <w:tcPr>
            <w:tcW w:w="683" w:type="dxa"/>
            <w:tcBorders>
              <w:top w:val="nil"/>
              <w:left w:val="nil"/>
              <w:bottom w:val="single" w:sz="4" w:space="0" w:color="auto"/>
              <w:right w:val="single" w:sz="4" w:space="0" w:color="auto"/>
            </w:tcBorders>
            <w:shd w:val="clear" w:color="auto" w:fill="auto"/>
            <w:vAlign w:val="center"/>
            <w:hideMark/>
          </w:tcPr>
          <w:p w:rsidR="009E1154" w:rsidRDefault="00DD2228" w:rsidP="008B6079">
            <w:pPr>
              <w:spacing w:after="240"/>
              <w:rPr>
                <w:color w:val="000000"/>
                <w:sz w:val="20"/>
                <w:szCs w:val="20"/>
              </w:rPr>
            </w:pPr>
            <w:r>
              <w:rPr>
                <w:color w:val="000000"/>
                <w:sz w:val="20"/>
                <w:szCs w:val="20"/>
              </w:rPr>
              <w:t>SK</w:t>
            </w:r>
          </w:p>
        </w:tc>
        <w:tc>
          <w:tcPr>
            <w:tcW w:w="711"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8"/>
                <w:szCs w:val="18"/>
              </w:rPr>
            </w:pPr>
            <w:r w:rsidRPr="00590242">
              <w:rPr>
                <w:color w:val="000000"/>
                <w:sz w:val="18"/>
                <w:szCs w:val="18"/>
              </w:rPr>
              <w:t>12.53</w:t>
            </w:r>
          </w:p>
        </w:tc>
        <w:tc>
          <w:tcPr>
            <w:tcW w:w="1038"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8"/>
                <w:szCs w:val="18"/>
              </w:rPr>
            </w:pPr>
            <w:r w:rsidRPr="00590242">
              <w:rPr>
                <w:color w:val="000000"/>
                <w:sz w:val="18"/>
                <w:szCs w:val="18"/>
              </w:rPr>
              <w:t>31 491 141</w:t>
            </w:r>
          </w:p>
        </w:tc>
        <w:tc>
          <w:tcPr>
            <w:tcW w:w="1080"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34 030 784</w:t>
            </w:r>
          </w:p>
        </w:tc>
        <w:tc>
          <w:tcPr>
            <w:tcW w:w="1073"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3 512 184</w:t>
            </w:r>
          </w:p>
        </w:tc>
        <w:tc>
          <w:tcPr>
            <w:tcW w:w="912"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972</w:t>
            </w:r>
            <w:r w:rsidR="008B6079">
              <w:rPr>
                <w:sz w:val="18"/>
                <w:szCs w:val="18"/>
              </w:rPr>
              <w:t> </w:t>
            </w:r>
            <w:r w:rsidRPr="00590242">
              <w:rPr>
                <w:sz w:val="18"/>
                <w:szCs w:val="18"/>
              </w:rPr>
              <w:t>554</w:t>
            </w:r>
          </w:p>
        </w:tc>
        <w:tc>
          <w:tcPr>
            <w:tcW w:w="992"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sz w:val="18"/>
                <w:szCs w:val="18"/>
              </w:rPr>
            </w:pPr>
            <w:r w:rsidRPr="00590242">
              <w:rPr>
                <w:sz w:val="18"/>
                <w:szCs w:val="18"/>
              </w:rPr>
              <w:t>2 513 259</w:t>
            </w:r>
          </w:p>
        </w:tc>
        <w:tc>
          <w:tcPr>
            <w:tcW w:w="991" w:type="dxa"/>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rPr>
                <w:color w:val="000000"/>
                <w:sz w:val="18"/>
                <w:szCs w:val="18"/>
              </w:rPr>
            </w:pPr>
            <w:r w:rsidRPr="00590242">
              <w:rPr>
                <w:color w:val="000000"/>
                <w:sz w:val="18"/>
                <w:szCs w:val="18"/>
              </w:rPr>
              <w:t>2 715 943</w:t>
            </w:r>
          </w:p>
        </w:tc>
        <w:tc>
          <w:tcPr>
            <w:tcW w:w="994" w:type="dxa"/>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jc w:val="center"/>
              <w:rPr>
                <w:color w:val="000000"/>
                <w:sz w:val="18"/>
                <w:szCs w:val="18"/>
              </w:rPr>
            </w:pPr>
            <w:r w:rsidRPr="00590242">
              <w:rPr>
                <w:color w:val="000000"/>
                <w:sz w:val="18"/>
                <w:szCs w:val="18"/>
              </w:rPr>
              <w:t>2 793 561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jc w:val="center"/>
              <w:rPr>
                <w:color w:val="000000"/>
                <w:sz w:val="18"/>
                <w:szCs w:val="18"/>
              </w:rPr>
            </w:pPr>
            <w:r w:rsidRPr="00590242">
              <w:rPr>
                <w:color w:val="000000"/>
                <w:sz w:val="18"/>
                <w:szCs w:val="18"/>
              </w:rPr>
              <w:t>2 793 561</w:t>
            </w:r>
          </w:p>
        </w:tc>
      </w:tr>
      <w:tr w:rsidR="0014269D" w:rsidTr="00D1191F">
        <w:trPr>
          <w:gridAfter w:val="1"/>
          <w:wAfter w:w="28" w:type="dxa"/>
          <w:trHeight w:val="51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6"/>
                <w:szCs w:val="16"/>
              </w:rPr>
            </w:pPr>
            <w:r w:rsidRPr="00590242">
              <w:rPr>
                <w:color w:val="000000"/>
                <w:sz w:val="16"/>
                <w:szCs w:val="16"/>
              </w:rPr>
              <w:t>2</w:t>
            </w:r>
          </w:p>
        </w:tc>
        <w:tc>
          <w:tcPr>
            <w:tcW w:w="683" w:type="dxa"/>
            <w:tcBorders>
              <w:top w:val="nil"/>
              <w:left w:val="nil"/>
              <w:bottom w:val="single" w:sz="4" w:space="0" w:color="auto"/>
              <w:right w:val="single" w:sz="4" w:space="0" w:color="auto"/>
            </w:tcBorders>
            <w:shd w:val="clear" w:color="auto" w:fill="auto"/>
            <w:vAlign w:val="center"/>
            <w:hideMark/>
          </w:tcPr>
          <w:p w:rsidR="009E1154" w:rsidRDefault="00DD2228" w:rsidP="008B6079">
            <w:pPr>
              <w:spacing w:after="240"/>
              <w:rPr>
                <w:color w:val="000000"/>
                <w:sz w:val="20"/>
                <w:szCs w:val="20"/>
              </w:rPr>
            </w:pPr>
            <w:r>
              <w:rPr>
                <w:color w:val="000000"/>
                <w:sz w:val="20"/>
                <w:szCs w:val="20"/>
              </w:rPr>
              <w:t>AIT</w:t>
            </w:r>
          </w:p>
        </w:tc>
        <w:tc>
          <w:tcPr>
            <w:tcW w:w="711"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8"/>
                <w:szCs w:val="18"/>
              </w:rPr>
            </w:pPr>
            <w:r w:rsidRPr="00590242">
              <w:rPr>
                <w:color w:val="000000"/>
                <w:sz w:val="18"/>
                <w:szCs w:val="18"/>
              </w:rPr>
              <w:t>22.987</w:t>
            </w:r>
          </w:p>
        </w:tc>
        <w:tc>
          <w:tcPr>
            <w:tcW w:w="1038"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8"/>
                <w:szCs w:val="18"/>
              </w:rPr>
            </w:pPr>
            <w:r w:rsidRPr="00590242">
              <w:rPr>
                <w:color w:val="000000"/>
                <w:sz w:val="18"/>
                <w:szCs w:val="18"/>
              </w:rPr>
              <w:t>49 946 508</w:t>
            </w:r>
          </w:p>
        </w:tc>
        <w:tc>
          <w:tcPr>
            <w:tcW w:w="1080"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55 602 626</w:t>
            </w:r>
          </w:p>
        </w:tc>
        <w:tc>
          <w:tcPr>
            <w:tcW w:w="1073"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6 610 762</w:t>
            </w:r>
          </w:p>
        </w:tc>
        <w:tc>
          <w:tcPr>
            <w:tcW w:w="912"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954 650</w:t>
            </w:r>
          </w:p>
        </w:tc>
        <w:tc>
          <w:tcPr>
            <w:tcW w:w="992"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sz w:val="18"/>
                <w:szCs w:val="18"/>
              </w:rPr>
            </w:pPr>
            <w:r w:rsidRPr="00590242">
              <w:rPr>
                <w:sz w:val="18"/>
                <w:szCs w:val="18"/>
              </w:rPr>
              <w:t>2 172 815</w:t>
            </w:r>
          </w:p>
        </w:tc>
        <w:tc>
          <w:tcPr>
            <w:tcW w:w="991" w:type="dxa"/>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rPr>
                <w:color w:val="000000"/>
                <w:sz w:val="18"/>
                <w:szCs w:val="18"/>
              </w:rPr>
            </w:pPr>
            <w:r w:rsidRPr="00590242">
              <w:rPr>
                <w:color w:val="000000"/>
                <w:sz w:val="18"/>
                <w:szCs w:val="18"/>
              </w:rPr>
              <w:t>2 418 872</w:t>
            </w:r>
          </w:p>
        </w:tc>
        <w:tc>
          <w:tcPr>
            <w:tcW w:w="994" w:type="dxa"/>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jc w:val="center"/>
              <w:rPr>
                <w:color w:val="000000"/>
                <w:sz w:val="18"/>
                <w:szCs w:val="18"/>
              </w:rPr>
            </w:pPr>
            <w:r w:rsidRPr="00590242">
              <w:rPr>
                <w:color w:val="000000"/>
                <w:sz w:val="18"/>
                <w:szCs w:val="18"/>
              </w:rPr>
              <w:t>2 460 402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jc w:val="center"/>
              <w:rPr>
                <w:color w:val="000000"/>
                <w:sz w:val="18"/>
                <w:szCs w:val="18"/>
              </w:rPr>
            </w:pPr>
            <w:r w:rsidRPr="00590242">
              <w:rPr>
                <w:color w:val="000000"/>
                <w:sz w:val="18"/>
                <w:szCs w:val="18"/>
              </w:rPr>
              <w:t>2 460 402</w:t>
            </w:r>
          </w:p>
        </w:tc>
      </w:tr>
      <w:tr w:rsidR="0014269D" w:rsidTr="00D1191F">
        <w:trPr>
          <w:gridAfter w:val="1"/>
          <w:wAfter w:w="28" w:type="dxa"/>
          <w:trHeight w:val="51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6"/>
                <w:szCs w:val="16"/>
              </w:rPr>
            </w:pPr>
            <w:r w:rsidRPr="00590242">
              <w:rPr>
                <w:color w:val="000000"/>
                <w:sz w:val="16"/>
                <w:szCs w:val="16"/>
              </w:rPr>
              <w:t>3</w:t>
            </w:r>
          </w:p>
        </w:tc>
        <w:tc>
          <w:tcPr>
            <w:tcW w:w="683" w:type="dxa"/>
            <w:tcBorders>
              <w:top w:val="nil"/>
              <w:left w:val="nil"/>
              <w:bottom w:val="single" w:sz="4" w:space="0" w:color="auto"/>
              <w:right w:val="single" w:sz="4" w:space="0" w:color="auto"/>
            </w:tcBorders>
            <w:shd w:val="clear" w:color="auto" w:fill="auto"/>
            <w:vAlign w:val="center"/>
            <w:hideMark/>
          </w:tcPr>
          <w:p w:rsidR="009E1154" w:rsidRDefault="00DD2228" w:rsidP="008B6079">
            <w:pPr>
              <w:spacing w:after="240"/>
              <w:rPr>
                <w:color w:val="000000"/>
                <w:sz w:val="20"/>
                <w:szCs w:val="20"/>
              </w:rPr>
            </w:pPr>
            <w:r>
              <w:rPr>
                <w:color w:val="000000"/>
                <w:sz w:val="20"/>
                <w:szCs w:val="20"/>
              </w:rPr>
              <w:t>DSP</w:t>
            </w:r>
          </w:p>
        </w:tc>
        <w:tc>
          <w:tcPr>
            <w:tcW w:w="711"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8"/>
                <w:szCs w:val="18"/>
              </w:rPr>
            </w:pPr>
            <w:r w:rsidRPr="00590242">
              <w:rPr>
                <w:color w:val="000000"/>
                <w:sz w:val="18"/>
                <w:szCs w:val="18"/>
              </w:rPr>
              <w:t>82.648</w:t>
            </w:r>
          </w:p>
        </w:tc>
        <w:tc>
          <w:tcPr>
            <w:tcW w:w="1038"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8"/>
                <w:szCs w:val="18"/>
              </w:rPr>
            </w:pPr>
            <w:r w:rsidRPr="00590242">
              <w:rPr>
                <w:color w:val="000000"/>
                <w:sz w:val="18"/>
                <w:szCs w:val="18"/>
              </w:rPr>
              <w:t>44 840 266</w:t>
            </w:r>
          </w:p>
        </w:tc>
        <w:tc>
          <w:tcPr>
            <w:tcW w:w="1080"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48 712 635</w:t>
            </w:r>
          </w:p>
        </w:tc>
        <w:tc>
          <w:tcPr>
            <w:tcW w:w="1073"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4 228 933</w:t>
            </w:r>
          </w:p>
        </w:tc>
        <w:tc>
          <w:tcPr>
            <w:tcW w:w="912"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356 626</w:t>
            </w:r>
          </w:p>
        </w:tc>
        <w:tc>
          <w:tcPr>
            <w:tcW w:w="992"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sz w:val="18"/>
                <w:szCs w:val="18"/>
              </w:rPr>
            </w:pPr>
            <w:r w:rsidRPr="00590242">
              <w:rPr>
                <w:sz w:val="18"/>
                <w:szCs w:val="18"/>
              </w:rPr>
              <w:t>542 545</w:t>
            </w:r>
          </w:p>
        </w:tc>
        <w:tc>
          <w:tcPr>
            <w:tcW w:w="991" w:type="dxa"/>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rPr>
                <w:color w:val="000000"/>
                <w:sz w:val="18"/>
                <w:szCs w:val="18"/>
              </w:rPr>
            </w:pPr>
            <w:r w:rsidRPr="00590242">
              <w:rPr>
                <w:color w:val="000000"/>
                <w:sz w:val="18"/>
                <w:szCs w:val="18"/>
              </w:rPr>
              <w:t>589 398</w:t>
            </w:r>
          </w:p>
        </w:tc>
        <w:tc>
          <w:tcPr>
            <w:tcW w:w="994" w:type="dxa"/>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jc w:val="center"/>
              <w:rPr>
                <w:color w:val="000000"/>
                <w:sz w:val="18"/>
                <w:szCs w:val="18"/>
              </w:rPr>
            </w:pPr>
            <w:r w:rsidRPr="00590242">
              <w:rPr>
                <w:color w:val="000000"/>
                <w:sz w:val="18"/>
                <w:szCs w:val="18"/>
              </w:rPr>
              <w:t>593 713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jc w:val="center"/>
              <w:rPr>
                <w:color w:val="000000"/>
                <w:sz w:val="18"/>
                <w:szCs w:val="18"/>
              </w:rPr>
            </w:pPr>
            <w:r w:rsidRPr="00590242">
              <w:rPr>
                <w:color w:val="000000"/>
                <w:sz w:val="18"/>
                <w:szCs w:val="18"/>
              </w:rPr>
              <w:t>593 713</w:t>
            </w:r>
          </w:p>
        </w:tc>
      </w:tr>
      <w:tr w:rsidR="0014269D" w:rsidTr="00D1191F">
        <w:trPr>
          <w:gridAfter w:val="1"/>
          <w:wAfter w:w="28" w:type="dxa"/>
          <w:trHeight w:val="51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6"/>
                <w:szCs w:val="16"/>
              </w:rPr>
            </w:pPr>
            <w:r w:rsidRPr="00590242">
              <w:rPr>
                <w:color w:val="000000"/>
                <w:sz w:val="16"/>
                <w:szCs w:val="16"/>
              </w:rPr>
              <w:lastRenderedPageBreak/>
              <w:t>4</w:t>
            </w:r>
          </w:p>
        </w:tc>
        <w:tc>
          <w:tcPr>
            <w:tcW w:w="683" w:type="dxa"/>
            <w:tcBorders>
              <w:top w:val="nil"/>
              <w:left w:val="nil"/>
              <w:bottom w:val="single" w:sz="4" w:space="0" w:color="auto"/>
              <w:right w:val="single" w:sz="4" w:space="0" w:color="auto"/>
            </w:tcBorders>
            <w:shd w:val="clear" w:color="auto" w:fill="auto"/>
            <w:vAlign w:val="center"/>
            <w:hideMark/>
          </w:tcPr>
          <w:p w:rsidR="009E1154" w:rsidRDefault="00DD2228" w:rsidP="008B6079">
            <w:pPr>
              <w:spacing w:after="240"/>
              <w:rPr>
                <w:color w:val="000000"/>
                <w:sz w:val="20"/>
                <w:szCs w:val="20"/>
              </w:rPr>
            </w:pPr>
            <w:r>
              <w:rPr>
                <w:color w:val="000000"/>
                <w:sz w:val="20"/>
                <w:szCs w:val="20"/>
              </w:rPr>
              <w:t>AR</w:t>
            </w:r>
          </w:p>
        </w:tc>
        <w:tc>
          <w:tcPr>
            <w:tcW w:w="711"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8"/>
                <w:szCs w:val="18"/>
              </w:rPr>
            </w:pPr>
            <w:r w:rsidRPr="00590242">
              <w:rPr>
                <w:color w:val="000000"/>
                <w:sz w:val="18"/>
                <w:szCs w:val="18"/>
              </w:rPr>
              <w:t>7.261</w:t>
            </w:r>
          </w:p>
        </w:tc>
        <w:tc>
          <w:tcPr>
            <w:tcW w:w="1038"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color w:val="000000"/>
                <w:sz w:val="18"/>
                <w:szCs w:val="18"/>
              </w:rPr>
            </w:pPr>
            <w:r w:rsidRPr="00590242">
              <w:rPr>
                <w:color w:val="000000"/>
                <w:sz w:val="18"/>
                <w:szCs w:val="18"/>
              </w:rPr>
              <w:t>5 612 557</w:t>
            </w:r>
          </w:p>
        </w:tc>
        <w:tc>
          <w:tcPr>
            <w:tcW w:w="1080"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5 993 911</w:t>
            </w:r>
          </w:p>
        </w:tc>
        <w:tc>
          <w:tcPr>
            <w:tcW w:w="1073"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1 917 819</w:t>
            </w:r>
          </w:p>
        </w:tc>
        <w:tc>
          <w:tcPr>
            <w:tcW w:w="912" w:type="dxa"/>
            <w:tcBorders>
              <w:top w:val="nil"/>
              <w:left w:val="nil"/>
              <w:bottom w:val="single" w:sz="4" w:space="0" w:color="auto"/>
              <w:right w:val="single" w:sz="4" w:space="0" w:color="auto"/>
            </w:tcBorders>
            <w:shd w:val="clear" w:color="auto" w:fill="auto"/>
            <w:vAlign w:val="center"/>
            <w:hideMark/>
          </w:tcPr>
          <w:p w:rsidR="009E1154" w:rsidRPr="00590242" w:rsidRDefault="00DD2228" w:rsidP="008B6079">
            <w:pPr>
              <w:spacing w:after="240"/>
              <w:jc w:val="center"/>
              <w:rPr>
                <w:sz w:val="18"/>
                <w:szCs w:val="18"/>
              </w:rPr>
            </w:pPr>
            <w:r w:rsidRPr="00590242">
              <w:rPr>
                <w:sz w:val="18"/>
                <w:szCs w:val="18"/>
              </w:rPr>
              <w:t>1 536 500</w:t>
            </w:r>
          </w:p>
        </w:tc>
        <w:tc>
          <w:tcPr>
            <w:tcW w:w="992" w:type="dxa"/>
            <w:tcBorders>
              <w:top w:val="nil"/>
              <w:left w:val="nil"/>
              <w:bottom w:val="single" w:sz="4" w:space="0" w:color="auto"/>
              <w:right w:val="single" w:sz="4" w:space="0" w:color="auto"/>
            </w:tcBorders>
            <w:shd w:val="clear" w:color="auto" w:fill="auto"/>
            <w:noWrap/>
            <w:vAlign w:val="center"/>
            <w:hideMark/>
          </w:tcPr>
          <w:p w:rsidR="009E1154" w:rsidRPr="00590242" w:rsidRDefault="00DD2228" w:rsidP="008B6079">
            <w:pPr>
              <w:spacing w:after="240"/>
              <w:jc w:val="center"/>
              <w:rPr>
                <w:sz w:val="18"/>
                <w:szCs w:val="18"/>
              </w:rPr>
            </w:pPr>
            <w:r w:rsidRPr="00590242">
              <w:rPr>
                <w:sz w:val="18"/>
                <w:szCs w:val="18"/>
              </w:rPr>
              <w:t>772 973</w:t>
            </w:r>
          </w:p>
        </w:tc>
        <w:tc>
          <w:tcPr>
            <w:tcW w:w="991" w:type="dxa"/>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rPr>
                <w:color w:val="000000"/>
                <w:sz w:val="18"/>
                <w:szCs w:val="18"/>
              </w:rPr>
            </w:pPr>
            <w:r w:rsidRPr="00590242">
              <w:rPr>
                <w:color w:val="000000"/>
                <w:sz w:val="18"/>
                <w:szCs w:val="18"/>
              </w:rPr>
              <w:t>825 489</w:t>
            </w:r>
          </w:p>
        </w:tc>
        <w:tc>
          <w:tcPr>
            <w:tcW w:w="994" w:type="dxa"/>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jc w:val="center"/>
              <w:rPr>
                <w:color w:val="000000"/>
                <w:sz w:val="18"/>
                <w:szCs w:val="18"/>
              </w:rPr>
            </w:pPr>
            <w:r w:rsidRPr="00590242">
              <w:rPr>
                <w:color w:val="000000"/>
                <w:sz w:val="18"/>
                <w:szCs w:val="18"/>
              </w:rPr>
              <w:t>1 037 099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1154" w:rsidRPr="00590242" w:rsidRDefault="00DD2228" w:rsidP="008B6079">
            <w:pPr>
              <w:spacing w:after="240"/>
              <w:jc w:val="center"/>
              <w:rPr>
                <w:color w:val="000000"/>
                <w:sz w:val="18"/>
                <w:szCs w:val="18"/>
              </w:rPr>
            </w:pPr>
            <w:r w:rsidRPr="00590242">
              <w:rPr>
                <w:color w:val="000000"/>
                <w:sz w:val="18"/>
                <w:szCs w:val="18"/>
              </w:rPr>
              <w:t>1 037 099</w:t>
            </w:r>
          </w:p>
        </w:tc>
      </w:tr>
      <w:tr w:rsidR="0014269D" w:rsidTr="00D1191F">
        <w:trPr>
          <w:gridAfter w:val="1"/>
          <w:wAfter w:w="28" w:type="dxa"/>
          <w:trHeight w:val="300"/>
        </w:trPr>
        <w:tc>
          <w:tcPr>
            <w:tcW w:w="45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E1154" w:rsidRDefault="00DD2228">
            <w:pPr>
              <w:rPr>
                <w:color w:val="000000"/>
                <w:sz w:val="20"/>
                <w:szCs w:val="20"/>
              </w:rPr>
            </w:pPr>
            <w:r>
              <w:rPr>
                <w:color w:val="000000"/>
                <w:sz w:val="20"/>
                <w:szCs w:val="20"/>
              </w:rPr>
              <w:t> </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E1154" w:rsidRDefault="00DD2228">
            <w:pPr>
              <w:rPr>
                <w:b/>
                <w:bCs/>
                <w:color w:val="000000"/>
                <w:sz w:val="20"/>
                <w:szCs w:val="20"/>
              </w:rPr>
            </w:pPr>
            <w:r>
              <w:rPr>
                <w:b/>
                <w:bCs/>
                <w:color w:val="000000"/>
                <w:sz w:val="20"/>
                <w:szCs w:val="20"/>
              </w:rPr>
              <w:t>Kopā</w:t>
            </w:r>
          </w:p>
        </w:tc>
        <w:tc>
          <w:tcPr>
            <w:tcW w:w="711" w:type="dxa"/>
            <w:tcBorders>
              <w:top w:val="nil"/>
              <w:left w:val="nil"/>
              <w:bottom w:val="single" w:sz="4" w:space="0" w:color="auto"/>
              <w:right w:val="single" w:sz="4" w:space="0" w:color="auto"/>
            </w:tcBorders>
            <w:shd w:val="clear" w:color="auto" w:fill="D9D9D9" w:themeFill="background1" w:themeFillShade="D9"/>
            <w:noWrap/>
            <w:vAlign w:val="bottom"/>
            <w:hideMark/>
          </w:tcPr>
          <w:p w:rsidR="009E1154" w:rsidRDefault="00DD2228">
            <w:pPr>
              <w:rPr>
                <w:b/>
                <w:bCs/>
                <w:color w:val="000000"/>
                <w:sz w:val="20"/>
                <w:szCs w:val="20"/>
              </w:rPr>
            </w:pPr>
            <w:r>
              <w:rPr>
                <w:b/>
                <w:bCs/>
                <w:color w:val="000000"/>
                <w:sz w:val="20"/>
                <w:szCs w:val="20"/>
              </w:rPr>
              <w:t> </w:t>
            </w:r>
          </w:p>
        </w:tc>
        <w:tc>
          <w:tcPr>
            <w:tcW w:w="1038" w:type="dxa"/>
            <w:tcBorders>
              <w:top w:val="nil"/>
              <w:left w:val="nil"/>
              <w:bottom w:val="single" w:sz="4" w:space="0" w:color="auto"/>
              <w:right w:val="single" w:sz="4" w:space="0" w:color="auto"/>
            </w:tcBorders>
            <w:shd w:val="clear" w:color="auto" w:fill="D9D9D9" w:themeFill="background1" w:themeFillShade="D9"/>
            <w:noWrap/>
            <w:vAlign w:val="center"/>
            <w:hideMark/>
          </w:tcPr>
          <w:p w:rsidR="009E1154" w:rsidRPr="00590242" w:rsidRDefault="00DD2228">
            <w:pPr>
              <w:jc w:val="center"/>
              <w:rPr>
                <w:b/>
                <w:bCs/>
                <w:color w:val="000000"/>
                <w:sz w:val="16"/>
                <w:szCs w:val="16"/>
              </w:rPr>
            </w:pPr>
            <w:r w:rsidRPr="00590242">
              <w:rPr>
                <w:b/>
                <w:bCs/>
                <w:color w:val="000000"/>
                <w:sz w:val="16"/>
                <w:szCs w:val="16"/>
              </w:rPr>
              <w:t>131 890 472</w:t>
            </w:r>
          </w:p>
        </w:tc>
        <w:tc>
          <w:tcPr>
            <w:tcW w:w="1080"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Pr="00590242" w:rsidRDefault="00DD2228">
            <w:pPr>
              <w:jc w:val="center"/>
              <w:rPr>
                <w:b/>
                <w:bCs/>
                <w:sz w:val="16"/>
                <w:szCs w:val="16"/>
              </w:rPr>
            </w:pPr>
            <w:r w:rsidRPr="00590242">
              <w:rPr>
                <w:b/>
                <w:bCs/>
                <w:sz w:val="16"/>
                <w:szCs w:val="16"/>
              </w:rPr>
              <w:t>144 339 956</w:t>
            </w:r>
          </w:p>
        </w:tc>
        <w:tc>
          <w:tcPr>
            <w:tcW w:w="1073"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Pr="00590242" w:rsidRDefault="00DD2228">
            <w:pPr>
              <w:jc w:val="center"/>
              <w:rPr>
                <w:b/>
                <w:bCs/>
                <w:sz w:val="16"/>
                <w:szCs w:val="16"/>
              </w:rPr>
            </w:pPr>
            <w:r w:rsidRPr="00590242">
              <w:rPr>
                <w:b/>
                <w:bCs/>
                <w:sz w:val="16"/>
                <w:szCs w:val="16"/>
              </w:rPr>
              <w:t>16 269 698</w:t>
            </w:r>
          </w:p>
        </w:tc>
        <w:tc>
          <w:tcPr>
            <w:tcW w:w="912" w:type="dxa"/>
            <w:tcBorders>
              <w:top w:val="nil"/>
              <w:left w:val="nil"/>
              <w:bottom w:val="single" w:sz="4" w:space="0" w:color="auto"/>
              <w:right w:val="single" w:sz="4" w:space="0" w:color="auto"/>
            </w:tcBorders>
            <w:shd w:val="clear" w:color="auto" w:fill="D9D9D9" w:themeFill="background1" w:themeFillShade="D9"/>
            <w:vAlign w:val="center"/>
            <w:hideMark/>
          </w:tcPr>
          <w:p w:rsidR="009E1154" w:rsidRPr="00590242" w:rsidRDefault="00DD2228">
            <w:pPr>
              <w:jc w:val="center"/>
              <w:rPr>
                <w:b/>
                <w:bCs/>
                <w:sz w:val="16"/>
                <w:szCs w:val="16"/>
              </w:rPr>
            </w:pPr>
            <w:r w:rsidRPr="00590242">
              <w:rPr>
                <w:b/>
                <w:bCs/>
                <w:sz w:val="16"/>
                <w:szCs w:val="16"/>
              </w:rPr>
              <w:t>3 820 330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9E1154" w:rsidRPr="00590242" w:rsidRDefault="00DD2228" w:rsidP="00590242">
            <w:pPr>
              <w:rPr>
                <w:b/>
                <w:bCs/>
                <w:sz w:val="16"/>
                <w:szCs w:val="16"/>
              </w:rPr>
            </w:pPr>
            <w:r w:rsidRPr="00590242">
              <w:rPr>
                <w:b/>
                <w:bCs/>
                <w:sz w:val="16"/>
                <w:szCs w:val="16"/>
              </w:rPr>
              <w:t>6 001 592</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9E1154" w:rsidRPr="00590242" w:rsidRDefault="00DD2228">
            <w:pPr>
              <w:rPr>
                <w:b/>
                <w:bCs/>
                <w:color w:val="000000"/>
                <w:sz w:val="16"/>
                <w:szCs w:val="16"/>
              </w:rPr>
            </w:pPr>
            <w:r w:rsidRPr="00590242">
              <w:rPr>
                <w:b/>
                <w:bCs/>
                <w:color w:val="000000"/>
                <w:sz w:val="16"/>
                <w:szCs w:val="16"/>
              </w:rPr>
              <w:t xml:space="preserve">6 549 702 </w:t>
            </w:r>
          </w:p>
        </w:tc>
        <w:tc>
          <w:tcPr>
            <w:tcW w:w="994" w:type="dxa"/>
            <w:tcBorders>
              <w:top w:val="nil"/>
              <w:left w:val="nil"/>
              <w:bottom w:val="single" w:sz="4" w:space="0" w:color="auto"/>
              <w:right w:val="single" w:sz="4" w:space="0" w:color="auto"/>
            </w:tcBorders>
            <w:shd w:val="clear" w:color="auto" w:fill="D9D9D9" w:themeFill="background1" w:themeFillShade="D9"/>
            <w:noWrap/>
            <w:vAlign w:val="bottom"/>
            <w:hideMark/>
          </w:tcPr>
          <w:p w:rsidR="009E1154" w:rsidRPr="00590242" w:rsidRDefault="00DD2228">
            <w:pPr>
              <w:jc w:val="right"/>
              <w:rPr>
                <w:b/>
                <w:bCs/>
                <w:color w:val="000000"/>
                <w:sz w:val="16"/>
                <w:szCs w:val="16"/>
              </w:rPr>
            </w:pPr>
            <w:r w:rsidRPr="00590242">
              <w:rPr>
                <w:b/>
                <w:bCs/>
                <w:color w:val="000000"/>
                <w:sz w:val="16"/>
                <w:szCs w:val="16"/>
              </w:rPr>
              <w:t>6 884 775</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9E1154" w:rsidRPr="00590242" w:rsidRDefault="00DD2228">
            <w:pPr>
              <w:jc w:val="right"/>
              <w:rPr>
                <w:b/>
                <w:bCs/>
                <w:color w:val="000000"/>
                <w:sz w:val="16"/>
                <w:szCs w:val="16"/>
              </w:rPr>
            </w:pPr>
            <w:r w:rsidRPr="00590242">
              <w:rPr>
                <w:b/>
                <w:bCs/>
                <w:color w:val="000000"/>
                <w:sz w:val="16"/>
                <w:szCs w:val="16"/>
              </w:rPr>
              <w:t>6 884 775</w:t>
            </w:r>
          </w:p>
        </w:tc>
      </w:tr>
      <w:tr w:rsidR="0014269D" w:rsidTr="00D1191F">
        <w:trPr>
          <w:trHeight w:val="495"/>
        </w:trPr>
        <w:tc>
          <w:tcPr>
            <w:tcW w:w="9466" w:type="dxa"/>
            <w:gridSpan w:val="11"/>
            <w:tcBorders>
              <w:top w:val="nil"/>
              <w:left w:val="nil"/>
              <w:bottom w:val="nil"/>
              <w:right w:val="nil"/>
            </w:tcBorders>
            <w:shd w:val="clear" w:color="auto" w:fill="auto"/>
            <w:vAlign w:val="bottom"/>
            <w:hideMark/>
          </w:tcPr>
          <w:p w:rsidR="008B6079" w:rsidRDefault="00DD2228">
            <w:pPr>
              <w:rPr>
                <w:color w:val="000000"/>
                <w:sz w:val="20"/>
                <w:szCs w:val="20"/>
              </w:rPr>
            </w:pPr>
            <w:r>
              <w:rPr>
                <w:color w:val="000000"/>
                <w:sz w:val="20"/>
                <w:szCs w:val="20"/>
              </w:rPr>
              <w:t xml:space="preserve">SK - Speciālistu konsultācijas, AIT - Ambulatorie izmeklējumi un terapija, </w:t>
            </w:r>
          </w:p>
          <w:p w:rsidR="008B6079" w:rsidRDefault="00DD2228">
            <w:pPr>
              <w:rPr>
                <w:color w:val="000000"/>
                <w:sz w:val="20"/>
                <w:szCs w:val="20"/>
              </w:rPr>
            </w:pPr>
            <w:r>
              <w:rPr>
                <w:color w:val="000000"/>
                <w:sz w:val="20"/>
                <w:szCs w:val="20"/>
              </w:rPr>
              <w:t>DSP - Dienas stacionārā sniegtie pakalpojumi, AR - Ambulatorā rehabilitācija</w:t>
            </w:r>
          </w:p>
          <w:p w:rsidR="009E1154" w:rsidRDefault="00DD2228">
            <w:pPr>
              <w:rPr>
                <w:color w:val="000000"/>
                <w:sz w:val="20"/>
                <w:szCs w:val="20"/>
              </w:rPr>
            </w:pPr>
            <w:r>
              <w:rPr>
                <w:color w:val="000000"/>
                <w:sz w:val="20"/>
                <w:szCs w:val="20"/>
              </w:rPr>
              <w:t xml:space="preserve">* Finansējums un pakalpojumu skaits norādīts atbilstoši konceptuālajam ziņojumam </w:t>
            </w:r>
            <w:r>
              <w:rPr>
                <w:color w:val="000000"/>
                <w:sz w:val="20"/>
                <w:szCs w:val="20"/>
              </w:rPr>
              <w:br/>
              <w:t xml:space="preserve">“Par veselības aprūpes sistēmas reformu” </w:t>
            </w:r>
          </w:p>
        </w:tc>
        <w:tc>
          <w:tcPr>
            <w:tcW w:w="485" w:type="dxa"/>
            <w:gridSpan w:val="2"/>
            <w:tcBorders>
              <w:top w:val="nil"/>
              <w:left w:val="nil"/>
              <w:bottom w:val="nil"/>
              <w:right w:val="nil"/>
            </w:tcBorders>
            <w:shd w:val="clear" w:color="auto" w:fill="auto"/>
            <w:vAlign w:val="bottom"/>
            <w:hideMark/>
          </w:tcPr>
          <w:p w:rsidR="009E1154" w:rsidRDefault="009E1154">
            <w:pPr>
              <w:rPr>
                <w:color w:val="000000"/>
                <w:sz w:val="20"/>
                <w:szCs w:val="20"/>
              </w:rPr>
            </w:pPr>
          </w:p>
        </w:tc>
      </w:tr>
    </w:tbl>
    <w:p w:rsidR="00F33A3C" w:rsidRDefault="00F33A3C" w:rsidP="009E1154">
      <w:pPr>
        <w:jc w:val="both"/>
      </w:pPr>
    </w:p>
    <w:p w:rsidR="00503B59" w:rsidRPr="00503B59" w:rsidRDefault="00DD2228" w:rsidP="00D6632E">
      <w:pPr>
        <w:pStyle w:val="Heading1"/>
        <w:numPr>
          <w:ilvl w:val="0"/>
          <w:numId w:val="2"/>
        </w:numPr>
        <w:spacing w:before="0" w:after="200"/>
        <w:ind w:left="357" w:hanging="357"/>
        <w:jc w:val="center"/>
        <w:rPr>
          <w:rFonts w:ascii="Times New Roman" w:hAnsi="Times New Roman" w:cs="Times New Roman"/>
          <w:b/>
          <w:color w:val="auto"/>
          <w:sz w:val="28"/>
          <w:szCs w:val="28"/>
        </w:rPr>
      </w:pPr>
      <w:r>
        <w:rPr>
          <w:rFonts w:ascii="Times New Roman" w:hAnsi="Times New Roman" w:cs="Times New Roman"/>
          <w:b/>
          <w:color w:val="auto"/>
          <w:sz w:val="28"/>
          <w:szCs w:val="28"/>
        </w:rPr>
        <w:t>Secinājumi un priekšlikumi</w:t>
      </w:r>
    </w:p>
    <w:p w:rsidR="0039396A" w:rsidRPr="004A2619" w:rsidRDefault="00DD2228" w:rsidP="00B90904">
      <w:pPr>
        <w:ind w:firstLine="720"/>
        <w:jc w:val="both"/>
      </w:pPr>
      <w:r>
        <w:t xml:space="preserve">Ārstniecības iestāžu ierobežotās kapacitātes dēļ pastāvīgs pieejamības palielinājums ārstniecības iestādēs ar esošo resursu nodrošinājumu nav iespējams, līdz ar ko turpmākais pieejamības pieaugums </w:t>
      </w:r>
      <w:r w:rsidR="006F60D7">
        <w:t xml:space="preserve">(virs 883 183 pakalpojuma </w:t>
      </w:r>
      <w:r w:rsidR="006F60D7" w:rsidRPr="004A2619">
        <w:t xml:space="preserve">vienībām) nodrošināms </w:t>
      </w:r>
      <w:r w:rsidR="004A2619" w:rsidRPr="004A2619">
        <w:t xml:space="preserve">darba apjoma (ārstniecības </w:t>
      </w:r>
      <w:r w:rsidR="006F60D7" w:rsidRPr="004A2619">
        <w:t>personāla</w:t>
      </w:r>
      <w:r w:rsidR="004A2619" w:rsidRPr="004A2619">
        <w:t xml:space="preserve">) no privātā sektora uz publisko pārvirzīšanas gadījumā, </w:t>
      </w:r>
      <w:proofErr w:type="spellStart"/>
      <w:r w:rsidR="004A2619" w:rsidRPr="004A2619">
        <w:rPr>
          <w:rStyle w:val="Strong"/>
          <w:b w:val="0"/>
          <w:color w:val="212121"/>
          <w:lang w:val="en-GB"/>
        </w:rPr>
        <w:t>novirzot</w:t>
      </w:r>
      <w:proofErr w:type="spellEnd"/>
      <w:r w:rsidR="004A2619" w:rsidRPr="004A2619">
        <w:rPr>
          <w:rStyle w:val="Strong"/>
          <w:b w:val="0"/>
          <w:color w:val="212121"/>
          <w:lang w:val="en-GB"/>
        </w:rPr>
        <w:t xml:space="preserve"> tam </w:t>
      </w:r>
      <w:proofErr w:type="spellStart"/>
      <w:r w:rsidR="004A2619" w:rsidRPr="004A2619">
        <w:rPr>
          <w:rStyle w:val="Strong"/>
          <w:b w:val="0"/>
          <w:color w:val="212121"/>
          <w:lang w:val="en-GB"/>
        </w:rPr>
        <w:t>pietiekamu</w:t>
      </w:r>
      <w:proofErr w:type="spellEnd"/>
      <w:r w:rsidR="004A2619" w:rsidRPr="004A2619">
        <w:rPr>
          <w:rStyle w:val="Strong"/>
          <w:b w:val="0"/>
          <w:color w:val="212121"/>
          <w:lang w:val="en-GB"/>
        </w:rPr>
        <w:t xml:space="preserve"> </w:t>
      </w:r>
      <w:proofErr w:type="spellStart"/>
      <w:r w:rsidR="004A2619" w:rsidRPr="004A2619">
        <w:rPr>
          <w:rStyle w:val="Strong"/>
          <w:b w:val="0"/>
          <w:color w:val="212121"/>
          <w:lang w:val="en-GB"/>
        </w:rPr>
        <w:t>finansējumu</w:t>
      </w:r>
      <w:proofErr w:type="spellEnd"/>
      <w:r w:rsidR="004A2619" w:rsidRPr="004A2619">
        <w:rPr>
          <w:rStyle w:val="Strong"/>
          <w:b w:val="0"/>
          <w:color w:val="212121"/>
          <w:lang w:val="en-GB"/>
        </w:rPr>
        <w:t xml:space="preserve"> </w:t>
      </w:r>
      <w:proofErr w:type="spellStart"/>
      <w:r w:rsidR="004A2619" w:rsidRPr="004A2619">
        <w:rPr>
          <w:rStyle w:val="Strong"/>
          <w:b w:val="0"/>
          <w:color w:val="212121"/>
          <w:lang w:val="en-GB"/>
        </w:rPr>
        <w:t>atalgojuma</w:t>
      </w:r>
      <w:proofErr w:type="spellEnd"/>
      <w:r w:rsidR="004A2619" w:rsidRPr="004A2619">
        <w:rPr>
          <w:rStyle w:val="Strong"/>
          <w:b w:val="0"/>
          <w:color w:val="212121"/>
          <w:lang w:val="en-GB"/>
        </w:rPr>
        <w:t xml:space="preserve"> </w:t>
      </w:r>
      <w:proofErr w:type="spellStart"/>
      <w:r w:rsidR="004A2619" w:rsidRPr="004A2619">
        <w:rPr>
          <w:rStyle w:val="Strong"/>
          <w:b w:val="0"/>
          <w:color w:val="212121"/>
          <w:lang w:val="en-GB"/>
        </w:rPr>
        <w:t>palielināšanai</w:t>
      </w:r>
      <w:proofErr w:type="spellEnd"/>
      <w:r w:rsidR="004A2619" w:rsidRPr="004A2619">
        <w:rPr>
          <w:rStyle w:val="Strong"/>
          <w:b w:val="0"/>
          <w:color w:val="212121"/>
          <w:lang w:val="en-GB"/>
        </w:rPr>
        <w:t>.</w:t>
      </w:r>
      <w:r w:rsidR="004A2619" w:rsidRPr="004A2619">
        <w:t xml:space="preserve"> A</w:t>
      </w:r>
      <w:r w:rsidRPr="004A2619">
        <w:t>pzinot ārstniecības iestādes secināts, ka pie esošajiem tarifiem ārstniecības iestādes nav gatavas ieguldīt papildus līdzekļus personāla algošanā, lai nodrošinātu pieejamāku</w:t>
      </w:r>
      <w:r w:rsidR="00593A31" w:rsidRPr="004A2619">
        <w:t xml:space="preserve"> un </w:t>
      </w:r>
      <w:r w:rsidRPr="004A2619">
        <w:t xml:space="preserve">plašāku valsts veselības aprūpes pakalpojumu saņemšanu. </w:t>
      </w:r>
    </w:p>
    <w:p w:rsidR="008D63C9" w:rsidRDefault="00DD2228" w:rsidP="00E667DC">
      <w:pPr>
        <w:ind w:firstLine="720"/>
        <w:jc w:val="both"/>
      </w:pPr>
      <w:r w:rsidRPr="004A2619">
        <w:t xml:space="preserve">Atbilstoši augstākminētajam, </w:t>
      </w:r>
      <w:r w:rsidR="00593A31" w:rsidRPr="004A2619">
        <w:t>risinot</w:t>
      </w:r>
      <w:r w:rsidRPr="004A2619">
        <w:t xml:space="preserve"> pakalpojuma pieejamības problēmas sekundāro ambulatoro veselības aprūpes pakalpojumu saņemšanā</w:t>
      </w:r>
      <w:r w:rsidRPr="005C5679">
        <w:t xml:space="preserve">, nepārskatot pakalpojuma tarifus, </w:t>
      </w:r>
      <w:r w:rsidR="00E667DC">
        <w:t xml:space="preserve">iespējama alternatīvu risinājumu izvēle, kā, piemēram, papildus nosacījumu izvirzīšana valsts finansēto pakalpojumu sniegšanā. Proti, </w:t>
      </w:r>
      <w:r w:rsidR="008B79D7">
        <w:t xml:space="preserve">piemēram, </w:t>
      </w:r>
      <w:r w:rsidR="00E667DC">
        <w:t>nosakot pirms maksas pakalpojumu sniegšanas izpildīt valsts apmaksātās kvotas</w:t>
      </w:r>
      <w:r w:rsidR="008B79D7">
        <w:t>. Tomēr jāņem vērā, ka šādu alternatīvo risinājumu īstenošanas gadījumā (pie izmaksu nenosegtiem valsts noteiktajiem tarifiem) pastāv iespēja ārstniecības iestāžu, kas ir līgumattiecībās ar valsti par valsts apmaksāto veselības aprūpes pakalpojumu sniegšanu, skaita samazinājumam</w:t>
      </w:r>
      <w:r>
        <w:t xml:space="preserve">, sniedzamo pakalpojuma apjomu pārvirzot uz ienesīgāku (maksas) sektoru. Papildus tam ar atsevišķu nosacījumu izvirzīšanu pacientam netiktu dota iespēja izvēlēties prioritāri maksas pakalpojumu, izvēloties, piemēram, konkrētu pakalpojuma sniedzēju. </w:t>
      </w:r>
    </w:p>
    <w:p w:rsidR="003571EA" w:rsidRPr="003571EA" w:rsidRDefault="00DD2228" w:rsidP="006F60D7">
      <w:pPr>
        <w:ind w:firstLine="720"/>
        <w:jc w:val="both"/>
      </w:pPr>
      <w:r>
        <w:t xml:space="preserve">Līdz ar minēto </w:t>
      </w:r>
      <w:r w:rsidR="00F77162" w:rsidRPr="003571EA">
        <w:t xml:space="preserve">administratīva rakstura lēmumu pieņemšanas gadījumā pastāv risks </w:t>
      </w:r>
      <w:r w:rsidRPr="003571EA">
        <w:t xml:space="preserve">valsts apmaksāto pakalpojumu pieejamības samazinājumam, ko šobrīd nav iespējams prognozēt šādu </w:t>
      </w:r>
      <w:r w:rsidR="00D6632E">
        <w:t xml:space="preserve">ietekmējošo faktoru izmaiņu </w:t>
      </w:r>
      <w:r>
        <w:t>gadījumā</w:t>
      </w:r>
      <w:r w:rsidRPr="003571EA">
        <w:t xml:space="preserve">: </w:t>
      </w:r>
    </w:p>
    <w:p w:rsidR="003571EA" w:rsidRPr="003571EA" w:rsidRDefault="00DD2228" w:rsidP="00D6632E">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ja </w:t>
      </w:r>
      <w:proofErr w:type="spellStart"/>
      <w:r>
        <w:rPr>
          <w:rFonts w:ascii="Times New Roman" w:hAnsi="Times New Roman"/>
          <w:sz w:val="24"/>
          <w:szCs w:val="24"/>
        </w:rPr>
        <w:t>samazinās</w:t>
      </w:r>
      <w:proofErr w:type="spellEnd"/>
      <w:r>
        <w:rPr>
          <w:rFonts w:ascii="Times New Roman" w:hAnsi="Times New Roman"/>
          <w:sz w:val="24"/>
          <w:szCs w:val="24"/>
        </w:rPr>
        <w:t xml:space="preserve"> </w:t>
      </w:r>
      <w:proofErr w:type="spellStart"/>
      <w:r w:rsidRPr="003571EA">
        <w:rPr>
          <w:rFonts w:ascii="Times New Roman" w:hAnsi="Times New Roman"/>
          <w:sz w:val="24"/>
          <w:szCs w:val="24"/>
        </w:rPr>
        <w:t>valsts</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apmaksāto</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pakalpojumu</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sniedzošo</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ārstniecības</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iestāžu</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skait</w:t>
      </w:r>
      <w:r>
        <w:rPr>
          <w:rFonts w:ascii="Times New Roman" w:hAnsi="Times New Roman"/>
          <w:sz w:val="24"/>
          <w:szCs w:val="24"/>
        </w:rPr>
        <w:t>s</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ārstniecības</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iestādēm</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izvērtējot</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jaunos</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nosacījumus</w:t>
      </w:r>
      <w:proofErr w:type="spellEnd"/>
      <w:r w:rsidRPr="003571EA">
        <w:rPr>
          <w:rFonts w:ascii="Times New Roman" w:hAnsi="Times New Roman"/>
          <w:sz w:val="24"/>
          <w:szCs w:val="24"/>
        </w:rPr>
        <w:t xml:space="preserve"> un </w:t>
      </w:r>
      <w:proofErr w:type="spellStart"/>
      <w:r w:rsidRPr="003571EA">
        <w:rPr>
          <w:rFonts w:ascii="Times New Roman" w:hAnsi="Times New Roman"/>
          <w:sz w:val="24"/>
          <w:szCs w:val="24"/>
        </w:rPr>
        <w:t>pieņemot</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lēmumu</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turpmāk</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nesniegt</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valsts</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apmaksātos</w:t>
      </w:r>
      <w:proofErr w:type="spellEnd"/>
      <w:r w:rsidRPr="003571EA">
        <w:rPr>
          <w:rFonts w:ascii="Times New Roman" w:hAnsi="Times New Roman"/>
          <w:sz w:val="24"/>
          <w:szCs w:val="24"/>
        </w:rPr>
        <w:t xml:space="preserve"> </w:t>
      </w:r>
      <w:proofErr w:type="spellStart"/>
      <w:r w:rsidRPr="003571EA">
        <w:rPr>
          <w:rFonts w:ascii="Times New Roman" w:hAnsi="Times New Roman"/>
          <w:sz w:val="24"/>
          <w:szCs w:val="24"/>
        </w:rPr>
        <w:t>pakalpojumus</w:t>
      </w:r>
      <w:proofErr w:type="spellEnd"/>
      <w:r w:rsidRPr="003571EA">
        <w:rPr>
          <w:rFonts w:ascii="Times New Roman" w:hAnsi="Times New Roman"/>
          <w:sz w:val="24"/>
          <w:szCs w:val="24"/>
        </w:rPr>
        <w:t>;</w:t>
      </w:r>
    </w:p>
    <w:p w:rsidR="00F77162" w:rsidRDefault="00DD2228" w:rsidP="00D6632E">
      <w:pPr>
        <w:pStyle w:val="ListParagraph"/>
        <w:numPr>
          <w:ilvl w:val="0"/>
          <w:numId w:val="5"/>
        </w:numPr>
        <w:ind w:hanging="371"/>
        <w:jc w:val="both"/>
        <w:rPr>
          <w:rFonts w:ascii="Times New Roman" w:hAnsi="Times New Roman"/>
          <w:sz w:val="24"/>
          <w:szCs w:val="24"/>
        </w:rPr>
      </w:pPr>
      <w:r>
        <w:rPr>
          <w:rFonts w:ascii="Times New Roman" w:hAnsi="Times New Roman"/>
          <w:sz w:val="24"/>
          <w:szCs w:val="24"/>
        </w:rPr>
        <w:t xml:space="preserve">ja </w:t>
      </w:r>
      <w:proofErr w:type="spellStart"/>
      <w:r>
        <w:rPr>
          <w:rFonts w:ascii="Times New Roman" w:hAnsi="Times New Roman"/>
          <w:sz w:val="24"/>
          <w:szCs w:val="24"/>
        </w:rPr>
        <w:t>samazinās</w:t>
      </w:r>
      <w:proofErr w:type="spellEnd"/>
      <w:r>
        <w:rPr>
          <w:rFonts w:ascii="Times New Roman" w:hAnsi="Times New Roman"/>
          <w:sz w:val="24"/>
          <w:szCs w:val="24"/>
        </w:rPr>
        <w:t xml:space="preserve"> </w:t>
      </w:r>
      <w:proofErr w:type="spellStart"/>
      <w:r w:rsidR="003571EA" w:rsidRPr="003571EA">
        <w:rPr>
          <w:rFonts w:ascii="Times New Roman" w:hAnsi="Times New Roman"/>
          <w:sz w:val="24"/>
          <w:szCs w:val="24"/>
        </w:rPr>
        <w:t>valsts</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apmaksāto</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pakalpojumu</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snied</w:t>
      </w:r>
      <w:r>
        <w:rPr>
          <w:rFonts w:ascii="Times New Roman" w:hAnsi="Times New Roman"/>
          <w:sz w:val="24"/>
          <w:szCs w:val="24"/>
        </w:rPr>
        <w:t>zošo</w:t>
      </w:r>
      <w:proofErr w:type="spellEnd"/>
      <w:r>
        <w:rPr>
          <w:rFonts w:ascii="Times New Roman" w:hAnsi="Times New Roman"/>
          <w:sz w:val="24"/>
          <w:szCs w:val="24"/>
        </w:rPr>
        <w:t xml:space="preserve"> </w:t>
      </w:r>
      <w:proofErr w:type="spellStart"/>
      <w:r>
        <w:rPr>
          <w:rFonts w:ascii="Times New Roman" w:hAnsi="Times New Roman"/>
          <w:sz w:val="24"/>
          <w:szCs w:val="24"/>
        </w:rPr>
        <w:t>ārstniecības</w:t>
      </w:r>
      <w:proofErr w:type="spellEnd"/>
      <w:r>
        <w:rPr>
          <w:rFonts w:ascii="Times New Roman" w:hAnsi="Times New Roman"/>
          <w:sz w:val="24"/>
          <w:szCs w:val="24"/>
        </w:rPr>
        <w:t xml:space="preserve"> </w:t>
      </w:r>
      <w:proofErr w:type="spellStart"/>
      <w:r>
        <w:rPr>
          <w:rFonts w:ascii="Times New Roman" w:hAnsi="Times New Roman"/>
          <w:sz w:val="24"/>
          <w:szCs w:val="24"/>
        </w:rPr>
        <w:t>personu</w:t>
      </w:r>
      <w:proofErr w:type="spellEnd"/>
      <w:r>
        <w:rPr>
          <w:rFonts w:ascii="Times New Roman" w:hAnsi="Times New Roman"/>
          <w:sz w:val="24"/>
          <w:szCs w:val="24"/>
        </w:rPr>
        <w:t xml:space="preserve"> </w:t>
      </w:r>
      <w:proofErr w:type="spellStart"/>
      <w:r>
        <w:rPr>
          <w:rFonts w:ascii="Times New Roman" w:hAnsi="Times New Roman"/>
          <w:sz w:val="24"/>
          <w:szCs w:val="24"/>
        </w:rPr>
        <w:t>skaits</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ārstniecības</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personām</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izvērtējot</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jaunos</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nosacījumus</w:t>
      </w:r>
      <w:proofErr w:type="spellEnd"/>
      <w:r w:rsidR="003571EA" w:rsidRPr="003571EA">
        <w:rPr>
          <w:rFonts w:ascii="Times New Roman" w:hAnsi="Times New Roman"/>
          <w:sz w:val="24"/>
          <w:szCs w:val="24"/>
        </w:rPr>
        <w:t xml:space="preserve"> un </w:t>
      </w:r>
      <w:proofErr w:type="spellStart"/>
      <w:r w:rsidR="003571EA" w:rsidRPr="003571EA">
        <w:rPr>
          <w:rFonts w:ascii="Times New Roman" w:hAnsi="Times New Roman"/>
          <w:sz w:val="24"/>
          <w:szCs w:val="24"/>
        </w:rPr>
        <w:t>pieņemot</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lēmumu</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turpmāk</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būt</w:t>
      </w:r>
      <w:proofErr w:type="spellEnd"/>
      <w:r w:rsidR="003571EA" w:rsidRPr="003571EA">
        <w:rPr>
          <w:rFonts w:ascii="Times New Roman" w:hAnsi="Times New Roman"/>
          <w:sz w:val="24"/>
          <w:szCs w:val="24"/>
        </w:rPr>
        <w:t xml:space="preserve"> </w:t>
      </w:r>
      <w:proofErr w:type="spellStart"/>
      <w:r w:rsidR="003571EA" w:rsidRPr="003571EA">
        <w:rPr>
          <w:rFonts w:ascii="Times New Roman" w:hAnsi="Times New Roman"/>
          <w:sz w:val="24"/>
          <w:szCs w:val="24"/>
        </w:rPr>
        <w:t>nodarbinātie</w:t>
      </w:r>
      <w:r w:rsidR="008D63C9">
        <w:rPr>
          <w:rFonts w:ascii="Times New Roman" w:hAnsi="Times New Roman"/>
          <w:sz w:val="24"/>
          <w:szCs w:val="24"/>
        </w:rPr>
        <w:t>m</w:t>
      </w:r>
      <w:proofErr w:type="spellEnd"/>
      <w:r w:rsidR="008D63C9">
        <w:rPr>
          <w:rFonts w:ascii="Times New Roman" w:hAnsi="Times New Roman"/>
          <w:sz w:val="24"/>
          <w:szCs w:val="24"/>
        </w:rPr>
        <w:t xml:space="preserve"> </w:t>
      </w:r>
      <w:proofErr w:type="spellStart"/>
      <w:r w:rsidR="008D63C9">
        <w:rPr>
          <w:rFonts w:ascii="Times New Roman" w:hAnsi="Times New Roman"/>
          <w:sz w:val="24"/>
          <w:szCs w:val="24"/>
        </w:rPr>
        <w:t>sniedzot</w:t>
      </w:r>
      <w:proofErr w:type="spellEnd"/>
      <w:r w:rsidR="008D63C9">
        <w:rPr>
          <w:rFonts w:ascii="Times New Roman" w:hAnsi="Times New Roman"/>
          <w:sz w:val="24"/>
          <w:szCs w:val="24"/>
        </w:rPr>
        <w:t xml:space="preserve"> </w:t>
      </w:r>
      <w:proofErr w:type="spellStart"/>
      <w:r w:rsidR="008D63C9">
        <w:rPr>
          <w:rFonts w:ascii="Times New Roman" w:hAnsi="Times New Roman"/>
          <w:sz w:val="24"/>
          <w:szCs w:val="24"/>
        </w:rPr>
        <w:t>maksas</w:t>
      </w:r>
      <w:proofErr w:type="spellEnd"/>
      <w:r w:rsidR="008D63C9">
        <w:rPr>
          <w:rFonts w:ascii="Times New Roman" w:hAnsi="Times New Roman"/>
          <w:sz w:val="24"/>
          <w:szCs w:val="24"/>
        </w:rPr>
        <w:t xml:space="preserve"> </w:t>
      </w:r>
      <w:proofErr w:type="spellStart"/>
      <w:r w:rsidR="008D63C9">
        <w:rPr>
          <w:rFonts w:ascii="Times New Roman" w:hAnsi="Times New Roman"/>
          <w:sz w:val="24"/>
          <w:szCs w:val="24"/>
        </w:rPr>
        <w:t>pakalpojumus</w:t>
      </w:r>
      <w:proofErr w:type="spellEnd"/>
      <w:r w:rsidR="008D63C9">
        <w:rPr>
          <w:rFonts w:ascii="Times New Roman" w:hAnsi="Times New Roman"/>
          <w:sz w:val="24"/>
          <w:szCs w:val="24"/>
        </w:rPr>
        <w:t>;</w:t>
      </w:r>
    </w:p>
    <w:p w:rsidR="008D63C9" w:rsidRPr="003571EA" w:rsidRDefault="00DD2228" w:rsidP="00D6632E">
      <w:pPr>
        <w:pStyle w:val="ListParagraph"/>
        <w:numPr>
          <w:ilvl w:val="0"/>
          <w:numId w:val="5"/>
        </w:numPr>
        <w:ind w:hanging="371"/>
        <w:jc w:val="both"/>
        <w:rPr>
          <w:rFonts w:ascii="Times New Roman" w:hAnsi="Times New Roman"/>
          <w:sz w:val="24"/>
          <w:szCs w:val="24"/>
        </w:rPr>
      </w:pPr>
      <w:r>
        <w:rPr>
          <w:rFonts w:ascii="Times New Roman" w:hAnsi="Times New Roman"/>
          <w:sz w:val="24"/>
          <w:szCs w:val="24"/>
        </w:rPr>
        <w:t xml:space="preserve">ja </w:t>
      </w:r>
      <w:proofErr w:type="spellStart"/>
      <w:r>
        <w:rPr>
          <w:rFonts w:ascii="Times New Roman" w:hAnsi="Times New Roman"/>
          <w:sz w:val="24"/>
          <w:szCs w:val="24"/>
        </w:rPr>
        <w:t>tiek</w:t>
      </w:r>
      <w:proofErr w:type="spellEnd"/>
      <w:r>
        <w:rPr>
          <w:rFonts w:ascii="Times New Roman" w:hAnsi="Times New Roman"/>
          <w:sz w:val="24"/>
          <w:szCs w:val="24"/>
        </w:rPr>
        <w:t xml:space="preserve"> </w:t>
      </w:r>
      <w:proofErr w:type="spellStart"/>
      <w:r>
        <w:rPr>
          <w:rFonts w:ascii="Times New Roman" w:hAnsi="Times New Roman"/>
          <w:sz w:val="24"/>
          <w:szCs w:val="24"/>
        </w:rPr>
        <w:t>ierobežotas</w:t>
      </w:r>
      <w:proofErr w:type="spellEnd"/>
      <w:r>
        <w:rPr>
          <w:rFonts w:ascii="Times New Roman" w:hAnsi="Times New Roman"/>
          <w:sz w:val="24"/>
          <w:szCs w:val="24"/>
        </w:rPr>
        <w:t xml:space="preserve"> </w:t>
      </w:r>
      <w:proofErr w:type="spellStart"/>
      <w:r>
        <w:rPr>
          <w:rFonts w:ascii="Times New Roman" w:hAnsi="Times New Roman"/>
          <w:sz w:val="24"/>
          <w:szCs w:val="24"/>
        </w:rPr>
        <w:t>pacientu</w:t>
      </w:r>
      <w:proofErr w:type="spellEnd"/>
      <w:r>
        <w:rPr>
          <w:rFonts w:ascii="Times New Roman" w:hAnsi="Times New Roman"/>
          <w:sz w:val="24"/>
          <w:szCs w:val="24"/>
        </w:rPr>
        <w:t xml:space="preserve"> </w:t>
      </w:r>
      <w:proofErr w:type="spellStart"/>
      <w:r>
        <w:rPr>
          <w:rFonts w:ascii="Times New Roman" w:hAnsi="Times New Roman"/>
          <w:sz w:val="24"/>
          <w:szCs w:val="24"/>
        </w:rPr>
        <w:t>brīvas</w:t>
      </w:r>
      <w:proofErr w:type="spellEnd"/>
      <w:r>
        <w:rPr>
          <w:rFonts w:ascii="Times New Roman" w:hAnsi="Times New Roman"/>
          <w:sz w:val="24"/>
          <w:szCs w:val="24"/>
        </w:rPr>
        <w:t xml:space="preserve"> </w:t>
      </w:r>
      <w:proofErr w:type="spellStart"/>
      <w:r>
        <w:rPr>
          <w:rFonts w:ascii="Times New Roman" w:hAnsi="Times New Roman"/>
          <w:sz w:val="24"/>
          <w:szCs w:val="24"/>
        </w:rPr>
        <w:t>pakalpojuma</w:t>
      </w:r>
      <w:proofErr w:type="spellEnd"/>
      <w:r>
        <w:rPr>
          <w:rFonts w:ascii="Times New Roman" w:hAnsi="Times New Roman"/>
          <w:sz w:val="24"/>
          <w:szCs w:val="24"/>
        </w:rPr>
        <w:t xml:space="preserve"> </w:t>
      </w:r>
      <w:proofErr w:type="spellStart"/>
      <w:r>
        <w:rPr>
          <w:rFonts w:ascii="Times New Roman" w:hAnsi="Times New Roman"/>
          <w:sz w:val="24"/>
          <w:szCs w:val="24"/>
        </w:rPr>
        <w:t>saņemšanas</w:t>
      </w:r>
      <w:proofErr w:type="spellEnd"/>
      <w:r>
        <w:rPr>
          <w:rFonts w:ascii="Times New Roman" w:hAnsi="Times New Roman"/>
          <w:sz w:val="24"/>
          <w:szCs w:val="24"/>
        </w:rPr>
        <w:t xml:space="preserve"> </w:t>
      </w:r>
      <w:proofErr w:type="spellStart"/>
      <w:r>
        <w:rPr>
          <w:rFonts w:ascii="Times New Roman" w:hAnsi="Times New Roman"/>
          <w:sz w:val="24"/>
          <w:szCs w:val="24"/>
        </w:rPr>
        <w:t>vietas</w:t>
      </w:r>
      <w:proofErr w:type="spellEnd"/>
      <w:r>
        <w:rPr>
          <w:rFonts w:ascii="Times New Roman" w:hAnsi="Times New Roman"/>
          <w:sz w:val="24"/>
          <w:szCs w:val="24"/>
        </w:rPr>
        <w:t xml:space="preserve"> un </w:t>
      </w:r>
      <w:proofErr w:type="spellStart"/>
      <w:r>
        <w:rPr>
          <w:rFonts w:ascii="Times New Roman" w:hAnsi="Times New Roman"/>
          <w:sz w:val="24"/>
          <w:szCs w:val="24"/>
        </w:rPr>
        <w:t>ārsta</w:t>
      </w:r>
      <w:proofErr w:type="spellEnd"/>
      <w:r>
        <w:rPr>
          <w:rFonts w:ascii="Times New Roman" w:hAnsi="Times New Roman"/>
          <w:sz w:val="24"/>
          <w:szCs w:val="24"/>
        </w:rPr>
        <w:t xml:space="preserve"> </w:t>
      </w:r>
      <w:proofErr w:type="spellStart"/>
      <w:r>
        <w:rPr>
          <w:rFonts w:ascii="Times New Roman" w:hAnsi="Times New Roman"/>
          <w:sz w:val="24"/>
          <w:szCs w:val="24"/>
        </w:rPr>
        <w:t>izvēles</w:t>
      </w:r>
      <w:proofErr w:type="spellEnd"/>
      <w:r>
        <w:rPr>
          <w:rFonts w:ascii="Times New Roman" w:hAnsi="Times New Roman"/>
          <w:sz w:val="24"/>
          <w:szCs w:val="24"/>
        </w:rPr>
        <w:t xml:space="preserve"> </w:t>
      </w:r>
      <w:proofErr w:type="spellStart"/>
      <w:r>
        <w:rPr>
          <w:rFonts w:ascii="Times New Roman" w:hAnsi="Times New Roman"/>
          <w:sz w:val="24"/>
          <w:szCs w:val="24"/>
        </w:rPr>
        <w:t>tiesības</w:t>
      </w:r>
      <w:proofErr w:type="spellEnd"/>
      <w:r>
        <w:rPr>
          <w:rFonts w:ascii="Times New Roman" w:hAnsi="Times New Roman"/>
          <w:sz w:val="24"/>
          <w:szCs w:val="24"/>
        </w:rPr>
        <w:t>.</w:t>
      </w:r>
    </w:p>
    <w:p w:rsidR="003E0833" w:rsidRDefault="00DD2228" w:rsidP="006F60D7">
      <w:pPr>
        <w:ind w:firstLine="720"/>
        <w:jc w:val="both"/>
      </w:pPr>
      <w:r w:rsidRPr="003E0833">
        <w:t xml:space="preserve">Kopumā vērtējot veselības aprūpē esošo situāciju un iespējamās intervences tās uzlabošanai, </w:t>
      </w:r>
      <w:r w:rsidR="009A2699">
        <w:t xml:space="preserve">jāsecina, ka </w:t>
      </w:r>
      <w:r w:rsidRPr="003E0833">
        <w:t xml:space="preserve">nepārskatot pakalpojuma tarifus veselības nozarē netiks novērsta viena no būtiskākajām problēmām – ārstniecības personu trūkums valsts finansēto pakalpojuma sniegšanas nodrošināšanai. </w:t>
      </w:r>
    </w:p>
    <w:p w:rsidR="003E0833" w:rsidRDefault="00DD2228" w:rsidP="006F60D7">
      <w:pPr>
        <w:ind w:firstLine="720"/>
        <w:jc w:val="both"/>
      </w:pPr>
      <w:r w:rsidRPr="003E0833">
        <w:t xml:space="preserve">Nepārskatot pakalpojumu tarifus, nesamazinot ārstniecības personu pagarināto darba laiku, saskatāma ārstniecības personu trūkuma </w:t>
      </w:r>
      <w:proofErr w:type="spellStart"/>
      <w:r w:rsidRPr="003E0833">
        <w:t>kumulēšanās</w:t>
      </w:r>
      <w:proofErr w:type="spellEnd"/>
      <w:r w:rsidRPr="003E0833">
        <w:t xml:space="preserve"> un ārstniecības personu izdegšanas </w:t>
      </w:r>
      <w:r w:rsidRPr="003E0833">
        <w:lastRenderedPageBreak/>
        <w:t xml:space="preserve">sindroms, kas </w:t>
      </w:r>
      <w:r>
        <w:t xml:space="preserve">jau šobrīd </w:t>
      </w:r>
      <w:r w:rsidRPr="003E0833">
        <w:t>rada būtisku</w:t>
      </w:r>
      <w:r>
        <w:t>s</w:t>
      </w:r>
      <w:r w:rsidRPr="003E0833">
        <w:t xml:space="preserve"> risku</w:t>
      </w:r>
      <w:r>
        <w:t>s</w:t>
      </w:r>
      <w:r w:rsidRPr="003E0833">
        <w:t xml:space="preserve"> veselības aprūpes pakalpojumu sniegšanas pieejamībai un kvalitātei, </w:t>
      </w:r>
      <w:r>
        <w:t xml:space="preserve">lai </w:t>
      </w:r>
      <w:r w:rsidRPr="003E0833">
        <w:t xml:space="preserve"> pacient</w:t>
      </w:r>
      <w:r>
        <w:t>i varētu</w:t>
      </w:r>
      <w:r w:rsidRPr="003E0833">
        <w:t xml:space="preserve"> saņemt savlaicīgu un atbilstošu veselības aprūp</w:t>
      </w:r>
      <w:r>
        <w:t>i</w:t>
      </w:r>
      <w:r w:rsidRPr="003E0833">
        <w:t xml:space="preserve">. </w:t>
      </w:r>
    </w:p>
    <w:p w:rsidR="00E12183" w:rsidRPr="005C5679" w:rsidRDefault="00DD2228" w:rsidP="006F60D7">
      <w:pPr>
        <w:ind w:firstLine="720"/>
        <w:jc w:val="both"/>
      </w:pPr>
      <w:r w:rsidRPr="003E0833">
        <w:t>Atsevišķa pieejamī</w:t>
      </w:r>
      <w:r w:rsidR="003E76CB" w:rsidRPr="003E0833">
        <w:t>b</w:t>
      </w:r>
      <w:r w:rsidRPr="003E0833">
        <w:t>as pastāvīga palielināšana nepārskatot pak</w:t>
      </w:r>
      <w:r w:rsidR="003E76CB" w:rsidRPr="003E0833">
        <w:t>a</w:t>
      </w:r>
      <w:r w:rsidRPr="003E0833">
        <w:t xml:space="preserve">lpojuma tarifus </w:t>
      </w:r>
      <w:r w:rsidR="003E76CB" w:rsidRPr="003E0833">
        <w:t>vērtējama kā stratēģiski neefektīva</w:t>
      </w:r>
      <w:r w:rsidRPr="003E0833">
        <w:t>, tomēr pieejam</w:t>
      </w:r>
      <w:r w:rsidR="003E76CB" w:rsidRPr="003E0833">
        <w:t>ī</w:t>
      </w:r>
      <w:r w:rsidRPr="003E0833">
        <w:t xml:space="preserve">bas </w:t>
      </w:r>
      <w:r w:rsidR="003E76CB" w:rsidRPr="003E0833">
        <w:t xml:space="preserve">pakāpeniska </w:t>
      </w:r>
      <w:r w:rsidRPr="003E0833">
        <w:t>palielināšana kontekstā ar pakāpenisku darba samaksas pieaugumu līdz divām tautsaimniec</w:t>
      </w:r>
      <w:r w:rsidR="003E0833">
        <w:t>ī</w:t>
      </w:r>
      <w:r w:rsidRPr="003E0833">
        <w:t>bā vidējām darba samaksām ārstiem</w:t>
      </w:r>
      <w:r>
        <w:rPr>
          <w:rStyle w:val="FootnoteReference"/>
        </w:rPr>
        <w:footnoteReference w:id="9"/>
      </w:r>
      <w:r w:rsidRPr="003E0833">
        <w:t>, attiecīgi vidējam personālam 60 % un zemākajam person</w:t>
      </w:r>
      <w:r w:rsidR="003E0833">
        <w:t>ā</w:t>
      </w:r>
      <w:r w:rsidRPr="003E0833">
        <w:t>lam 40 % apm</w:t>
      </w:r>
      <w:r w:rsidR="003E76CB" w:rsidRPr="003E0833">
        <w:t>ē</w:t>
      </w:r>
      <w:r w:rsidRPr="003E0833">
        <w:t xml:space="preserve">rā no ārsta darba samaksas, </w:t>
      </w:r>
      <w:r w:rsidR="003E76CB" w:rsidRPr="003E0833">
        <w:t>atbilstoši no valsts budžeta rastajam finansējumam un strukturālajam ietaupījumam, vērtējama ka ilgtspējīga nozares attīstības reforma</w:t>
      </w:r>
      <w:r w:rsidR="003E76CB">
        <w:t xml:space="preserve">. </w:t>
      </w:r>
      <w:r>
        <w:t xml:space="preserve">  </w:t>
      </w:r>
    </w:p>
    <w:p w:rsidR="009C3A8F" w:rsidRPr="005C5679" w:rsidRDefault="009C3A8F" w:rsidP="009C3A8F">
      <w:pPr>
        <w:jc w:val="both"/>
      </w:pPr>
    </w:p>
    <w:p w:rsidR="00A45DB7" w:rsidRDefault="00A45DB7" w:rsidP="005C5679">
      <w:pPr>
        <w:jc w:val="both"/>
      </w:pPr>
    </w:p>
    <w:p w:rsidR="00464BD8" w:rsidRDefault="00464BD8" w:rsidP="00AD3930">
      <w:pPr>
        <w:shd w:val="clear" w:color="auto" w:fill="FFFFFF"/>
        <w:ind w:firstLine="720"/>
        <w:jc w:val="both"/>
        <w:rPr>
          <w:color w:val="000000" w:themeColor="text1"/>
        </w:rPr>
      </w:pPr>
    </w:p>
    <w:p w:rsidR="00343E8A" w:rsidRPr="00CD0464" w:rsidRDefault="00DD2228" w:rsidP="00343E8A">
      <w:pPr>
        <w:ind w:right="-766"/>
        <w:rPr>
          <w:sz w:val="28"/>
          <w:szCs w:val="28"/>
        </w:rPr>
      </w:pPr>
      <w:r w:rsidRPr="00CD0464">
        <w:rPr>
          <w:sz w:val="28"/>
          <w:szCs w:val="28"/>
        </w:rPr>
        <w:t>Veselības ministre</w:t>
      </w:r>
      <w:r w:rsidRPr="00CD0464">
        <w:rPr>
          <w:sz w:val="28"/>
          <w:szCs w:val="28"/>
        </w:rPr>
        <w:tab/>
      </w:r>
      <w:r w:rsidRPr="00CD0464">
        <w:rPr>
          <w:sz w:val="28"/>
          <w:szCs w:val="28"/>
        </w:rPr>
        <w:tab/>
      </w:r>
      <w:r w:rsidRPr="00CD0464">
        <w:rPr>
          <w:sz w:val="28"/>
          <w:szCs w:val="28"/>
        </w:rPr>
        <w:tab/>
      </w:r>
      <w:r w:rsidRPr="00CD0464">
        <w:rPr>
          <w:sz w:val="28"/>
          <w:szCs w:val="28"/>
        </w:rPr>
        <w:tab/>
      </w:r>
      <w:r w:rsidRPr="00CD0464">
        <w:rPr>
          <w:sz w:val="28"/>
          <w:szCs w:val="28"/>
        </w:rPr>
        <w:tab/>
      </w:r>
      <w:r w:rsidRPr="00CD0464">
        <w:rPr>
          <w:sz w:val="28"/>
          <w:szCs w:val="28"/>
        </w:rPr>
        <w:tab/>
      </w:r>
      <w:r w:rsidRPr="00CD0464">
        <w:rPr>
          <w:sz w:val="28"/>
          <w:szCs w:val="28"/>
        </w:rPr>
        <w:tab/>
      </w:r>
      <w:r w:rsidRPr="00CD0464">
        <w:rPr>
          <w:sz w:val="28"/>
          <w:szCs w:val="28"/>
        </w:rPr>
        <w:tab/>
        <w:t xml:space="preserve">Anda </w:t>
      </w:r>
      <w:proofErr w:type="spellStart"/>
      <w:r w:rsidRPr="00CD0464">
        <w:rPr>
          <w:sz w:val="28"/>
          <w:szCs w:val="28"/>
        </w:rPr>
        <w:t>Čakša</w:t>
      </w:r>
      <w:proofErr w:type="spellEnd"/>
    </w:p>
    <w:p w:rsidR="00343E8A" w:rsidRPr="00CD0464" w:rsidRDefault="00343E8A" w:rsidP="00343E8A">
      <w:pPr>
        <w:ind w:right="-766"/>
        <w:rPr>
          <w:sz w:val="28"/>
          <w:szCs w:val="28"/>
        </w:rPr>
      </w:pPr>
    </w:p>
    <w:p w:rsidR="00343E8A" w:rsidRPr="00CD0464" w:rsidRDefault="00DD2228" w:rsidP="00343E8A">
      <w:pPr>
        <w:tabs>
          <w:tab w:val="left" w:pos="7088"/>
          <w:tab w:val="right" w:pos="9072"/>
        </w:tabs>
        <w:ind w:right="-766"/>
        <w:rPr>
          <w:sz w:val="28"/>
          <w:szCs w:val="28"/>
        </w:rPr>
      </w:pPr>
      <w:r w:rsidRPr="00CD0464">
        <w:rPr>
          <w:sz w:val="28"/>
          <w:szCs w:val="28"/>
        </w:rPr>
        <w:t>Iesniedzējs: Veselības ministre</w:t>
      </w:r>
      <w:r w:rsidRPr="00CD0464">
        <w:rPr>
          <w:sz w:val="28"/>
          <w:szCs w:val="28"/>
        </w:rPr>
        <w:tab/>
        <w:t xml:space="preserve">  Anda </w:t>
      </w:r>
      <w:proofErr w:type="spellStart"/>
      <w:r w:rsidRPr="00CD0464">
        <w:rPr>
          <w:sz w:val="28"/>
          <w:szCs w:val="28"/>
        </w:rPr>
        <w:t>Čakša</w:t>
      </w:r>
      <w:proofErr w:type="spellEnd"/>
    </w:p>
    <w:p w:rsidR="00343E8A" w:rsidRPr="00CD0464" w:rsidRDefault="00343E8A" w:rsidP="00343E8A">
      <w:pPr>
        <w:tabs>
          <w:tab w:val="left" w:pos="7088"/>
          <w:tab w:val="right" w:pos="9072"/>
        </w:tabs>
        <w:ind w:right="-766"/>
        <w:rPr>
          <w:sz w:val="28"/>
          <w:szCs w:val="28"/>
        </w:rPr>
      </w:pPr>
    </w:p>
    <w:p w:rsidR="00343E8A" w:rsidRPr="00CD0464" w:rsidRDefault="008E3BAB" w:rsidP="00343E8A">
      <w:pPr>
        <w:ind w:right="-1"/>
        <w:rPr>
          <w:sz w:val="28"/>
          <w:szCs w:val="28"/>
        </w:rPr>
      </w:pPr>
      <w:r>
        <w:rPr>
          <w:sz w:val="28"/>
          <w:szCs w:val="28"/>
        </w:rPr>
        <w:t xml:space="preserve">Vīza: Valsts sekretāra </w:t>
      </w:r>
      <w:proofErr w:type="spellStart"/>
      <w:r>
        <w:rPr>
          <w:sz w:val="28"/>
          <w:szCs w:val="28"/>
        </w:rPr>
        <w:t>p.i</w:t>
      </w:r>
      <w:proofErr w:type="spellEnd"/>
      <w:r>
        <w:rPr>
          <w:sz w:val="28"/>
          <w:szCs w:val="28"/>
        </w:rPr>
        <w:t>.</w:t>
      </w:r>
      <w:r>
        <w:rPr>
          <w:sz w:val="28"/>
          <w:szCs w:val="28"/>
        </w:rPr>
        <w:tab/>
      </w:r>
      <w:r>
        <w:rPr>
          <w:sz w:val="28"/>
          <w:szCs w:val="28"/>
        </w:rPr>
        <w:tab/>
      </w:r>
      <w:r>
        <w:rPr>
          <w:sz w:val="28"/>
          <w:szCs w:val="28"/>
        </w:rPr>
        <w:tab/>
      </w:r>
      <w:r>
        <w:rPr>
          <w:sz w:val="28"/>
          <w:szCs w:val="28"/>
        </w:rPr>
        <w:tab/>
        <w:t xml:space="preserve">Daina </w:t>
      </w:r>
      <w:proofErr w:type="spellStart"/>
      <w:r>
        <w:rPr>
          <w:sz w:val="28"/>
          <w:szCs w:val="28"/>
        </w:rPr>
        <w:t>Mūrmane</w:t>
      </w:r>
      <w:proofErr w:type="spellEnd"/>
      <w:r>
        <w:rPr>
          <w:sz w:val="28"/>
          <w:szCs w:val="28"/>
        </w:rPr>
        <w:t xml:space="preserve"> - </w:t>
      </w:r>
      <w:proofErr w:type="spellStart"/>
      <w:r>
        <w:rPr>
          <w:sz w:val="28"/>
          <w:szCs w:val="28"/>
        </w:rPr>
        <w:t>Umbraško</w:t>
      </w:r>
      <w:proofErr w:type="spellEnd"/>
      <w:r w:rsidR="00DD2228" w:rsidRPr="00CD0464">
        <w:rPr>
          <w:sz w:val="28"/>
          <w:szCs w:val="28"/>
        </w:rPr>
        <w:t xml:space="preserve">   </w:t>
      </w:r>
    </w:p>
    <w:sectPr w:rsidR="00343E8A" w:rsidRPr="00CD0464" w:rsidSect="00D1191F">
      <w:headerReference w:type="default" r:id="rId12"/>
      <w:footerReference w:type="default" r:id="rId13"/>
      <w:footerReference w:type="first" r:id="rId14"/>
      <w:pgSz w:w="12240" w:h="15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28" w:rsidRDefault="00DD2228">
      <w:r>
        <w:separator/>
      </w:r>
    </w:p>
  </w:endnote>
  <w:endnote w:type="continuationSeparator" w:id="0">
    <w:p w:rsidR="00DD2228" w:rsidRDefault="00DD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28" w:rsidRPr="00ED2403" w:rsidRDefault="00DD2228">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sidR="008E3BAB">
      <w:rPr>
        <w:rFonts w:ascii="Times New Roman" w:hAnsi="Times New Roman" w:cs="Times New Roman"/>
        <w:sz w:val="20"/>
        <w:szCs w:val="20"/>
      </w:rPr>
      <w:t>0609</w:t>
    </w:r>
    <w:r>
      <w:rPr>
        <w:rFonts w:ascii="Times New Roman" w:hAnsi="Times New Roman" w:cs="Times New Roman"/>
        <w:sz w:val="20"/>
        <w:szCs w:val="20"/>
      </w:rPr>
      <w:t>17</w:t>
    </w:r>
    <w:r w:rsidRPr="00FB42B8">
      <w:rPr>
        <w:rFonts w:ascii="Times New Roman" w:hAnsi="Times New Roman" w:cs="Times New Roman"/>
        <w:sz w:val="20"/>
        <w:szCs w:val="20"/>
      </w:rPr>
      <w:t>_</w:t>
    </w:r>
    <w:r>
      <w:rPr>
        <w:rFonts w:ascii="Times New Roman" w:hAnsi="Times New Roman" w:cs="Times New Roman"/>
        <w:sz w:val="20"/>
        <w:szCs w:val="20"/>
      </w:rPr>
      <w:t>amb_pieejamiba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28" w:rsidRPr="00ED2403" w:rsidRDefault="00DD2228" w:rsidP="00A45DB7">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sidR="008E3BAB">
      <w:rPr>
        <w:rFonts w:ascii="Times New Roman" w:hAnsi="Times New Roman" w:cs="Times New Roman"/>
        <w:sz w:val="20"/>
        <w:szCs w:val="20"/>
      </w:rPr>
      <w:t>0609</w:t>
    </w:r>
    <w:r>
      <w:rPr>
        <w:rFonts w:ascii="Times New Roman" w:hAnsi="Times New Roman" w:cs="Times New Roman"/>
        <w:sz w:val="20"/>
        <w:szCs w:val="20"/>
      </w:rPr>
      <w:t>17</w:t>
    </w:r>
    <w:r w:rsidRPr="00FB42B8">
      <w:rPr>
        <w:rFonts w:ascii="Times New Roman" w:hAnsi="Times New Roman" w:cs="Times New Roman"/>
        <w:sz w:val="20"/>
        <w:szCs w:val="20"/>
      </w:rPr>
      <w:t>_</w:t>
    </w:r>
    <w:r>
      <w:rPr>
        <w:rFonts w:ascii="Times New Roman" w:hAnsi="Times New Roman" w:cs="Times New Roman"/>
        <w:sz w:val="20"/>
        <w:szCs w:val="20"/>
      </w:rPr>
      <w:t>amb_pieejamiba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28" w:rsidRDefault="00DD2228" w:rsidP="00742970">
      <w:r>
        <w:separator/>
      </w:r>
    </w:p>
  </w:footnote>
  <w:footnote w:type="continuationSeparator" w:id="0">
    <w:p w:rsidR="00DD2228" w:rsidRDefault="00DD2228" w:rsidP="00742970">
      <w:r>
        <w:continuationSeparator/>
      </w:r>
    </w:p>
  </w:footnote>
  <w:footnote w:type="continuationNotice" w:id="1">
    <w:p w:rsidR="00DD2228" w:rsidRDefault="00DD2228"/>
  </w:footnote>
  <w:footnote w:id="2">
    <w:p w:rsidR="00DD2228" w:rsidRPr="00617636" w:rsidRDefault="00DD2228" w:rsidP="00E7493A">
      <w:pPr>
        <w:shd w:val="clear" w:color="auto" w:fill="FFFFFF"/>
        <w:spacing w:line="103" w:lineRule="atLeast"/>
        <w:jc w:val="both"/>
        <w:rPr>
          <w:color w:val="414142"/>
          <w:sz w:val="18"/>
          <w:szCs w:val="18"/>
        </w:rPr>
      </w:pPr>
      <w:r w:rsidRPr="00617636">
        <w:rPr>
          <w:rStyle w:val="FootnoteReference"/>
          <w:sz w:val="18"/>
          <w:szCs w:val="18"/>
        </w:rPr>
        <w:footnoteRef/>
      </w:r>
      <w:r w:rsidRPr="00617636">
        <w:rPr>
          <w:color w:val="414142"/>
          <w:sz w:val="18"/>
          <w:szCs w:val="18"/>
        </w:rPr>
        <w:t xml:space="preserve">Sabiedrības veselības pamatnostādnes 2014.-2020.gadam (MK rīkojums Nr. 589 14.10.2014) ir vidēja termiņa </w:t>
      </w:r>
      <w:r>
        <w:rPr>
          <w:color w:val="414142"/>
          <w:sz w:val="18"/>
          <w:szCs w:val="18"/>
        </w:rPr>
        <w:t>attīstīb</w:t>
      </w:r>
      <w:r w:rsidRPr="00617636">
        <w:rPr>
          <w:color w:val="414142"/>
          <w:sz w:val="18"/>
          <w:szCs w:val="18"/>
        </w:rPr>
        <w:t>as plānošanas dokuments, kas balstās uz Pasaules Veselības organizācijas Eiropas reģiona stratēģiju "Veselība 2020" un ir izstrādātas, lai aktualizētu Sabiedrības veselības pamatnostādnēs 2011.-2017. gadam iekļauto situācijas raksturojumu, problēmu formulējumu, mērķus, politikas rezultātus, rīcības virzienos ietvertos uzdevumus un saskaņotu tos ar Latvijas Nacionālo attīstības plānu 2014.-2020. gadam un jauno finanšu plānošanas periodu.</w:t>
      </w:r>
    </w:p>
  </w:footnote>
  <w:footnote w:id="3">
    <w:p w:rsidR="00DD2228" w:rsidRPr="00617636" w:rsidRDefault="00DD2228" w:rsidP="00617636">
      <w:pPr>
        <w:pStyle w:val="FootnoteText"/>
        <w:jc w:val="both"/>
        <w:rPr>
          <w:rFonts w:ascii="Times New Roman" w:hAnsi="Times New Roman" w:cs="Times New Roman"/>
          <w:sz w:val="18"/>
          <w:szCs w:val="18"/>
        </w:rPr>
      </w:pPr>
      <w:r w:rsidRPr="00617636">
        <w:rPr>
          <w:rStyle w:val="FootnoteReference"/>
          <w:rFonts w:ascii="Times New Roman" w:hAnsi="Times New Roman" w:cs="Times New Roman"/>
          <w:sz w:val="18"/>
          <w:szCs w:val="18"/>
        </w:rPr>
        <w:footnoteRef/>
      </w:r>
      <w:bookmarkStart w:id="0" w:name="_ftn1"/>
      <w:r w:rsidRPr="00617636">
        <w:rPr>
          <w:rFonts w:ascii="Times New Roman" w:hAnsi="Times New Roman" w:cs="Times New Roman"/>
          <w:color w:val="000000"/>
          <w:sz w:val="18"/>
          <w:szCs w:val="18"/>
        </w:rPr>
        <w:t>V</w:t>
      </w:r>
      <w:bookmarkEnd w:id="0"/>
      <w:r w:rsidRPr="00617636">
        <w:rPr>
          <w:rFonts w:ascii="Times New Roman" w:hAnsi="Times New Roman" w:cs="Times New Roman"/>
          <w:color w:val="000000"/>
          <w:sz w:val="18"/>
          <w:szCs w:val="18"/>
        </w:rPr>
        <w:t>eselīgi no</w:t>
      </w:r>
      <w:r>
        <w:rPr>
          <w:rFonts w:ascii="Times New Roman" w:hAnsi="Times New Roman" w:cs="Times New Roman"/>
          <w:color w:val="000000"/>
          <w:sz w:val="18"/>
          <w:szCs w:val="18"/>
        </w:rPr>
        <w:t xml:space="preserve">dzīvotie mūža gadi ir laiks, kurus cilvēks </w:t>
      </w:r>
      <w:r w:rsidRPr="00617636">
        <w:rPr>
          <w:rFonts w:ascii="Times New Roman" w:hAnsi="Times New Roman" w:cs="Times New Roman"/>
          <w:color w:val="000000"/>
          <w:sz w:val="18"/>
          <w:szCs w:val="18"/>
        </w:rPr>
        <w:t>prognozējami var nodzīvot bez slimībām un invaliditātes jeb aktivitātes ierobežojumiem.</w:t>
      </w:r>
    </w:p>
  </w:footnote>
  <w:footnote w:id="4">
    <w:p w:rsidR="00DD2228" w:rsidRPr="00B95678" w:rsidRDefault="00DD2228" w:rsidP="00B95678">
      <w:pPr>
        <w:spacing w:line="103" w:lineRule="atLeast"/>
        <w:jc w:val="both"/>
        <w:rPr>
          <w:color w:val="000000" w:themeColor="text1"/>
          <w:sz w:val="18"/>
          <w:szCs w:val="18"/>
        </w:rPr>
      </w:pPr>
      <w:r w:rsidRPr="00617636">
        <w:rPr>
          <w:rStyle w:val="FootnoteReference"/>
          <w:sz w:val="18"/>
          <w:szCs w:val="18"/>
        </w:rPr>
        <w:footnoteRef/>
      </w:r>
      <w:r w:rsidRPr="00617636">
        <w:rPr>
          <w:color w:val="000000" w:themeColor="text1"/>
          <w:sz w:val="18"/>
          <w:szCs w:val="18"/>
        </w:rPr>
        <w:t xml:space="preserve">Potenciāli zaudētie mūža gadi – </w:t>
      </w:r>
      <w:r w:rsidRPr="00617636">
        <w:rPr>
          <w:rFonts w:eastAsia="Calibri"/>
          <w:color w:val="000000" w:themeColor="text1"/>
          <w:sz w:val="18"/>
          <w:szCs w:val="18"/>
        </w:rPr>
        <w:t>gadi, kurus cilvēks būtu nodzīvojis līdz noteiktam vecumam (LV lietotais slieksnis līdz 64 gadiem), ja neb</w:t>
      </w:r>
      <w:bookmarkStart w:id="1" w:name="_GoBack"/>
      <w:bookmarkEnd w:id="1"/>
      <w:r w:rsidRPr="00617636">
        <w:rPr>
          <w:rFonts w:eastAsia="Calibri"/>
          <w:color w:val="000000" w:themeColor="text1"/>
          <w:sz w:val="18"/>
          <w:szCs w:val="18"/>
        </w:rPr>
        <w:t>ūtu nomiris. Jo agrākā vecumā iedzīvotāji mirst, jo lielāks ir potenciāli zaudēto mūža gadu skaits.</w:t>
      </w:r>
    </w:p>
  </w:footnote>
  <w:footnote w:id="5">
    <w:p w:rsidR="00DD2228" w:rsidRDefault="00DD2228">
      <w:pPr>
        <w:pStyle w:val="FootnoteText"/>
      </w:pPr>
      <w:r>
        <w:rPr>
          <w:rStyle w:val="FootnoteReference"/>
        </w:rPr>
        <w:footnoteRef/>
      </w:r>
      <w:r>
        <w:t xml:space="preserve"> </w:t>
      </w:r>
      <w:r w:rsidRPr="00B95678">
        <w:rPr>
          <w:rFonts w:ascii="Times New Roman" w:hAnsi="Times New Roman" w:cs="Times New Roman"/>
          <w:sz w:val="18"/>
          <w:szCs w:val="18"/>
        </w:rPr>
        <w:t>Slimību profilakses un kontroles centra (turpmāk – SPKC) aprēķini</w:t>
      </w:r>
    </w:p>
  </w:footnote>
  <w:footnote w:id="6">
    <w:p w:rsidR="00DD2228" w:rsidRDefault="00DD2228">
      <w:pPr>
        <w:pStyle w:val="FootnoteText"/>
      </w:pPr>
      <w:r>
        <w:rPr>
          <w:rStyle w:val="FootnoteReference"/>
        </w:rPr>
        <w:footnoteRef/>
      </w:r>
      <w:r>
        <w:t xml:space="preserve"> </w:t>
      </w:r>
      <w:r>
        <w:rPr>
          <w:rStyle w:val="FootnoteReference"/>
        </w:rPr>
        <w:footnoteRef/>
      </w:r>
      <w:r>
        <w:t xml:space="preserve"> </w:t>
      </w:r>
      <w:r w:rsidRPr="00B95678">
        <w:rPr>
          <w:rFonts w:ascii="Times New Roman" w:hAnsi="Times New Roman" w:cs="Times New Roman"/>
          <w:sz w:val="18"/>
          <w:szCs w:val="18"/>
        </w:rPr>
        <w:t>Slimību profilakses un kontroles centra (turpmāk – SPKC) aprēķini</w:t>
      </w:r>
    </w:p>
  </w:footnote>
  <w:footnote w:id="7">
    <w:p w:rsidR="00DD2228" w:rsidRPr="006213DE" w:rsidRDefault="00DD2228" w:rsidP="00187F39">
      <w:pPr>
        <w:pStyle w:val="FootnoteText"/>
        <w:rPr>
          <w:rFonts w:ascii="Times New Roman" w:hAnsi="Times New Roman"/>
        </w:rPr>
      </w:pPr>
      <w:r w:rsidRPr="006213DE">
        <w:rPr>
          <w:rStyle w:val="FootnoteReference"/>
          <w:rFonts w:ascii="Times New Roman" w:hAnsi="Times New Roman"/>
          <w:sz w:val="18"/>
        </w:rPr>
        <w:footnoteRef/>
      </w:r>
      <w:r w:rsidRPr="003C7B45">
        <w:rPr>
          <w:rFonts w:ascii="Times New Roman" w:hAnsi="Times New Roman" w:cs="Times New Roman"/>
          <w:sz w:val="18"/>
          <w:szCs w:val="18"/>
        </w:rPr>
        <w:t>CSP, Statistisko datu krājums “IEDZĪVOTĀJU VESELĪBAS APSEKOJUMA REZULTĀTI LATVIJĀ”, 27.lpp</w:t>
      </w:r>
    </w:p>
  </w:footnote>
  <w:footnote w:id="8">
    <w:p w:rsidR="00DD2228" w:rsidRPr="006213DE" w:rsidRDefault="00DD2228" w:rsidP="00187F39">
      <w:pPr>
        <w:pStyle w:val="FootnoteText"/>
        <w:rPr>
          <w:rFonts w:ascii="Times New Roman" w:hAnsi="Times New Roman"/>
        </w:rPr>
      </w:pPr>
      <w:r w:rsidRPr="006213DE">
        <w:rPr>
          <w:rStyle w:val="FootnoteReference"/>
          <w:rFonts w:ascii="Times New Roman" w:hAnsi="Times New Roman"/>
          <w:sz w:val="18"/>
        </w:rPr>
        <w:footnoteRef/>
      </w:r>
      <w:r w:rsidRPr="003C7B45">
        <w:rPr>
          <w:rFonts w:ascii="Times New Roman" w:hAnsi="Times New Roman" w:cs="Times New Roman"/>
          <w:sz w:val="18"/>
          <w:szCs w:val="18"/>
        </w:rPr>
        <w:t>CSP, Statistisko datu krājums “IEDZĪVOTĀJU VESELĪBAS A</w:t>
      </w:r>
      <w:r>
        <w:rPr>
          <w:rFonts w:ascii="Times New Roman" w:hAnsi="Times New Roman" w:cs="Times New Roman"/>
          <w:sz w:val="18"/>
          <w:szCs w:val="18"/>
        </w:rPr>
        <w:t>PSEKOJUMA REZULTĀTI LATVIJĀ”, 66</w:t>
      </w:r>
      <w:r w:rsidRPr="003C7B45">
        <w:rPr>
          <w:rFonts w:ascii="Times New Roman" w:hAnsi="Times New Roman" w:cs="Times New Roman"/>
          <w:sz w:val="18"/>
          <w:szCs w:val="18"/>
        </w:rPr>
        <w:t>.lpp</w:t>
      </w:r>
    </w:p>
  </w:footnote>
  <w:footnote w:id="9">
    <w:p w:rsidR="00DD2228" w:rsidRPr="00863152" w:rsidRDefault="00DD2228">
      <w:pPr>
        <w:pStyle w:val="FootnoteText"/>
        <w:rPr>
          <w:rFonts w:ascii="Times New Roman" w:hAnsi="Times New Roman" w:cs="Times New Roman"/>
        </w:rPr>
      </w:pPr>
      <w:r w:rsidRPr="00863152">
        <w:rPr>
          <w:rStyle w:val="FootnoteReference"/>
          <w:rFonts w:ascii="Times New Roman" w:hAnsi="Times New Roman" w:cs="Times New Roman"/>
        </w:rPr>
        <w:footnoteRef/>
      </w:r>
      <w:r w:rsidRPr="00863152">
        <w:rPr>
          <w:rFonts w:ascii="Times New Roman" w:hAnsi="Times New Roman" w:cs="Times New Roman"/>
        </w:rPr>
        <w:t xml:space="preserve"> Veselības ministrijas Konceptuālais ziņojums “Par veselības aprūpes sistēmas reformu”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95955463"/>
      <w:docPartObj>
        <w:docPartGallery w:val="Page Numbers (Top of Page)"/>
        <w:docPartUnique/>
      </w:docPartObj>
    </w:sdtPr>
    <w:sdtEndPr/>
    <w:sdtContent>
      <w:p w:rsidR="00DD2228" w:rsidRPr="005423DB" w:rsidRDefault="00DD2228">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sidR="008E3BAB">
          <w:rPr>
            <w:rFonts w:ascii="Times New Roman" w:hAnsi="Times New Roman" w:cs="Times New Roman"/>
            <w:noProof/>
          </w:rPr>
          <w:t>12</w:t>
        </w:r>
        <w:r w:rsidRPr="005423DB">
          <w:rPr>
            <w:rFonts w:ascii="Times New Roman" w:hAnsi="Times New Roman" w:cs="Times New Roman"/>
          </w:rPr>
          <w:fldChar w:fldCharType="end"/>
        </w:r>
      </w:p>
    </w:sdtContent>
  </w:sdt>
  <w:p w:rsidR="00DD2228" w:rsidRDefault="00DD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B0999"/>
    <w:multiLevelType w:val="hybridMultilevel"/>
    <w:tmpl w:val="E2BE3B06"/>
    <w:lvl w:ilvl="0" w:tplc="1D68A3B4">
      <w:start w:val="1"/>
      <w:numFmt w:val="bullet"/>
      <w:lvlText w:val=""/>
      <w:lvlJc w:val="left"/>
      <w:pPr>
        <w:ind w:left="720" w:hanging="360"/>
      </w:pPr>
      <w:rPr>
        <w:rFonts w:ascii="Symbol" w:hAnsi="Symbol" w:hint="default"/>
      </w:rPr>
    </w:lvl>
    <w:lvl w:ilvl="1" w:tplc="D31A20BE" w:tentative="1">
      <w:start w:val="1"/>
      <w:numFmt w:val="bullet"/>
      <w:lvlText w:val="o"/>
      <w:lvlJc w:val="left"/>
      <w:pPr>
        <w:ind w:left="1440" w:hanging="360"/>
      </w:pPr>
      <w:rPr>
        <w:rFonts w:ascii="Courier New" w:hAnsi="Courier New" w:cs="Courier New" w:hint="default"/>
      </w:rPr>
    </w:lvl>
    <w:lvl w:ilvl="2" w:tplc="722EC7D6" w:tentative="1">
      <w:start w:val="1"/>
      <w:numFmt w:val="bullet"/>
      <w:lvlText w:val=""/>
      <w:lvlJc w:val="left"/>
      <w:pPr>
        <w:ind w:left="2160" w:hanging="360"/>
      </w:pPr>
      <w:rPr>
        <w:rFonts w:ascii="Wingdings" w:hAnsi="Wingdings" w:hint="default"/>
      </w:rPr>
    </w:lvl>
    <w:lvl w:ilvl="3" w:tplc="E4787F80" w:tentative="1">
      <w:start w:val="1"/>
      <w:numFmt w:val="bullet"/>
      <w:lvlText w:val=""/>
      <w:lvlJc w:val="left"/>
      <w:pPr>
        <w:ind w:left="2880" w:hanging="360"/>
      </w:pPr>
      <w:rPr>
        <w:rFonts w:ascii="Symbol" w:hAnsi="Symbol" w:hint="default"/>
      </w:rPr>
    </w:lvl>
    <w:lvl w:ilvl="4" w:tplc="CE760014" w:tentative="1">
      <w:start w:val="1"/>
      <w:numFmt w:val="bullet"/>
      <w:lvlText w:val="o"/>
      <w:lvlJc w:val="left"/>
      <w:pPr>
        <w:ind w:left="3600" w:hanging="360"/>
      </w:pPr>
      <w:rPr>
        <w:rFonts w:ascii="Courier New" w:hAnsi="Courier New" w:cs="Courier New" w:hint="default"/>
      </w:rPr>
    </w:lvl>
    <w:lvl w:ilvl="5" w:tplc="4AE6BD98" w:tentative="1">
      <w:start w:val="1"/>
      <w:numFmt w:val="bullet"/>
      <w:lvlText w:val=""/>
      <w:lvlJc w:val="left"/>
      <w:pPr>
        <w:ind w:left="4320" w:hanging="360"/>
      </w:pPr>
      <w:rPr>
        <w:rFonts w:ascii="Wingdings" w:hAnsi="Wingdings" w:hint="default"/>
      </w:rPr>
    </w:lvl>
    <w:lvl w:ilvl="6" w:tplc="18584DEA" w:tentative="1">
      <w:start w:val="1"/>
      <w:numFmt w:val="bullet"/>
      <w:lvlText w:val=""/>
      <w:lvlJc w:val="left"/>
      <w:pPr>
        <w:ind w:left="5040" w:hanging="360"/>
      </w:pPr>
      <w:rPr>
        <w:rFonts w:ascii="Symbol" w:hAnsi="Symbol" w:hint="default"/>
      </w:rPr>
    </w:lvl>
    <w:lvl w:ilvl="7" w:tplc="5DA2ABDA" w:tentative="1">
      <w:start w:val="1"/>
      <w:numFmt w:val="bullet"/>
      <w:lvlText w:val="o"/>
      <w:lvlJc w:val="left"/>
      <w:pPr>
        <w:ind w:left="5760" w:hanging="360"/>
      </w:pPr>
      <w:rPr>
        <w:rFonts w:ascii="Courier New" w:hAnsi="Courier New" w:cs="Courier New" w:hint="default"/>
      </w:rPr>
    </w:lvl>
    <w:lvl w:ilvl="8" w:tplc="62D0645C" w:tentative="1">
      <w:start w:val="1"/>
      <w:numFmt w:val="bullet"/>
      <w:lvlText w:val=""/>
      <w:lvlJc w:val="left"/>
      <w:pPr>
        <w:ind w:left="6480" w:hanging="360"/>
      </w:pPr>
      <w:rPr>
        <w:rFonts w:ascii="Wingdings" w:hAnsi="Wingdings" w:hint="default"/>
      </w:rPr>
    </w:lvl>
  </w:abstractNum>
  <w:abstractNum w:abstractNumId="1" w15:restartNumberingAfterBreak="0">
    <w:nsid w:val="221D6FBC"/>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50077A"/>
    <w:multiLevelType w:val="hybridMultilevel"/>
    <w:tmpl w:val="1EC25FB6"/>
    <w:lvl w:ilvl="0" w:tplc="6BA883C0">
      <w:start w:val="1"/>
      <w:numFmt w:val="decimal"/>
      <w:lvlText w:val="%1)"/>
      <w:lvlJc w:val="left"/>
      <w:pPr>
        <w:ind w:left="1080" w:hanging="360"/>
      </w:pPr>
      <w:rPr>
        <w:rFonts w:hint="default"/>
      </w:rPr>
    </w:lvl>
    <w:lvl w:ilvl="1" w:tplc="F7CAC310" w:tentative="1">
      <w:start w:val="1"/>
      <w:numFmt w:val="lowerLetter"/>
      <w:lvlText w:val="%2."/>
      <w:lvlJc w:val="left"/>
      <w:pPr>
        <w:ind w:left="1800" w:hanging="360"/>
      </w:pPr>
    </w:lvl>
    <w:lvl w:ilvl="2" w:tplc="B36CDDA2" w:tentative="1">
      <w:start w:val="1"/>
      <w:numFmt w:val="lowerRoman"/>
      <w:lvlText w:val="%3."/>
      <w:lvlJc w:val="right"/>
      <w:pPr>
        <w:ind w:left="2520" w:hanging="180"/>
      </w:pPr>
    </w:lvl>
    <w:lvl w:ilvl="3" w:tplc="3AA053CE" w:tentative="1">
      <w:start w:val="1"/>
      <w:numFmt w:val="decimal"/>
      <w:lvlText w:val="%4."/>
      <w:lvlJc w:val="left"/>
      <w:pPr>
        <w:ind w:left="3240" w:hanging="360"/>
      </w:pPr>
    </w:lvl>
    <w:lvl w:ilvl="4" w:tplc="851857A4" w:tentative="1">
      <w:start w:val="1"/>
      <w:numFmt w:val="lowerLetter"/>
      <w:lvlText w:val="%5."/>
      <w:lvlJc w:val="left"/>
      <w:pPr>
        <w:ind w:left="3960" w:hanging="360"/>
      </w:pPr>
    </w:lvl>
    <w:lvl w:ilvl="5" w:tplc="B24E0D7C" w:tentative="1">
      <w:start w:val="1"/>
      <w:numFmt w:val="lowerRoman"/>
      <w:lvlText w:val="%6."/>
      <w:lvlJc w:val="right"/>
      <w:pPr>
        <w:ind w:left="4680" w:hanging="180"/>
      </w:pPr>
    </w:lvl>
    <w:lvl w:ilvl="6" w:tplc="CBE6DD40" w:tentative="1">
      <w:start w:val="1"/>
      <w:numFmt w:val="decimal"/>
      <w:lvlText w:val="%7."/>
      <w:lvlJc w:val="left"/>
      <w:pPr>
        <w:ind w:left="5400" w:hanging="360"/>
      </w:pPr>
    </w:lvl>
    <w:lvl w:ilvl="7" w:tplc="5C78C35C" w:tentative="1">
      <w:start w:val="1"/>
      <w:numFmt w:val="lowerLetter"/>
      <w:lvlText w:val="%8."/>
      <w:lvlJc w:val="left"/>
      <w:pPr>
        <w:ind w:left="6120" w:hanging="360"/>
      </w:pPr>
    </w:lvl>
    <w:lvl w:ilvl="8" w:tplc="299EFFBE" w:tentative="1">
      <w:start w:val="1"/>
      <w:numFmt w:val="lowerRoman"/>
      <w:lvlText w:val="%9."/>
      <w:lvlJc w:val="right"/>
      <w:pPr>
        <w:ind w:left="6840" w:hanging="180"/>
      </w:pPr>
    </w:lvl>
  </w:abstractNum>
  <w:abstractNum w:abstractNumId="3" w15:restartNumberingAfterBreak="0">
    <w:nsid w:val="4A7C43A4"/>
    <w:multiLevelType w:val="hybridMultilevel"/>
    <w:tmpl w:val="B83C6F16"/>
    <w:lvl w:ilvl="0" w:tplc="B066C6BE">
      <w:start w:val="1"/>
      <w:numFmt w:val="decimal"/>
      <w:lvlText w:val="%1)"/>
      <w:lvlJc w:val="left"/>
      <w:pPr>
        <w:ind w:left="1080" w:hanging="360"/>
      </w:pPr>
      <w:rPr>
        <w:rFonts w:hint="default"/>
      </w:rPr>
    </w:lvl>
    <w:lvl w:ilvl="1" w:tplc="131EA1C2" w:tentative="1">
      <w:start w:val="1"/>
      <w:numFmt w:val="lowerLetter"/>
      <w:lvlText w:val="%2."/>
      <w:lvlJc w:val="left"/>
      <w:pPr>
        <w:ind w:left="1800" w:hanging="360"/>
      </w:pPr>
    </w:lvl>
    <w:lvl w:ilvl="2" w:tplc="F78426D4" w:tentative="1">
      <w:start w:val="1"/>
      <w:numFmt w:val="lowerRoman"/>
      <w:lvlText w:val="%3."/>
      <w:lvlJc w:val="right"/>
      <w:pPr>
        <w:ind w:left="2520" w:hanging="180"/>
      </w:pPr>
    </w:lvl>
    <w:lvl w:ilvl="3" w:tplc="D8F24252" w:tentative="1">
      <w:start w:val="1"/>
      <w:numFmt w:val="decimal"/>
      <w:lvlText w:val="%4."/>
      <w:lvlJc w:val="left"/>
      <w:pPr>
        <w:ind w:left="3240" w:hanging="360"/>
      </w:pPr>
    </w:lvl>
    <w:lvl w:ilvl="4" w:tplc="D52A299C" w:tentative="1">
      <w:start w:val="1"/>
      <w:numFmt w:val="lowerLetter"/>
      <w:lvlText w:val="%5."/>
      <w:lvlJc w:val="left"/>
      <w:pPr>
        <w:ind w:left="3960" w:hanging="360"/>
      </w:pPr>
    </w:lvl>
    <w:lvl w:ilvl="5" w:tplc="8BA2399C" w:tentative="1">
      <w:start w:val="1"/>
      <w:numFmt w:val="lowerRoman"/>
      <w:lvlText w:val="%6."/>
      <w:lvlJc w:val="right"/>
      <w:pPr>
        <w:ind w:left="4680" w:hanging="180"/>
      </w:pPr>
    </w:lvl>
    <w:lvl w:ilvl="6" w:tplc="A83CA3AC" w:tentative="1">
      <w:start w:val="1"/>
      <w:numFmt w:val="decimal"/>
      <w:lvlText w:val="%7."/>
      <w:lvlJc w:val="left"/>
      <w:pPr>
        <w:ind w:left="5400" w:hanging="360"/>
      </w:pPr>
    </w:lvl>
    <w:lvl w:ilvl="7" w:tplc="B0264E0A" w:tentative="1">
      <w:start w:val="1"/>
      <w:numFmt w:val="lowerLetter"/>
      <w:lvlText w:val="%8."/>
      <w:lvlJc w:val="left"/>
      <w:pPr>
        <w:ind w:left="6120" w:hanging="360"/>
      </w:pPr>
    </w:lvl>
    <w:lvl w:ilvl="8" w:tplc="538A5F6A" w:tentative="1">
      <w:start w:val="1"/>
      <w:numFmt w:val="lowerRoman"/>
      <w:lvlText w:val="%9."/>
      <w:lvlJc w:val="right"/>
      <w:pPr>
        <w:ind w:left="6840" w:hanging="180"/>
      </w:pPr>
    </w:lvl>
  </w:abstractNum>
  <w:abstractNum w:abstractNumId="4" w15:restartNumberingAfterBreak="0">
    <w:nsid w:val="6ECD00AB"/>
    <w:multiLevelType w:val="hybridMultilevel"/>
    <w:tmpl w:val="EEB05E66"/>
    <w:lvl w:ilvl="0" w:tplc="27A8D4C6">
      <w:start w:val="1"/>
      <w:numFmt w:val="decimal"/>
      <w:lvlText w:val="%1)"/>
      <w:lvlJc w:val="left"/>
      <w:pPr>
        <w:ind w:left="720" w:hanging="360"/>
      </w:pPr>
      <w:rPr>
        <w:rFonts w:hint="default"/>
      </w:rPr>
    </w:lvl>
    <w:lvl w:ilvl="1" w:tplc="510A6650" w:tentative="1">
      <w:start w:val="1"/>
      <w:numFmt w:val="lowerLetter"/>
      <w:lvlText w:val="%2."/>
      <w:lvlJc w:val="left"/>
      <w:pPr>
        <w:ind w:left="1440" w:hanging="360"/>
      </w:pPr>
    </w:lvl>
    <w:lvl w:ilvl="2" w:tplc="AB64B074" w:tentative="1">
      <w:start w:val="1"/>
      <w:numFmt w:val="lowerRoman"/>
      <w:lvlText w:val="%3."/>
      <w:lvlJc w:val="right"/>
      <w:pPr>
        <w:ind w:left="2160" w:hanging="180"/>
      </w:pPr>
    </w:lvl>
    <w:lvl w:ilvl="3" w:tplc="DDEC2BCE" w:tentative="1">
      <w:start w:val="1"/>
      <w:numFmt w:val="decimal"/>
      <w:lvlText w:val="%4."/>
      <w:lvlJc w:val="left"/>
      <w:pPr>
        <w:ind w:left="2880" w:hanging="360"/>
      </w:pPr>
    </w:lvl>
    <w:lvl w:ilvl="4" w:tplc="E1A2B4A2" w:tentative="1">
      <w:start w:val="1"/>
      <w:numFmt w:val="lowerLetter"/>
      <w:lvlText w:val="%5."/>
      <w:lvlJc w:val="left"/>
      <w:pPr>
        <w:ind w:left="3600" w:hanging="360"/>
      </w:pPr>
    </w:lvl>
    <w:lvl w:ilvl="5" w:tplc="2E2A6CD4" w:tentative="1">
      <w:start w:val="1"/>
      <w:numFmt w:val="lowerRoman"/>
      <w:lvlText w:val="%6."/>
      <w:lvlJc w:val="right"/>
      <w:pPr>
        <w:ind w:left="4320" w:hanging="180"/>
      </w:pPr>
    </w:lvl>
    <w:lvl w:ilvl="6" w:tplc="A2621514" w:tentative="1">
      <w:start w:val="1"/>
      <w:numFmt w:val="decimal"/>
      <w:lvlText w:val="%7."/>
      <w:lvlJc w:val="left"/>
      <w:pPr>
        <w:ind w:left="5040" w:hanging="360"/>
      </w:pPr>
    </w:lvl>
    <w:lvl w:ilvl="7" w:tplc="FEC2FA28" w:tentative="1">
      <w:start w:val="1"/>
      <w:numFmt w:val="lowerLetter"/>
      <w:lvlText w:val="%8."/>
      <w:lvlJc w:val="left"/>
      <w:pPr>
        <w:ind w:left="5760" w:hanging="360"/>
      </w:pPr>
    </w:lvl>
    <w:lvl w:ilvl="8" w:tplc="6A22FA3A" w:tentative="1">
      <w:start w:val="1"/>
      <w:numFmt w:val="lowerRoman"/>
      <w:lvlText w:val="%9."/>
      <w:lvlJc w:val="right"/>
      <w:pPr>
        <w:ind w:left="6480" w:hanging="180"/>
      </w:pPr>
    </w:lvl>
  </w:abstractNum>
  <w:abstractNum w:abstractNumId="5"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4B91"/>
    <w:rsid w:val="00007886"/>
    <w:rsid w:val="00010A18"/>
    <w:rsid w:val="00010B16"/>
    <w:rsid w:val="00011826"/>
    <w:rsid w:val="0001297D"/>
    <w:rsid w:val="00013560"/>
    <w:rsid w:val="00014B3F"/>
    <w:rsid w:val="000224B6"/>
    <w:rsid w:val="00023B2A"/>
    <w:rsid w:val="0002467D"/>
    <w:rsid w:val="00026B33"/>
    <w:rsid w:val="00026C21"/>
    <w:rsid w:val="00031C57"/>
    <w:rsid w:val="00032B87"/>
    <w:rsid w:val="00032EE2"/>
    <w:rsid w:val="00033628"/>
    <w:rsid w:val="00035846"/>
    <w:rsid w:val="00040C38"/>
    <w:rsid w:val="00042ACB"/>
    <w:rsid w:val="000444B0"/>
    <w:rsid w:val="00045FB3"/>
    <w:rsid w:val="00046AAF"/>
    <w:rsid w:val="0005043F"/>
    <w:rsid w:val="00050ED4"/>
    <w:rsid w:val="0005280E"/>
    <w:rsid w:val="00052B54"/>
    <w:rsid w:val="00052B6D"/>
    <w:rsid w:val="00052D53"/>
    <w:rsid w:val="00056617"/>
    <w:rsid w:val="00056AB6"/>
    <w:rsid w:val="0006051B"/>
    <w:rsid w:val="0006091E"/>
    <w:rsid w:val="00060FB6"/>
    <w:rsid w:val="00067527"/>
    <w:rsid w:val="000676E3"/>
    <w:rsid w:val="00067FF0"/>
    <w:rsid w:val="000707FF"/>
    <w:rsid w:val="0007279D"/>
    <w:rsid w:val="0007302B"/>
    <w:rsid w:val="00073902"/>
    <w:rsid w:val="00073A85"/>
    <w:rsid w:val="00077F89"/>
    <w:rsid w:val="0008420B"/>
    <w:rsid w:val="00090820"/>
    <w:rsid w:val="000924CD"/>
    <w:rsid w:val="00096930"/>
    <w:rsid w:val="000A0426"/>
    <w:rsid w:val="000A0E74"/>
    <w:rsid w:val="000A0EEB"/>
    <w:rsid w:val="000A3D98"/>
    <w:rsid w:val="000A4EFD"/>
    <w:rsid w:val="000B2CA3"/>
    <w:rsid w:val="000B2EAB"/>
    <w:rsid w:val="000B5110"/>
    <w:rsid w:val="000C23EA"/>
    <w:rsid w:val="000C4AED"/>
    <w:rsid w:val="000D12D8"/>
    <w:rsid w:val="000D3974"/>
    <w:rsid w:val="000E289A"/>
    <w:rsid w:val="000E38A3"/>
    <w:rsid w:val="000E3DDC"/>
    <w:rsid w:val="000E3FC0"/>
    <w:rsid w:val="000E5CC0"/>
    <w:rsid w:val="000E643F"/>
    <w:rsid w:val="000E6CE9"/>
    <w:rsid w:val="000F1FE7"/>
    <w:rsid w:val="000F22AC"/>
    <w:rsid w:val="000F3CEF"/>
    <w:rsid w:val="000F4B32"/>
    <w:rsid w:val="0010247D"/>
    <w:rsid w:val="00103B85"/>
    <w:rsid w:val="001051B9"/>
    <w:rsid w:val="0010546C"/>
    <w:rsid w:val="00107173"/>
    <w:rsid w:val="00107905"/>
    <w:rsid w:val="001113E5"/>
    <w:rsid w:val="00113AEA"/>
    <w:rsid w:val="001146CB"/>
    <w:rsid w:val="00114788"/>
    <w:rsid w:val="00114CF3"/>
    <w:rsid w:val="00115899"/>
    <w:rsid w:val="00115990"/>
    <w:rsid w:val="001168E6"/>
    <w:rsid w:val="00117E61"/>
    <w:rsid w:val="00121874"/>
    <w:rsid w:val="00121AC9"/>
    <w:rsid w:val="00140338"/>
    <w:rsid w:val="00140933"/>
    <w:rsid w:val="0014269D"/>
    <w:rsid w:val="00144087"/>
    <w:rsid w:val="001506A7"/>
    <w:rsid w:val="0015101B"/>
    <w:rsid w:val="001542DA"/>
    <w:rsid w:val="00156A31"/>
    <w:rsid w:val="00157915"/>
    <w:rsid w:val="00160316"/>
    <w:rsid w:val="00162B6E"/>
    <w:rsid w:val="00163075"/>
    <w:rsid w:val="001630C6"/>
    <w:rsid w:val="001715C8"/>
    <w:rsid w:val="00174607"/>
    <w:rsid w:val="0017650D"/>
    <w:rsid w:val="00176637"/>
    <w:rsid w:val="00177B31"/>
    <w:rsid w:val="00177C7E"/>
    <w:rsid w:val="00177F3B"/>
    <w:rsid w:val="001805A5"/>
    <w:rsid w:val="001807C9"/>
    <w:rsid w:val="00180838"/>
    <w:rsid w:val="00181979"/>
    <w:rsid w:val="001825E4"/>
    <w:rsid w:val="00182F34"/>
    <w:rsid w:val="00183547"/>
    <w:rsid w:val="00183E50"/>
    <w:rsid w:val="00184AD4"/>
    <w:rsid w:val="00187F39"/>
    <w:rsid w:val="00190B3E"/>
    <w:rsid w:val="00191301"/>
    <w:rsid w:val="0019180B"/>
    <w:rsid w:val="00191AD4"/>
    <w:rsid w:val="00194926"/>
    <w:rsid w:val="00194FBC"/>
    <w:rsid w:val="001954FD"/>
    <w:rsid w:val="00195916"/>
    <w:rsid w:val="00196761"/>
    <w:rsid w:val="001A6661"/>
    <w:rsid w:val="001A7B79"/>
    <w:rsid w:val="001B246E"/>
    <w:rsid w:val="001B3D8E"/>
    <w:rsid w:val="001B5B49"/>
    <w:rsid w:val="001C5B74"/>
    <w:rsid w:val="001D3685"/>
    <w:rsid w:val="001D52F1"/>
    <w:rsid w:val="001E043E"/>
    <w:rsid w:val="001E1664"/>
    <w:rsid w:val="001E4D0A"/>
    <w:rsid w:val="001E6002"/>
    <w:rsid w:val="001F289F"/>
    <w:rsid w:val="001F331F"/>
    <w:rsid w:val="001F77C9"/>
    <w:rsid w:val="002025E5"/>
    <w:rsid w:val="00205373"/>
    <w:rsid w:val="002077AA"/>
    <w:rsid w:val="00207D51"/>
    <w:rsid w:val="00212ECB"/>
    <w:rsid w:val="002134DA"/>
    <w:rsid w:val="00217405"/>
    <w:rsid w:val="00217A33"/>
    <w:rsid w:val="00220A1B"/>
    <w:rsid w:val="00221DA8"/>
    <w:rsid w:val="00223616"/>
    <w:rsid w:val="00230E6B"/>
    <w:rsid w:val="00234B48"/>
    <w:rsid w:val="0023660B"/>
    <w:rsid w:val="002370DE"/>
    <w:rsid w:val="00240E30"/>
    <w:rsid w:val="002415BF"/>
    <w:rsid w:val="00243B92"/>
    <w:rsid w:val="00245344"/>
    <w:rsid w:val="002461FF"/>
    <w:rsid w:val="00246D9F"/>
    <w:rsid w:val="002518FC"/>
    <w:rsid w:val="00251B35"/>
    <w:rsid w:val="00252681"/>
    <w:rsid w:val="00252D7E"/>
    <w:rsid w:val="0025333C"/>
    <w:rsid w:val="00253AAC"/>
    <w:rsid w:val="002615BC"/>
    <w:rsid w:val="0026171C"/>
    <w:rsid w:val="00261765"/>
    <w:rsid w:val="00263AFA"/>
    <w:rsid w:val="00263CF1"/>
    <w:rsid w:val="002663FD"/>
    <w:rsid w:val="00267D0F"/>
    <w:rsid w:val="00271B3A"/>
    <w:rsid w:val="0027251E"/>
    <w:rsid w:val="00274CA2"/>
    <w:rsid w:val="002826C6"/>
    <w:rsid w:val="00284C70"/>
    <w:rsid w:val="0028586A"/>
    <w:rsid w:val="002918FA"/>
    <w:rsid w:val="00291D09"/>
    <w:rsid w:val="00291F04"/>
    <w:rsid w:val="002954E0"/>
    <w:rsid w:val="002A3E00"/>
    <w:rsid w:val="002A4355"/>
    <w:rsid w:val="002A442F"/>
    <w:rsid w:val="002A6111"/>
    <w:rsid w:val="002A7813"/>
    <w:rsid w:val="002B0D40"/>
    <w:rsid w:val="002B2539"/>
    <w:rsid w:val="002B342D"/>
    <w:rsid w:val="002B3745"/>
    <w:rsid w:val="002B501C"/>
    <w:rsid w:val="002B55E6"/>
    <w:rsid w:val="002B58AD"/>
    <w:rsid w:val="002B5B37"/>
    <w:rsid w:val="002B64E7"/>
    <w:rsid w:val="002B76B0"/>
    <w:rsid w:val="002C37BB"/>
    <w:rsid w:val="002C3AFB"/>
    <w:rsid w:val="002C5096"/>
    <w:rsid w:val="002C756C"/>
    <w:rsid w:val="002D2D71"/>
    <w:rsid w:val="002D6C55"/>
    <w:rsid w:val="002D703E"/>
    <w:rsid w:val="002F3C81"/>
    <w:rsid w:val="002F56D9"/>
    <w:rsid w:val="002F704B"/>
    <w:rsid w:val="002F7E15"/>
    <w:rsid w:val="00303706"/>
    <w:rsid w:val="00305C5A"/>
    <w:rsid w:val="003067FC"/>
    <w:rsid w:val="003071C3"/>
    <w:rsid w:val="00310016"/>
    <w:rsid w:val="00312DA7"/>
    <w:rsid w:val="003136B2"/>
    <w:rsid w:val="003140AA"/>
    <w:rsid w:val="00320295"/>
    <w:rsid w:val="003206E7"/>
    <w:rsid w:val="003226DC"/>
    <w:rsid w:val="003314E3"/>
    <w:rsid w:val="00334308"/>
    <w:rsid w:val="0033486B"/>
    <w:rsid w:val="0033571A"/>
    <w:rsid w:val="0033574C"/>
    <w:rsid w:val="003357CF"/>
    <w:rsid w:val="0033675C"/>
    <w:rsid w:val="00337B24"/>
    <w:rsid w:val="00343E8A"/>
    <w:rsid w:val="00350DED"/>
    <w:rsid w:val="00352524"/>
    <w:rsid w:val="0035409C"/>
    <w:rsid w:val="0035679C"/>
    <w:rsid w:val="003571EA"/>
    <w:rsid w:val="00364C21"/>
    <w:rsid w:val="00364FF4"/>
    <w:rsid w:val="00367A10"/>
    <w:rsid w:val="003730EA"/>
    <w:rsid w:val="003739A2"/>
    <w:rsid w:val="003742DC"/>
    <w:rsid w:val="00377170"/>
    <w:rsid w:val="0037755C"/>
    <w:rsid w:val="003804E4"/>
    <w:rsid w:val="00380602"/>
    <w:rsid w:val="003825C6"/>
    <w:rsid w:val="00391D0D"/>
    <w:rsid w:val="00391FE2"/>
    <w:rsid w:val="0039218A"/>
    <w:rsid w:val="00392495"/>
    <w:rsid w:val="0039396A"/>
    <w:rsid w:val="003956BE"/>
    <w:rsid w:val="00396B77"/>
    <w:rsid w:val="00397905"/>
    <w:rsid w:val="003A1660"/>
    <w:rsid w:val="003A2CC3"/>
    <w:rsid w:val="003B1B5C"/>
    <w:rsid w:val="003B21C2"/>
    <w:rsid w:val="003B2B44"/>
    <w:rsid w:val="003B3629"/>
    <w:rsid w:val="003B46CA"/>
    <w:rsid w:val="003B6D2C"/>
    <w:rsid w:val="003B6DC4"/>
    <w:rsid w:val="003C2151"/>
    <w:rsid w:val="003C56D8"/>
    <w:rsid w:val="003C72B6"/>
    <w:rsid w:val="003C7B45"/>
    <w:rsid w:val="003D2069"/>
    <w:rsid w:val="003D25FD"/>
    <w:rsid w:val="003D2C70"/>
    <w:rsid w:val="003D6DE9"/>
    <w:rsid w:val="003D7D19"/>
    <w:rsid w:val="003E0833"/>
    <w:rsid w:val="003E0CAE"/>
    <w:rsid w:val="003E1BFF"/>
    <w:rsid w:val="003E1FF2"/>
    <w:rsid w:val="003E2C8D"/>
    <w:rsid w:val="003E6124"/>
    <w:rsid w:val="003E76CB"/>
    <w:rsid w:val="003F1724"/>
    <w:rsid w:val="003F1C46"/>
    <w:rsid w:val="003F33C9"/>
    <w:rsid w:val="003F357D"/>
    <w:rsid w:val="003F6184"/>
    <w:rsid w:val="003F791A"/>
    <w:rsid w:val="004004F6"/>
    <w:rsid w:val="0040099D"/>
    <w:rsid w:val="004018CD"/>
    <w:rsid w:val="004023DC"/>
    <w:rsid w:val="0040419E"/>
    <w:rsid w:val="00404214"/>
    <w:rsid w:val="004046B9"/>
    <w:rsid w:val="00404A4D"/>
    <w:rsid w:val="00406CF9"/>
    <w:rsid w:val="004109FB"/>
    <w:rsid w:val="0041332F"/>
    <w:rsid w:val="00413F59"/>
    <w:rsid w:val="00420971"/>
    <w:rsid w:val="00421E82"/>
    <w:rsid w:val="0042410D"/>
    <w:rsid w:val="0042696A"/>
    <w:rsid w:val="00426BC0"/>
    <w:rsid w:val="00426C19"/>
    <w:rsid w:val="00427EC0"/>
    <w:rsid w:val="00430247"/>
    <w:rsid w:val="0043129A"/>
    <w:rsid w:val="0043494B"/>
    <w:rsid w:val="004352E6"/>
    <w:rsid w:val="00441933"/>
    <w:rsid w:val="00446E82"/>
    <w:rsid w:val="00447BC4"/>
    <w:rsid w:val="00453519"/>
    <w:rsid w:val="00455CB3"/>
    <w:rsid w:val="00460358"/>
    <w:rsid w:val="004622DA"/>
    <w:rsid w:val="00463077"/>
    <w:rsid w:val="004633CF"/>
    <w:rsid w:val="00464353"/>
    <w:rsid w:val="004644AC"/>
    <w:rsid w:val="00464BD8"/>
    <w:rsid w:val="00467BEC"/>
    <w:rsid w:val="00470DA6"/>
    <w:rsid w:val="00472FE4"/>
    <w:rsid w:val="00473D36"/>
    <w:rsid w:val="00474DA8"/>
    <w:rsid w:val="00476BE2"/>
    <w:rsid w:val="00477BAB"/>
    <w:rsid w:val="00477F74"/>
    <w:rsid w:val="00482199"/>
    <w:rsid w:val="00483621"/>
    <w:rsid w:val="00484131"/>
    <w:rsid w:val="00484E58"/>
    <w:rsid w:val="004924C5"/>
    <w:rsid w:val="0049316C"/>
    <w:rsid w:val="00494136"/>
    <w:rsid w:val="00494BC5"/>
    <w:rsid w:val="004956A8"/>
    <w:rsid w:val="00495C91"/>
    <w:rsid w:val="004A0888"/>
    <w:rsid w:val="004A20C3"/>
    <w:rsid w:val="004A2619"/>
    <w:rsid w:val="004A3CE4"/>
    <w:rsid w:val="004A5103"/>
    <w:rsid w:val="004A5DEF"/>
    <w:rsid w:val="004A68D5"/>
    <w:rsid w:val="004B0AD6"/>
    <w:rsid w:val="004B140B"/>
    <w:rsid w:val="004B3E85"/>
    <w:rsid w:val="004B4729"/>
    <w:rsid w:val="004B51FA"/>
    <w:rsid w:val="004B5790"/>
    <w:rsid w:val="004B7A09"/>
    <w:rsid w:val="004B7FB0"/>
    <w:rsid w:val="004C09BE"/>
    <w:rsid w:val="004C1238"/>
    <w:rsid w:val="004C1683"/>
    <w:rsid w:val="004C3680"/>
    <w:rsid w:val="004C3A75"/>
    <w:rsid w:val="004C4287"/>
    <w:rsid w:val="004C4A3A"/>
    <w:rsid w:val="004C4F7F"/>
    <w:rsid w:val="004C582C"/>
    <w:rsid w:val="004C7343"/>
    <w:rsid w:val="004D045B"/>
    <w:rsid w:val="004D142A"/>
    <w:rsid w:val="004D20B8"/>
    <w:rsid w:val="004D344B"/>
    <w:rsid w:val="004D490F"/>
    <w:rsid w:val="004D510C"/>
    <w:rsid w:val="004D5A60"/>
    <w:rsid w:val="004D610A"/>
    <w:rsid w:val="004D68BE"/>
    <w:rsid w:val="004E056A"/>
    <w:rsid w:val="004E1623"/>
    <w:rsid w:val="004E470B"/>
    <w:rsid w:val="004E52E3"/>
    <w:rsid w:val="004E5D17"/>
    <w:rsid w:val="004E74EB"/>
    <w:rsid w:val="004E76F4"/>
    <w:rsid w:val="004F1302"/>
    <w:rsid w:val="004F32D2"/>
    <w:rsid w:val="004F413C"/>
    <w:rsid w:val="004F48F4"/>
    <w:rsid w:val="005002BF"/>
    <w:rsid w:val="00502CE5"/>
    <w:rsid w:val="00502FB4"/>
    <w:rsid w:val="00503B59"/>
    <w:rsid w:val="00504EF9"/>
    <w:rsid w:val="005057AE"/>
    <w:rsid w:val="00507FCD"/>
    <w:rsid w:val="005128DA"/>
    <w:rsid w:val="00512FC3"/>
    <w:rsid w:val="00513084"/>
    <w:rsid w:val="00514827"/>
    <w:rsid w:val="00515040"/>
    <w:rsid w:val="00516DF4"/>
    <w:rsid w:val="0052426D"/>
    <w:rsid w:val="005259BC"/>
    <w:rsid w:val="005321E1"/>
    <w:rsid w:val="005347BD"/>
    <w:rsid w:val="00535B4B"/>
    <w:rsid w:val="00540B01"/>
    <w:rsid w:val="005423DB"/>
    <w:rsid w:val="005429E2"/>
    <w:rsid w:val="00544472"/>
    <w:rsid w:val="00545AA6"/>
    <w:rsid w:val="005477AF"/>
    <w:rsid w:val="00547802"/>
    <w:rsid w:val="00552B74"/>
    <w:rsid w:val="00552DD4"/>
    <w:rsid w:val="00555B66"/>
    <w:rsid w:val="00557384"/>
    <w:rsid w:val="00563332"/>
    <w:rsid w:val="00565BE7"/>
    <w:rsid w:val="00570AFD"/>
    <w:rsid w:val="00570E37"/>
    <w:rsid w:val="00571884"/>
    <w:rsid w:val="005723C3"/>
    <w:rsid w:val="00572EC7"/>
    <w:rsid w:val="00573493"/>
    <w:rsid w:val="00574860"/>
    <w:rsid w:val="00577BE2"/>
    <w:rsid w:val="0058284D"/>
    <w:rsid w:val="00584553"/>
    <w:rsid w:val="00590242"/>
    <w:rsid w:val="00592212"/>
    <w:rsid w:val="00592833"/>
    <w:rsid w:val="00592BEC"/>
    <w:rsid w:val="00593A31"/>
    <w:rsid w:val="0059581C"/>
    <w:rsid w:val="00596684"/>
    <w:rsid w:val="005A1E8B"/>
    <w:rsid w:val="005A329D"/>
    <w:rsid w:val="005A4215"/>
    <w:rsid w:val="005A5B75"/>
    <w:rsid w:val="005A7B7D"/>
    <w:rsid w:val="005B039A"/>
    <w:rsid w:val="005B4179"/>
    <w:rsid w:val="005B5190"/>
    <w:rsid w:val="005B605F"/>
    <w:rsid w:val="005C0E93"/>
    <w:rsid w:val="005C3470"/>
    <w:rsid w:val="005C391F"/>
    <w:rsid w:val="005C5679"/>
    <w:rsid w:val="005C63F8"/>
    <w:rsid w:val="005C6DEC"/>
    <w:rsid w:val="005C6EB9"/>
    <w:rsid w:val="005D255B"/>
    <w:rsid w:val="005D2D9A"/>
    <w:rsid w:val="005D5E8E"/>
    <w:rsid w:val="005D6C3B"/>
    <w:rsid w:val="005E1632"/>
    <w:rsid w:val="005E1867"/>
    <w:rsid w:val="005E1B42"/>
    <w:rsid w:val="005E28A3"/>
    <w:rsid w:val="005E30C5"/>
    <w:rsid w:val="005E4EF7"/>
    <w:rsid w:val="005E680B"/>
    <w:rsid w:val="005F2991"/>
    <w:rsid w:val="005F2DEA"/>
    <w:rsid w:val="005F3677"/>
    <w:rsid w:val="005F58F7"/>
    <w:rsid w:val="00601E1A"/>
    <w:rsid w:val="0060611D"/>
    <w:rsid w:val="00607F0A"/>
    <w:rsid w:val="00612493"/>
    <w:rsid w:val="00612C04"/>
    <w:rsid w:val="006134C6"/>
    <w:rsid w:val="00613835"/>
    <w:rsid w:val="00615095"/>
    <w:rsid w:val="00617636"/>
    <w:rsid w:val="00617D72"/>
    <w:rsid w:val="006213DE"/>
    <w:rsid w:val="00622D1E"/>
    <w:rsid w:val="00622DF5"/>
    <w:rsid w:val="006240D2"/>
    <w:rsid w:val="00630AB7"/>
    <w:rsid w:val="00631FCF"/>
    <w:rsid w:val="00632759"/>
    <w:rsid w:val="006328F9"/>
    <w:rsid w:val="00632B23"/>
    <w:rsid w:val="00633A54"/>
    <w:rsid w:val="00633EA3"/>
    <w:rsid w:val="00635FD9"/>
    <w:rsid w:val="006370C8"/>
    <w:rsid w:val="006410E2"/>
    <w:rsid w:val="00644AC6"/>
    <w:rsid w:val="00647770"/>
    <w:rsid w:val="00647EBC"/>
    <w:rsid w:val="00651B85"/>
    <w:rsid w:val="0065366C"/>
    <w:rsid w:val="00653D1C"/>
    <w:rsid w:val="0065597C"/>
    <w:rsid w:val="00656208"/>
    <w:rsid w:val="0065623E"/>
    <w:rsid w:val="006565E4"/>
    <w:rsid w:val="006576D1"/>
    <w:rsid w:val="0066058E"/>
    <w:rsid w:val="00662B24"/>
    <w:rsid w:val="006654CF"/>
    <w:rsid w:val="006670B4"/>
    <w:rsid w:val="00667376"/>
    <w:rsid w:val="00672728"/>
    <w:rsid w:val="006779AC"/>
    <w:rsid w:val="006804F3"/>
    <w:rsid w:val="00680EA8"/>
    <w:rsid w:val="00681B7B"/>
    <w:rsid w:val="00681DBC"/>
    <w:rsid w:val="006822C7"/>
    <w:rsid w:val="0068241D"/>
    <w:rsid w:val="00682A71"/>
    <w:rsid w:val="00684B02"/>
    <w:rsid w:val="0068674A"/>
    <w:rsid w:val="006956E4"/>
    <w:rsid w:val="006A0F64"/>
    <w:rsid w:val="006A1047"/>
    <w:rsid w:val="006A1185"/>
    <w:rsid w:val="006A17B5"/>
    <w:rsid w:val="006A251C"/>
    <w:rsid w:val="006A3A29"/>
    <w:rsid w:val="006A4046"/>
    <w:rsid w:val="006A466A"/>
    <w:rsid w:val="006A5379"/>
    <w:rsid w:val="006A5996"/>
    <w:rsid w:val="006A5BD4"/>
    <w:rsid w:val="006A5E19"/>
    <w:rsid w:val="006B097E"/>
    <w:rsid w:val="006B4AE2"/>
    <w:rsid w:val="006B5B61"/>
    <w:rsid w:val="006C073F"/>
    <w:rsid w:val="006C1A18"/>
    <w:rsid w:val="006C3AD0"/>
    <w:rsid w:val="006C3C5F"/>
    <w:rsid w:val="006C67FF"/>
    <w:rsid w:val="006C68C7"/>
    <w:rsid w:val="006D076E"/>
    <w:rsid w:val="006D262F"/>
    <w:rsid w:val="006D5454"/>
    <w:rsid w:val="006D7E41"/>
    <w:rsid w:val="006E0B19"/>
    <w:rsid w:val="006E1FFA"/>
    <w:rsid w:val="006E24D5"/>
    <w:rsid w:val="006E4B90"/>
    <w:rsid w:val="006E5357"/>
    <w:rsid w:val="006E5564"/>
    <w:rsid w:val="006E62E7"/>
    <w:rsid w:val="006F2E02"/>
    <w:rsid w:val="006F3F45"/>
    <w:rsid w:val="006F60D7"/>
    <w:rsid w:val="006F684D"/>
    <w:rsid w:val="0070093D"/>
    <w:rsid w:val="00703CB6"/>
    <w:rsid w:val="0070423D"/>
    <w:rsid w:val="00713C58"/>
    <w:rsid w:val="00713D1C"/>
    <w:rsid w:val="00717A49"/>
    <w:rsid w:val="00721B4B"/>
    <w:rsid w:val="007233E7"/>
    <w:rsid w:val="007242E8"/>
    <w:rsid w:val="00724895"/>
    <w:rsid w:val="00726DAA"/>
    <w:rsid w:val="007321E1"/>
    <w:rsid w:val="007325B7"/>
    <w:rsid w:val="0073300C"/>
    <w:rsid w:val="00733E86"/>
    <w:rsid w:val="0073659A"/>
    <w:rsid w:val="0073684D"/>
    <w:rsid w:val="00742970"/>
    <w:rsid w:val="00745B7D"/>
    <w:rsid w:val="00752027"/>
    <w:rsid w:val="00755627"/>
    <w:rsid w:val="00757AA0"/>
    <w:rsid w:val="007600FA"/>
    <w:rsid w:val="007608DE"/>
    <w:rsid w:val="0076109C"/>
    <w:rsid w:val="0076265A"/>
    <w:rsid w:val="00762749"/>
    <w:rsid w:val="00763B98"/>
    <w:rsid w:val="007649C4"/>
    <w:rsid w:val="00765E41"/>
    <w:rsid w:val="00767A7E"/>
    <w:rsid w:val="00767D76"/>
    <w:rsid w:val="0077034C"/>
    <w:rsid w:val="0077371D"/>
    <w:rsid w:val="00775546"/>
    <w:rsid w:val="00775879"/>
    <w:rsid w:val="00776E10"/>
    <w:rsid w:val="00783A5F"/>
    <w:rsid w:val="007864F1"/>
    <w:rsid w:val="00787F5A"/>
    <w:rsid w:val="00793C28"/>
    <w:rsid w:val="00795F40"/>
    <w:rsid w:val="007A233D"/>
    <w:rsid w:val="007A2375"/>
    <w:rsid w:val="007A3563"/>
    <w:rsid w:val="007A3FA0"/>
    <w:rsid w:val="007A54FF"/>
    <w:rsid w:val="007A623D"/>
    <w:rsid w:val="007A7BC7"/>
    <w:rsid w:val="007B00F9"/>
    <w:rsid w:val="007B3A84"/>
    <w:rsid w:val="007B414F"/>
    <w:rsid w:val="007C0EFC"/>
    <w:rsid w:val="007C1A3E"/>
    <w:rsid w:val="007C2B0B"/>
    <w:rsid w:val="007C5326"/>
    <w:rsid w:val="007D2B33"/>
    <w:rsid w:val="007D42B6"/>
    <w:rsid w:val="007D4E33"/>
    <w:rsid w:val="007D6645"/>
    <w:rsid w:val="007D6AB3"/>
    <w:rsid w:val="007D78AA"/>
    <w:rsid w:val="007E1F77"/>
    <w:rsid w:val="007E24E3"/>
    <w:rsid w:val="007E4EA9"/>
    <w:rsid w:val="007E5DF1"/>
    <w:rsid w:val="007E65EF"/>
    <w:rsid w:val="007E773B"/>
    <w:rsid w:val="007F392F"/>
    <w:rsid w:val="007F3A08"/>
    <w:rsid w:val="008039A0"/>
    <w:rsid w:val="00803E8E"/>
    <w:rsid w:val="008049DF"/>
    <w:rsid w:val="00807345"/>
    <w:rsid w:val="008108BD"/>
    <w:rsid w:val="00812F77"/>
    <w:rsid w:val="00813E96"/>
    <w:rsid w:val="008146D4"/>
    <w:rsid w:val="00820AB0"/>
    <w:rsid w:val="0082148A"/>
    <w:rsid w:val="00823491"/>
    <w:rsid w:val="00827001"/>
    <w:rsid w:val="00832E36"/>
    <w:rsid w:val="00833D61"/>
    <w:rsid w:val="008355F7"/>
    <w:rsid w:val="00842135"/>
    <w:rsid w:val="008465A1"/>
    <w:rsid w:val="00846CC9"/>
    <w:rsid w:val="00853DA3"/>
    <w:rsid w:val="008549EA"/>
    <w:rsid w:val="00854C6D"/>
    <w:rsid w:val="00856BA7"/>
    <w:rsid w:val="008603A3"/>
    <w:rsid w:val="00863152"/>
    <w:rsid w:val="008638F7"/>
    <w:rsid w:val="0086718D"/>
    <w:rsid w:val="008724B8"/>
    <w:rsid w:val="008727E2"/>
    <w:rsid w:val="0087312D"/>
    <w:rsid w:val="00880545"/>
    <w:rsid w:val="00886420"/>
    <w:rsid w:val="00886879"/>
    <w:rsid w:val="00886A9A"/>
    <w:rsid w:val="00886FB7"/>
    <w:rsid w:val="00887313"/>
    <w:rsid w:val="0089189F"/>
    <w:rsid w:val="008A00DF"/>
    <w:rsid w:val="008A0E37"/>
    <w:rsid w:val="008A2E12"/>
    <w:rsid w:val="008A2E40"/>
    <w:rsid w:val="008A3C65"/>
    <w:rsid w:val="008A7127"/>
    <w:rsid w:val="008B00E9"/>
    <w:rsid w:val="008B2424"/>
    <w:rsid w:val="008B2F87"/>
    <w:rsid w:val="008B592D"/>
    <w:rsid w:val="008B6079"/>
    <w:rsid w:val="008B66C4"/>
    <w:rsid w:val="008B79D7"/>
    <w:rsid w:val="008C2A48"/>
    <w:rsid w:val="008C2D06"/>
    <w:rsid w:val="008C369D"/>
    <w:rsid w:val="008C3D4F"/>
    <w:rsid w:val="008C4E0C"/>
    <w:rsid w:val="008C5997"/>
    <w:rsid w:val="008C6BCD"/>
    <w:rsid w:val="008C7026"/>
    <w:rsid w:val="008D3F6D"/>
    <w:rsid w:val="008D4C07"/>
    <w:rsid w:val="008D6006"/>
    <w:rsid w:val="008D63C9"/>
    <w:rsid w:val="008D68F5"/>
    <w:rsid w:val="008E224C"/>
    <w:rsid w:val="008E3BAB"/>
    <w:rsid w:val="008E5730"/>
    <w:rsid w:val="008E62D4"/>
    <w:rsid w:val="008E64F7"/>
    <w:rsid w:val="008E7421"/>
    <w:rsid w:val="008E7E1A"/>
    <w:rsid w:val="008F5B22"/>
    <w:rsid w:val="008F6433"/>
    <w:rsid w:val="008F66FF"/>
    <w:rsid w:val="008F6821"/>
    <w:rsid w:val="008F6972"/>
    <w:rsid w:val="008F6DE4"/>
    <w:rsid w:val="008F7052"/>
    <w:rsid w:val="008F79F7"/>
    <w:rsid w:val="00900613"/>
    <w:rsid w:val="00902013"/>
    <w:rsid w:val="00902333"/>
    <w:rsid w:val="00903853"/>
    <w:rsid w:val="00904D11"/>
    <w:rsid w:val="00906F5B"/>
    <w:rsid w:val="0091204F"/>
    <w:rsid w:val="00912C0D"/>
    <w:rsid w:val="009160CC"/>
    <w:rsid w:val="00921B16"/>
    <w:rsid w:val="00921C55"/>
    <w:rsid w:val="00923892"/>
    <w:rsid w:val="00924AEC"/>
    <w:rsid w:val="0092509A"/>
    <w:rsid w:val="009267AC"/>
    <w:rsid w:val="009268C2"/>
    <w:rsid w:val="00926A2D"/>
    <w:rsid w:val="00927C62"/>
    <w:rsid w:val="009328FC"/>
    <w:rsid w:val="00932FC7"/>
    <w:rsid w:val="00937641"/>
    <w:rsid w:val="00940D29"/>
    <w:rsid w:val="009424F3"/>
    <w:rsid w:val="00942754"/>
    <w:rsid w:val="0094495E"/>
    <w:rsid w:val="00945071"/>
    <w:rsid w:val="009460BE"/>
    <w:rsid w:val="00950CD9"/>
    <w:rsid w:val="00951846"/>
    <w:rsid w:val="00951ADD"/>
    <w:rsid w:val="009531C7"/>
    <w:rsid w:val="0095350A"/>
    <w:rsid w:val="0095430E"/>
    <w:rsid w:val="00955BDE"/>
    <w:rsid w:val="00955DCC"/>
    <w:rsid w:val="0095650E"/>
    <w:rsid w:val="00956798"/>
    <w:rsid w:val="00957715"/>
    <w:rsid w:val="00960B8C"/>
    <w:rsid w:val="00960DF3"/>
    <w:rsid w:val="00964BD6"/>
    <w:rsid w:val="00964E40"/>
    <w:rsid w:val="00967C8A"/>
    <w:rsid w:val="00970158"/>
    <w:rsid w:val="009728FC"/>
    <w:rsid w:val="00974358"/>
    <w:rsid w:val="00974374"/>
    <w:rsid w:val="009749EF"/>
    <w:rsid w:val="00980C47"/>
    <w:rsid w:val="009815C5"/>
    <w:rsid w:val="00983A53"/>
    <w:rsid w:val="00984FF6"/>
    <w:rsid w:val="00986CBA"/>
    <w:rsid w:val="00990068"/>
    <w:rsid w:val="00990362"/>
    <w:rsid w:val="00990524"/>
    <w:rsid w:val="00992C9F"/>
    <w:rsid w:val="0099353C"/>
    <w:rsid w:val="00993659"/>
    <w:rsid w:val="0099383F"/>
    <w:rsid w:val="009A0C5E"/>
    <w:rsid w:val="009A2699"/>
    <w:rsid w:val="009A2716"/>
    <w:rsid w:val="009A4C2D"/>
    <w:rsid w:val="009A51B0"/>
    <w:rsid w:val="009A62D2"/>
    <w:rsid w:val="009A662B"/>
    <w:rsid w:val="009B193F"/>
    <w:rsid w:val="009B201B"/>
    <w:rsid w:val="009B4BBD"/>
    <w:rsid w:val="009B6C00"/>
    <w:rsid w:val="009C10D1"/>
    <w:rsid w:val="009C3A8F"/>
    <w:rsid w:val="009C3EB7"/>
    <w:rsid w:val="009C545B"/>
    <w:rsid w:val="009D0754"/>
    <w:rsid w:val="009D750D"/>
    <w:rsid w:val="009E031B"/>
    <w:rsid w:val="009E1154"/>
    <w:rsid w:val="009E3A1D"/>
    <w:rsid w:val="009F1C10"/>
    <w:rsid w:val="009F350E"/>
    <w:rsid w:val="009F4C8F"/>
    <w:rsid w:val="00A00655"/>
    <w:rsid w:val="00A00E52"/>
    <w:rsid w:val="00A016E0"/>
    <w:rsid w:val="00A02D3F"/>
    <w:rsid w:val="00A0553D"/>
    <w:rsid w:val="00A056F9"/>
    <w:rsid w:val="00A05C19"/>
    <w:rsid w:val="00A07829"/>
    <w:rsid w:val="00A12ADA"/>
    <w:rsid w:val="00A13426"/>
    <w:rsid w:val="00A17EEC"/>
    <w:rsid w:val="00A210D7"/>
    <w:rsid w:val="00A2162A"/>
    <w:rsid w:val="00A222A3"/>
    <w:rsid w:val="00A22B70"/>
    <w:rsid w:val="00A320D4"/>
    <w:rsid w:val="00A33AD1"/>
    <w:rsid w:val="00A36349"/>
    <w:rsid w:val="00A45DB7"/>
    <w:rsid w:val="00A50AD4"/>
    <w:rsid w:val="00A54174"/>
    <w:rsid w:val="00A5570A"/>
    <w:rsid w:val="00A557BA"/>
    <w:rsid w:val="00A56226"/>
    <w:rsid w:val="00A62063"/>
    <w:rsid w:val="00A631F6"/>
    <w:rsid w:val="00A6513E"/>
    <w:rsid w:val="00A65DAF"/>
    <w:rsid w:val="00A70445"/>
    <w:rsid w:val="00A71851"/>
    <w:rsid w:val="00A7385A"/>
    <w:rsid w:val="00A75180"/>
    <w:rsid w:val="00A766B6"/>
    <w:rsid w:val="00A77DCA"/>
    <w:rsid w:val="00A81E84"/>
    <w:rsid w:val="00A84E8A"/>
    <w:rsid w:val="00A853FD"/>
    <w:rsid w:val="00A86179"/>
    <w:rsid w:val="00A937D8"/>
    <w:rsid w:val="00A94435"/>
    <w:rsid w:val="00A966D7"/>
    <w:rsid w:val="00AA157F"/>
    <w:rsid w:val="00AA2C47"/>
    <w:rsid w:val="00AA377A"/>
    <w:rsid w:val="00AA6BDD"/>
    <w:rsid w:val="00AA7E40"/>
    <w:rsid w:val="00AB1CF9"/>
    <w:rsid w:val="00AB2395"/>
    <w:rsid w:val="00AB4A24"/>
    <w:rsid w:val="00AB5A6B"/>
    <w:rsid w:val="00AB68E7"/>
    <w:rsid w:val="00AB740E"/>
    <w:rsid w:val="00AB761B"/>
    <w:rsid w:val="00AC1616"/>
    <w:rsid w:val="00AC1B42"/>
    <w:rsid w:val="00AC4BD8"/>
    <w:rsid w:val="00AC4D0C"/>
    <w:rsid w:val="00AC4E15"/>
    <w:rsid w:val="00AC620C"/>
    <w:rsid w:val="00AD00AE"/>
    <w:rsid w:val="00AD1077"/>
    <w:rsid w:val="00AD2E4B"/>
    <w:rsid w:val="00AD32B2"/>
    <w:rsid w:val="00AD348B"/>
    <w:rsid w:val="00AD3930"/>
    <w:rsid w:val="00AD3DF1"/>
    <w:rsid w:val="00AD40F5"/>
    <w:rsid w:val="00AD473A"/>
    <w:rsid w:val="00AD5028"/>
    <w:rsid w:val="00AD5E58"/>
    <w:rsid w:val="00AD69DC"/>
    <w:rsid w:val="00AE4086"/>
    <w:rsid w:val="00AE762E"/>
    <w:rsid w:val="00AF00F4"/>
    <w:rsid w:val="00AF121B"/>
    <w:rsid w:val="00AF2486"/>
    <w:rsid w:val="00AF41EC"/>
    <w:rsid w:val="00AF48F3"/>
    <w:rsid w:val="00AF6CBC"/>
    <w:rsid w:val="00AF6DC4"/>
    <w:rsid w:val="00AF6EF1"/>
    <w:rsid w:val="00AF7BC0"/>
    <w:rsid w:val="00B00DD9"/>
    <w:rsid w:val="00B016E0"/>
    <w:rsid w:val="00B020C4"/>
    <w:rsid w:val="00B03485"/>
    <w:rsid w:val="00B06B43"/>
    <w:rsid w:val="00B06BD7"/>
    <w:rsid w:val="00B07B2E"/>
    <w:rsid w:val="00B10150"/>
    <w:rsid w:val="00B1185E"/>
    <w:rsid w:val="00B13B14"/>
    <w:rsid w:val="00B14D0D"/>
    <w:rsid w:val="00B15286"/>
    <w:rsid w:val="00B15C03"/>
    <w:rsid w:val="00B1685C"/>
    <w:rsid w:val="00B17626"/>
    <w:rsid w:val="00B22835"/>
    <w:rsid w:val="00B22E35"/>
    <w:rsid w:val="00B23EEF"/>
    <w:rsid w:val="00B24449"/>
    <w:rsid w:val="00B309D2"/>
    <w:rsid w:val="00B34F72"/>
    <w:rsid w:val="00B3708B"/>
    <w:rsid w:val="00B40BB9"/>
    <w:rsid w:val="00B40CF1"/>
    <w:rsid w:val="00B433A7"/>
    <w:rsid w:val="00B45666"/>
    <w:rsid w:val="00B5319D"/>
    <w:rsid w:val="00B55B34"/>
    <w:rsid w:val="00B55C3E"/>
    <w:rsid w:val="00B615BE"/>
    <w:rsid w:val="00B6457F"/>
    <w:rsid w:val="00B6475E"/>
    <w:rsid w:val="00B67D30"/>
    <w:rsid w:val="00B67FB6"/>
    <w:rsid w:val="00B70269"/>
    <w:rsid w:val="00B727A7"/>
    <w:rsid w:val="00B7398B"/>
    <w:rsid w:val="00B75E51"/>
    <w:rsid w:val="00B811EB"/>
    <w:rsid w:val="00B818E4"/>
    <w:rsid w:val="00B83946"/>
    <w:rsid w:val="00B83DF4"/>
    <w:rsid w:val="00B84CFC"/>
    <w:rsid w:val="00B86033"/>
    <w:rsid w:val="00B86C8F"/>
    <w:rsid w:val="00B90904"/>
    <w:rsid w:val="00B952E2"/>
    <w:rsid w:val="00B95678"/>
    <w:rsid w:val="00B95DF0"/>
    <w:rsid w:val="00BA0264"/>
    <w:rsid w:val="00BA6772"/>
    <w:rsid w:val="00BA6F98"/>
    <w:rsid w:val="00BA749E"/>
    <w:rsid w:val="00BB3BBA"/>
    <w:rsid w:val="00BB77E5"/>
    <w:rsid w:val="00BB796A"/>
    <w:rsid w:val="00BB7B14"/>
    <w:rsid w:val="00BC2CBB"/>
    <w:rsid w:val="00BD4296"/>
    <w:rsid w:val="00BD42E3"/>
    <w:rsid w:val="00BD510D"/>
    <w:rsid w:val="00BD53DE"/>
    <w:rsid w:val="00BD5FE2"/>
    <w:rsid w:val="00BD73D7"/>
    <w:rsid w:val="00BE1F7C"/>
    <w:rsid w:val="00BE28E0"/>
    <w:rsid w:val="00BE4DFD"/>
    <w:rsid w:val="00BE6DA8"/>
    <w:rsid w:val="00BE7619"/>
    <w:rsid w:val="00BF15F3"/>
    <w:rsid w:val="00BF5649"/>
    <w:rsid w:val="00C01384"/>
    <w:rsid w:val="00C03CF5"/>
    <w:rsid w:val="00C047AB"/>
    <w:rsid w:val="00C06A0E"/>
    <w:rsid w:val="00C10E3F"/>
    <w:rsid w:val="00C111BF"/>
    <w:rsid w:val="00C14920"/>
    <w:rsid w:val="00C169EE"/>
    <w:rsid w:val="00C17A96"/>
    <w:rsid w:val="00C26F51"/>
    <w:rsid w:val="00C27E21"/>
    <w:rsid w:val="00C27FD7"/>
    <w:rsid w:val="00C32A54"/>
    <w:rsid w:val="00C33888"/>
    <w:rsid w:val="00C33F8B"/>
    <w:rsid w:val="00C37968"/>
    <w:rsid w:val="00C41337"/>
    <w:rsid w:val="00C41B58"/>
    <w:rsid w:val="00C432E5"/>
    <w:rsid w:val="00C44A12"/>
    <w:rsid w:val="00C503EC"/>
    <w:rsid w:val="00C55AE1"/>
    <w:rsid w:val="00C55BC3"/>
    <w:rsid w:val="00C56384"/>
    <w:rsid w:val="00C5763A"/>
    <w:rsid w:val="00C606E8"/>
    <w:rsid w:val="00C667AC"/>
    <w:rsid w:val="00C7165D"/>
    <w:rsid w:val="00C722FF"/>
    <w:rsid w:val="00C75E36"/>
    <w:rsid w:val="00C76818"/>
    <w:rsid w:val="00C77521"/>
    <w:rsid w:val="00C77E43"/>
    <w:rsid w:val="00C80F13"/>
    <w:rsid w:val="00C87ACD"/>
    <w:rsid w:val="00C87AEE"/>
    <w:rsid w:val="00C910D0"/>
    <w:rsid w:val="00C91EB9"/>
    <w:rsid w:val="00C95176"/>
    <w:rsid w:val="00CA1B5E"/>
    <w:rsid w:val="00CA2DC8"/>
    <w:rsid w:val="00CA32FD"/>
    <w:rsid w:val="00CA3647"/>
    <w:rsid w:val="00CA6088"/>
    <w:rsid w:val="00CA7CD4"/>
    <w:rsid w:val="00CB04A7"/>
    <w:rsid w:val="00CB074D"/>
    <w:rsid w:val="00CB24E5"/>
    <w:rsid w:val="00CB36E9"/>
    <w:rsid w:val="00CB5749"/>
    <w:rsid w:val="00CC63A7"/>
    <w:rsid w:val="00CD0464"/>
    <w:rsid w:val="00CD0FD4"/>
    <w:rsid w:val="00CD135E"/>
    <w:rsid w:val="00CD1D69"/>
    <w:rsid w:val="00CD71A2"/>
    <w:rsid w:val="00CE0D91"/>
    <w:rsid w:val="00CE5702"/>
    <w:rsid w:val="00CE635D"/>
    <w:rsid w:val="00CE729E"/>
    <w:rsid w:val="00CF02A5"/>
    <w:rsid w:val="00CF0744"/>
    <w:rsid w:val="00CF19D9"/>
    <w:rsid w:val="00CF1B26"/>
    <w:rsid w:val="00CF2D2F"/>
    <w:rsid w:val="00CF5363"/>
    <w:rsid w:val="00CF6041"/>
    <w:rsid w:val="00D00C17"/>
    <w:rsid w:val="00D0100E"/>
    <w:rsid w:val="00D040EB"/>
    <w:rsid w:val="00D04C43"/>
    <w:rsid w:val="00D07FF2"/>
    <w:rsid w:val="00D10269"/>
    <w:rsid w:val="00D1191F"/>
    <w:rsid w:val="00D122B7"/>
    <w:rsid w:val="00D1445F"/>
    <w:rsid w:val="00D17A02"/>
    <w:rsid w:val="00D20EEF"/>
    <w:rsid w:val="00D271CF"/>
    <w:rsid w:val="00D32D01"/>
    <w:rsid w:val="00D367E4"/>
    <w:rsid w:val="00D37078"/>
    <w:rsid w:val="00D4097D"/>
    <w:rsid w:val="00D43BCD"/>
    <w:rsid w:val="00D46321"/>
    <w:rsid w:val="00D47C2D"/>
    <w:rsid w:val="00D512C9"/>
    <w:rsid w:val="00D51DD4"/>
    <w:rsid w:val="00D52232"/>
    <w:rsid w:val="00D52EF8"/>
    <w:rsid w:val="00D53A76"/>
    <w:rsid w:val="00D5520B"/>
    <w:rsid w:val="00D60D1A"/>
    <w:rsid w:val="00D6429B"/>
    <w:rsid w:val="00D64D54"/>
    <w:rsid w:val="00D6632E"/>
    <w:rsid w:val="00D722B3"/>
    <w:rsid w:val="00D75297"/>
    <w:rsid w:val="00D76538"/>
    <w:rsid w:val="00D76DF3"/>
    <w:rsid w:val="00D82070"/>
    <w:rsid w:val="00D8500F"/>
    <w:rsid w:val="00D869FC"/>
    <w:rsid w:val="00D915C9"/>
    <w:rsid w:val="00D91D58"/>
    <w:rsid w:val="00D97722"/>
    <w:rsid w:val="00DA1CBD"/>
    <w:rsid w:val="00DA24DD"/>
    <w:rsid w:val="00DA3071"/>
    <w:rsid w:val="00DA4A2F"/>
    <w:rsid w:val="00DA743B"/>
    <w:rsid w:val="00DB01CF"/>
    <w:rsid w:val="00DB06C1"/>
    <w:rsid w:val="00DB3644"/>
    <w:rsid w:val="00DB7296"/>
    <w:rsid w:val="00DB73D6"/>
    <w:rsid w:val="00DC28FF"/>
    <w:rsid w:val="00DC3900"/>
    <w:rsid w:val="00DC6D3C"/>
    <w:rsid w:val="00DC7C3F"/>
    <w:rsid w:val="00DD075F"/>
    <w:rsid w:val="00DD0FDB"/>
    <w:rsid w:val="00DD1628"/>
    <w:rsid w:val="00DD2228"/>
    <w:rsid w:val="00DD4CAB"/>
    <w:rsid w:val="00DD61AE"/>
    <w:rsid w:val="00DE7CB4"/>
    <w:rsid w:val="00E008CE"/>
    <w:rsid w:val="00E00914"/>
    <w:rsid w:val="00E01854"/>
    <w:rsid w:val="00E0415F"/>
    <w:rsid w:val="00E12183"/>
    <w:rsid w:val="00E130C0"/>
    <w:rsid w:val="00E14251"/>
    <w:rsid w:val="00E14824"/>
    <w:rsid w:val="00E160C8"/>
    <w:rsid w:val="00E1655F"/>
    <w:rsid w:val="00E17347"/>
    <w:rsid w:val="00E211F4"/>
    <w:rsid w:val="00E21CE4"/>
    <w:rsid w:val="00E22252"/>
    <w:rsid w:val="00E2434A"/>
    <w:rsid w:val="00E24BA5"/>
    <w:rsid w:val="00E31C1D"/>
    <w:rsid w:val="00E3340B"/>
    <w:rsid w:val="00E37D25"/>
    <w:rsid w:val="00E37EA1"/>
    <w:rsid w:val="00E37EEB"/>
    <w:rsid w:val="00E458C2"/>
    <w:rsid w:val="00E520B7"/>
    <w:rsid w:val="00E5291E"/>
    <w:rsid w:val="00E53D36"/>
    <w:rsid w:val="00E5477F"/>
    <w:rsid w:val="00E54D8B"/>
    <w:rsid w:val="00E5798F"/>
    <w:rsid w:val="00E64403"/>
    <w:rsid w:val="00E64717"/>
    <w:rsid w:val="00E667DC"/>
    <w:rsid w:val="00E709F7"/>
    <w:rsid w:val="00E73234"/>
    <w:rsid w:val="00E7493A"/>
    <w:rsid w:val="00E749FC"/>
    <w:rsid w:val="00E74EC0"/>
    <w:rsid w:val="00E7677A"/>
    <w:rsid w:val="00E77DDE"/>
    <w:rsid w:val="00E81FA7"/>
    <w:rsid w:val="00E837EE"/>
    <w:rsid w:val="00E86842"/>
    <w:rsid w:val="00E86AEE"/>
    <w:rsid w:val="00E929D3"/>
    <w:rsid w:val="00E96106"/>
    <w:rsid w:val="00EA0B40"/>
    <w:rsid w:val="00EA3B7C"/>
    <w:rsid w:val="00EA3F63"/>
    <w:rsid w:val="00EA445A"/>
    <w:rsid w:val="00EA5298"/>
    <w:rsid w:val="00EA7B04"/>
    <w:rsid w:val="00EB32C9"/>
    <w:rsid w:val="00EB68D7"/>
    <w:rsid w:val="00EC04F5"/>
    <w:rsid w:val="00EC0899"/>
    <w:rsid w:val="00EC0AC6"/>
    <w:rsid w:val="00EC1BD2"/>
    <w:rsid w:val="00EC5675"/>
    <w:rsid w:val="00EC58CD"/>
    <w:rsid w:val="00EC6306"/>
    <w:rsid w:val="00EC70F3"/>
    <w:rsid w:val="00ED04CC"/>
    <w:rsid w:val="00ED2403"/>
    <w:rsid w:val="00ED27FE"/>
    <w:rsid w:val="00ED34F8"/>
    <w:rsid w:val="00ED5E7D"/>
    <w:rsid w:val="00EE379D"/>
    <w:rsid w:val="00EE5F59"/>
    <w:rsid w:val="00EE5FEC"/>
    <w:rsid w:val="00EE6583"/>
    <w:rsid w:val="00EF1644"/>
    <w:rsid w:val="00EF1D98"/>
    <w:rsid w:val="00EF2020"/>
    <w:rsid w:val="00EF3495"/>
    <w:rsid w:val="00EF47C0"/>
    <w:rsid w:val="00EF5320"/>
    <w:rsid w:val="00EF7AE4"/>
    <w:rsid w:val="00F00728"/>
    <w:rsid w:val="00F0099C"/>
    <w:rsid w:val="00F01784"/>
    <w:rsid w:val="00F03958"/>
    <w:rsid w:val="00F039BA"/>
    <w:rsid w:val="00F058E8"/>
    <w:rsid w:val="00F05C17"/>
    <w:rsid w:val="00F10418"/>
    <w:rsid w:val="00F11149"/>
    <w:rsid w:val="00F16A9D"/>
    <w:rsid w:val="00F17D6C"/>
    <w:rsid w:val="00F20F78"/>
    <w:rsid w:val="00F21F83"/>
    <w:rsid w:val="00F22611"/>
    <w:rsid w:val="00F2558B"/>
    <w:rsid w:val="00F3027B"/>
    <w:rsid w:val="00F30523"/>
    <w:rsid w:val="00F31A99"/>
    <w:rsid w:val="00F33A3C"/>
    <w:rsid w:val="00F346FC"/>
    <w:rsid w:val="00F35A99"/>
    <w:rsid w:val="00F35E83"/>
    <w:rsid w:val="00F40803"/>
    <w:rsid w:val="00F40B5F"/>
    <w:rsid w:val="00F413C0"/>
    <w:rsid w:val="00F43229"/>
    <w:rsid w:val="00F46247"/>
    <w:rsid w:val="00F50309"/>
    <w:rsid w:val="00F51E7C"/>
    <w:rsid w:val="00F538E2"/>
    <w:rsid w:val="00F53BBC"/>
    <w:rsid w:val="00F56918"/>
    <w:rsid w:val="00F615C8"/>
    <w:rsid w:val="00F61CBF"/>
    <w:rsid w:val="00F634E5"/>
    <w:rsid w:val="00F64670"/>
    <w:rsid w:val="00F717FE"/>
    <w:rsid w:val="00F71FB0"/>
    <w:rsid w:val="00F721BF"/>
    <w:rsid w:val="00F7422A"/>
    <w:rsid w:val="00F7499B"/>
    <w:rsid w:val="00F750A2"/>
    <w:rsid w:val="00F75425"/>
    <w:rsid w:val="00F754B5"/>
    <w:rsid w:val="00F77162"/>
    <w:rsid w:val="00F77541"/>
    <w:rsid w:val="00F80484"/>
    <w:rsid w:val="00F825A0"/>
    <w:rsid w:val="00F860CC"/>
    <w:rsid w:val="00F861BD"/>
    <w:rsid w:val="00F8744D"/>
    <w:rsid w:val="00F87A35"/>
    <w:rsid w:val="00F87E2E"/>
    <w:rsid w:val="00F90B4D"/>
    <w:rsid w:val="00F91701"/>
    <w:rsid w:val="00F965EA"/>
    <w:rsid w:val="00FA1D26"/>
    <w:rsid w:val="00FA247B"/>
    <w:rsid w:val="00FA302E"/>
    <w:rsid w:val="00FA34B0"/>
    <w:rsid w:val="00FA3D33"/>
    <w:rsid w:val="00FA4A73"/>
    <w:rsid w:val="00FA5885"/>
    <w:rsid w:val="00FA6571"/>
    <w:rsid w:val="00FA7950"/>
    <w:rsid w:val="00FA7A0E"/>
    <w:rsid w:val="00FA7D70"/>
    <w:rsid w:val="00FB0627"/>
    <w:rsid w:val="00FB1992"/>
    <w:rsid w:val="00FB42B8"/>
    <w:rsid w:val="00FB460C"/>
    <w:rsid w:val="00FB466F"/>
    <w:rsid w:val="00FB6020"/>
    <w:rsid w:val="00FC0A75"/>
    <w:rsid w:val="00FC1059"/>
    <w:rsid w:val="00FC235A"/>
    <w:rsid w:val="00FC5431"/>
    <w:rsid w:val="00FD136B"/>
    <w:rsid w:val="00FD3627"/>
    <w:rsid w:val="00FD7A96"/>
    <w:rsid w:val="00FE3068"/>
    <w:rsid w:val="00FE400C"/>
    <w:rsid w:val="00FE5F7F"/>
    <w:rsid w:val="00FE7002"/>
    <w:rsid w:val="00FE7DAA"/>
    <w:rsid w:val="00FF2D0B"/>
    <w:rsid w:val="00FF3078"/>
    <w:rsid w:val="00FF74C2"/>
    <w:rsid w:val="00FF7B5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103C"/>
  <w15:docId w15:val="{26149DD9-DCA3-448D-BABC-53334408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E3"/>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FA302E"/>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FA302E"/>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B13B14"/>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rFonts w:asciiTheme="minorHAnsi" w:eastAsiaTheme="minorHAnsi" w:hAnsiTheme="minorHAnsi" w:cstheme="minorBidi"/>
      <w:sz w:val="22"/>
      <w:szCs w:val="22"/>
      <w:vertAlign w:val="superscript"/>
      <w:lang w:val="en-US" w:eastAsia="en-US"/>
    </w:rPr>
  </w:style>
  <w:style w:type="paragraph" w:styleId="BalloonText">
    <w:name w:val="Balloon Text"/>
    <w:basedOn w:val="Normal"/>
    <w:link w:val="BalloonTextChar"/>
    <w:uiPriority w:val="99"/>
    <w:semiHidden/>
    <w:unhideWhenUsed/>
    <w:rsid w:val="0074297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line="360" w:lineRule="auto"/>
      <w:ind w:firstLine="300"/>
    </w:pPr>
    <w:rPr>
      <w:color w:val="414142"/>
      <w:sz w:val="20"/>
      <w:szCs w:val="20"/>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pPr>
    <w:rPr>
      <w:lang w:bidi="lo-LA"/>
    </w:rPr>
  </w:style>
  <w:style w:type="paragraph" w:styleId="Header">
    <w:name w:val="header"/>
    <w:basedOn w:val="Normal"/>
    <w:link w:val="HeaderChar"/>
    <w:uiPriority w:val="99"/>
    <w:unhideWhenUsed/>
    <w:rsid w:val="00ED240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pPr>
  </w:style>
  <w:style w:type="paragraph" w:customStyle="1" w:styleId="1pakapesvirsraksts">
    <w:name w:val="1. pakapes virsraksts"/>
    <w:basedOn w:val="Normal"/>
    <w:rsid w:val="00BD53DE"/>
    <w:pPr>
      <w:numPr>
        <w:numId w:val="3"/>
      </w:numPr>
      <w:spacing w:after="200" w:line="276" w:lineRule="auto"/>
    </w:pPr>
    <w:rPr>
      <w:rFonts w:asciiTheme="minorHAnsi" w:eastAsiaTheme="minorHAnsi" w:hAnsiTheme="minorHAnsi" w:cstheme="minorBidi"/>
      <w:sz w:val="22"/>
      <w:szCs w:val="22"/>
      <w:lang w:eastAsia="en-US"/>
    </w:rPr>
  </w:style>
  <w:style w:type="paragraph" w:customStyle="1" w:styleId="2pakapesvirsraksts">
    <w:name w:val="2. pakapes virsraksts"/>
    <w:basedOn w:val="Normal"/>
    <w:rsid w:val="00BD53DE"/>
    <w:pPr>
      <w:numPr>
        <w:ilvl w:val="1"/>
        <w:numId w:val="3"/>
      </w:numPr>
      <w:spacing w:after="200" w:line="276" w:lineRule="auto"/>
      <w:ind w:left="547"/>
    </w:pPr>
    <w:rPr>
      <w:rFonts w:asciiTheme="minorHAnsi" w:eastAsiaTheme="minorHAnsi" w:hAnsiTheme="minorHAnsi" w:cstheme="minorBidi"/>
      <w:sz w:val="22"/>
      <w:szCs w:val="22"/>
      <w:lang w:eastAsia="en-US"/>
    </w:rPr>
  </w:style>
  <w:style w:type="paragraph" w:customStyle="1" w:styleId="3pakapesvirsraksts">
    <w:name w:val="3. pakapes virsraksts"/>
    <w:basedOn w:val="Normal"/>
    <w:rsid w:val="00BD53DE"/>
    <w:pPr>
      <w:numPr>
        <w:ilvl w:val="2"/>
        <w:numId w:val="3"/>
      </w:numPr>
      <w:spacing w:after="200" w:line="276" w:lineRule="auto"/>
    </w:pPr>
    <w:rPr>
      <w:rFonts w:asciiTheme="minorHAnsi" w:eastAsiaTheme="minorHAnsi" w:hAnsiTheme="minorHAnsi" w:cstheme="minorBidi"/>
      <w:sz w:val="22"/>
      <w:szCs w:val="22"/>
      <w:lang w:eastAsia="en-US"/>
    </w:rPr>
  </w:style>
  <w:style w:type="paragraph" w:customStyle="1" w:styleId="4pakapesvirsraksts">
    <w:name w:val="4. pakapes virsraksts"/>
    <w:basedOn w:val="Normal"/>
    <w:rsid w:val="00BD53DE"/>
    <w:pPr>
      <w:numPr>
        <w:ilvl w:val="3"/>
        <w:numId w:val="3"/>
      </w:numPr>
      <w:spacing w:after="200" w:line="276" w:lineRule="auto"/>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pPr>
  </w:style>
  <w:style w:type="paragraph" w:styleId="Revision">
    <w:name w:val="Revision"/>
    <w:hidden/>
    <w:uiPriority w:val="99"/>
    <w:semiHidden/>
    <w:rsid w:val="00010A18"/>
    <w:pPr>
      <w:spacing w:after="0" w:line="240" w:lineRule="auto"/>
    </w:pPr>
    <w:rPr>
      <w:lang w:val="lv-LV"/>
    </w:rPr>
  </w:style>
  <w:style w:type="character" w:styleId="Strong">
    <w:name w:val="Strong"/>
    <w:basedOn w:val="DefaultParagraphFont"/>
    <w:uiPriority w:val="22"/>
    <w:qFormat/>
    <w:rsid w:val="004A2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9778-grozijumi-ministru-kabineta-2013-gada-17-decembra-noteikumos-nr-1529-veselibas-aprupes-organizesanas-un-finansesanas-kartib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AppData\Local\Microsoft\Windows\Temporary%20Internet%20Files\Content.IE5\HHNUQFHC\9menSAVA_pa%2520_programmam%2520(1)%2520(1)%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300" b="1" i="0" u="none" strike="noStrike" kern="1200" baseline="0">
                <a:solidFill>
                  <a:schemeClr val="tx1">
                    <a:lumMod val="65000"/>
                    <a:lumOff val="35000"/>
                  </a:schemeClr>
                </a:solidFill>
                <a:latin typeface="+mn-lt"/>
                <a:ea typeface="+mn-ea"/>
                <a:cs typeface="+mn-cs"/>
              </a:defRPr>
            </a:pPr>
            <a:r>
              <a:rPr lang="en-US" sz="1300" baseline="0">
                <a:latin typeface="Times New Roman" panose="02020603050405020304" pitchFamily="18" charset="0"/>
              </a:rPr>
              <a:t>Zobārstniecības </a:t>
            </a:r>
            <a:r>
              <a:rPr lang="lv-LV" sz="1300" baseline="0">
                <a:latin typeface="Times New Roman" panose="02020603050405020304" pitchFamily="18" charset="0"/>
              </a:rPr>
              <a:t>līgum</a:t>
            </a:r>
            <a:r>
              <a:rPr lang="en-US" sz="1300" baseline="0">
                <a:latin typeface="Times New Roman" panose="02020603050405020304" pitchFamily="18" charset="0"/>
              </a:rPr>
              <a:t>iestāžu skaits valstī</a:t>
            </a:r>
          </a:p>
        </c:rich>
      </c:tx>
      <c:layout>
        <c:manualLayout>
          <c:xMode val="edge"/>
          <c:yMode val="edge"/>
          <c:x val="0.16617344706911635"/>
          <c:y val="5.5555555555555552E-2"/>
        </c:manualLayout>
      </c:layout>
      <c:overlay val="0"/>
      <c:spPr>
        <a:noFill/>
        <a:ln>
          <a:noFill/>
        </a:ln>
        <a:effectLst/>
      </c:spPr>
      <c:txPr>
        <a:bodyPr rot="0" spcFirstLastPara="1" vertOverflow="ellipsis" vert="horz" wrap="square" anchor="ctr" anchorCtr="1"/>
        <a:lstStyle/>
        <a:p>
          <a:pPr>
            <a:defRPr sz="13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līgumi!$C$4</c:f>
              <c:strCache>
                <c:ptCount val="1"/>
                <c:pt idx="0">
                  <c:v>valstī</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120370370370370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F7-4849-811C-ED69AEFEA6C7}"/>
                </c:ext>
              </c:extLst>
            </c:dLbl>
            <c:dLbl>
              <c:idx val="1"/>
              <c:layout>
                <c:manualLayout>
                  <c:x val="0"/>
                  <c:y val="0.11574074074074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F7-4849-811C-ED69AEFEA6C7}"/>
                </c:ext>
              </c:extLst>
            </c:dLbl>
            <c:dLbl>
              <c:idx val="2"/>
              <c:layout>
                <c:manualLayout>
                  <c:x val="-2.7777777777778798E-3"/>
                  <c:y val="0.111111111111111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F7-4849-811C-ED69AEFEA6C7}"/>
                </c:ext>
              </c:extLst>
            </c:dLbl>
            <c:dLbl>
              <c:idx val="3"/>
              <c:layout>
                <c:manualLayout>
                  <c:x val="0"/>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F7-4849-811C-ED69AEFEA6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līgumi!$B$5:$B$8</c:f>
              <c:strCache>
                <c:ptCount val="4"/>
                <c:pt idx="0">
                  <c:v>2014.gadā</c:v>
                </c:pt>
                <c:pt idx="1">
                  <c:v>2015.gadā</c:v>
                </c:pt>
                <c:pt idx="2">
                  <c:v>2016.gadā</c:v>
                </c:pt>
                <c:pt idx="3">
                  <c:v>2017.gadā</c:v>
                </c:pt>
              </c:strCache>
            </c:strRef>
          </c:cat>
          <c:val>
            <c:numRef>
              <c:f>līgumi!$C$5:$C$8</c:f>
              <c:numCache>
                <c:formatCode>General</c:formatCode>
                <c:ptCount val="4"/>
                <c:pt idx="0">
                  <c:v>303</c:v>
                </c:pt>
                <c:pt idx="1">
                  <c:v>287</c:v>
                </c:pt>
                <c:pt idx="2">
                  <c:v>264</c:v>
                </c:pt>
                <c:pt idx="3">
                  <c:v>249</c:v>
                </c:pt>
              </c:numCache>
            </c:numRef>
          </c:val>
          <c:extLst>
            <c:ext xmlns:c16="http://schemas.microsoft.com/office/drawing/2014/chart" uri="{C3380CC4-5D6E-409C-BE32-E72D297353CC}">
              <c16:uniqueId val="{00000004-4BF7-4849-811C-ED69AEFEA6C7}"/>
            </c:ext>
          </c:extLst>
        </c:ser>
        <c:dLbls>
          <c:showLegendKey val="0"/>
          <c:showVal val="0"/>
          <c:showCatName val="0"/>
          <c:showSerName val="0"/>
          <c:showPercent val="0"/>
          <c:showBubbleSize val="0"/>
        </c:dLbls>
        <c:gapWidth val="100"/>
        <c:overlap val="-24"/>
        <c:axId val="379093008"/>
        <c:axId val="379098256"/>
      </c:barChart>
      <c:catAx>
        <c:axId val="379093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79098256"/>
        <c:crosses val="autoZero"/>
        <c:auto val="1"/>
        <c:lblAlgn val="ctr"/>
        <c:lblOffset val="100"/>
        <c:noMultiLvlLbl val="0"/>
      </c:catAx>
      <c:valAx>
        <c:axId val="37909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7909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300" b="1" i="0" baseline="0">
                <a:effectLst/>
                <a:latin typeface="Times New Roman" panose="02020603050405020304" pitchFamily="18" charset="0"/>
                <a:cs typeface="Times New Roman" panose="02020603050405020304" pitchFamily="18" charset="0"/>
              </a:rPr>
              <a:t>Apmeklējumu skaits zobārstniecībā</a:t>
            </a:r>
            <a:endParaRPr lang="lv-LV" sz="13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300">
                <a:solidFill>
                  <a:sysClr val="windowText" lastClr="000000">
                    <a:lumMod val="65000"/>
                    <a:lumOff val="35000"/>
                  </a:sysClr>
                </a:solidFill>
                <a:latin typeface="Times New Roman" panose="02020603050405020304" pitchFamily="18" charset="0"/>
                <a:cs typeface="Times New Roman" panose="02020603050405020304" pitchFamily="18" charset="0"/>
              </a:defRPr>
            </a:pPr>
            <a:endParaRPr lang="lv-LV" sz="13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zobi_statistika!$C$16:$H$16</c:f>
              <c:strCache>
                <c:ptCount val="6"/>
                <c:pt idx="0">
                  <c:v>2011.gadā</c:v>
                </c:pt>
                <c:pt idx="1">
                  <c:v>2012.gadā</c:v>
                </c:pt>
                <c:pt idx="2">
                  <c:v>2013.gadā</c:v>
                </c:pt>
                <c:pt idx="3">
                  <c:v>2014.gadā</c:v>
                </c:pt>
                <c:pt idx="4">
                  <c:v>2015.gadā</c:v>
                </c:pt>
                <c:pt idx="5">
                  <c:v>2016.gadā</c:v>
                </c:pt>
              </c:strCache>
            </c:strRef>
          </c:cat>
          <c:val>
            <c:numRef>
              <c:f>zobi_statistika!$C$17:$H$17</c:f>
              <c:numCache>
                <c:formatCode>_-* #,##0_-;\-* #,##0_-;_-* "-"??_-;_-@_-</c:formatCode>
                <c:ptCount val="6"/>
                <c:pt idx="0">
                  <c:v>596958</c:v>
                </c:pt>
                <c:pt idx="1">
                  <c:v>592589</c:v>
                </c:pt>
                <c:pt idx="2">
                  <c:v>578866</c:v>
                </c:pt>
                <c:pt idx="3" formatCode="#,##0">
                  <c:v>583455</c:v>
                </c:pt>
                <c:pt idx="4" formatCode="#,##0">
                  <c:v>545865</c:v>
                </c:pt>
                <c:pt idx="5" formatCode="#,##0">
                  <c:v>521652</c:v>
                </c:pt>
              </c:numCache>
            </c:numRef>
          </c:val>
          <c:extLst>
            <c:ext xmlns:c16="http://schemas.microsoft.com/office/drawing/2014/chart" uri="{C3380CC4-5D6E-409C-BE32-E72D297353CC}">
              <c16:uniqueId val="{00000000-E790-4E3B-9325-263AC3D57950}"/>
            </c:ext>
          </c:extLst>
        </c:ser>
        <c:dLbls>
          <c:showLegendKey val="0"/>
          <c:showVal val="0"/>
          <c:showCatName val="0"/>
          <c:showSerName val="0"/>
          <c:showPercent val="0"/>
          <c:showBubbleSize val="0"/>
        </c:dLbls>
        <c:gapWidth val="219"/>
        <c:overlap val="-27"/>
        <c:axId val="243702920"/>
        <c:axId val="243703576"/>
      </c:barChart>
      <c:catAx>
        <c:axId val="24370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43703576"/>
        <c:crosses val="autoZero"/>
        <c:auto val="1"/>
        <c:lblAlgn val="ctr"/>
        <c:lblOffset val="100"/>
        <c:noMultiLvlLbl val="0"/>
      </c:catAx>
      <c:valAx>
        <c:axId val="243703576"/>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crossAx val="243702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lv-LV">
                <a:latin typeface="Times New Roman" panose="02020603050405020304" pitchFamily="18" charset="0"/>
                <a:cs typeface="Times New Roman" panose="02020603050405020304" pitchFamily="18" charset="0"/>
              </a:rPr>
              <a:t>Pieejamības pieaugums</a:t>
            </a:r>
            <a:endParaRPr lang="en-US">
              <a:latin typeface="Times New Roman" panose="02020603050405020304" pitchFamily="18" charset="0"/>
              <a:cs typeface="Times New Roman" panose="02020603050405020304" pitchFamily="18" charset="0"/>
            </a:endParaRPr>
          </a:p>
        </c:rich>
      </c:tx>
      <c:layout>
        <c:manualLayout>
          <c:xMode val="edge"/>
          <c:yMode val="edge"/>
          <c:x val="0.35973536895674302"/>
          <c:y val="1.4109347442680775E-2"/>
        </c:manualLayout>
      </c:layout>
      <c:overlay val="1"/>
      <c:spPr>
        <a:noFill/>
        <a:ln>
          <a:noFill/>
        </a:ln>
        <a:effectLst/>
      </c:spPr>
    </c:title>
    <c:autoTitleDeleted val="0"/>
    <c:plotArea>
      <c:layout>
        <c:manualLayout>
          <c:layoutTarget val="inner"/>
          <c:xMode val="edge"/>
          <c:yMode val="edge"/>
          <c:x val="0.13093054262785842"/>
          <c:y val="0.12389065654108841"/>
          <c:w val="0.75431345557329854"/>
          <c:h val="0.58495745382660658"/>
        </c:manualLayout>
      </c:layout>
      <c:lineChart>
        <c:grouping val="standard"/>
        <c:varyColors val="0"/>
        <c:ser>
          <c:idx val="0"/>
          <c:order val="0"/>
          <c:tx>
            <c:v>Rindu samazinājums %</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Sheet2!$D$10:$D$19</c:f>
              <c:numCache>
                <c:formatCode>General</c:formatCode>
                <c:ptCount val="10"/>
                <c:pt idx="0">
                  <c:v>584658</c:v>
                </c:pt>
                <c:pt idx="1">
                  <c:v>876986</c:v>
                </c:pt>
                <c:pt idx="2">
                  <c:v>1169315</c:v>
                </c:pt>
                <c:pt idx="3">
                  <c:v>1461644</c:v>
                </c:pt>
                <c:pt idx="4">
                  <c:v>1753973</c:v>
                </c:pt>
                <c:pt idx="5" formatCode="0">
                  <c:v>2046301.6000000003</c:v>
                </c:pt>
                <c:pt idx="6">
                  <c:v>2338630</c:v>
                </c:pt>
                <c:pt idx="7" formatCode="0">
                  <c:v>2630959.2000000002</c:v>
                </c:pt>
                <c:pt idx="8" formatCode="0">
                  <c:v>2923288</c:v>
                </c:pt>
                <c:pt idx="9" formatCode="0">
                  <c:v>3204930</c:v>
                </c:pt>
              </c:numCache>
            </c:numRef>
          </c:cat>
          <c:val>
            <c:numRef>
              <c:f>Sheet2!$C$10:$C$19</c:f>
              <c:numCache>
                <c:formatCode>0%</c:formatCode>
                <c:ptCount val="10"/>
                <c:pt idx="0">
                  <c:v>0.2</c:v>
                </c:pt>
                <c:pt idx="1">
                  <c:v>0.29999986316777555</c:v>
                </c:pt>
                <c:pt idx="2">
                  <c:v>0.39999993158388786</c:v>
                </c:pt>
                <c:pt idx="3">
                  <c:v>0.5</c:v>
                </c:pt>
                <c:pt idx="4">
                  <c:v>0.60000006841611242</c:v>
                </c:pt>
                <c:pt idx="5">
                  <c:v>0.70000000000000007</c:v>
                </c:pt>
                <c:pt idx="6">
                  <c:v>0.79999986316777572</c:v>
                </c:pt>
                <c:pt idx="7">
                  <c:v>0.9</c:v>
                </c:pt>
                <c:pt idx="8">
                  <c:v>1</c:v>
                </c:pt>
                <c:pt idx="9">
                  <c:v>1.096344253457066</c:v>
                </c:pt>
              </c:numCache>
            </c:numRef>
          </c:val>
          <c:smooth val="1"/>
          <c:extLst>
            <c:ext xmlns:c16="http://schemas.microsoft.com/office/drawing/2014/chart" uri="{C3380CC4-5D6E-409C-BE32-E72D297353CC}">
              <c16:uniqueId val="{00000000-AD78-479F-97D4-EEB7F79E8DB8}"/>
            </c:ext>
          </c:extLst>
        </c:ser>
        <c:ser>
          <c:idx val="1"/>
          <c:order val="1"/>
          <c:tx>
            <c:strRef>
              <c:f>Sheet2!$B$7</c:f>
              <c:strCache>
                <c:ptCount val="1"/>
                <c:pt idx="0">
                  <c:v>Rindu samazinājums (koriģētais)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9118009609821225E-4"/>
                  <c:y val="3.88658731209664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D78-479F-97D4-EEB7F79E8DB8}"/>
                </c:ext>
              </c:extLst>
            </c:dLbl>
            <c:dLbl>
              <c:idx val="1"/>
              <c:layout>
                <c:manualLayout>
                  <c:x val="1.5387453565109093E-3"/>
                  <c:y val="3.1347074644697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78-479F-97D4-EEB7F79E8DB8}"/>
                </c:ext>
              </c:extLst>
            </c:dLbl>
            <c:dLbl>
              <c:idx val="2"/>
              <c:layout>
                <c:manualLayout>
                  <c:x val="7.9285217143384313E-3"/>
                  <c:y val="3.1347074644697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78-479F-97D4-EEB7F79E8DB8}"/>
                </c:ext>
              </c:extLst>
            </c:dLbl>
            <c:dLbl>
              <c:idx val="3"/>
              <c:layout>
                <c:manualLayout>
                  <c:x val="2.4967925335211687E-2"/>
                  <c:y val="3.88658731209663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78-479F-97D4-EEB7F79E8DB8}"/>
                </c:ext>
              </c:extLst>
            </c:dLbl>
            <c:dLbl>
              <c:idx val="4"/>
              <c:layout>
                <c:manualLayout>
                  <c:x val="2.0708074429993398E-2"/>
                  <c:y val="3.3853340803453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78-479F-97D4-EEB7F79E8DB8}"/>
                </c:ext>
              </c:extLst>
            </c:dLbl>
            <c:dLbl>
              <c:idx val="5"/>
              <c:layout>
                <c:manualLayout>
                  <c:x val="2.2837999882602579E-2"/>
                  <c:y val="1.38032115334027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78-479F-97D4-EEB7F79E8DB8}"/>
                </c:ext>
              </c:extLst>
            </c:dLbl>
            <c:dLbl>
              <c:idx val="6"/>
              <c:layout>
                <c:manualLayout>
                  <c:x val="1.6448223524775062E-2"/>
                  <c:y val="2.88408084859409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78-479F-97D4-EEB7F79E8DB8}"/>
                </c:ext>
              </c:extLst>
            </c:dLbl>
            <c:dLbl>
              <c:idx val="7"/>
              <c:layout>
                <c:manualLayout>
                  <c:x val="1.7981769850653653E-2"/>
                  <c:y val="1.88157438509154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78-479F-97D4-EEB7F79E8DB8}"/>
                </c:ext>
              </c:extLst>
            </c:dLbl>
            <c:dLbl>
              <c:idx val="8"/>
              <c:layout>
                <c:manualLayout>
                  <c:x val="4.2748091603053442E-2"/>
                  <c:y val="7.054673721340389E-2"/>
                </c:manualLayout>
              </c:layout>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90-431F-829B-77B5D9B46B98}"/>
                </c:ext>
              </c:extLst>
            </c:dLbl>
            <c:dLbl>
              <c:idx val="9"/>
              <c:layout>
                <c:manualLayout>
                  <c:x val="3.4605597964376594E-2"/>
                  <c:y val="5.2910052910052907E-2"/>
                </c:manualLayout>
              </c:layout>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90-431F-829B-77B5D9B46B98}"/>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Sheet2!$D$10:$D$19</c:f>
              <c:numCache>
                <c:formatCode>General</c:formatCode>
                <c:ptCount val="10"/>
                <c:pt idx="0">
                  <c:v>584658</c:v>
                </c:pt>
                <c:pt idx="1">
                  <c:v>876986</c:v>
                </c:pt>
                <c:pt idx="2">
                  <c:v>1169315</c:v>
                </c:pt>
                <c:pt idx="3">
                  <c:v>1461644</c:v>
                </c:pt>
                <c:pt idx="4">
                  <c:v>1753973</c:v>
                </c:pt>
                <c:pt idx="5" formatCode="0">
                  <c:v>2046301.6000000003</c:v>
                </c:pt>
                <c:pt idx="6">
                  <c:v>2338630</c:v>
                </c:pt>
                <c:pt idx="7" formatCode="0">
                  <c:v>2630959.2000000002</c:v>
                </c:pt>
                <c:pt idx="8" formatCode="0">
                  <c:v>2923288</c:v>
                </c:pt>
                <c:pt idx="9" formatCode="0">
                  <c:v>3204930</c:v>
                </c:pt>
              </c:numCache>
            </c:numRef>
          </c:cat>
          <c:val>
            <c:numRef>
              <c:f>Sheet2!$B$10:$B$19</c:f>
              <c:numCache>
                <c:formatCode>0%</c:formatCode>
                <c:ptCount val="10"/>
                <c:pt idx="0">
                  <c:v>0.18242457713585009</c:v>
                </c:pt>
                <c:pt idx="1">
                  <c:v>0.27363655368447987</c:v>
                </c:pt>
                <c:pt idx="2">
                  <c:v>0.36484884225240494</c:v>
                </c:pt>
                <c:pt idx="3">
                  <c:v>0.4560611308203299</c:v>
                </c:pt>
                <c:pt idx="4">
                  <c:v>0.54727341938825502</c:v>
                </c:pt>
                <c:pt idx="5">
                  <c:v>0.63848558314846182</c:v>
                </c:pt>
                <c:pt idx="6">
                  <c:v>0.72969768450480998</c:v>
                </c:pt>
                <c:pt idx="7">
                  <c:v>0.82091003547659402</c:v>
                </c:pt>
                <c:pt idx="8">
                  <c:v>0.91212226164065979</c:v>
                </c:pt>
                <c:pt idx="9">
                  <c:v>1</c:v>
                </c:pt>
              </c:numCache>
            </c:numRef>
          </c:val>
          <c:smooth val="1"/>
          <c:extLst>
            <c:ext xmlns:c16="http://schemas.microsoft.com/office/drawing/2014/chart" uri="{C3380CC4-5D6E-409C-BE32-E72D297353CC}">
              <c16:uniqueId val="{00000002-AD78-479F-97D4-EEB7F79E8DB8}"/>
            </c:ext>
          </c:extLst>
        </c:ser>
        <c:dLbls>
          <c:showLegendKey val="0"/>
          <c:showVal val="0"/>
          <c:showCatName val="0"/>
          <c:showSerName val="0"/>
          <c:showPercent val="0"/>
          <c:showBubbleSize val="0"/>
        </c:dLbls>
        <c:marker val="1"/>
        <c:smooth val="0"/>
        <c:axId val="97722752"/>
        <c:axId val="97724672"/>
      </c:lineChart>
      <c:catAx>
        <c:axId val="97722752"/>
        <c:scaling>
          <c:orientation val="minMax"/>
        </c:scaling>
        <c:delete val="1"/>
        <c:axPos val="b"/>
        <c:title>
          <c:tx>
            <c:rich>
              <a:bodyPr rot="0" spcFirstLastPara="1" vertOverflow="clip" vert="horz" wrap="square" anchor="ctr" anchorCtr="1"/>
              <a:lstStyle/>
              <a:p>
                <a:pPr>
                  <a:defRPr lang="en-U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Nepieciešamais</a:t>
                </a:r>
                <a:r>
                  <a:rPr lang="lv-LV" baseline="0">
                    <a:latin typeface="Times New Roman" panose="02020603050405020304" pitchFamily="18" charset="0"/>
                    <a:cs typeface="Times New Roman" panose="02020603050405020304" pitchFamily="18" charset="0"/>
                  </a:rPr>
                  <a:t> p</a:t>
                </a:r>
                <a:r>
                  <a:rPr lang="lv-LV">
                    <a:latin typeface="Times New Roman" panose="02020603050405020304" pitchFamily="18" charset="0"/>
                    <a:cs typeface="Times New Roman" panose="02020603050405020304" pitchFamily="18" charset="0"/>
                  </a:rPr>
                  <a:t>ieejamības pieaugums (pacientu skaits)</a:t>
                </a:r>
              </a:p>
            </c:rich>
          </c:tx>
          <c:overlay val="1"/>
          <c:spPr>
            <a:noFill/>
            <a:ln>
              <a:noFill/>
            </a:ln>
            <a:effectLst/>
          </c:spPr>
        </c:title>
        <c:numFmt formatCode="General" sourceLinked="1"/>
        <c:majorTickMark val="none"/>
        <c:minorTickMark val="none"/>
        <c:tickLblPos val="nextTo"/>
        <c:crossAx val="97724672"/>
        <c:crosses val="autoZero"/>
        <c:auto val="1"/>
        <c:lblAlgn val="ctr"/>
        <c:lblOffset val="100"/>
        <c:noMultiLvlLbl val="1"/>
      </c:catAx>
      <c:valAx>
        <c:axId val="97724672"/>
        <c:scaling>
          <c:orientation val="minMax"/>
        </c:scaling>
        <c:delete val="1"/>
        <c:axPos val="l"/>
        <c:majorGridlines>
          <c:spPr>
            <a:ln w="9525">
              <a:solidFill>
                <a:schemeClr val="tx1">
                  <a:lumMod val="15000"/>
                  <a:lumOff val="85000"/>
                </a:schemeClr>
              </a:solidFill>
              <a:round/>
            </a:ln>
            <a:effectLst/>
          </c:spPr>
        </c:majorGridlines>
        <c:title>
          <c:tx>
            <c:rich>
              <a:bodyPr rot="-5400000" spcFirstLastPara="1" vertOverflow="clip" vert="horz" wrap="square" anchor="ctr" anchorCtr="1"/>
              <a:lstStyle/>
              <a:p>
                <a:pPr>
                  <a:defRPr lang="en-U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Rindu samazinājums %</a:t>
                </a:r>
              </a:p>
            </c:rich>
          </c:tx>
          <c:overlay val="1"/>
          <c:spPr>
            <a:noFill/>
            <a:ln>
              <a:noFill/>
            </a:ln>
            <a:effectLst/>
          </c:spPr>
        </c:title>
        <c:numFmt formatCode="0%" sourceLinked="1"/>
        <c:majorTickMark val="none"/>
        <c:minorTickMark val="none"/>
        <c:tickLblPos val="nextTo"/>
        <c:crossAx val="97722752"/>
        <c:crosses val="autoZero"/>
        <c:crossBetween val="between"/>
      </c:valAx>
      <c:spPr>
        <a:noFill/>
        <a:ln>
          <a:noFill/>
        </a:ln>
        <a:effectLst/>
      </c:spPr>
    </c:plotArea>
    <c:legend>
      <c:legendPos val="r"/>
      <c:layout>
        <c:manualLayout>
          <c:xMode val="edge"/>
          <c:yMode val="edge"/>
          <c:x val="2.5137934430300636E-2"/>
          <c:y val="0.85573349641830343"/>
          <c:w val="0.93993080410403262"/>
          <c:h val="9.7757899818822089E-2"/>
        </c:manualLayout>
      </c:layout>
      <c:overlay val="1"/>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1"/>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794F-AB0F-49B6-95BF-B82B8EF5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14359</Words>
  <Characters>8185</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tālāku rindu samazināšanu sekundārā ambulatorā veselības aprūpē”</vt:lpstr>
      <vt:lpstr>Informatīvais ziņojums “Par veselības reformas pasākumu īstenošanas turpināšanu 2017.gadā”</vt:lpstr>
    </vt:vector>
  </TitlesOfParts>
  <Company>Veselības ministrija</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tālāku rindu samazināšanu sekundārā ambulatorā veselības aprūpē”</dc:title>
  <dc:subject>Informatīvais ziņojums</dc:subject>
  <dc:creator>Anda Strazdiņa</dc:creator>
  <dc:description>Anda Strazdiņa_x000d_
Veselības ministrijas_x000d_
Nozares budžeta plānošanas departamenta direktora vietniece_x000d_
Tālr. Nr. 67876042_x000d_
Anda.Strazdina@vm.gov.lv</dc:description>
  <cp:lastModifiedBy>Lāsma Zandberga</cp:lastModifiedBy>
  <cp:revision>4</cp:revision>
  <cp:lastPrinted>2017-04-11T09:18:00Z</cp:lastPrinted>
  <dcterms:created xsi:type="dcterms:W3CDTF">2017-09-06T05:34:00Z</dcterms:created>
  <dcterms:modified xsi:type="dcterms:W3CDTF">2017-09-06T10:39:00Z</dcterms:modified>
  <cp:category>3143</cp:category>
</cp:coreProperties>
</file>