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722" w:rsidRPr="004C6722" w:rsidRDefault="002C1AF1" w:rsidP="004C6722">
      <w:pPr>
        <w:spacing w:after="0" w:line="240" w:lineRule="auto"/>
        <w:ind w:firstLine="709"/>
        <w:jc w:val="right"/>
        <w:rPr>
          <w:rFonts w:ascii="Times New Roman" w:eastAsia="Times New Roman" w:hAnsi="Times New Roman"/>
          <w:sz w:val="28"/>
          <w:szCs w:val="24"/>
          <w:lang w:eastAsia="lv-LV"/>
        </w:rPr>
      </w:pPr>
      <w:r>
        <w:rPr>
          <w:rFonts w:ascii="Times New Roman" w:eastAsia="Times New Roman" w:hAnsi="Times New Roman"/>
          <w:sz w:val="28"/>
          <w:szCs w:val="24"/>
          <w:lang w:eastAsia="lv-LV"/>
        </w:rPr>
        <w:t>9</w:t>
      </w:r>
      <w:r w:rsidR="004C6722" w:rsidRPr="004C6722">
        <w:rPr>
          <w:rFonts w:ascii="Times New Roman" w:eastAsia="Times New Roman" w:hAnsi="Times New Roman"/>
          <w:sz w:val="28"/>
          <w:szCs w:val="24"/>
          <w:lang w:eastAsia="lv-LV"/>
        </w:rPr>
        <w:t>. pielikums</w:t>
      </w:r>
    </w:p>
    <w:p w:rsidR="004C6722" w:rsidRPr="004C6722" w:rsidRDefault="004C6722" w:rsidP="004C6722">
      <w:pPr>
        <w:spacing w:after="0" w:line="240" w:lineRule="auto"/>
        <w:ind w:firstLine="709"/>
        <w:jc w:val="right"/>
        <w:rPr>
          <w:rFonts w:ascii="Times New Roman" w:eastAsia="Times New Roman" w:hAnsi="Times New Roman"/>
          <w:sz w:val="28"/>
          <w:szCs w:val="24"/>
          <w:lang w:eastAsia="lv-LV"/>
        </w:rPr>
      </w:pPr>
      <w:r w:rsidRPr="004C6722">
        <w:rPr>
          <w:rFonts w:ascii="Times New Roman" w:eastAsia="Times New Roman" w:hAnsi="Times New Roman"/>
          <w:sz w:val="28"/>
          <w:szCs w:val="24"/>
          <w:lang w:eastAsia="lv-LV"/>
        </w:rPr>
        <w:t>Ministru kabineta</w:t>
      </w:r>
    </w:p>
    <w:p w:rsidR="004C6722" w:rsidRPr="004C6722" w:rsidRDefault="004C6722" w:rsidP="004C6722">
      <w:pPr>
        <w:spacing w:after="0" w:line="240" w:lineRule="auto"/>
        <w:jc w:val="right"/>
        <w:rPr>
          <w:rFonts w:ascii="Times New Roman" w:eastAsia="Times New Roman" w:hAnsi="Times New Roman"/>
          <w:sz w:val="28"/>
          <w:lang w:eastAsia="lv-LV"/>
        </w:rPr>
      </w:pPr>
      <w:r w:rsidRPr="004C6722">
        <w:rPr>
          <w:rFonts w:ascii="Times New Roman" w:eastAsia="Times New Roman" w:hAnsi="Times New Roman"/>
          <w:sz w:val="28"/>
          <w:lang w:eastAsia="lv-LV"/>
        </w:rPr>
        <w:t>2017. gada      </w:t>
      </w:r>
      <w:r w:rsidRPr="004C6722">
        <w:rPr>
          <w:rFonts w:ascii="Times New Roman" w:eastAsia="Times New Roman" w:hAnsi="Times New Roman"/>
          <w:sz w:val="28"/>
          <w:szCs w:val="28"/>
          <w:lang w:eastAsia="lv-LV"/>
        </w:rPr>
        <w:t>.oktobra</w:t>
      </w:r>
    </w:p>
    <w:p w:rsidR="004C6722" w:rsidRPr="004C6722" w:rsidRDefault="004C6722" w:rsidP="004C6722">
      <w:pPr>
        <w:spacing w:after="0" w:line="240" w:lineRule="auto"/>
        <w:jc w:val="right"/>
        <w:rPr>
          <w:rFonts w:ascii="Times New Roman" w:eastAsia="Times New Roman" w:hAnsi="Times New Roman"/>
          <w:sz w:val="28"/>
          <w:szCs w:val="28"/>
          <w:lang w:eastAsia="lv-LV"/>
        </w:rPr>
      </w:pPr>
      <w:r w:rsidRPr="004C6722">
        <w:rPr>
          <w:rFonts w:ascii="Times New Roman" w:eastAsia="Times New Roman" w:hAnsi="Times New Roman"/>
          <w:sz w:val="28"/>
          <w:szCs w:val="28"/>
          <w:lang w:eastAsia="lv-LV"/>
        </w:rPr>
        <w:t>noteikumiem Nr.     </w:t>
      </w:r>
    </w:p>
    <w:p w:rsidR="000B44C7" w:rsidRPr="003F4BF2" w:rsidRDefault="000B44C7" w:rsidP="000B44C7">
      <w:pPr>
        <w:spacing w:after="0" w:line="240" w:lineRule="auto"/>
        <w:mirrorIndents/>
        <w:jc w:val="center"/>
        <w:rPr>
          <w:rFonts w:ascii="Times New Roman" w:eastAsia="Times New Roman" w:hAnsi="Times New Roman"/>
          <w:b/>
          <w:bCs/>
          <w:sz w:val="24"/>
          <w:szCs w:val="24"/>
          <w:lang w:eastAsia="lv-LV"/>
        </w:rPr>
      </w:pPr>
      <w:r w:rsidRPr="003F4BF2">
        <w:rPr>
          <w:rFonts w:ascii="Times New Roman" w:eastAsia="Times New Roman" w:hAnsi="Times New Roman"/>
          <w:b/>
          <w:bCs/>
          <w:sz w:val="24"/>
          <w:szCs w:val="24"/>
          <w:lang w:eastAsia="lv-LV"/>
        </w:rPr>
        <w:t>Finanšu korekciju piemērošana neatbilstību un pārkāpumu gadījumā</w:t>
      </w:r>
    </w:p>
    <w:p w:rsidR="000B44C7" w:rsidRPr="003F4BF2" w:rsidRDefault="000B44C7" w:rsidP="000B44C7">
      <w:pPr>
        <w:spacing w:after="0" w:line="240" w:lineRule="auto"/>
        <w:mirrorIndents/>
        <w:rPr>
          <w:rFonts w:ascii="Times New Roman" w:eastAsia="Times New Roman" w:hAnsi="Times New Roman"/>
          <w:sz w:val="24"/>
          <w:szCs w:val="24"/>
          <w:lang w:eastAsia="lv-LV"/>
        </w:rPr>
      </w:pPr>
    </w:p>
    <w:p w:rsidR="000B44C7" w:rsidRPr="003F4BF2" w:rsidRDefault="000B44C7" w:rsidP="000B44C7">
      <w:pPr>
        <w:spacing w:after="0" w:line="240" w:lineRule="auto"/>
        <w:mirrorIndents/>
        <w:jc w:val="both"/>
        <w:rPr>
          <w:rFonts w:ascii="Times New Roman" w:eastAsia="Times New Roman" w:hAnsi="Times New Roman"/>
          <w:sz w:val="24"/>
          <w:szCs w:val="24"/>
          <w:lang w:eastAsia="lv-LV"/>
        </w:rPr>
      </w:pPr>
      <w:r w:rsidRPr="003F4BF2">
        <w:rPr>
          <w:rFonts w:ascii="Times New Roman" w:eastAsia="Times New Roman" w:hAnsi="Times New Roman"/>
          <w:sz w:val="24"/>
          <w:szCs w:val="24"/>
          <w:lang w:eastAsia="lv-LV"/>
        </w:rPr>
        <w:t xml:space="preserve">1. Proporcionāla finanšu korekcija atbalstītajos projektos (sk. tabulu) tiek piemērota, ja Lauku atbalsta dienests, pieņemot lēmumu par iespējamo neatbilstības konstatēšanu vai lēmumu par neatbilstību, secina, ka neatbilstošo izdevumu summu nav iespējams konkrēti noteikt vai būtu nesamērīgi samazināt darbības programmas attiecināmo izmaksu summu par visu izdevumu summu, kas neatbilst normatīvo aktu un lēmuma vai vienošanās par </w:t>
      </w:r>
      <w:r w:rsidR="008B193C" w:rsidRPr="003F4BF2">
        <w:rPr>
          <w:rFonts w:ascii="Times New Roman" w:eastAsia="Times New Roman" w:hAnsi="Times New Roman"/>
          <w:sz w:val="24"/>
          <w:szCs w:val="24"/>
          <w:lang w:eastAsia="lv-LV"/>
        </w:rPr>
        <w:t xml:space="preserve">darbības programmas </w:t>
      </w:r>
      <w:r w:rsidRPr="003F4BF2">
        <w:rPr>
          <w:rFonts w:ascii="Times New Roman" w:eastAsia="Times New Roman" w:hAnsi="Times New Roman"/>
          <w:sz w:val="24"/>
          <w:szCs w:val="24"/>
          <w:lang w:eastAsia="lv-LV"/>
        </w:rPr>
        <w:t>īstenošanu nosacījumiem.</w:t>
      </w:r>
    </w:p>
    <w:p w:rsidR="000B44C7" w:rsidRPr="00BE7D53" w:rsidRDefault="0080485C" w:rsidP="000B44C7">
      <w:pPr>
        <w:spacing w:after="0" w:line="240" w:lineRule="auto"/>
        <w:mirrorIndents/>
        <w:jc w:val="both"/>
        <w:rPr>
          <w:rFonts w:ascii="Times New Roman" w:eastAsia="Times New Roman" w:hAnsi="Times New Roman"/>
          <w:sz w:val="24"/>
          <w:szCs w:val="24"/>
          <w:lang w:eastAsia="lv-LV"/>
        </w:rPr>
      </w:pPr>
      <w:r w:rsidRPr="00BE7D53">
        <w:rPr>
          <w:rFonts w:ascii="Times New Roman" w:eastAsia="Times New Roman" w:hAnsi="Times New Roman"/>
          <w:sz w:val="24"/>
          <w:szCs w:val="24"/>
          <w:lang w:eastAsia="lv-LV"/>
        </w:rPr>
        <w:t>2.</w:t>
      </w:r>
      <w:r w:rsidR="000B44C7" w:rsidRPr="00BE7D53">
        <w:rPr>
          <w:rFonts w:ascii="Times New Roman" w:eastAsia="Times New Roman" w:hAnsi="Times New Roman"/>
          <w:sz w:val="24"/>
          <w:szCs w:val="24"/>
          <w:lang w:eastAsia="lv-LV"/>
        </w:rPr>
        <w:t xml:space="preserve"> Finansējumu atprasa proporcionāli laikam, kas pagājis kopš attiecīgā pasākuma </w:t>
      </w:r>
      <w:r w:rsidR="005D45E4" w:rsidRPr="00BE7D53">
        <w:rPr>
          <w:rFonts w:ascii="Times New Roman" w:eastAsia="Times New Roman" w:hAnsi="Times New Roman"/>
          <w:sz w:val="24"/>
          <w:szCs w:val="24"/>
          <w:lang w:eastAsia="lv-LV"/>
        </w:rPr>
        <w:t xml:space="preserve">īstenošanas </w:t>
      </w:r>
      <w:r w:rsidR="000B44C7" w:rsidRPr="00BE7D53">
        <w:rPr>
          <w:rFonts w:ascii="Times New Roman" w:eastAsia="Times New Roman" w:hAnsi="Times New Roman"/>
          <w:sz w:val="24"/>
          <w:szCs w:val="24"/>
          <w:lang w:eastAsia="lv-LV"/>
        </w:rPr>
        <w:t>darbības programm</w:t>
      </w:r>
      <w:r w:rsidR="005D45E4" w:rsidRPr="00BE7D53">
        <w:rPr>
          <w:rFonts w:ascii="Times New Roman" w:eastAsia="Times New Roman" w:hAnsi="Times New Roman"/>
          <w:sz w:val="24"/>
          <w:szCs w:val="24"/>
          <w:lang w:eastAsia="lv-LV"/>
        </w:rPr>
        <w:t>ā</w:t>
      </w:r>
      <w:r w:rsidR="000B44C7" w:rsidRPr="00BE7D53">
        <w:rPr>
          <w:rFonts w:ascii="Times New Roman" w:eastAsia="Times New Roman" w:hAnsi="Times New Roman"/>
          <w:sz w:val="24"/>
          <w:szCs w:val="24"/>
          <w:lang w:eastAsia="lv-LV"/>
        </w:rPr>
        <w:t>.</w:t>
      </w:r>
    </w:p>
    <w:p w:rsidR="000B44C7" w:rsidRPr="003F4BF2" w:rsidRDefault="0080485C" w:rsidP="000B44C7">
      <w:pPr>
        <w:spacing w:after="0" w:line="240" w:lineRule="auto"/>
        <w:mirrorIndents/>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0B44C7" w:rsidRPr="003F4BF2">
        <w:rPr>
          <w:rFonts w:ascii="Times New Roman" w:eastAsia="Times New Roman" w:hAnsi="Times New Roman"/>
          <w:sz w:val="24"/>
          <w:szCs w:val="24"/>
          <w:lang w:eastAsia="lv-LV"/>
        </w:rPr>
        <w:t xml:space="preserve">. Konstatējot vairākus pārkāpumus vērtēšanas procesā, tiek piemērota finanšu korekcija atbilstoši būtiskākajam (ar </w:t>
      </w:r>
      <w:r w:rsidR="005D45E4" w:rsidRPr="003F4BF2">
        <w:rPr>
          <w:rFonts w:ascii="Times New Roman" w:eastAsia="Times New Roman" w:hAnsi="Times New Roman"/>
          <w:sz w:val="24"/>
          <w:szCs w:val="24"/>
          <w:lang w:eastAsia="lv-LV"/>
        </w:rPr>
        <w:t>liel</w:t>
      </w:r>
      <w:r w:rsidR="000B44C7" w:rsidRPr="003F4BF2">
        <w:rPr>
          <w:rFonts w:ascii="Times New Roman" w:eastAsia="Times New Roman" w:hAnsi="Times New Roman"/>
          <w:sz w:val="24"/>
          <w:szCs w:val="24"/>
          <w:lang w:eastAsia="lv-LV"/>
        </w:rPr>
        <w:t>āko korekcijas apmēru) pārkāpumam.</w:t>
      </w:r>
    </w:p>
    <w:p w:rsidR="000B44C7" w:rsidRPr="003F4BF2" w:rsidRDefault="0080485C" w:rsidP="000B44C7">
      <w:pPr>
        <w:spacing w:after="0" w:line="240" w:lineRule="auto"/>
        <w:mirrorIndents/>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0B44C7" w:rsidRPr="003F4BF2">
        <w:rPr>
          <w:rFonts w:ascii="Times New Roman" w:eastAsia="Times New Roman" w:hAnsi="Times New Roman"/>
          <w:sz w:val="24"/>
          <w:szCs w:val="24"/>
          <w:lang w:eastAsia="lv-LV"/>
        </w:rPr>
        <w:t>. Samērīguma princips piemērojams tiktāl, cik to pieļauj noteikt</w:t>
      </w:r>
      <w:r w:rsidR="005D45E4" w:rsidRPr="003F4BF2">
        <w:rPr>
          <w:rFonts w:ascii="Times New Roman" w:eastAsia="Times New Roman" w:hAnsi="Times New Roman"/>
          <w:sz w:val="24"/>
          <w:szCs w:val="24"/>
          <w:lang w:eastAsia="lv-LV"/>
        </w:rPr>
        <w:t>ais</w:t>
      </w:r>
      <w:r w:rsidR="000B44C7" w:rsidRPr="003F4BF2">
        <w:rPr>
          <w:rFonts w:ascii="Times New Roman" w:eastAsia="Times New Roman" w:hAnsi="Times New Roman"/>
          <w:sz w:val="24"/>
          <w:szCs w:val="24"/>
          <w:lang w:eastAsia="lv-LV"/>
        </w:rPr>
        <w:t xml:space="preserve"> minimāl</w:t>
      </w:r>
      <w:r w:rsidR="005D45E4" w:rsidRPr="003F4BF2">
        <w:rPr>
          <w:rFonts w:ascii="Times New Roman" w:eastAsia="Times New Roman" w:hAnsi="Times New Roman"/>
          <w:sz w:val="24"/>
          <w:szCs w:val="24"/>
          <w:lang w:eastAsia="lv-LV"/>
        </w:rPr>
        <w:t>ais</w:t>
      </w:r>
      <w:r w:rsidR="000B44C7" w:rsidRPr="003F4BF2">
        <w:rPr>
          <w:rFonts w:ascii="Times New Roman" w:eastAsia="Times New Roman" w:hAnsi="Times New Roman"/>
          <w:sz w:val="24"/>
          <w:szCs w:val="24"/>
          <w:lang w:eastAsia="lv-LV"/>
        </w:rPr>
        <w:t xml:space="preserve"> finanšu korekciju apjom</w:t>
      </w:r>
      <w:r w:rsidR="005D45E4" w:rsidRPr="003F4BF2">
        <w:rPr>
          <w:rFonts w:ascii="Times New Roman" w:eastAsia="Times New Roman" w:hAnsi="Times New Roman"/>
          <w:sz w:val="24"/>
          <w:szCs w:val="24"/>
          <w:lang w:eastAsia="lv-LV"/>
        </w:rPr>
        <w:t>s</w:t>
      </w:r>
      <w:r w:rsidR="000B44C7" w:rsidRPr="003F4BF2">
        <w:rPr>
          <w:rFonts w:ascii="Times New Roman" w:eastAsia="Times New Roman" w:hAnsi="Times New Roman"/>
          <w:sz w:val="24"/>
          <w:szCs w:val="24"/>
          <w:lang w:eastAsia="lv-LV"/>
        </w:rPr>
        <w:t>.</w:t>
      </w:r>
    </w:p>
    <w:p w:rsidR="000B44C7" w:rsidRPr="003F4BF2" w:rsidRDefault="0080485C" w:rsidP="000B44C7">
      <w:pPr>
        <w:spacing w:after="0" w:line="240" w:lineRule="auto"/>
        <w:mirrorIndents/>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0B44C7" w:rsidRPr="003F4BF2">
        <w:rPr>
          <w:rFonts w:ascii="Times New Roman" w:eastAsia="Times New Roman" w:hAnsi="Times New Roman"/>
          <w:sz w:val="24"/>
          <w:szCs w:val="24"/>
          <w:lang w:eastAsia="lv-LV"/>
        </w:rPr>
        <w:t>. Finanšu korekciju nepiemēro, ja pārkāpumam ir formāls raksturs bez reālas vai iespējamas finansiālās ietekmes.</w:t>
      </w:r>
    </w:p>
    <w:p w:rsidR="000B44C7" w:rsidRPr="003F4BF2" w:rsidRDefault="0080485C" w:rsidP="000B44C7">
      <w:pPr>
        <w:spacing w:after="0" w:line="240" w:lineRule="auto"/>
        <w:mirrorIndents/>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0B44C7" w:rsidRPr="003F4BF2">
        <w:rPr>
          <w:rFonts w:ascii="Times New Roman" w:eastAsia="Times New Roman" w:hAnsi="Times New Roman"/>
          <w:sz w:val="24"/>
          <w:szCs w:val="24"/>
          <w:lang w:eastAsia="lv-LV"/>
        </w:rPr>
        <w:t>. Finanšu korekciju var nepiemērot, ja ražotāju organizācija spēj pierādīt, ka nepieciešamās izmaiņas darbības programmā iepriekš nebija paredzamas un tās radušās no ražotāju organizācijas darbības neatkarīgu iemeslu dēļ.</w:t>
      </w:r>
    </w:p>
    <w:p w:rsidR="000B44C7" w:rsidRPr="003F4BF2" w:rsidRDefault="0080485C" w:rsidP="000B44C7">
      <w:pPr>
        <w:spacing w:after="0" w:line="240" w:lineRule="auto"/>
        <w:mirrorIndents/>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000B44C7" w:rsidRPr="003F4BF2">
        <w:rPr>
          <w:rFonts w:ascii="Times New Roman" w:eastAsia="Times New Roman" w:hAnsi="Times New Roman"/>
          <w:sz w:val="24"/>
          <w:szCs w:val="24"/>
          <w:lang w:eastAsia="lv-LV"/>
        </w:rPr>
        <w:t>. Piemērojot finanšu korekciju, vērtē ar atbalsta saņemšanas nosacījumiem saistītās neatbilstības smagumu, apjomu, ilgumu un atkārtošanos.</w:t>
      </w:r>
    </w:p>
    <w:tbl>
      <w:tblPr>
        <w:tblW w:w="79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2091"/>
        <w:gridCol w:w="2551"/>
        <w:gridCol w:w="2693"/>
      </w:tblGrid>
      <w:tr w:rsidR="003F4BF2" w:rsidRPr="0080485C" w:rsidTr="003F4BF2">
        <w:tc>
          <w:tcPr>
            <w:tcW w:w="603" w:type="dxa"/>
            <w:shd w:val="clear" w:color="auto" w:fill="D9D9D9"/>
          </w:tcPr>
          <w:p w:rsidR="000B44C7" w:rsidRPr="0080485C" w:rsidRDefault="000B44C7" w:rsidP="000B44C7">
            <w:pPr>
              <w:spacing w:after="0" w:line="240" w:lineRule="auto"/>
              <w:mirrorIndents/>
              <w:jc w:val="center"/>
              <w:rPr>
                <w:rFonts w:ascii="Times New Roman" w:eastAsia="Times New Roman" w:hAnsi="Times New Roman"/>
                <w:lang w:eastAsia="lv-LV"/>
              </w:rPr>
            </w:pPr>
            <w:r w:rsidRPr="0080485C">
              <w:rPr>
                <w:rFonts w:ascii="Times New Roman" w:eastAsia="Times New Roman" w:hAnsi="Times New Roman"/>
                <w:bCs/>
                <w:lang w:eastAsia="lv-LV"/>
              </w:rPr>
              <w:t>Nr.</w:t>
            </w:r>
            <w:r w:rsidRPr="0080485C">
              <w:rPr>
                <w:rFonts w:ascii="Times New Roman" w:eastAsia="Times New Roman" w:hAnsi="Times New Roman"/>
                <w:bCs/>
                <w:lang w:eastAsia="lv-LV"/>
              </w:rPr>
              <w:br/>
              <w:t>p.k.</w:t>
            </w:r>
          </w:p>
        </w:tc>
        <w:tc>
          <w:tcPr>
            <w:tcW w:w="2091" w:type="dxa"/>
            <w:shd w:val="clear" w:color="auto" w:fill="D9D9D9"/>
          </w:tcPr>
          <w:p w:rsidR="000B44C7" w:rsidRPr="0080485C" w:rsidRDefault="000B44C7" w:rsidP="000B44C7">
            <w:pPr>
              <w:spacing w:after="0" w:line="240" w:lineRule="auto"/>
              <w:mirrorIndents/>
              <w:jc w:val="center"/>
              <w:rPr>
                <w:rFonts w:ascii="Times New Roman" w:eastAsia="Times New Roman" w:hAnsi="Times New Roman"/>
                <w:lang w:eastAsia="lv-LV"/>
              </w:rPr>
            </w:pPr>
            <w:r w:rsidRPr="0080485C">
              <w:rPr>
                <w:rFonts w:ascii="Times New Roman" w:eastAsia="Times New Roman" w:hAnsi="Times New Roman"/>
                <w:bCs/>
                <w:lang w:eastAsia="lv-LV"/>
              </w:rPr>
              <w:t>Neatbilstība/</w:t>
            </w:r>
            <w:r w:rsidR="003F4BF2" w:rsidRPr="0080485C">
              <w:rPr>
                <w:rFonts w:ascii="Times New Roman" w:eastAsia="Times New Roman" w:hAnsi="Times New Roman"/>
                <w:bCs/>
                <w:lang w:eastAsia="lv-LV"/>
              </w:rPr>
              <w:t xml:space="preserve"> </w:t>
            </w:r>
            <w:r w:rsidRPr="0080485C">
              <w:rPr>
                <w:rFonts w:ascii="Times New Roman" w:eastAsia="Times New Roman" w:hAnsi="Times New Roman"/>
                <w:bCs/>
                <w:lang w:eastAsia="lv-LV"/>
              </w:rPr>
              <w:t>pārkāpums</w:t>
            </w:r>
          </w:p>
        </w:tc>
        <w:tc>
          <w:tcPr>
            <w:tcW w:w="2551" w:type="dxa"/>
            <w:shd w:val="clear" w:color="auto" w:fill="D9D9D9"/>
          </w:tcPr>
          <w:p w:rsidR="000B44C7" w:rsidRPr="0080485C" w:rsidRDefault="000B44C7" w:rsidP="000B44C7">
            <w:pPr>
              <w:spacing w:after="0" w:line="240" w:lineRule="auto"/>
              <w:mirrorIndents/>
              <w:jc w:val="center"/>
              <w:rPr>
                <w:rFonts w:ascii="Times New Roman" w:eastAsia="Times New Roman" w:hAnsi="Times New Roman"/>
                <w:lang w:eastAsia="lv-LV"/>
              </w:rPr>
            </w:pPr>
            <w:r w:rsidRPr="0080485C">
              <w:rPr>
                <w:rFonts w:ascii="Times New Roman" w:eastAsia="Times New Roman" w:hAnsi="Times New Roman"/>
                <w:bCs/>
                <w:lang w:eastAsia="lv-LV"/>
              </w:rPr>
              <w:t>Neatbilstības/pārkāpuma apraksts</w:t>
            </w:r>
          </w:p>
        </w:tc>
        <w:tc>
          <w:tcPr>
            <w:tcW w:w="2693" w:type="dxa"/>
            <w:shd w:val="clear" w:color="auto" w:fill="D9D9D9"/>
          </w:tcPr>
          <w:p w:rsidR="000B44C7" w:rsidRPr="0080485C" w:rsidRDefault="000B44C7" w:rsidP="000B44C7">
            <w:pPr>
              <w:spacing w:after="0" w:line="240" w:lineRule="auto"/>
              <w:mirrorIndents/>
              <w:jc w:val="center"/>
              <w:rPr>
                <w:rFonts w:ascii="Times New Roman" w:eastAsia="Times New Roman" w:hAnsi="Times New Roman"/>
                <w:lang w:eastAsia="lv-LV"/>
              </w:rPr>
            </w:pPr>
            <w:r w:rsidRPr="0080485C">
              <w:rPr>
                <w:rFonts w:ascii="Times New Roman" w:eastAsia="Times New Roman" w:hAnsi="Times New Roman"/>
                <w:bCs/>
                <w:lang w:eastAsia="lv-LV"/>
              </w:rPr>
              <w:t>Finanšu korekcijas ap</w:t>
            </w:r>
            <w:r w:rsidR="0029439F">
              <w:rPr>
                <w:rFonts w:ascii="Times New Roman" w:eastAsia="Times New Roman" w:hAnsi="Times New Roman"/>
                <w:bCs/>
                <w:lang w:eastAsia="lv-LV"/>
              </w:rPr>
              <w:t>mērs</w:t>
            </w:r>
          </w:p>
        </w:tc>
      </w:tr>
      <w:tr w:rsidR="003F4BF2" w:rsidRPr="0080485C" w:rsidTr="003F4BF2">
        <w:tc>
          <w:tcPr>
            <w:tcW w:w="7938" w:type="dxa"/>
            <w:gridSpan w:val="4"/>
            <w:shd w:val="clear" w:color="auto" w:fill="auto"/>
          </w:tcPr>
          <w:p w:rsidR="000B44C7" w:rsidRPr="0080485C" w:rsidRDefault="000B44C7" w:rsidP="000B44C7">
            <w:pPr>
              <w:spacing w:after="0" w:line="240" w:lineRule="auto"/>
              <w:mirrorIndents/>
              <w:jc w:val="center"/>
              <w:rPr>
                <w:rFonts w:ascii="Times New Roman" w:eastAsia="Times New Roman" w:hAnsi="Times New Roman"/>
                <w:lang w:eastAsia="lv-LV"/>
              </w:rPr>
            </w:pPr>
            <w:r w:rsidRPr="0080485C">
              <w:rPr>
                <w:rFonts w:ascii="Times New Roman" w:eastAsia="Times New Roman" w:hAnsi="Times New Roman"/>
                <w:b/>
                <w:bCs/>
                <w:lang w:eastAsia="lv-LV"/>
              </w:rPr>
              <w:t>Iepirkuma procedūrā konstatētie pārkāpumi</w:t>
            </w:r>
          </w:p>
        </w:tc>
      </w:tr>
      <w:tr w:rsidR="003F4BF2" w:rsidRPr="0080485C" w:rsidTr="003F4BF2">
        <w:tc>
          <w:tcPr>
            <w:tcW w:w="603" w:type="dxa"/>
            <w:shd w:val="clear" w:color="auto" w:fill="auto"/>
          </w:tcPr>
          <w:p w:rsidR="000B44C7" w:rsidRPr="0080485C" w:rsidRDefault="00B772F7" w:rsidP="000B44C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1</w:t>
            </w:r>
            <w:r w:rsidR="000B44C7" w:rsidRPr="0080485C">
              <w:rPr>
                <w:rFonts w:ascii="Times New Roman" w:eastAsia="Times New Roman" w:hAnsi="Times New Roman"/>
                <w:lang w:eastAsia="lv-LV"/>
              </w:rPr>
              <w:t>.</w:t>
            </w:r>
          </w:p>
        </w:tc>
        <w:tc>
          <w:tcPr>
            <w:tcW w:w="2091" w:type="dxa"/>
            <w:shd w:val="clear" w:color="auto" w:fill="auto"/>
          </w:tcPr>
          <w:p w:rsidR="000B44C7" w:rsidRPr="0080485C" w:rsidRDefault="000B44C7" w:rsidP="000B44C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Nav piemērota atbilstošā iepirkuma procedūras metode</w:t>
            </w:r>
          </w:p>
        </w:tc>
        <w:tc>
          <w:tcPr>
            <w:tcW w:w="2551" w:type="dxa"/>
            <w:shd w:val="clear" w:color="auto" w:fill="auto"/>
          </w:tcPr>
          <w:p w:rsidR="000B44C7" w:rsidRPr="0080485C" w:rsidRDefault="000B44C7" w:rsidP="00433C64">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 xml:space="preserve">Piemērota nepareiza iepirkuma metode </w:t>
            </w:r>
            <w:r w:rsidR="005D45E4" w:rsidRPr="0080485C">
              <w:rPr>
                <w:rFonts w:ascii="Times New Roman" w:eastAsia="Times New Roman" w:hAnsi="Times New Roman"/>
                <w:lang w:eastAsia="lv-LV"/>
              </w:rPr>
              <w:t>–</w:t>
            </w:r>
            <w:r w:rsidRPr="0080485C">
              <w:rPr>
                <w:rFonts w:ascii="Times New Roman" w:eastAsia="Times New Roman" w:hAnsi="Times New Roman"/>
                <w:lang w:eastAsia="lv-LV"/>
              </w:rPr>
              <w:t xml:space="preserve"> veikta vienkāršota cenu aptauja, jo nav ņemts vērā, ka iegādēm, kurām ir viens mērķis un</w:t>
            </w:r>
            <w:r w:rsidR="005D45E4" w:rsidRPr="0080485C">
              <w:rPr>
                <w:rFonts w:ascii="Times New Roman" w:eastAsia="Times New Roman" w:hAnsi="Times New Roman"/>
                <w:lang w:eastAsia="lv-LV"/>
              </w:rPr>
              <w:t xml:space="preserve"> (</w:t>
            </w:r>
            <w:r w:rsidRPr="0080485C">
              <w:rPr>
                <w:rFonts w:ascii="Times New Roman" w:eastAsia="Times New Roman" w:hAnsi="Times New Roman"/>
                <w:lang w:eastAsia="lv-LV"/>
              </w:rPr>
              <w:t>vai</w:t>
            </w:r>
            <w:r w:rsidR="005D45E4" w:rsidRPr="0080485C">
              <w:rPr>
                <w:rFonts w:ascii="Times New Roman" w:eastAsia="Times New Roman" w:hAnsi="Times New Roman"/>
                <w:lang w:eastAsia="lv-LV"/>
              </w:rPr>
              <w:t>)</w:t>
            </w:r>
            <w:r w:rsidRPr="0080485C">
              <w:rPr>
                <w:rFonts w:ascii="Times New Roman" w:eastAsia="Times New Roman" w:hAnsi="Times New Roman"/>
                <w:lang w:eastAsia="lv-LV"/>
              </w:rPr>
              <w:t xml:space="preserve"> piegādātājs un kurām, </w:t>
            </w:r>
            <w:r w:rsidRPr="0080485C">
              <w:rPr>
                <w:rFonts w:ascii="Times New Roman" w:eastAsia="Times New Roman" w:hAnsi="Times New Roman"/>
                <w:lang w:eastAsia="lv-LV"/>
              </w:rPr>
              <w:lastRenderedPageBreak/>
              <w:t xml:space="preserve">saskaitot kopā un nosakot paredzamo cenu, atbilstoši noteikumiem par iepirkuma procedūru un tās piemērošanas kārtību pasūtītāja finansētiem projektiem iepirkuma procedūra </w:t>
            </w:r>
            <w:r w:rsidR="005D45E4" w:rsidRPr="0080485C">
              <w:rPr>
                <w:rFonts w:ascii="Times New Roman" w:eastAsia="Times New Roman" w:hAnsi="Times New Roman"/>
                <w:lang w:eastAsia="lv-LV"/>
              </w:rPr>
              <w:t xml:space="preserve">ir jāīsteno </w:t>
            </w:r>
            <w:r w:rsidRPr="0080485C">
              <w:rPr>
                <w:rFonts w:ascii="Times New Roman" w:eastAsia="Times New Roman" w:hAnsi="Times New Roman"/>
                <w:lang w:eastAsia="lv-LV"/>
              </w:rPr>
              <w:t>ar Iepirkumu uzraudzības biroja starpniecību</w:t>
            </w:r>
          </w:p>
        </w:tc>
        <w:tc>
          <w:tcPr>
            <w:tcW w:w="2693" w:type="dxa"/>
            <w:shd w:val="clear" w:color="auto" w:fill="auto"/>
          </w:tcPr>
          <w:p w:rsidR="000B44C7" w:rsidRPr="0080485C" w:rsidRDefault="000B44C7" w:rsidP="000B44C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lastRenderedPageBreak/>
              <w:t>• Atkārtota iepirkuma procedūra atbilstoši normatīvo aktu nosacījumiem un 10</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xml:space="preserve">% no attiecīgajai investīcijas pozīcijai (kurai nepareizi piemērota iepirkuma </w:t>
            </w:r>
            <w:r w:rsidRPr="0080485C">
              <w:rPr>
                <w:rFonts w:ascii="Times New Roman" w:eastAsia="Times New Roman" w:hAnsi="Times New Roman"/>
                <w:lang w:eastAsia="lv-LV"/>
              </w:rPr>
              <w:lastRenderedPageBreak/>
              <w:t>procedūras metode) apstiprinātajām attiecināmajām izmaksām pēc iepirkuma dokumentācijas izvērtēšanas</w:t>
            </w:r>
            <w:r w:rsidRPr="0080485C">
              <w:rPr>
                <w:rFonts w:ascii="Times New Roman" w:eastAsia="Times New Roman" w:hAnsi="Times New Roman"/>
                <w:lang w:eastAsia="lv-LV"/>
              </w:rPr>
              <w:br/>
              <w:t>• 100</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ja konstatētas neatbilstības pēc atkārtot</w:t>
            </w:r>
            <w:r w:rsidR="005D45E4" w:rsidRPr="0080485C">
              <w:rPr>
                <w:rFonts w:ascii="Times New Roman" w:eastAsia="Times New Roman" w:hAnsi="Times New Roman"/>
                <w:lang w:eastAsia="lv-LV"/>
              </w:rPr>
              <w:t>ā</w:t>
            </w:r>
            <w:r w:rsidRPr="0080485C">
              <w:rPr>
                <w:rFonts w:ascii="Times New Roman" w:eastAsia="Times New Roman" w:hAnsi="Times New Roman"/>
                <w:lang w:eastAsia="lv-LV"/>
              </w:rPr>
              <w:t>s iepirkuma procedūras</w:t>
            </w:r>
          </w:p>
        </w:tc>
      </w:tr>
      <w:tr w:rsidR="003F4BF2" w:rsidRPr="0080485C" w:rsidTr="003F4BF2">
        <w:tc>
          <w:tcPr>
            <w:tcW w:w="603" w:type="dxa"/>
            <w:shd w:val="clear" w:color="auto" w:fill="auto"/>
          </w:tcPr>
          <w:p w:rsidR="000B44C7" w:rsidRPr="0080485C" w:rsidRDefault="00B772F7" w:rsidP="000B44C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lastRenderedPageBreak/>
              <w:t>2</w:t>
            </w:r>
            <w:r w:rsidR="00E64E11" w:rsidRPr="0080485C">
              <w:rPr>
                <w:rFonts w:ascii="Times New Roman" w:eastAsia="Times New Roman" w:hAnsi="Times New Roman"/>
                <w:lang w:eastAsia="lv-LV"/>
              </w:rPr>
              <w:t>.</w:t>
            </w:r>
          </w:p>
        </w:tc>
        <w:tc>
          <w:tcPr>
            <w:tcW w:w="2091" w:type="dxa"/>
            <w:shd w:val="clear" w:color="auto" w:fill="auto"/>
          </w:tcPr>
          <w:p w:rsidR="000B44C7" w:rsidRPr="0080485C" w:rsidRDefault="00BF54FC">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 xml:space="preserve">Noteiktie termiņi piedāvājumu sagatavošanai un iesniegšanai neatbilst </w:t>
            </w:r>
            <w:r w:rsidR="0029439F" w:rsidRPr="00515C0C">
              <w:rPr>
                <w:rFonts w:ascii="Times New Roman" w:eastAsia="Times New Roman" w:hAnsi="Times New Roman"/>
                <w:lang w:eastAsia="lv-LV"/>
              </w:rPr>
              <w:t xml:space="preserve">nosacījumiem </w:t>
            </w:r>
            <w:r w:rsidRPr="00515C0C">
              <w:rPr>
                <w:rFonts w:ascii="Times New Roman" w:eastAsia="Times New Roman" w:hAnsi="Times New Roman"/>
                <w:lang w:eastAsia="lv-LV"/>
              </w:rPr>
              <w:t>normatīv</w:t>
            </w:r>
            <w:r w:rsidR="0029439F" w:rsidRPr="00515C0C">
              <w:rPr>
                <w:rFonts w:ascii="Times New Roman" w:eastAsia="Times New Roman" w:hAnsi="Times New Roman"/>
                <w:lang w:eastAsia="lv-LV"/>
              </w:rPr>
              <w:t>ajos</w:t>
            </w:r>
            <w:r w:rsidRPr="00515C0C">
              <w:rPr>
                <w:rFonts w:ascii="Times New Roman" w:eastAsia="Times New Roman" w:hAnsi="Times New Roman"/>
                <w:lang w:eastAsia="lv-LV"/>
              </w:rPr>
              <w:t xml:space="preserve"> akt</w:t>
            </w:r>
            <w:r w:rsidR="0029439F" w:rsidRPr="00515C0C">
              <w:rPr>
                <w:rFonts w:ascii="Times New Roman" w:eastAsia="Times New Roman" w:hAnsi="Times New Roman"/>
                <w:lang w:eastAsia="lv-LV"/>
              </w:rPr>
              <w:t>os</w:t>
            </w:r>
            <w:r w:rsidR="008D041E" w:rsidRPr="00515C0C">
              <w:rPr>
                <w:rFonts w:ascii="Times New Roman" w:eastAsia="Times New Roman" w:hAnsi="Times New Roman"/>
                <w:lang w:eastAsia="lv-LV"/>
              </w:rPr>
              <w:t xml:space="preserve"> par iepirkuma procedūras piemērošanu</w:t>
            </w:r>
            <w:r w:rsidRPr="0080485C">
              <w:rPr>
                <w:rFonts w:ascii="Times New Roman" w:eastAsia="Times New Roman" w:hAnsi="Times New Roman"/>
                <w:lang w:eastAsia="lv-LV"/>
              </w:rPr>
              <w:t xml:space="preserve"> </w:t>
            </w:r>
          </w:p>
        </w:tc>
        <w:tc>
          <w:tcPr>
            <w:tcW w:w="2551" w:type="dxa"/>
            <w:shd w:val="clear" w:color="auto" w:fill="auto"/>
          </w:tcPr>
          <w:p w:rsidR="000B44C7" w:rsidRPr="0080485C" w:rsidRDefault="00667AE3" w:rsidP="004065C9">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 xml:space="preserve">Ražotāju organizācija </w:t>
            </w:r>
            <w:r w:rsidR="00BF54FC" w:rsidRPr="0080485C">
              <w:rPr>
                <w:rFonts w:ascii="Times New Roman" w:eastAsia="Times New Roman" w:hAnsi="Times New Roman"/>
                <w:lang w:eastAsia="lv-LV"/>
              </w:rPr>
              <w:t>iepirkumu procedūrā nav ievēroj</w:t>
            </w:r>
            <w:r w:rsidR="005D45E4" w:rsidRPr="0080485C">
              <w:rPr>
                <w:rFonts w:ascii="Times New Roman" w:eastAsia="Times New Roman" w:hAnsi="Times New Roman"/>
                <w:lang w:eastAsia="lv-LV"/>
              </w:rPr>
              <w:t>usi</w:t>
            </w:r>
            <w:r w:rsidR="00BF54FC" w:rsidRPr="0080485C">
              <w:rPr>
                <w:rFonts w:ascii="Times New Roman" w:eastAsia="Times New Roman" w:hAnsi="Times New Roman"/>
                <w:lang w:eastAsia="lv-LV"/>
              </w:rPr>
              <w:t xml:space="preserve"> noteiktos minimālos piedāvājumu sagatavošanas termiņus saskaņā ar noteikumiem par iepirkuma procedūru un tās piemērošanas kārtību pasūtītāja finansētiem projektiem </w:t>
            </w:r>
          </w:p>
        </w:tc>
        <w:tc>
          <w:tcPr>
            <w:tcW w:w="2693" w:type="dxa"/>
            <w:shd w:val="clear" w:color="auto" w:fill="auto"/>
          </w:tcPr>
          <w:p w:rsidR="000B44C7" w:rsidRPr="0080485C" w:rsidRDefault="00BF54FC" w:rsidP="004065C9">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 2</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par katru termiņa samazinājuma darbdienu (maksimāli līdz piecām darbdienām), ja ir ievēroti visi pārējie iepirkuma procedūras nosacījumi</w:t>
            </w:r>
            <w:r w:rsidRPr="0080485C">
              <w:rPr>
                <w:rFonts w:ascii="Times New Roman" w:eastAsia="Times New Roman" w:hAnsi="Times New Roman"/>
                <w:lang w:eastAsia="lv-LV"/>
              </w:rPr>
              <w:br/>
              <w:t>• 10</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un atkārtota iepirkuma procedūra apstiprinātajām attiecināmajām izmaksām pēc iepirkuma dokumentācijas izvērtēšanas (ja termiņa samazinājums pārsniedz piecas darbdienas)</w:t>
            </w:r>
            <w:r w:rsidRPr="0080485C">
              <w:rPr>
                <w:rFonts w:ascii="Times New Roman" w:eastAsia="Times New Roman" w:hAnsi="Times New Roman"/>
                <w:lang w:eastAsia="lv-LV"/>
              </w:rPr>
              <w:br/>
              <w:t>• 10</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xml:space="preserve">% no attiecīgās investīcijas pozīcijas attiecināmajām izmaksām, ja </w:t>
            </w:r>
            <w:r w:rsidR="004065C9" w:rsidRPr="0080485C">
              <w:rPr>
                <w:rFonts w:ascii="Times New Roman" w:eastAsia="Times New Roman" w:hAnsi="Times New Roman"/>
                <w:lang w:eastAsia="lv-LV"/>
              </w:rPr>
              <w:t xml:space="preserve">darbība </w:t>
            </w:r>
            <w:r w:rsidRPr="0080485C">
              <w:rPr>
                <w:rFonts w:ascii="Times New Roman" w:eastAsia="Times New Roman" w:hAnsi="Times New Roman"/>
                <w:lang w:eastAsia="lv-LV"/>
              </w:rPr>
              <w:t>īstenot</w:t>
            </w:r>
            <w:r w:rsidR="004065C9" w:rsidRPr="0080485C">
              <w:rPr>
                <w:rFonts w:ascii="Times New Roman" w:eastAsia="Times New Roman" w:hAnsi="Times New Roman"/>
                <w:lang w:eastAsia="lv-LV"/>
              </w:rPr>
              <w:t>a</w:t>
            </w:r>
            <w:r w:rsidRPr="0080485C">
              <w:rPr>
                <w:rFonts w:ascii="Times New Roman" w:eastAsia="Times New Roman" w:hAnsi="Times New Roman"/>
                <w:lang w:eastAsia="lv-LV"/>
              </w:rPr>
              <w:br/>
              <w:t>• 100</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ja konstatētas neatbilstības pēc atkārtot</w:t>
            </w:r>
            <w:r w:rsidR="005D45E4" w:rsidRPr="0080485C">
              <w:rPr>
                <w:rFonts w:ascii="Times New Roman" w:eastAsia="Times New Roman" w:hAnsi="Times New Roman"/>
                <w:lang w:eastAsia="lv-LV"/>
              </w:rPr>
              <w:t>ā</w:t>
            </w:r>
            <w:r w:rsidRPr="0080485C">
              <w:rPr>
                <w:rFonts w:ascii="Times New Roman" w:eastAsia="Times New Roman" w:hAnsi="Times New Roman"/>
                <w:lang w:eastAsia="lv-LV"/>
              </w:rPr>
              <w:t>s iepirkuma procedūras</w:t>
            </w:r>
          </w:p>
        </w:tc>
      </w:tr>
      <w:tr w:rsidR="003F4BF2" w:rsidRPr="0080485C" w:rsidTr="003F4BF2">
        <w:tc>
          <w:tcPr>
            <w:tcW w:w="603" w:type="dxa"/>
            <w:shd w:val="clear" w:color="auto" w:fill="auto"/>
          </w:tcPr>
          <w:p w:rsidR="00BF54FC" w:rsidRPr="0080485C" w:rsidRDefault="00B772F7" w:rsidP="000B44C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4</w:t>
            </w:r>
            <w:r w:rsidR="00BF54FC" w:rsidRPr="0080485C">
              <w:rPr>
                <w:rFonts w:ascii="Times New Roman" w:eastAsia="Times New Roman" w:hAnsi="Times New Roman"/>
                <w:lang w:eastAsia="lv-LV"/>
              </w:rPr>
              <w:t>.</w:t>
            </w:r>
          </w:p>
        </w:tc>
        <w:tc>
          <w:tcPr>
            <w:tcW w:w="2091" w:type="dxa"/>
            <w:shd w:val="clear" w:color="auto" w:fill="auto"/>
          </w:tcPr>
          <w:p w:rsidR="00BF54FC" w:rsidRPr="0080485C" w:rsidRDefault="00C46517" w:rsidP="000B44C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Nepamatoti ierobežota iepirkuma procedūras tehniskā specifikācija un sašaurināts piedāvājumu iesniedzēju loks</w:t>
            </w:r>
          </w:p>
        </w:tc>
        <w:tc>
          <w:tcPr>
            <w:tcW w:w="2551" w:type="dxa"/>
            <w:shd w:val="clear" w:color="auto" w:fill="auto"/>
          </w:tcPr>
          <w:p w:rsidR="00BF54FC" w:rsidRPr="0080485C" w:rsidRDefault="00C46517" w:rsidP="00FB0DDB">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 xml:space="preserve">Tehniskajā specifikācijā vai konkursa nolikumā ir norādīti kritēriji, kas dod iespēju pieteikties tikai konkrētam vai ierobežotam ražotāju lokam, vai arī, vērtējot iepirkumu, norādītie kritēriji vairs netiek ņemti vērā, tādējādi dodot iespēju uzvarēt piedāvātājam, kurš neatbilst attiecīgajiem </w:t>
            </w:r>
            <w:r w:rsidRPr="0080485C">
              <w:rPr>
                <w:rFonts w:ascii="Times New Roman" w:eastAsia="Times New Roman" w:hAnsi="Times New Roman"/>
                <w:lang w:eastAsia="lv-LV"/>
              </w:rPr>
              <w:lastRenderedPageBreak/>
              <w:t>kritērijiem.</w:t>
            </w:r>
            <w:r w:rsidRPr="0080485C">
              <w:rPr>
                <w:rFonts w:ascii="Times New Roman" w:eastAsia="Times New Roman" w:hAnsi="Times New Roman"/>
                <w:lang w:eastAsia="lv-LV"/>
              </w:rPr>
              <w:br/>
              <w:t>Noteikti pārāk specifiski tehniskie standarti, tādējādi nenodrošinot vienādu piekļuvi (iespēju) pretendentiem</w:t>
            </w:r>
            <w:r w:rsidR="00FB0DDB" w:rsidRPr="0080485C">
              <w:rPr>
                <w:rFonts w:ascii="Times New Roman" w:eastAsia="Times New Roman" w:hAnsi="Times New Roman"/>
                <w:lang w:eastAsia="lv-LV"/>
              </w:rPr>
              <w:t xml:space="preserve">. Ražotāju organizācija </w:t>
            </w:r>
            <w:r w:rsidRPr="0080485C">
              <w:rPr>
                <w:rFonts w:ascii="Times New Roman" w:eastAsia="Times New Roman" w:hAnsi="Times New Roman"/>
                <w:lang w:eastAsia="lv-LV"/>
              </w:rPr>
              <w:t>radīj</w:t>
            </w:r>
            <w:r w:rsidR="00FB0DDB" w:rsidRPr="0080485C">
              <w:rPr>
                <w:rFonts w:ascii="Times New Roman" w:eastAsia="Times New Roman" w:hAnsi="Times New Roman"/>
                <w:lang w:eastAsia="lv-LV"/>
              </w:rPr>
              <w:t>usi</w:t>
            </w:r>
            <w:r w:rsidRPr="0080485C">
              <w:rPr>
                <w:rFonts w:ascii="Times New Roman" w:eastAsia="Times New Roman" w:hAnsi="Times New Roman"/>
                <w:lang w:eastAsia="lv-LV"/>
              </w:rPr>
              <w:t xml:space="preserve"> apstākļus, lai ierobežotu piegādātāju loku</w:t>
            </w:r>
          </w:p>
        </w:tc>
        <w:tc>
          <w:tcPr>
            <w:tcW w:w="2693" w:type="dxa"/>
            <w:shd w:val="clear" w:color="auto" w:fill="auto"/>
          </w:tcPr>
          <w:p w:rsidR="00BF54FC" w:rsidRPr="0080485C" w:rsidRDefault="00C46517" w:rsidP="000B44C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lastRenderedPageBreak/>
              <w:t>• 25</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no apstiprinātajām attiecināmajām izmaksām pēc iepirkuma dokumentācijas izvērtēšanas, ja pārkāpums var ietekmēt ražotāju loku un ierobežo konkurenci</w:t>
            </w:r>
            <w:r w:rsidRPr="0080485C">
              <w:rPr>
                <w:rFonts w:ascii="Times New Roman" w:eastAsia="Times New Roman" w:hAnsi="Times New Roman"/>
                <w:lang w:eastAsia="lv-LV"/>
              </w:rPr>
              <w:br/>
              <w:t>• 10 vai 5</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xml:space="preserve">% no apstiprinātajām attiecināmajām izmaksām pēc iepirkuma dokumentācijas izvērtēšanas atkarībā no </w:t>
            </w:r>
            <w:r w:rsidRPr="0080485C">
              <w:rPr>
                <w:rFonts w:ascii="Times New Roman" w:eastAsia="Times New Roman" w:hAnsi="Times New Roman"/>
                <w:lang w:eastAsia="lv-LV"/>
              </w:rPr>
              <w:lastRenderedPageBreak/>
              <w:t>neatbilstības būtiskuma</w:t>
            </w:r>
            <w:r w:rsidRPr="0080485C">
              <w:rPr>
                <w:rFonts w:ascii="Times New Roman" w:eastAsia="Times New Roman" w:hAnsi="Times New Roman"/>
                <w:lang w:eastAsia="lv-LV"/>
              </w:rPr>
              <w:br/>
              <w:t>• Atkārtota iepirkuma procedūra, izmantojot Iepirkumu uzraudzības biroja platformu</w:t>
            </w:r>
          </w:p>
        </w:tc>
      </w:tr>
      <w:tr w:rsidR="003F4BF2" w:rsidRPr="0080485C" w:rsidTr="003F4BF2">
        <w:tc>
          <w:tcPr>
            <w:tcW w:w="603" w:type="dxa"/>
            <w:shd w:val="clear" w:color="auto" w:fill="auto"/>
          </w:tcPr>
          <w:p w:rsidR="00C46517" w:rsidRPr="0080485C" w:rsidRDefault="00B772F7" w:rsidP="000B44C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lastRenderedPageBreak/>
              <w:t>5</w:t>
            </w:r>
            <w:r w:rsidR="00C46517" w:rsidRPr="0080485C">
              <w:rPr>
                <w:rFonts w:ascii="Times New Roman" w:eastAsia="Times New Roman" w:hAnsi="Times New Roman"/>
                <w:lang w:eastAsia="lv-LV"/>
              </w:rPr>
              <w:t>.</w:t>
            </w:r>
          </w:p>
        </w:tc>
        <w:tc>
          <w:tcPr>
            <w:tcW w:w="2091" w:type="dxa"/>
            <w:shd w:val="clear" w:color="auto" w:fill="auto"/>
          </w:tcPr>
          <w:p w:rsidR="00C46517" w:rsidRPr="0080485C" w:rsidRDefault="00696C61" w:rsidP="000B44C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Līguma izpildes laikā netiek ievēroti atlases kritēriji</w:t>
            </w:r>
          </w:p>
        </w:tc>
        <w:tc>
          <w:tcPr>
            <w:tcW w:w="2551" w:type="dxa"/>
            <w:shd w:val="clear" w:color="auto" w:fill="auto"/>
          </w:tcPr>
          <w:p w:rsidR="00C46517" w:rsidRPr="0080485C" w:rsidRDefault="00696C61" w:rsidP="000B44C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Darbības programmas īstenošanas laikā konstatēts, ka netiek ievēroti kritēriji, kas tika noteikti kā piegādātāju atlases kritēriji, piemēram, limitēts izpildes laiks</w:t>
            </w:r>
          </w:p>
        </w:tc>
        <w:tc>
          <w:tcPr>
            <w:tcW w:w="2693" w:type="dxa"/>
            <w:shd w:val="clear" w:color="auto" w:fill="auto"/>
          </w:tcPr>
          <w:p w:rsidR="00C46517" w:rsidRPr="0080485C" w:rsidRDefault="00696C61" w:rsidP="000B44C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 25</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ja pārkāpums var ietekmēt piegādātāju loku un ierobežo konkurenci</w:t>
            </w:r>
            <w:r w:rsidRPr="0080485C">
              <w:rPr>
                <w:rFonts w:ascii="Times New Roman" w:eastAsia="Times New Roman" w:hAnsi="Times New Roman"/>
                <w:lang w:eastAsia="lv-LV"/>
              </w:rPr>
              <w:br/>
              <w:t>• 10 vai 5</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atkarībā no neatbilstības būtiskuma</w:t>
            </w:r>
          </w:p>
        </w:tc>
      </w:tr>
      <w:tr w:rsidR="003F4BF2" w:rsidRPr="0080485C" w:rsidTr="003F4BF2">
        <w:tc>
          <w:tcPr>
            <w:tcW w:w="603" w:type="dxa"/>
            <w:shd w:val="clear" w:color="auto" w:fill="auto"/>
          </w:tcPr>
          <w:p w:rsidR="00696C61" w:rsidRPr="0080485C" w:rsidRDefault="00B772F7" w:rsidP="00696C61">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6</w:t>
            </w:r>
            <w:r w:rsidR="00696C61" w:rsidRPr="0080485C">
              <w:rPr>
                <w:rFonts w:ascii="Times New Roman" w:eastAsia="Times New Roman" w:hAnsi="Times New Roman"/>
                <w:lang w:eastAsia="lv-LV"/>
              </w:rPr>
              <w:t>.</w:t>
            </w:r>
          </w:p>
        </w:tc>
        <w:tc>
          <w:tcPr>
            <w:tcW w:w="2091" w:type="dxa"/>
            <w:shd w:val="clear" w:color="auto" w:fill="auto"/>
          </w:tcPr>
          <w:p w:rsidR="00696C61" w:rsidRPr="0080485C" w:rsidRDefault="00696C61" w:rsidP="00696C61">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Grozīti līgumisko attiecību nosacījumi, kas maina sākotnējo tehnisko specifikāciju</w:t>
            </w:r>
          </w:p>
        </w:tc>
        <w:tc>
          <w:tcPr>
            <w:tcW w:w="2551" w:type="dxa"/>
            <w:shd w:val="clear" w:color="auto" w:fill="auto"/>
          </w:tcPr>
          <w:p w:rsidR="00696C61" w:rsidRPr="0080485C" w:rsidRDefault="00696C61" w:rsidP="00696C61">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Darbības programmas īstenošanas laikā izdarīti grozījumi, ar kuriem mainīti nosacījumi, kas varētu ietekmēt iespējamo piegādātāju loku un piedāvājuma cenu</w:t>
            </w:r>
          </w:p>
        </w:tc>
        <w:tc>
          <w:tcPr>
            <w:tcW w:w="2693" w:type="dxa"/>
            <w:shd w:val="clear" w:color="auto" w:fill="auto"/>
          </w:tcPr>
          <w:p w:rsidR="00696C61" w:rsidRPr="0080485C" w:rsidRDefault="00696C61" w:rsidP="00696C61">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 25</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ja pārkāpums var ietekmēt piegādātāju loku un ierobežo konkurenci</w:t>
            </w:r>
            <w:r w:rsidRPr="0080485C">
              <w:rPr>
                <w:rFonts w:ascii="Times New Roman" w:eastAsia="Times New Roman" w:hAnsi="Times New Roman"/>
                <w:lang w:eastAsia="lv-LV"/>
              </w:rPr>
              <w:br/>
              <w:t>• 10 vai 5</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atkarībā no neatbilstības būtiskuma</w:t>
            </w:r>
          </w:p>
        </w:tc>
      </w:tr>
      <w:tr w:rsidR="003F4BF2" w:rsidRPr="0080485C" w:rsidTr="003F4BF2">
        <w:tc>
          <w:tcPr>
            <w:tcW w:w="603" w:type="dxa"/>
            <w:shd w:val="clear" w:color="auto" w:fill="auto"/>
          </w:tcPr>
          <w:p w:rsidR="00696C61" w:rsidRPr="0080485C" w:rsidRDefault="00B772F7" w:rsidP="00696C61">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7</w:t>
            </w:r>
            <w:r w:rsidR="00696C61" w:rsidRPr="0080485C">
              <w:rPr>
                <w:rFonts w:ascii="Times New Roman" w:eastAsia="Times New Roman" w:hAnsi="Times New Roman"/>
                <w:lang w:eastAsia="lv-LV"/>
              </w:rPr>
              <w:t>.</w:t>
            </w:r>
          </w:p>
        </w:tc>
        <w:tc>
          <w:tcPr>
            <w:tcW w:w="2091" w:type="dxa"/>
            <w:shd w:val="clear" w:color="auto" w:fill="auto"/>
          </w:tcPr>
          <w:p w:rsidR="00696C61" w:rsidRPr="0080485C" w:rsidRDefault="00696C61" w:rsidP="00696C61">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Iepirkumu procedūrā izvēlētā piegādātāja (pakalpojumu sniedzēja) apakšuzņēmējs ir atbalsta pretendents vai ar to saistītā persona.</w:t>
            </w:r>
            <w:r w:rsidRPr="0080485C">
              <w:rPr>
                <w:rFonts w:ascii="Times New Roman" w:eastAsia="Times New Roman" w:hAnsi="Times New Roman"/>
                <w:lang w:eastAsia="lv-LV"/>
              </w:rPr>
              <w:br/>
              <w:t>Konstatēts interešu konflikts pieņemtajā lēmumā par iepirkuma rezultātiem</w:t>
            </w:r>
          </w:p>
        </w:tc>
        <w:tc>
          <w:tcPr>
            <w:tcW w:w="2551" w:type="dxa"/>
            <w:shd w:val="clear" w:color="auto" w:fill="auto"/>
          </w:tcPr>
          <w:p w:rsidR="00696C61" w:rsidRPr="0080485C" w:rsidRDefault="00696C61" w:rsidP="00696C61">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 xml:space="preserve">Darbības programmas īstenošanas laikā konstatēts, ka ar pakalpojumu sniedzēju noslēgtā līguma izpildi kā apakšuzņēmējs nodrošina atbalsta pretendents vai </w:t>
            </w:r>
            <w:r w:rsidR="005D45E4" w:rsidRPr="0080485C">
              <w:rPr>
                <w:rFonts w:ascii="Times New Roman" w:eastAsia="Times New Roman" w:hAnsi="Times New Roman"/>
                <w:lang w:eastAsia="lv-LV"/>
              </w:rPr>
              <w:t xml:space="preserve">ar </w:t>
            </w:r>
            <w:r w:rsidRPr="0080485C">
              <w:rPr>
                <w:rFonts w:ascii="Times New Roman" w:eastAsia="Times New Roman" w:hAnsi="Times New Roman"/>
                <w:lang w:eastAsia="lv-LV"/>
              </w:rPr>
              <w:t>t</w:t>
            </w:r>
            <w:r w:rsidR="005D45E4" w:rsidRPr="0080485C">
              <w:rPr>
                <w:rFonts w:ascii="Times New Roman" w:eastAsia="Times New Roman" w:hAnsi="Times New Roman"/>
                <w:lang w:eastAsia="lv-LV"/>
              </w:rPr>
              <w:t>o</w:t>
            </w:r>
            <w:r w:rsidRPr="0080485C">
              <w:rPr>
                <w:rFonts w:ascii="Times New Roman" w:eastAsia="Times New Roman" w:hAnsi="Times New Roman"/>
                <w:lang w:eastAsia="lv-LV"/>
              </w:rPr>
              <w:t xml:space="preserve"> saistīt</w:t>
            </w:r>
            <w:r w:rsidR="005D45E4" w:rsidRPr="0080485C">
              <w:rPr>
                <w:rFonts w:ascii="Times New Roman" w:eastAsia="Times New Roman" w:hAnsi="Times New Roman"/>
                <w:lang w:eastAsia="lv-LV"/>
              </w:rPr>
              <w:t>a</w:t>
            </w:r>
            <w:r w:rsidRPr="0080485C">
              <w:rPr>
                <w:rFonts w:ascii="Times New Roman" w:eastAsia="Times New Roman" w:hAnsi="Times New Roman"/>
                <w:lang w:eastAsia="lv-LV"/>
              </w:rPr>
              <w:t xml:space="preserve"> persona.</w:t>
            </w:r>
          </w:p>
          <w:p w:rsidR="00696C61" w:rsidRPr="0080485C" w:rsidRDefault="00696C61" w:rsidP="00696C61">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Kāds no komisijas locekļiem un ekspertiem (ja tādi ir piesaistīti) pārstāv pretendenta intereses, ir saistīts ar pretendentu,</w:t>
            </w:r>
            <w:r w:rsidR="005D45E4" w:rsidRPr="0080485C">
              <w:rPr>
                <w:rFonts w:ascii="Times New Roman" w:eastAsia="Times New Roman" w:hAnsi="Times New Roman"/>
                <w:lang w:eastAsia="lv-LV"/>
              </w:rPr>
              <w:t xml:space="preserve"> un</w:t>
            </w:r>
            <w:r w:rsidRPr="0080485C">
              <w:rPr>
                <w:rFonts w:ascii="Times New Roman" w:eastAsia="Times New Roman" w:hAnsi="Times New Roman"/>
                <w:lang w:eastAsia="lv-LV"/>
              </w:rPr>
              <w:t xml:space="preserve"> interešu konflikta konstatēšanas gadījumā nav ievērota noteiktā procedūra</w:t>
            </w:r>
          </w:p>
        </w:tc>
        <w:tc>
          <w:tcPr>
            <w:tcW w:w="2693" w:type="dxa"/>
            <w:shd w:val="clear" w:color="auto" w:fill="auto"/>
          </w:tcPr>
          <w:p w:rsidR="00696C61" w:rsidRPr="0080485C" w:rsidRDefault="00696C61" w:rsidP="00696C61">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100 %</w:t>
            </w:r>
          </w:p>
        </w:tc>
      </w:tr>
      <w:tr w:rsidR="003F4BF2" w:rsidRPr="0080485C" w:rsidTr="003F4BF2">
        <w:tc>
          <w:tcPr>
            <w:tcW w:w="603" w:type="dxa"/>
            <w:shd w:val="clear" w:color="auto" w:fill="auto"/>
          </w:tcPr>
          <w:p w:rsidR="00696C61" w:rsidRPr="0080485C" w:rsidRDefault="00B772F7"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8</w:t>
            </w:r>
            <w:r w:rsidR="00696C61" w:rsidRPr="0080485C">
              <w:rPr>
                <w:rFonts w:ascii="Times New Roman" w:eastAsia="Times New Roman" w:hAnsi="Times New Roman"/>
                <w:lang w:eastAsia="lv-LV"/>
              </w:rPr>
              <w:t>.</w:t>
            </w:r>
          </w:p>
        </w:tc>
        <w:tc>
          <w:tcPr>
            <w:tcW w:w="2091" w:type="dxa"/>
            <w:shd w:val="clear" w:color="auto" w:fill="auto"/>
          </w:tcPr>
          <w:p w:rsidR="00696C61" w:rsidRPr="0080485C" w:rsidRDefault="00B772F7" w:rsidP="00696C61">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Konstatēts izmaksu sadārdzinājums</w:t>
            </w:r>
          </w:p>
        </w:tc>
        <w:tc>
          <w:tcPr>
            <w:tcW w:w="2551" w:type="dxa"/>
            <w:shd w:val="clear" w:color="auto" w:fill="auto"/>
          </w:tcPr>
          <w:p w:rsidR="00696C61" w:rsidRPr="0080485C" w:rsidRDefault="00B772F7" w:rsidP="00696C61">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Mākslīga izmaksu pozīciju sadārdzināšana</w:t>
            </w:r>
          </w:p>
        </w:tc>
        <w:tc>
          <w:tcPr>
            <w:tcW w:w="2693" w:type="dxa"/>
            <w:shd w:val="clear" w:color="auto" w:fill="auto"/>
          </w:tcPr>
          <w:p w:rsidR="00696C61" w:rsidRPr="0080485C" w:rsidRDefault="00B772F7" w:rsidP="00574BF4">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 100</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ja konstatētais sadārdzinājums pārsniedz 50</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w:t>
            </w:r>
            <w:r w:rsidRPr="0080485C">
              <w:rPr>
                <w:rFonts w:ascii="Times New Roman" w:eastAsia="Times New Roman" w:hAnsi="Times New Roman"/>
                <w:lang w:eastAsia="lv-LV"/>
              </w:rPr>
              <w:br/>
              <w:t>•</w:t>
            </w:r>
            <w:r w:rsidR="00574BF4" w:rsidRPr="0080485C">
              <w:rPr>
                <w:rFonts w:ascii="Times New Roman" w:eastAsia="Times New Roman" w:hAnsi="Times New Roman"/>
                <w:lang w:eastAsia="lv-LV"/>
              </w:rPr>
              <w:t>20</w:t>
            </w:r>
            <w:r w:rsidRPr="0080485C">
              <w:rPr>
                <w:rFonts w:ascii="Times New Roman" w:eastAsia="Times New Roman" w:hAnsi="Times New Roman"/>
                <w:lang w:eastAsia="lv-LV"/>
              </w:rPr>
              <w:t>–100</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xml:space="preserve">% no sadārdzināto izmaksu pozīcijas tirgus </w:t>
            </w:r>
            <w:r w:rsidRPr="0080485C">
              <w:rPr>
                <w:rFonts w:ascii="Times New Roman" w:eastAsia="Times New Roman" w:hAnsi="Times New Roman"/>
                <w:lang w:eastAsia="lv-LV"/>
              </w:rPr>
              <w:lastRenderedPageBreak/>
              <w:t>cenas</w:t>
            </w:r>
            <w:r w:rsidR="00574BF4" w:rsidRPr="0080485C">
              <w:rPr>
                <w:rFonts w:ascii="Times New Roman" w:eastAsia="Times New Roman" w:hAnsi="Times New Roman"/>
                <w:lang w:eastAsia="lv-LV"/>
              </w:rPr>
              <w:t xml:space="preserve"> sliekšņa</w:t>
            </w:r>
            <w:r w:rsidRPr="0080485C">
              <w:rPr>
                <w:rFonts w:ascii="Times New Roman" w:eastAsia="Times New Roman" w:hAnsi="Times New Roman"/>
                <w:lang w:eastAsia="lv-LV"/>
              </w:rPr>
              <w:t>, ja konstatētais sadārdzinājums ir līdz 50</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 – atkarībā no neatbilstības būtiskuma</w:t>
            </w:r>
          </w:p>
        </w:tc>
      </w:tr>
      <w:tr w:rsidR="003F4BF2" w:rsidRPr="0080485C" w:rsidTr="003F4BF2">
        <w:tc>
          <w:tcPr>
            <w:tcW w:w="603" w:type="dxa"/>
            <w:shd w:val="clear" w:color="auto" w:fill="auto"/>
          </w:tcPr>
          <w:p w:rsidR="00B772F7" w:rsidRPr="0080485C" w:rsidRDefault="00B772F7" w:rsidP="00696C61">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lastRenderedPageBreak/>
              <w:t>9.</w:t>
            </w:r>
          </w:p>
        </w:tc>
        <w:tc>
          <w:tcPr>
            <w:tcW w:w="2091" w:type="dxa"/>
            <w:shd w:val="clear" w:color="auto" w:fill="auto"/>
          </w:tcPr>
          <w:p w:rsidR="00B772F7" w:rsidRPr="0080485C" w:rsidRDefault="00B772F7" w:rsidP="003F4BF2">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Nav</w:t>
            </w:r>
            <w:r w:rsidR="003F4BF2" w:rsidRPr="0080485C">
              <w:rPr>
                <w:rFonts w:ascii="Times New Roman" w:eastAsia="Times New Roman" w:hAnsi="Times New Roman"/>
                <w:lang w:eastAsia="lv-LV"/>
              </w:rPr>
              <w:t xml:space="preserve"> ievērots Ministru kabineta 2017</w:t>
            </w:r>
            <w:r w:rsidRPr="0080485C">
              <w:rPr>
                <w:rFonts w:ascii="Times New Roman" w:eastAsia="Times New Roman" w:hAnsi="Times New Roman"/>
                <w:lang w:eastAsia="lv-LV"/>
              </w:rPr>
              <w:t xml:space="preserve">. gada </w:t>
            </w:r>
            <w:r w:rsidR="003F4BF2" w:rsidRPr="0080485C">
              <w:rPr>
                <w:rFonts w:ascii="Times New Roman" w:eastAsia="Times New Roman" w:hAnsi="Times New Roman"/>
                <w:lang w:eastAsia="lv-LV"/>
              </w:rPr>
              <w:t>___</w:t>
            </w:r>
            <w:r w:rsidRPr="0080485C">
              <w:rPr>
                <w:rFonts w:ascii="Times New Roman" w:eastAsia="Times New Roman" w:hAnsi="Times New Roman"/>
                <w:lang w:eastAsia="lv-LV"/>
              </w:rPr>
              <w:t xml:space="preserve">. </w:t>
            </w:r>
            <w:r w:rsidR="003F4BF2" w:rsidRPr="0080485C">
              <w:rPr>
                <w:rFonts w:ascii="Times New Roman" w:eastAsia="Times New Roman" w:hAnsi="Times New Roman"/>
                <w:lang w:eastAsia="lv-LV"/>
              </w:rPr>
              <w:t>___</w:t>
            </w:r>
            <w:r w:rsidRPr="0080485C">
              <w:rPr>
                <w:rFonts w:ascii="Times New Roman" w:eastAsia="Times New Roman" w:hAnsi="Times New Roman"/>
                <w:lang w:eastAsia="lv-LV"/>
              </w:rPr>
              <w:t xml:space="preserve"> noteikumu Nr. </w:t>
            </w:r>
            <w:r w:rsidR="003F4BF2" w:rsidRPr="0080485C">
              <w:rPr>
                <w:rFonts w:ascii="Times New Roman" w:eastAsia="Times New Roman" w:hAnsi="Times New Roman"/>
                <w:lang w:eastAsia="lv-LV"/>
              </w:rPr>
              <w:t>____</w:t>
            </w:r>
            <w:r w:rsidRPr="0080485C">
              <w:rPr>
                <w:rFonts w:ascii="Times New Roman" w:eastAsia="Times New Roman" w:hAnsi="Times New Roman"/>
                <w:lang w:eastAsia="lv-LV"/>
              </w:rPr>
              <w:t xml:space="preserve"> "Noteikumi par augļu un dārzeņu ražotāju organizācijām" (turpmāk</w:t>
            </w:r>
            <w:r w:rsidR="005D45E4" w:rsidRPr="0080485C">
              <w:rPr>
                <w:rFonts w:ascii="Times New Roman" w:eastAsia="Times New Roman" w:hAnsi="Times New Roman"/>
                <w:lang w:eastAsia="lv-LV"/>
              </w:rPr>
              <w:t> </w:t>
            </w:r>
            <w:r w:rsidR="003F4BF2" w:rsidRPr="0080485C">
              <w:rPr>
                <w:rFonts w:ascii="Times New Roman" w:eastAsia="Times New Roman" w:hAnsi="Times New Roman"/>
                <w:lang w:eastAsia="lv-LV"/>
              </w:rPr>
              <w:t>– noteikumi) 55</w:t>
            </w:r>
            <w:r w:rsidRPr="0080485C">
              <w:rPr>
                <w:rFonts w:ascii="Times New Roman" w:eastAsia="Times New Roman" w:hAnsi="Times New Roman"/>
                <w:lang w:eastAsia="lv-LV"/>
              </w:rPr>
              <w:t>.</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punktā norādītais iepirkuma dokumentu iesniegšanas termiņš</w:t>
            </w:r>
          </w:p>
        </w:tc>
        <w:tc>
          <w:tcPr>
            <w:tcW w:w="2551" w:type="dxa"/>
            <w:shd w:val="clear" w:color="auto" w:fill="auto"/>
          </w:tcPr>
          <w:p w:rsidR="00B772F7" w:rsidRPr="0080485C" w:rsidRDefault="00B772F7" w:rsidP="00696C61">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Normatīvajos aktos vai administratīvajā lēmumā norādītie iesniedzamie dokumenti iesniegti pēc noteiktā termiņa</w:t>
            </w:r>
          </w:p>
        </w:tc>
        <w:tc>
          <w:tcPr>
            <w:tcW w:w="2693" w:type="dxa"/>
            <w:shd w:val="clear" w:color="auto" w:fill="auto"/>
          </w:tcPr>
          <w:p w:rsidR="00B772F7" w:rsidRPr="0080485C" w:rsidRDefault="00B772F7" w:rsidP="00696C61">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 1–2 mēneši – 0,01</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w:t>
            </w:r>
            <w:r w:rsidRPr="0080485C">
              <w:rPr>
                <w:rFonts w:ascii="Times New Roman" w:eastAsia="Times New Roman" w:hAnsi="Times New Roman"/>
                <w:lang w:eastAsia="lv-LV"/>
              </w:rPr>
              <w:br/>
              <w:t>• Vairāk nekā 2</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mēneši līdz 3</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mēnešiem – 0,05</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w:t>
            </w:r>
            <w:r w:rsidRPr="0080485C">
              <w:rPr>
                <w:rFonts w:ascii="Times New Roman" w:eastAsia="Times New Roman" w:hAnsi="Times New Roman"/>
                <w:lang w:eastAsia="lv-LV"/>
              </w:rPr>
              <w:br/>
              <w:t>• Vairāk nekā 3</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mēneši – 100</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w:t>
            </w:r>
          </w:p>
        </w:tc>
      </w:tr>
      <w:tr w:rsidR="003F4BF2" w:rsidRPr="0080485C" w:rsidTr="003F4BF2">
        <w:tc>
          <w:tcPr>
            <w:tcW w:w="7938" w:type="dxa"/>
            <w:gridSpan w:val="4"/>
            <w:shd w:val="clear" w:color="auto" w:fill="auto"/>
          </w:tcPr>
          <w:p w:rsidR="00B772F7" w:rsidRPr="0080485C" w:rsidRDefault="00B772F7" w:rsidP="00B772F7">
            <w:pPr>
              <w:spacing w:after="0" w:line="240" w:lineRule="auto"/>
              <w:mirrorIndents/>
              <w:jc w:val="center"/>
              <w:rPr>
                <w:rFonts w:ascii="Times New Roman" w:eastAsia="Times New Roman" w:hAnsi="Times New Roman"/>
                <w:b/>
                <w:lang w:eastAsia="lv-LV"/>
              </w:rPr>
            </w:pPr>
            <w:r w:rsidRPr="0080485C">
              <w:rPr>
                <w:rFonts w:ascii="Times New Roman" w:eastAsia="Times New Roman" w:hAnsi="Times New Roman"/>
                <w:b/>
                <w:lang w:eastAsia="lv-LV"/>
              </w:rPr>
              <w:t>Citi pārkāpumi</w:t>
            </w:r>
          </w:p>
        </w:tc>
      </w:tr>
      <w:tr w:rsidR="003F4BF2" w:rsidRPr="0080485C" w:rsidTr="003F4BF2">
        <w:tc>
          <w:tcPr>
            <w:tcW w:w="603" w:type="dxa"/>
            <w:shd w:val="clear" w:color="auto" w:fill="auto"/>
          </w:tcPr>
          <w:p w:rsidR="00B772F7" w:rsidRPr="0080485C" w:rsidRDefault="00B772F7"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12.</w:t>
            </w:r>
          </w:p>
        </w:tc>
        <w:tc>
          <w:tcPr>
            <w:tcW w:w="2091" w:type="dxa"/>
            <w:shd w:val="clear" w:color="auto" w:fill="auto"/>
          </w:tcPr>
          <w:p w:rsidR="00B772F7" w:rsidRPr="0080485C" w:rsidRDefault="00B772F7" w:rsidP="003F4BF2">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 xml:space="preserve">Nav ievērota noteikumu </w:t>
            </w:r>
            <w:r w:rsidR="003F4BF2" w:rsidRPr="0080485C">
              <w:rPr>
                <w:rFonts w:ascii="Times New Roman" w:eastAsia="Times New Roman" w:hAnsi="Times New Roman"/>
                <w:lang w:eastAsia="lv-LV"/>
              </w:rPr>
              <w:t>53</w:t>
            </w:r>
            <w:r w:rsidR="005D45E4" w:rsidRPr="0080485C">
              <w:rPr>
                <w:rFonts w:ascii="Times New Roman" w:eastAsia="Times New Roman" w:hAnsi="Times New Roman"/>
                <w:lang w:eastAsia="lv-LV"/>
              </w:rPr>
              <w:t>. </w:t>
            </w:r>
            <w:r w:rsidRPr="0080485C">
              <w:rPr>
                <w:rFonts w:ascii="Times New Roman" w:eastAsia="Times New Roman" w:hAnsi="Times New Roman"/>
                <w:lang w:eastAsia="lv-LV"/>
              </w:rPr>
              <w:t>punktā minētā prasība</w:t>
            </w:r>
          </w:p>
        </w:tc>
        <w:tc>
          <w:tcPr>
            <w:tcW w:w="2551" w:type="dxa"/>
            <w:shd w:val="clear" w:color="auto" w:fill="auto"/>
          </w:tcPr>
          <w:p w:rsidR="00B772F7" w:rsidRPr="0080485C" w:rsidRDefault="00B772F7"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Finanšu līzingā iegādātā prece līdz attiecīgās darbības programmas perioda beigām nav kļuvusi par ražotāju organizācijas īpašumu</w:t>
            </w:r>
          </w:p>
        </w:tc>
        <w:tc>
          <w:tcPr>
            <w:tcW w:w="2693" w:type="dxa"/>
            <w:shd w:val="clear" w:color="auto" w:fill="auto"/>
          </w:tcPr>
          <w:p w:rsidR="00B772F7" w:rsidRPr="0080485C" w:rsidRDefault="00B772F7"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Par attiecīgo preci saņemtā Eiropas Savienības līdzfinansējuma atmaksa 100</w:t>
            </w:r>
            <w:r w:rsidR="004D44FA" w:rsidRPr="0080485C">
              <w:rPr>
                <w:rFonts w:ascii="Times New Roman" w:eastAsia="Times New Roman" w:hAnsi="Times New Roman"/>
                <w:lang w:eastAsia="lv-LV"/>
              </w:rPr>
              <w:t> </w:t>
            </w:r>
            <w:r w:rsidRPr="0080485C">
              <w:rPr>
                <w:rFonts w:ascii="Times New Roman" w:eastAsia="Times New Roman" w:hAnsi="Times New Roman"/>
                <w:lang w:eastAsia="lv-LV"/>
              </w:rPr>
              <w:t>% apmērā</w:t>
            </w:r>
          </w:p>
        </w:tc>
      </w:tr>
      <w:tr w:rsidR="003F4BF2" w:rsidRPr="0080485C" w:rsidTr="003F4BF2">
        <w:tc>
          <w:tcPr>
            <w:tcW w:w="603" w:type="dxa"/>
            <w:shd w:val="clear" w:color="auto" w:fill="auto"/>
          </w:tcPr>
          <w:p w:rsidR="00B772F7" w:rsidRPr="0080485C" w:rsidRDefault="00B772F7"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13.</w:t>
            </w:r>
          </w:p>
        </w:tc>
        <w:tc>
          <w:tcPr>
            <w:tcW w:w="2091" w:type="dxa"/>
            <w:shd w:val="clear" w:color="auto" w:fill="auto"/>
          </w:tcPr>
          <w:p w:rsidR="00B772F7" w:rsidRPr="0080485C" w:rsidRDefault="00B772F7"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Darbības fonda samazinājums vairāk par 30 %</w:t>
            </w:r>
          </w:p>
        </w:tc>
        <w:tc>
          <w:tcPr>
            <w:tcW w:w="2551" w:type="dxa"/>
            <w:shd w:val="clear" w:color="auto" w:fill="auto"/>
          </w:tcPr>
          <w:p w:rsidR="00B772F7" w:rsidRPr="0080485C" w:rsidRDefault="00B772F7"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Noteikumu 33.</w:t>
            </w:r>
            <w:r w:rsidR="004D44FA" w:rsidRPr="0080485C">
              <w:rPr>
                <w:rFonts w:ascii="Times New Roman" w:eastAsia="Times New Roman" w:hAnsi="Times New Roman"/>
                <w:lang w:eastAsia="lv-LV"/>
              </w:rPr>
              <w:t> </w:t>
            </w:r>
            <w:r w:rsidRPr="0080485C">
              <w:rPr>
                <w:rFonts w:ascii="Times New Roman" w:eastAsia="Times New Roman" w:hAnsi="Times New Roman"/>
                <w:lang w:eastAsia="lv-LV"/>
              </w:rPr>
              <w:t>punktā minēto nosacījumu neievērošana</w:t>
            </w:r>
          </w:p>
        </w:tc>
        <w:tc>
          <w:tcPr>
            <w:tcW w:w="2693" w:type="dxa"/>
            <w:shd w:val="clear" w:color="auto" w:fill="auto"/>
          </w:tcPr>
          <w:p w:rsidR="00B772F7" w:rsidRPr="0080485C" w:rsidRDefault="00B772F7"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50</w:t>
            </w:r>
            <w:r w:rsidR="004D44FA" w:rsidRPr="0080485C">
              <w:rPr>
                <w:rFonts w:ascii="Times New Roman" w:eastAsia="Times New Roman" w:hAnsi="Times New Roman"/>
                <w:lang w:eastAsia="lv-LV"/>
              </w:rPr>
              <w:t> </w:t>
            </w:r>
            <w:r w:rsidRPr="0080485C">
              <w:rPr>
                <w:rFonts w:ascii="Times New Roman" w:eastAsia="Times New Roman" w:hAnsi="Times New Roman"/>
                <w:lang w:eastAsia="lv-LV"/>
              </w:rPr>
              <w:t>% no tās darbības fonda summas, kas pārsniedz noteikumu 33.</w:t>
            </w:r>
            <w:r w:rsidR="004D44FA" w:rsidRPr="0080485C">
              <w:rPr>
                <w:rFonts w:ascii="Times New Roman" w:eastAsia="Times New Roman" w:hAnsi="Times New Roman"/>
                <w:lang w:eastAsia="lv-LV"/>
              </w:rPr>
              <w:t> </w:t>
            </w:r>
            <w:r w:rsidRPr="0080485C">
              <w:rPr>
                <w:rFonts w:ascii="Times New Roman" w:eastAsia="Times New Roman" w:hAnsi="Times New Roman"/>
                <w:lang w:eastAsia="lv-LV"/>
              </w:rPr>
              <w:t>punktā norādīto ierobežojumu</w:t>
            </w:r>
          </w:p>
        </w:tc>
      </w:tr>
      <w:tr w:rsidR="003F4BF2" w:rsidRPr="0080485C" w:rsidTr="003F4BF2">
        <w:tc>
          <w:tcPr>
            <w:tcW w:w="603" w:type="dxa"/>
            <w:shd w:val="clear" w:color="auto" w:fill="auto"/>
          </w:tcPr>
          <w:p w:rsidR="00B772F7" w:rsidRPr="0080485C" w:rsidRDefault="00B772F7"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14.</w:t>
            </w:r>
          </w:p>
        </w:tc>
        <w:tc>
          <w:tcPr>
            <w:tcW w:w="2091" w:type="dxa"/>
            <w:shd w:val="clear" w:color="auto" w:fill="auto"/>
          </w:tcPr>
          <w:p w:rsidR="00B772F7" w:rsidRPr="0080485C" w:rsidRDefault="007A7905"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Ražotāju organizācija neiesniedz Lauku atbalsta dienestam statistikas informāciju vai tā nav korekta</w:t>
            </w:r>
          </w:p>
        </w:tc>
        <w:tc>
          <w:tcPr>
            <w:tcW w:w="2551" w:type="dxa"/>
            <w:shd w:val="clear" w:color="auto" w:fill="auto"/>
          </w:tcPr>
          <w:p w:rsidR="00B772F7" w:rsidRPr="0080485C" w:rsidRDefault="007A7905" w:rsidP="00433C64">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Ražotāju organizācija Lauku atbalsta dienestam nav iesniegusi regulas 2017/892 21. pantā minēto informāciju</w:t>
            </w:r>
            <w:r w:rsidR="0029439F">
              <w:rPr>
                <w:rFonts w:ascii="Times New Roman" w:eastAsia="Times New Roman" w:hAnsi="Times New Roman"/>
                <w:lang w:eastAsia="lv-LV"/>
              </w:rPr>
              <w:t>,</w:t>
            </w:r>
            <w:r w:rsidRPr="0080485C">
              <w:rPr>
                <w:rFonts w:ascii="Times New Roman" w:eastAsia="Times New Roman" w:hAnsi="Times New Roman"/>
                <w:lang w:eastAsia="lv-LV"/>
              </w:rPr>
              <w:t xml:space="preserve"> vai tā ir nepareiza</w:t>
            </w:r>
          </w:p>
        </w:tc>
        <w:tc>
          <w:tcPr>
            <w:tcW w:w="2693" w:type="dxa"/>
            <w:shd w:val="clear" w:color="auto" w:fill="auto"/>
          </w:tcPr>
          <w:p w:rsidR="00B772F7" w:rsidRPr="0080485C" w:rsidRDefault="004D44FA"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A</w:t>
            </w:r>
            <w:r w:rsidR="007A7905" w:rsidRPr="0080485C">
              <w:rPr>
                <w:rFonts w:ascii="Times New Roman" w:eastAsia="Times New Roman" w:hAnsi="Times New Roman"/>
                <w:lang w:eastAsia="lv-LV"/>
              </w:rPr>
              <w:t xml:space="preserve">ttiecīgās darbības programmas apstiprinājumu </w:t>
            </w:r>
            <w:r w:rsidRPr="0080485C">
              <w:rPr>
                <w:rFonts w:ascii="Times New Roman" w:eastAsia="Times New Roman" w:hAnsi="Times New Roman"/>
                <w:lang w:eastAsia="lv-LV"/>
              </w:rPr>
              <w:t xml:space="preserve">atliek līdz </w:t>
            </w:r>
            <w:r w:rsidR="007A7905" w:rsidRPr="0080485C">
              <w:rPr>
                <w:rFonts w:ascii="Times New Roman" w:eastAsia="Times New Roman" w:hAnsi="Times New Roman"/>
                <w:lang w:eastAsia="lv-LV"/>
              </w:rPr>
              <w:t xml:space="preserve">nākamajam gadam, </w:t>
            </w:r>
            <w:r w:rsidRPr="0080485C">
              <w:rPr>
                <w:rFonts w:ascii="Times New Roman" w:eastAsia="Times New Roman" w:hAnsi="Times New Roman"/>
                <w:lang w:eastAsia="lv-LV"/>
              </w:rPr>
              <w:t>kamēr</w:t>
            </w:r>
            <w:r w:rsidR="007A7905" w:rsidRPr="0080485C">
              <w:rPr>
                <w:rFonts w:ascii="Times New Roman" w:eastAsia="Times New Roman" w:hAnsi="Times New Roman"/>
                <w:lang w:eastAsia="lv-LV"/>
              </w:rPr>
              <w:t xml:space="preserve"> ir sagatavots pareizs paziņojums</w:t>
            </w:r>
          </w:p>
        </w:tc>
      </w:tr>
      <w:tr w:rsidR="003F4BF2" w:rsidRPr="0080485C" w:rsidTr="003F4BF2">
        <w:tc>
          <w:tcPr>
            <w:tcW w:w="603" w:type="dxa"/>
            <w:shd w:val="clear" w:color="auto" w:fill="auto"/>
          </w:tcPr>
          <w:p w:rsidR="007A7905" w:rsidRPr="0080485C" w:rsidRDefault="007A7905"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15.</w:t>
            </w:r>
          </w:p>
        </w:tc>
        <w:tc>
          <w:tcPr>
            <w:tcW w:w="2091" w:type="dxa"/>
            <w:shd w:val="clear" w:color="auto" w:fill="auto"/>
          </w:tcPr>
          <w:p w:rsidR="007A7905" w:rsidRPr="0080485C" w:rsidRDefault="007A7905"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Konstatētas būtiskas izmaiņas investīcijas izmantošanā</w:t>
            </w:r>
          </w:p>
        </w:tc>
        <w:tc>
          <w:tcPr>
            <w:tcW w:w="2551" w:type="dxa"/>
            <w:shd w:val="clear" w:color="auto" w:fill="auto"/>
          </w:tcPr>
          <w:p w:rsidR="007A7905" w:rsidRPr="0080485C" w:rsidRDefault="007A7905"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Investīcija netiek izmantota atbilstoši apstiprinātās darbības programmas mērķiem un atbalsta saņemšanas nosacījumiem</w:t>
            </w:r>
          </w:p>
        </w:tc>
        <w:tc>
          <w:tcPr>
            <w:tcW w:w="2693" w:type="dxa"/>
            <w:shd w:val="clear" w:color="auto" w:fill="auto"/>
          </w:tcPr>
          <w:p w:rsidR="007A7905" w:rsidRPr="0080485C" w:rsidRDefault="007A7905" w:rsidP="00B772F7">
            <w:pPr>
              <w:spacing w:after="0" w:line="240" w:lineRule="auto"/>
              <w:mirrorIndents/>
              <w:jc w:val="both"/>
              <w:rPr>
                <w:rFonts w:ascii="Times New Roman" w:eastAsia="Times New Roman" w:hAnsi="Times New Roman"/>
                <w:lang w:eastAsia="lv-LV"/>
              </w:rPr>
            </w:pPr>
            <w:r w:rsidRPr="0080485C">
              <w:rPr>
                <w:rFonts w:ascii="Times New Roman" w:eastAsia="Times New Roman" w:hAnsi="Times New Roman"/>
                <w:lang w:eastAsia="lv-LV"/>
              </w:rPr>
              <w:t>Proporcionāli atlikušajam uzraudzības periodam atkarībā no neatbilstības būtiskuma</w:t>
            </w:r>
          </w:p>
        </w:tc>
      </w:tr>
    </w:tbl>
    <w:p w:rsidR="003F4BF2" w:rsidRDefault="003F4BF2" w:rsidP="003F4BF2">
      <w:pPr>
        <w:pStyle w:val="naislab"/>
        <w:spacing w:before="0" w:beforeAutospacing="0" w:after="0" w:afterAutospacing="0"/>
        <w:jc w:val="both"/>
        <w:rPr>
          <w:lang w:val="lv-LV"/>
        </w:rPr>
      </w:pPr>
    </w:p>
    <w:p w:rsidR="004C6722" w:rsidRDefault="004C6722" w:rsidP="003F4BF2">
      <w:pPr>
        <w:pStyle w:val="naislab"/>
        <w:spacing w:before="0" w:beforeAutospacing="0" w:after="0" w:afterAutospacing="0"/>
        <w:jc w:val="both"/>
        <w:rPr>
          <w:lang w:val="lv-LV"/>
        </w:rPr>
      </w:pPr>
    </w:p>
    <w:p w:rsidR="000B44C7" w:rsidRPr="008032A5" w:rsidRDefault="003F4BF2" w:rsidP="008032A5">
      <w:pPr>
        <w:pStyle w:val="naislab"/>
        <w:spacing w:before="0" w:beforeAutospacing="0" w:after="0" w:afterAutospacing="0"/>
        <w:jc w:val="both"/>
        <w:rPr>
          <w:sz w:val="28"/>
          <w:szCs w:val="28"/>
          <w:lang w:val="lv-LV"/>
        </w:rPr>
      </w:pPr>
      <w:r w:rsidRPr="005C1A86">
        <w:rPr>
          <w:sz w:val="28"/>
          <w:szCs w:val="28"/>
          <w:lang w:val="lv-LV"/>
        </w:rPr>
        <w:t xml:space="preserve">Zemkopības ministrs </w:t>
      </w:r>
      <w:r w:rsidRPr="005C1A86">
        <w:rPr>
          <w:sz w:val="28"/>
          <w:szCs w:val="28"/>
          <w:lang w:val="lv-LV"/>
        </w:rPr>
        <w:tab/>
      </w:r>
      <w:r w:rsidRPr="005C1A86">
        <w:rPr>
          <w:sz w:val="28"/>
          <w:szCs w:val="28"/>
          <w:lang w:val="lv-LV"/>
        </w:rPr>
        <w:tab/>
      </w:r>
      <w:r w:rsidR="0029439F" w:rsidRPr="005C1A86">
        <w:rPr>
          <w:sz w:val="28"/>
          <w:szCs w:val="28"/>
          <w:lang w:val="lv-LV"/>
        </w:rPr>
        <w:tab/>
      </w:r>
      <w:r w:rsidRPr="005C1A86">
        <w:rPr>
          <w:sz w:val="28"/>
          <w:szCs w:val="28"/>
          <w:lang w:val="lv-LV"/>
        </w:rPr>
        <w:t>Jānis Dūklavs</w:t>
      </w:r>
      <w:bookmarkStart w:id="0" w:name="_GoBack"/>
      <w:bookmarkEnd w:id="0"/>
    </w:p>
    <w:sectPr w:rsidR="000B44C7" w:rsidRPr="008032A5" w:rsidSect="008E5A65">
      <w:headerReference w:type="default" r:id="rId7"/>
      <w:footerReference w:type="default" r:id="rId8"/>
      <w:footerReference w:type="first" r:id="rId9"/>
      <w:pgSz w:w="8835" w:h="14355"/>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55F" w:rsidRDefault="00E5255F" w:rsidP="003F4BF2">
      <w:pPr>
        <w:spacing w:after="0" w:line="240" w:lineRule="auto"/>
      </w:pPr>
      <w:r>
        <w:separator/>
      </w:r>
    </w:p>
  </w:endnote>
  <w:endnote w:type="continuationSeparator" w:id="0">
    <w:p w:rsidR="00E5255F" w:rsidRDefault="00E5255F" w:rsidP="003F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F2" w:rsidRPr="004C6722" w:rsidRDefault="004C6722" w:rsidP="004C6722">
    <w:pPr>
      <w:pStyle w:val="Kjene"/>
      <w:rPr>
        <w:sz w:val="28"/>
      </w:rPr>
    </w:pPr>
    <w:r w:rsidRPr="004C6722">
      <w:rPr>
        <w:rFonts w:ascii="Times New Roman" w:hAnsi="Times New Roman"/>
        <w:sz w:val="20"/>
        <w:szCs w:val="16"/>
      </w:rPr>
      <w:t>ZMnotp9_260917_razotorg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A65" w:rsidRPr="008E5A65" w:rsidRDefault="008E5A65">
    <w:pPr>
      <w:pStyle w:val="Kjene"/>
      <w:rPr>
        <w:sz w:val="28"/>
      </w:rPr>
    </w:pPr>
    <w:r w:rsidRPr="004C6722">
      <w:rPr>
        <w:rFonts w:ascii="Times New Roman" w:hAnsi="Times New Roman"/>
        <w:sz w:val="20"/>
        <w:szCs w:val="16"/>
      </w:rPr>
      <w:t>ZMnotp9_260917_razotorg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55F" w:rsidRDefault="00E5255F" w:rsidP="003F4BF2">
      <w:pPr>
        <w:spacing w:after="0" w:line="240" w:lineRule="auto"/>
      </w:pPr>
      <w:r>
        <w:separator/>
      </w:r>
    </w:p>
  </w:footnote>
  <w:footnote w:type="continuationSeparator" w:id="0">
    <w:p w:rsidR="00E5255F" w:rsidRDefault="00E5255F" w:rsidP="003F4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629170"/>
      <w:docPartObj>
        <w:docPartGallery w:val="Page Numbers (Top of Page)"/>
        <w:docPartUnique/>
      </w:docPartObj>
    </w:sdtPr>
    <w:sdtEndPr>
      <w:rPr>
        <w:rFonts w:ascii="Times New Roman" w:hAnsi="Times New Roman"/>
        <w:sz w:val="24"/>
      </w:rPr>
    </w:sdtEndPr>
    <w:sdtContent>
      <w:p w:rsidR="008E5A65" w:rsidRPr="008E5A65" w:rsidRDefault="008E5A65">
        <w:pPr>
          <w:pStyle w:val="Galvene"/>
          <w:jc w:val="center"/>
          <w:rPr>
            <w:rFonts w:ascii="Times New Roman" w:hAnsi="Times New Roman"/>
            <w:sz w:val="24"/>
          </w:rPr>
        </w:pPr>
        <w:r w:rsidRPr="008E5A65">
          <w:rPr>
            <w:rFonts w:ascii="Times New Roman" w:hAnsi="Times New Roman"/>
            <w:sz w:val="24"/>
          </w:rPr>
          <w:fldChar w:fldCharType="begin"/>
        </w:r>
        <w:r w:rsidRPr="008E5A65">
          <w:rPr>
            <w:rFonts w:ascii="Times New Roman" w:hAnsi="Times New Roman"/>
            <w:sz w:val="24"/>
          </w:rPr>
          <w:instrText>PAGE   \* MERGEFORMAT</w:instrText>
        </w:r>
        <w:r w:rsidRPr="008E5A65">
          <w:rPr>
            <w:rFonts w:ascii="Times New Roman" w:hAnsi="Times New Roman"/>
            <w:sz w:val="24"/>
          </w:rPr>
          <w:fldChar w:fldCharType="separate"/>
        </w:r>
        <w:r w:rsidR="008032A5">
          <w:rPr>
            <w:rFonts w:ascii="Times New Roman" w:hAnsi="Times New Roman"/>
            <w:noProof/>
            <w:sz w:val="24"/>
          </w:rPr>
          <w:t>2</w:t>
        </w:r>
        <w:r w:rsidRPr="008E5A65">
          <w:rPr>
            <w:rFonts w:ascii="Times New Roman" w:hAnsi="Times New Roman"/>
            <w:sz w:val="24"/>
          </w:rPr>
          <w:fldChar w:fldCharType="end"/>
        </w:r>
      </w:p>
    </w:sdtContent>
  </w:sdt>
  <w:p w:rsidR="008E5A65" w:rsidRDefault="008E5A6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B4074"/>
    <w:multiLevelType w:val="hybridMultilevel"/>
    <w:tmpl w:val="A9EA28B8"/>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C7"/>
    <w:rsid w:val="000000C0"/>
    <w:rsid w:val="00001C8E"/>
    <w:rsid w:val="00003D1C"/>
    <w:rsid w:val="00015C6E"/>
    <w:rsid w:val="0003228C"/>
    <w:rsid w:val="0003351C"/>
    <w:rsid w:val="00047A64"/>
    <w:rsid w:val="00056DFE"/>
    <w:rsid w:val="00063049"/>
    <w:rsid w:val="00063A53"/>
    <w:rsid w:val="00076B7D"/>
    <w:rsid w:val="00084823"/>
    <w:rsid w:val="000978C4"/>
    <w:rsid w:val="000B3F55"/>
    <w:rsid w:val="000B44C7"/>
    <w:rsid w:val="000B5239"/>
    <w:rsid w:val="000C2A58"/>
    <w:rsid w:val="000D0AC9"/>
    <w:rsid w:val="000F17D7"/>
    <w:rsid w:val="001164CB"/>
    <w:rsid w:val="00135B7C"/>
    <w:rsid w:val="00137289"/>
    <w:rsid w:val="001533F2"/>
    <w:rsid w:val="001541AB"/>
    <w:rsid w:val="00156D8F"/>
    <w:rsid w:val="001700EE"/>
    <w:rsid w:val="00170C9A"/>
    <w:rsid w:val="001750D1"/>
    <w:rsid w:val="001805E3"/>
    <w:rsid w:val="00180F63"/>
    <w:rsid w:val="00187B01"/>
    <w:rsid w:val="00194CB6"/>
    <w:rsid w:val="001A7497"/>
    <w:rsid w:val="001B2264"/>
    <w:rsid w:val="001C0BAD"/>
    <w:rsid w:val="001C4189"/>
    <w:rsid w:val="001E1CE8"/>
    <w:rsid w:val="001E736A"/>
    <w:rsid w:val="001F1525"/>
    <w:rsid w:val="0022015C"/>
    <w:rsid w:val="00223F5F"/>
    <w:rsid w:val="00237C6C"/>
    <w:rsid w:val="002611FB"/>
    <w:rsid w:val="00261E36"/>
    <w:rsid w:val="00263A3C"/>
    <w:rsid w:val="0027275D"/>
    <w:rsid w:val="00273337"/>
    <w:rsid w:val="002751C7"/>
    <w:rsid w:val="002770CB"/>
    <w:rsid w:val="002853A0"/>
    <w:rsid w:val="00287503"/>
    <w:rsid w:val="0029439F"/>
    <w:rsid w:val="002B064F"/>
    <w:rsid w:val="002C1AF1"/>
    <w:rsid w:val="002D48A1"/>
    <w:rsid w:val="002F56FE"/>
    <w:rsid w:val="00300BC4"/>
    <w:rsid w:val="003042EA"/>
    <w:rsid w:val="00307063"/>
    <w:rsid w:val="00351D6F"/>
    <w:rsid w:val="00360841"/>
    <w:rsid w:val="00360BB4"/>
    <w:rsid w:val="00362DA9"/>
    <w:rsid w:val="003850A9"/>
    <w:rsid w:val="00387CEB"/>
    <w:rsid w:val="0039073A"/>
    <w:rsid w:val="0039253B"/>
    <w:rsid w:val="003A20F5"/>
    <w:rsid w:val="003B10EF"/>
    <w:rsid w:val="003B1FB4"/>
    <w:rsid w:val="003B3F61"/>
    <w:rsid w:val="003B60E1"/>
    <w:rsid w:val="003C435A"/>
    <w:rsid w:val="003E361A"/>
    <w:rsid w:val="003F4BF2"/>
    <w:rsid w:val="004065C9"/>
    <w:rsid w:val="00425BD1"/>
    <w:rsid w:val="00433C64"/>
    <w:rsid w:val="004405ED"/>
    <w:rsid w:val="00443CC8"/>
    <w:rsid w:val="00444664"/>
    <w:rsid w:val="00473192"/>
    <w:rsid w:val="00482E20"/>
    <w:rsid w:val="004836E1"/>
    <w:rsid w:val="00483B58"/>
    <w:rsid w:val="004914E2"/>
    <w:rsid w:val="00493308"/>
    <w:rsid w:val="004A481C"/>
    <w:rsid w:val="004C2D8D"/>
    <w:rsid w:val="004C6722"/>
    <w:rsid w:val="004D44FA"/>
    <w:rsid w:val="004D4AFA"/>
    <w:rsid w:val="00504BA4"/>
    <w:rsid w:val="00511803"/>
    <w:rsid w:val="00514CA6"/>
    <w:rsid w:val="00515C0C"/>
    <w:rsid w:val="00516CE9"/>
    <w:rsid w:val="00524C10"/>
    <w:rsid w:val="005300B5"/>
    <w:rsid w:val="00560783"/>
    <w:rsid w:val="00574BF4"/>
    <w:rsid w:val="00575E44"/>
    <w:rsid w:val="00585912"/>
    <w:rsid w:val="0059221C"/>
    <w:rsid w:val="00596B33"/>
    <w:rsid w:val="005A6C28"/>
    <w:rsid w:val="005B23F7"/>
    <w:rsid w:val="005B3FD9"/>
    <w:rsid w:val="005C1A86"/>
    <w:rsid w:val="005D45E4"/>
    <w:rsid w:val="005E0BCF"/>
    <w:rsid w:val="005F452D"/>
    <w:rsid w:val="006148AC"/>
    <w:rsid w:val="00621420"/>
    <w:rsid w:val="00625F53"/>
    <w:rsid w:val="006339ED"/>
    <w:rsid w:val="00636104"/>
    <w:rsid w:val="00654AC8"/>
    <w:rsid w:val="00660F41"/>
    <w:rsid w:val="0066412D"/>
    <w:rsid w:val="00667AE3"/>
    <w:rsid w:val="006768CB"/>
    <w:rsid w:val="0069070C"/>
    <w:rsid w:val="00696C61"/>
    <w:rsid w:val="006A02B2"/>
    <w:rsid w:val="006A5067"/>
    <w:rsid w:val="006D1B92"/>
    <w:rsid w:val="006E1F35"/>
    <w:rsid w:val="0070215D"/>
    <w:rsid w:val="00712CBD"/>
    <w:rsid w:val="00712E48"/>
    <w:rsid w:val="007133A8"/>
    <w:rsid w:val="00713EBC"/>
    <w:rsid w:val="00713F64"/>
    <w:rsid w:val="00715EDD"/>
    <w:rsid w:val="00717E4F"/>
    <w:rsid w:val="00720223"/>
    <w:rsid w:val="0072263A"/>
    <w:rsid w:val="00731324"/>
    <w:rsid w:val="007347BD"/>
    <w:rsid w:val="00742914"/>
    <w:rsid w:val="00746F60"/>
    <w:rsid w:val="00747041"/>
    <w:rsid w:val="0075203A"/>
    <w:rsid w:val="007623E6"/>
    <w:rsid w:val="00776365"/>
    <w:rsid w:val="00790289"/>
    <w:rsid w:val="00791EF1"/>
    <w:rsid w:val="007A495E"/>
    <w:rsid w:val="007A61E7"/>
    <w:rsid w:val="007A7905"/>
    <w:rsid w:val="007B3F34"/>
    <w:rsid w:val="007E0658"/>
    <w:rsid w:val="007E4B5A"/>
    <w:rsid w:val="008032A5"/>
    <w:rsid w:val="0080485C"/>
    <w:rsid w:val="00805555"/>
    <w:rsid w:val="00806056"/>
    <w:rsid w:val="00820C44"/>
    <w:rsid w:val="008238BE"/>
    <w:rsid w:val="00826043"/>
    <w:rsid w:val="008367BD"/>
    <w:rsid w:val="00841E7D"/>
    <w:rsid w:val="008436EF"/>
    <w:rsid w:val="0086671C"/>
    <w:rsid w:val="008758FD"/>
    <w:rsid w:val="00880C73"/>
    <w:rsid w:val="008816FC"/>
    <w:rsid w:val="008848E9"/>
    <w:rsid w:val="00887689"/>
    <w:rsid w:val="00892AAE"/>
    <w:rsid w:val="00896325"/>
    <w:rsid w:val="0089674F"/>
    <w:rsid w:val="008B193C"/>
    <w:rsid w:val="008C2CCC"/>
    <w:rsid w:val="008D041E"/>
    <w:rsid w:val="008E377C"/>
    <w:rsid w:val="008E5A15"/>
    <w:rsid w:val="008E5A65"/>
    <w:rsid w:val="00902130"/>
    <w:rsid w:val="009112C4"/>
    <w:rsid w:val="00936B60"/>
    <w:rsid w:val="00943DA6"/>
    <w:rsid w:val="00947831"/>
    <w:rsid w:val="009562E0"/>
    <w:rsid w:val="0095631C"/>
    <w:rsid w:val="00971112"/>
    <w:rsid w:val="009962FB"/>
    <w:rsid w:val="009C008B"/>
    <w:rsid w:val="009C7666"/>
    <w:rsid w:val="00A12F56"/>
    <w:rsid w:val="00A55432"/>
    <w:rsid w:val="00A70045"/>
    <w:rsid w:val="00A775DD"/>
    <w:rsid w:val="00A8013D"/>
    <w:rsid w:val="00A92735"/>
    <w:rsid w:val="00AB1953"/>
    <w:rsid w:val="00AD0AAA"/>
    <w:rsid w:val="00AD1CB5"/>
    <w:rsid w:val="00AE11AC"/>
    <w:rsid w:val="00AF3C11"/>
    <w:rsid w:val="00B101EF"/>
    <w:rsid w:val="00B20DA2"/>
    <w:rsid w:val="00B23F68"/>
    <w:rsid w:val="00B4369A"/>
    <w:rsid w:val="00B437AB"/>
    <w:rsid w:val="00B654FF"/>
    <w:rsid w:val="00B676AA"/>
    <w:rsid w:val="00B71FB4"/>
    <w:rsid w:val="00B72D87"/>
    <w:rsid w:val="00B74E10"/>
    <w:rsid w:val="00B772F7"/>
    <w:rsid w:val="00B77795"/>
    <w:rsid w:val="00B94AAF"/>
    <w:rsid w:val="00BB1EDF"/>
    <w:rsid w:val="00BC5925"/>
    <w:rsid w:val="00BC5FE3"/>
    <w:rsid w:val="00BE2917"/>
    <w:rsid w:val="00BE7D53"/>
    <w:rsid w:val="00BF54FC"/>
    <w:rsid w:val="00BF70E1"/>
    <w:rsid w:val="00C27A6F"/>
    <w:rsid w:val="00C32229"/>
    <w:rsid w:val="00C34F0D"/>
    <w:rsid w:val="00C435A4"/>
    <w:rsid w:val="00C46517"/>
    <w:rsid w:val="00C46EE8"/>
    <w:rsid w:val="00C50DDE"/>
    <w:rsid w:val="00C617D5"/>
    <w:rsid w:val="00C63453"/>
    <w:rsid w:val="00C63781"/>
    <w:rsid w:val="00C64AB2"/>
    <w:rsid w:val="00C709BE"/>
    <w:rsid w:val="00C90F26"/>
    <w:rsid w:val="00CA0B7D"/>
    <w:rsid w:val="00CA0FC8"/>
    <w:rsid w:val="00CA5866"/>
    <w:rsid w:val="00CB086A"/>
    <w:rsid w:val="00CB0C91"/>
    <w:rsid w:val="00CC5F90"/>
    <w:rsid w:val="00CD21A0"/>
    <w:rsid w:val="00CD6180"/>
    <w:rsid w:val="00CD6C4F"/>
    <w:rsid w:val="00CE0CB5"/>
    <w:rsid w:val="00CF29F4"/>
    <w:rsid w:val="00CF2FDD"/>
    <w:rsid w:val="00CF7777"/>
    <w:rsid w:val="00D02B29"/>
    <w:rsid w:val="00D16C5C"/>
    <w:rsid w:val="00D403EE"/>
    <w:rsid w:val="00D4382C"/>
    <w:rsid w:val="00D441CF"/>
    <w:rsid w:val="00D47872"/>
    <w:rsid w:val="00D720CE"/>
    <w:rsid w:val="00D731A5"/>
    <w:rsid w:val="00D755FD"/>
    <w:rsid w:val="00D8296C"/>
    <w:rsid w:val="00DA5026"/>
    <w:rsid w:val="00DA504C"/>
    <w:rsid w:val="00DA5573"/>
    <w:rsid w:val="00DB194F"/>
    <w:rsid w:val="00DB43A6"/>
    <w:rsid w:val="00DB462A"/>
    <w:rsid w:val="00DC7F57"/>
    <w:rsid w:val="00DD0B26"/>
    <w:rsid w:val="00DD7877"/>
    <w:rsid w:val="00DE11A5"/>
    <w:rsid w:val="00DF4F32"/>
    <w:rsid w:val="00DF5B0E"/>
    <w:rsid w:val="00E004FF"/>
    <w:rsid w:val="00E302A5"/>
    <w:rsid w:val="00E365CF"/>
    <w:rsid w:val="00E42E76"/>
    <w:rsid w:val="00E42F44"/>
    <w:rsid w:val="00E5255F"/>
    <w:rsid w:val="00E64E11"/>
    <w:rsid w:val="00E659F3"/>
    <w:rsid w:val="00E82DF2"/>
    <w:rsid w:val="00E90F6F"/>
    <w:rsid w:val="00E97A29"/>
    <w:rsid w:val="00EB0E85"/>
    <w:rsid w:val="00EB5A39"/>
    <w:rsid w:val="00EC5C90"/>
    <w:rsid w:val="00EC77CA"/>
    <w:rsid w:val="00ED3A23"/>
    <w:rsid w:val="00EE01F6"/>
    <w:rsid w:val="00EE388D"/>
    <w:rsid w:val="00EF5C1A"/>
    <w:rsid w:val="00F143F6"/>
    <w:rsid w:val="00F206E1"/>
    <w:rsid w:val="00F36517"/>
    <w:rsid w:val="00F41CD0"/>
    <w:rsid w:val="00F43D67"/>
    <w:rsid w:val="00F44168"/>
    <w:rsid w:val="00F757DE"/>
    <w:rsid w:val="00F90CD7"/>
    <w:rsid w:val="00F979B0"/>
    <w:rsid w:val="00FB0DDB"/>
    <w:rsid w:val="00FC6D7C"/>
    <w:rsid w:val="00FF04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6EE0C-41EC-4091-AFD7-C6696631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0B44C7"/>
    <w:pPr>
      <w:spacing w:before="45" w:after="0" w:line="360" w:lineRule="auto"/>
      <w:ind w:firstLine="300"/>
    </w:pPr>
    <w:rPr>
      <w:rFonts w:ascii="Times New Roman" w:eastAsia="Times New Roman" w:hAnsi="Times New Roman"/>
      <w:i/>
      <w:iCs/>
      <w:color w:val="414142"/>
      <w:sz w:val="20"/>
      <w:szCs w:val="20"/>
      <w:lang w:eastAsia="lv-LV"/>
    </w:rPr>
  </w:style>
  <w:style w:type="paragraph" w:styleId="Sarakstarindkopa">
    <w:name w:val="List Paragraph"/>
    <w:basedOn w:val="Parasts"/>
    <w:uiPriority w:val="34"/>
    <w:qFormat/>
    <w:rsid w:val="000B44C7"/>
    <w:pPr>
      <w:ind w:left="720"/>
      <w:contextualSpacing/>
    </w:pPr>
  </w:style>
  <w:style w:type="table" w:styleId="Reatabula">
    <w:name w:val="Table Grid"/>
    <w:basedOn w:val="Parastatabula"/>
    <w:uiPriority w:val="39"/>
    <w:rsid w:val="000B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C2D8D"/>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C2D8D"/>
    <w:rPr>
      <w:rFonts w:ascii="Tahoma" w:hAnsi="Tahoma" w:cs="Tahoma"/>
      <w:sz w:val="16"/>
      <w:szCs w:val="16"/>
      <w:lang w:val="lv-LV" w:bidi="ar-SA"/>
    </w:rPr>
  </w:style>
  <w:style w:type="character" w:styleId="Komentraatsauce">
    <w:name w:val="annotation reference"/>
    <w:uiPriority w:val="99"/>
    <w:semiHidden/>
    <w:unhideWhenUsed/>
    <w:rsid w:val="00EC5C90"/>
    <w:rPr>
      <w:sz w:val="16"/>
      <w:szCs w:val="16"/>
    </w:rPr>
  </w:style>
  <w:style w:type="paragraph" w:styleId="Komentrateksts">
    <w:name w:val="annotation text"/>
    <w:basedOn w:val="Parasts"/>
    <w:link w:val="KomentratekstsRakstz"/>
    <w:uiPriority w:val="99"/>
    <w:semiHidden/>
    <w:unhideWhenUsed/>
    <w:rsid w:val="00EC5C90"/>
    <w:rPr>
      <w:sz w:val="20"/>
      <w:szCs w:val="20"/>
    </w:rPr>
  </w:style>
  <w:style w:type="character" w:customStyle="1" w:styleId="KomentratekstsRakstz">
    <w:name w:val="Komentāra teksts Rakstz."/>
    <w:link w:val="Komentrateksts"/>
    <w:uiPriority w:val="99"/>
    <w:semiHidden/>
    <w:rsid w:val="00EC5C90"/>
    <w:rPr>
      <w:lang w:val="lv-LV" w:bidi="ar-SA"/>
    </w:rPr>
  </w:style>
  <w:style w:type="paragraph" w:styleId="Komentratma">
    <w:name w:val="annotation subject"/>
    <w:basedOn w:val="Komentrateksts"/>
    <w:next w:val="Komentrateksts"/>
    <w:link w:val="KomentratmaRakstz"/>
    <w:uiPriority w:val="99"/>
    <w:semiHidden/>
    <w:unhideWhenUsed/>
    <w:rsid w:val="00EC5C90"/>
    <w:rPr>
      <w:b/>
      <w:bCs/>
    </w:rPr>
  </w:style>
  <w:style w:type="character" w:customStyle="1" w:styleId="KomentratmaRakstz">
    <w:name w:val="Komentāra tēma Rakstz."/>
    <w:link w:val="Komentratma"/>
    <w:uiPriority w:val="99"/>
    <w:semiHidden/>
    <w:rsid w:val="00EC5C90"/>
    <w:rPr>
      <w:b/>
      <w:bCs/>
      <w:lang w:val="lv-LV" w:bidi="ar-SA"/>
    </w:rPr>
  </w:style>
  <w:style w:type="paragraph" w:customStyle="1" w:styleId="naislab">
    <w:name w:val="naislab"/>
    <w:basedOn w:val="Parasts"/>
    <w:rsid w:val="003F4BF2"/>
    <w:pPr>
      <w:spacing w:before="100" w:beforeAutospacing="1" w:after="100" w:afterAutospacing="1" w:line="240" w:lineRule="auto"/>
      <w:jc w:val="right"/>
    </w:pPr>
    <w:rPr>
      <w:rFonts w:ascii="Times New Roman" w:eastAsia="Arial Unicode MS" w:hAnsi="Times New Roman"/>
      <w:sz w:val="24"/>
      <w:szCs w:val="24"/>
      <w:lang w:val="en-GB"/>
    </w:rPr>
  </w:style>
  <w:style w:type="paragraph" w:styleId="Galvene">
    <w:name w:val="header"/>
    <w:basedOn w:val="Parasts"/>
    <w:link w:val="GalveneRakstz"/>
    <w:uiPriority w:val="99"/>
    <w:unhideWhenUsed/>
    <w:rsid w:val="003F4BF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F4BF2"/>
    <w:rPr>
      <w:sz w:val="22"/>
      <w:szCs w:val="22"/>
      <w:lang w:eastAsia="en-US"/>
    </w:rPr>
  </w:style>
  <w:style w:type="paragraph" w:styleId="Kjene">
    <w:name w:val="footer"/>
    <w:basedOn w:val="Parasts"/>
    <w:link w:val="KjeneRakstz"/>
    <w:uiPriority w:val="99"/>
    <w:unhideWhenUsed/>
    <w:rsid w:val="003F4BF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F4B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5675">
      <w:bodyDiv w:val="1"/>
      <w:marLeft w:val="0"/>
      <w:marRight w:val="0"/>
      <w:marTop w:val="0"/>
      <w:marBottom w:val="0"/>
      <w:divBdr>
        <w:top w:val="none" w:sz="0" w:space="0" w:color="auto"/>
        <w:left w:val="none" w:sz="0" w:space="0" w:color="auto"/>
        <w:bottom w:val="none" w:sz="0" w:space="0" w:color="auto"/>
        <w:right w:val="none" w:sz="0" w:space="0" w:color="auto"/>
      </w:divBdr>
      <w:divsChild>
        <w:div w:id="2067601891">
          <w:marLeft w:val="0"/>
          <w:marRight w:val="0"/>
          <w:marTop w:val="0"/>
          <w:marBottom w:val="0"/>
          <w:divBdr>
            <w:top w:val="none" w:sz="0" w:space="0" w:color="auto"/>
            <w:left w:val="none" w:sz="0" w:space="0" w:color="auto"/>
            <w:bottom w:val="none" w:sz="0" w:space="0" w:color="auto"/>
            <w:right w:val="none" w:sz="0" w:space="0" w:color="auto"/>
          </w:divBdr>
          <w:divsChild>
            <w:div w:id="1034579352">
              <w:marLeft w:val="0"/>
              <w:marRight w:val="0"/>
              <w:marTop w:val="0"/>
              <w:marBottom w:val="0"/>
              <w:divBdr>
                <w:top w:val="none" w:sz="0" w:space="0" w:color="auto"/>
                <w:left w:val="none" w:sz="0" w:space="0" w:color="auto"/>
                <w:bottom w:val="none" w:sz="0" w:space="0" w:color="auto"/>
                <w:right w:val="none" w:sz="0" w:space="0" w:color="auto"/>
              </w:divBdr>
              <w:divsChild>
                <w:div w:id="1823234182">
                  <w:marLeft w:val="0"/>
                  <w:marRight w:val="0"/>
                  <w:marTop w:val="0"/>
                  <w:marBottom w:val="0"/>
                  <w:divBdr>
                    <w:top w:val="none" w:sz="0" w:space="0" w:color="auto"/>
                    <w:left w:val="none" w:sz="0" w:space="0" w:color="auto"/>
                    <w:bottom w:val="none" w:sz="0" w:space="0" w:color="auto"/>
                    <w:right w:val="none" w:sz="0" w:space="0" w:color="auto"/>
                  </w:divBdr>
                  <w:divsChild>
                    <w:div w:id="736706163">
                      <w:marLeft w:val="0"/>
                      <w:marRight w:val="0"/>
                      <w:marTop w:val="0"/>
                      <w:marBottom w:val="0"/>
                      <w:divBdr>
                        <w:top w:val="none" w:sz="0" w:space="0" w:color="auto"/>
                        <w:left w:val="none" w:sz="0" w:space="0" w:color="auto"/>
                        <w:bottom w:val="none" w:sz="0" w:space="0" w:color="auto"/>
                        <w:right w:val="none" w:sz="0" w:space="0" w:color="auto"/>
                      </w:divBdr>
                      <w:divsChild>
                        <w:div w:id="314266228">
                          <w:marLeft w:val="0"/>
                          <w:marRight w:val="0"/>
                          <w:marTop w:val="0"/>
                          <w:marBottom w:val="0"/>
                          <w:divBdr>
                            <w:top w:val="none" w:sz="0" w:space="0" w:color="auto"/>
                            <w:left w:val="none" w:sz="0" w:space="0" w:color="auto"/>
                            <w:bottom w:val="none" w:sz="0" w:space="0" w:color="auto"/>
                            <w:right w:val="none" w:sz="0" w:space="0" w:color="auto"/>
                          </w:divBdr>
                          <w:divsChild>
                            <w:div w:id="12749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294800">
      <w:bodyDiv w:val="1"/>
      <w:marLeft w:val="0"/>
      <w:marRight w:val="0"/>
      <w:marTop w:val="0"/>
      <w:marBottom w:val="0"/>
      <w:divBdr>
        <w:top w:val="none" w:sz="0" w:space="0" w:color="auto"/>
        <w:left w:val="none" w:sz="0" w:space="0" w:color="auto"/>
        <w:bottom w:val="none" w:sz="0" w:space="0" w:color="auto"/>
        <w:right w:val="none" w:sz="0" w:space="0" w:color="auto"/>
      </w:divBdr>
      <w:divsChild>
        <w:div w:id="1158423280">
          <w:marLeft w:val="0"/>
          <w:marRight w:val="0"/>
          <w:marTop w:val="0"/>
          <w:marBottom w:val="0"/>
          <w:divBdr>
            <w:top w:val="none" w:sz="0" w:space="0" w:color="auto"/>
            <w:left w:val="none" w:sz="0" w:space="0" w:color="auto"/>
            <w:bottom w:val="none" w:sz="0" w:space="0" w:color="auto"/>
            <w:right w:val="none" w:sz="0" w:space="0" w:color="auto"/>
          </w:divBdr>
          <w:divsChild>
            <w:div w:id="1511600340">
              <w:marLeft w:val="0"/>
              <w:marRight w:val="0"/>
              <w:marTop w:val="0"/>
              <w:marBottom w:val="0"/>
              <w:divBdr>
                <w:top w:val="none" w:sz="0" w:space="0" w:color="auto"/>
                <w:left w:val="none" w:sz="0" w:space="0" w:color="auto"/>
                <w:bottom w:val="none" w:sz="0" w:space="0" w:color="auto"/>
                <w:right w:val="none" w:sz="0" w:space="0" w:color="auto"/>
              </w:divBdr>
              <w:divsChild>
                <w:div w:id="143010988">
                  <w:marLeft w:val="0"/>
                  <w:marRight w:val="0"/>
                  <w:marTop w:val="0"/>
                  <w:marBottom w:val="0"/>
                  <w:divBdr>
                    <w:top w:val="none" w:sz="0" w:space="0" w:color="auto"/>
                    <w:left w:val="none" w:sz="0" w:space="0" w:color="auto"/>
                    <w:bottom w:val="none" w:sz="0" w:space="0" w:color="auto"/>
                    <w:right w:val="none" w:sz="0" w:space="0" w:color="auto"/>
                  </w:divBdr>
                  <w:divsChild>
                    <w:div w:id="1316299448">
                      <w:marLeft w:val="0"/>
                      <w:marRight w:val="0"/>
                      <w:marTop w:val="0"/>
                      <w:marBottom w:val="0"/>
                      <w:divBdr>
                        <w:top w:val="none" w:sz="0" w:space="0" w:color="auto"/>
                        <w:left w:val="none" w:sz="0" w:space="0" w:color="auto"/>
                        <w:bottom w:val="none" w:sz="0" w:space="0" w:color="auto"/>
                        <w:right w:val="none" w:sz="0" w:space="0" w:color="auto"/>
                      </w:divBdr>
                      <w:divsChild>
                        <w:div w:id="2135057802">
                          <w:marLeft w:val="0"/>
                          <w:marRight w:val="0"/>
                          <w:marTop w:val="0"/>
                          <w:marBottom w:val="0"/>
                          <w:divBdr>
                            <w:top w:val="none" w:sz="0" w:space="0" w:color="auto"/>
                            <w:left w:val="none" w:sz="0" w:space="0" w:color="auto"/>
                            <w:bottom w:val="none" w:sz="0" w:space="0" w:color="auto"/>
                            <w:right w:val="none" w:sz="0" w:space="0" w:color="auto"/>
                          </w:divBdr>
                          <w:divsChild>
                            <w:div w:id="177240436">
                              <w:marLeft w:val="0"/>
                              <w:marRight w:val="0"/>
                              <w:marTop w:val="240"/>
                              <w:marBottom w:val="0"/>
                              <w:divBdr>
                                <w:top w:val="none" w:sz="0" w:space="0" w:color="auto"/>
                                <w:left w:val="none" w:sz="0" w:space="0" w:color="auto"/>
                                <w:bottom w:val="none" w:sz="0" w:space="0" w:color="auto"/>
                                <w:right w:val="none" w:sz="0" w:space="0" w:color="auto"/>
                              </w:divBdr>
                            </w:div>
                            <w:div w:id="1281835298">
                              <w:marLeft w:val="150"/>
                              <w:marRight w:val="150"/>
                              <w:marTop w:val="480"/>
                              <w:marBottom w:val="0"/>
                              <w:divBdr>
                                <w:top w:val="single" w:sz="6" w:space="28" w:color="D4D4D4"/>
                                <w:left w:val="none" w:sz="0" w:space="0" w:color="auto"/>
                                <w:bottom w:val="none" w:sz="0" w:space="0" w:color="auto"/>
                                <w:right w:val="none" w:sz="0" w:space="0" w:color="auto"/>
                              </w:divBdr>
                            </w:div>
                            <w:div w:id="158167134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4681</Words>
  <Characters>2669</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7336</CharactersWithSpaces>
  <SharedDoc>false</SharedDoc>
  <HLinks>
    <vt:vector size="6" baseType="variant">
      <vt:variant>
        <vt:i4>6422574</vt:i4>
      </vt:variant>
      <vt:variant>
        <vt:i4>0</vt:i4>
      </vt:variant>
      <vt:variant>
        <vt:i4>0</vt:i4>
      </vt:variant>
      <vt:variant>
        <vt:i4>5</vt:i4>
      </vt:variant>
      <vt:variant>
        <vt:lpwstr>https://likumi.lv/ta/id/291715-grozijumi-ministru-kabineta-2016-gada-14-junija-noteikumos-nr-361-noteikumi-par-auglu-un-darzenu-razotaju-organizacijam-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9.pielikums</dc:subject>
  <dc:creator>Dace Freimane</dc:creator>
  <dc:description>67027454,
Dace.Freimane@zm.gov.lv</dc:description>
  <cp:lastModifiedBy>Sanita Žagare</cp:lastModifiedBy>
  <cp:revision>3</cp:revision>
  <dcterms:created xsi:type="dcterms:W3CDTF">2017-09-26T10:35:00Z</dcterms:created>
  <dcterms:modified xsi:type="dcterms:W3CDTF">2017-09-26T13:27:00Z</dcterms:modified>
</cp:coreProperties>
</file>