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DB" w:rsidRPr="002D07C0" w:rsidRDefault="003908DB" w:rsidP="005B0841">
      <w:pPr>
        <w:tabs>
          <w:tab w:val="left" w:pos="5012"/>
        </w:tabs>
        <w:jc w:val="center"/>
        <w:rPr>
          <w:b/>
        </w:rPr>
      </w:pPr>
      <w:r w:rsidRPr="002D07C0">
        <w:rPr>
          <w:b/>
        </w:rPr>
        <w:t xml:space="preserve">Ministru kabineta </w:t>
      </w:r>
      <w:r w:rsidR="00330635" w:rsidRPr="002D07C0">
        <w:rPr>
          <w:b/>
        </w:rPr>
        <w:t>noteikumu</w:t>
      </w:r>
      <w:r w:rsidR="00EA5DC3" w:rsidRPr="002D07C0">
        <w:rPr>
          <w:b/>
        </w:rPr>
        <w:t xml:space="preserve"> projekta </w:t>
      </w:r>
      <w:r w:rsidR="005C1044">
        <w:rPr>
          <w:b/>
        </w:rPr>
        <w:t>“</w:t>
      </w:r>
      <w:r w:rsidR="00DE2067" w:rsidRPr="00DE2067">
        <w:rPr>
          <w:b/>
        </w:rPr>
        <w:t>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w:t>
      </w:r>
      <w:r w:rsidR="00EA5DC3" w:rsidRPr="002D07C0">
        <w:rPr>
          <w:b/>
        </w:rPr>
        <w:t xml:space="preserve">” </w:t>
      </w:r>
      <w:r w:rsidRPr="002D07C0">
        <w:rPr>
          <w:b/>
        </w:rPr>
        <w:t>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129"/>
        <w:gridCol w:w="6237"/>
      </w:tblGrid>
      <w:tr w:rsidR="00C61A59" w:rsidRPr="002D07C0"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2D07C0" w:rsidRDefault="00C61A59" w:rsidP="005C1044">
            <w:pPr>
              <w:pStyle w:val="ListParagraph"/>
              <w:tabs>
                <w:tab w:val="left" w:pos="2268"/>
                <w:tab w:val="left" w:pos="2410"/>
              </w:tabs>
              <w:ind w:left="1080"/>
              <w:jc w:val="center"/>
              <w:rPr>
                <w:b/>
                <w:sz w:val="24"/>
                <w:szCs w:val="24"/>
                <w:lang w:eastAsia="en-US"/>
              </w:rPr>
            </w:pPr>
            <w:r w:rsidRPr="002D07C0">
              <w:rPr>
                <w:b/>
                <w:bCs/>
                <w:sz w:val="24"/>
                <w:szCs w:val="24"/>
              </w:rPr>
              <w:t>I. Tiesību akta projekta izstrādes nepieciešamība</w:t>
            </w:r>
          </w:p>
        </w:tc>
      </w:tr>
      <w:tr w:rsidR="00C61A59" w:rsidRPr="002D07C0" w:rsidTr="00F31316">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2D07C0" w:rsidRDefault="00C61A59" w:rsidP="005C1044">
            <w:pPr>
              <w:jc w:val="center"/>
              <w:rPr>
                <w:lang w:eastAsia="en-US"/>
              </w:rPr>
            </w:pPr>
            <w:r w:rsidRPr="002D07C0">
              <w:t>1.</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C61A59" w:rsidRPr="002D07C0" w:rsidRDefault="00C61A59" w:rsidP="005C1044">
            <w:pPr>
              <w:tabs>
                <w:tab w:val="left" w:pos="1904"/>
              </w:tabs>
              <w:rPr>
                <w:lang w:eastAsia="en-US"/>
              </w:rPr>
            </w:pPr>
            <w:r w:rsidRPr="002D07C0">
              <w:t>Pamatojums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CA" w:rsidRPr="002D07C0" w:rsidRDefault="005964BF" w:rsidP="009538EF">
            <w:pPr>
              <w:pStyle w:val="ListParagraph"/>
              <w:tabs>
                <w:tab w:val="left" w:pos="317"/>
              </w:tabs>
              <w:ind w:left="34"/>
              <w:jc w:val="both"/>
              <w:rPr>
                <w:sz w:val="24"/>
                <w:szCs w:val="24"/>
                <w:shd w:val="clear" w:color="auto" w:fill="FFFFFF"/>
              </w:rPr>
            </w:pPr>
            <w:r w:rsidRPr="002D07C0">
              <w:rPr>
                <w:sz w:val="24"/>
                <w:szCs w:val="24"/>
              </w:rPr>
              <w:t xml:space="preserve">Ministru kabineta noteikumu projekts </w:t>
            </w:r>
            <w:r>
              <w:rPr>
                <w:sz w:val="24"/>
                <w:szCs w:val="24"/>
              </w:rPr>
              <w:t>“</w:t>
            </w:r>
            <w:r w:rsidRPr="00DE2067">
              <w:rPr>
                <w:sz w:val="24"/>
                <w:szCs w:val="24"/>
              </w:rPr>
              <w:t>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w:t>
            </w:r>
            <w:r>
              <w:rPr>
                <w:sz w:val="24"/>
                <w:szCs w:val="24"/>
              </w:rPr>
              <w:t xml:space="preserve">” </w:t>
            </w:r>
            <w:r w:rsidRPr="002D07C0">
              <w:rPr>
                <w:sz w:val="24"/>
                <w:szCs w:val="24"/>
              </w:rPr>
              <w:t xml:space="preserve">(turpmāk – noteikumu projekts) </w:t>
            </w:r>
            <w:r w:rsidRPr="002D07C0">
              <w:rPr>
                <w:sz w:val="24"/>
                <w:szCs w:val="24"/>
                <w:shd w:val="clear" w:color="auto" w:fill="FFFFFF"/>
              </w:rPr>
              <w:t xml:space="preserve">izstrādāts saskaņā ar Eiropas Savienības struktūrfondu un Kohēzijas fonda 2014.-2020.gada plānošanas perioda vadības likuma </w:t>
            </w:r>
            <w:r w:rsidRPr="00DE2067">
              <w:rPr>
                <w:sz w:val="24"/>
                <w:szCs w:val="24"/>
                <w:shd w:val="clear" w:color="auto" w:fill="FFFFFF"/>
              </w:rPr>
              <w:t>20. panta 6. un 13. punktu</w:t>
            </w:r>
            <w:r>
              <w:rPr>
                <w:sz w:val="24"/>
                <w:szCs w:val="24"/>
                <w:shd w:val="clear" w:color="auto" w:fill="FFFFFF"/>
              </w:rPr>
              <w:t xml:space="preserve"> un Jaunuzņēmumu </w:t>
            </w:r>
            <w:r w:rsidRPr="009538EF">
              <w:rPr>
                <w:sz w:val="24"/>
                <w:szCs w:val="24"/>
                <w:shd w:val="clear" w:color="auto" w:fill="FFFFFF"/>
              </w:rPr>
              <w:t>darbības atbalsta likuma 7.panta trešo daļu</w:t>
            </w:r>
            <w:r w:rsidRPr="002D07C0">
              <w:rPr>
                <w:sz w:val="24"/>
                <w:szCs w:val="24"/>
                <w:shd w:val="clear" w:color="auto" w:fill="FFFFFF"/>
              </w:rPr>
              <w:t>.</w:t>
            </w:r>
          </w:p>
        </w:tc>
      </w:tr>
      <w:tr w:rsidR="005964BF" w:rsidRPr="002D07C0" w:rsidTr="00F31316">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964BF" w:rsidRPr="002D07C0" w:rsidRDefault="005964BF" w:rsidP="005964BF">
            <w:pPr>
              <w:jc w:val="center"/>
              <w:rPr>
                <w:lang w:eastAsia="en-US"/>
              </w:rPr>
            </w:pPr>
            <w:r w:rsidRPr="002D07C0">
              <w:t>2.</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5964BF" w:rsidRPr="002D07C0" w:rsidRDefault="005964BF" w:rsidP="005964BF">
            <w:pPr>
              <w:jc w:val="both"/>
              <w:rPr>
                <w:lang w:eastAsia="en-US"/>
              </w:rPr>
            </w:pPr>
            <w:r w:rsidRPr="002D07C0">
              <w:t>Pašreizējā situācija un problēmas, kuru risināšanai tiesību akta projekts izstrādāts, tiesiskā regulējuma mērķis un būtība</w:t>
            </w: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rPr>
                <w:lang w:eastAsia="en-US"/>
              </w:rPr>
            </w:pPr>
          </w:p>
          <w:p w:rsidR="005964BF" w:rsidRPr="002D07C0" w:rsidRDefault="005964BF" w:rsidP="005964BF">
            <w:pPr>
              <w:ind w:firstLine="720"/>
              <w:rPr>
                <w:lang w:eastAsia="en-US"/>
              </w:rPr>
            </w:pPr>
          </w:p>
          <w:p w:rsidR="005964BF" w:rsidRPr="002D07C0" w:rsidRDefault="005964BF" w:rsidP="005964BF">
            <w:pPr>
              <w:rPr>
                <w:lang w:eastAsia="en-US"/>
              </w:rPr>
            </w:pPr>
          </w:p>
          <w:p w:rsidR="005964BF" w:rsidRPr="002D07C0" w:rsidRDefault="005964BF" w:rsidP="005964BF">
            <w:pPr>
              <w:ind w:firstLine="720"/>
              <w:rPr>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5964BF" w:rsidRPr="009E73CB" w:rsidRDefault="005964BF" w:rsidP="005964BF">
            <w:pPr>
              <w:pStyle w:val="Default"/>
              <w:jc w:val="both"/>
            </w:pPr>
            <w:r w:rsidRPr="009E73CB">
              <w:t xml:space="preserve">Ekonomikas ministrija </w:t>
            </w:r>
            <w:r>
              <w:t xml:space="preserve">(turpmāk – EM) </w:t>
            </w:r>
            <w:r w:rsidRPr="009E73CB">
              <w:t xml:space="preserve">informē, ka 2016.gadā </w:t>
            </w:r>
            <w:r>
              <w:t xml:space="preserve">ir </w:t>
            </w:r>
            <w:r w:rsidRPr="009E73CB">
              <w:t>izstrādā</w:t>
            </w:r>
            <w:r>
              <w:t>ts</w:t>
            </w:r>
            <w:r w:rsidRPr="009E73CB">
              <w:t xml:space="preserve"> jaun</w:t>
            </w:r>
            <w:r>
              <w:t>s</w:t>
            </w:r>
            <w:r w:rsidRPr="009E73CB">
              <w:t xml:space="preserve"> atbalsta pasākum</w:t>
            </w:r>
            <w:r>
              <w:t>s</w:t>
            </w:r>
            <w:r w:rsidRPr="009E73CB">
              <w:t xml:space="preserve"> - darbības programmas “Izaugsme un nodarbinātība” 1.2.1. specifiskā atbalsta mērķa “Palielināt privātā sektora investīcijas P&amp;A” 1.2.1.2. pasākuma “Atbalsts tehnoloģiju pārneses sistēmas pilnveidošanai” (turpmāk – 1.2.1.2. pasākums).</w:t>
            </w:r>
          </w:p>
          <w:p w:rsidR="005964BF" w:rsidRPr="009E73CB" w:rsidRDefault="005964BF" w:rsidP="005964BF">
            <w:pPr>
              <w:pStyle w:val="Default"/>
              <w:jc w:val="both"/>
            </w:pPr>
            <w:r w:rsidRPr="009E73CB">
              <w:t>2016.gada 25.oktobrī Ministru kabinetā tika apstiprināti noteikumi Nr.692 “Darbības programmas “Izaugsme un nodarbinātība” 1.2.1. specifiskā atbalsta mērķa “Palielināt privātā sektora investīcijas P&amp;A” 1.2.1.2. pasākuma “Atbalsts tehnoloģiju pārneses sistēmas pilnveidošanai” īstenošanas noteikumi”” (turpmāk – MK noteikumi Nr.692).</w:t>
            </w:r>
          </w:p>
          <w:p w:rsidR="005964BF" w:rsidRPr="009E73CB" w:rsidRDefault="005964BF" w:rsidP="005964BF">
            <w:pPr>
              <w:pStyle w:val="Default"/>
              <w:jc w:val="both"/>
            </w:pPr>
            <w:r w:rsidRPr="009E73CB">
              <w:t>Līdz ar MK noteikumu Nr.692 apstiprināšan</w:t>
            </w:r>
            <w:r>
              <w:t>u</w:t>
            </w:r>
            <w:r w:rsidRPr="009E73CB">
              <w:t xml:space="preserve"> Ministru kabinetā, Centrālā finanšu un līgumu aģentūra no 2016.gada 25.novembra līdz 2.decembrim izsludināja projekta iesniegumu pieņemšanu ierobežotas projektu iesniegumu atlases kārtas ietvaros.</w:t>
            </w:r>
          </w:p>
          <w:p w:rsidR="005964BF" w:rsidRPr="009E73CB" w:rsidRDefault="005964BF" w:rsidP="005964BF">
            <w:pPr>
              <w:pStyle w:val="Default"/>
              <w:jc w:val="both"/>
            </w:pPr>
            <w:r w:rsidRPr="009E73CB">
              <w:t>Ierobežotas projekta iesniegumu atlases kārtas ietvaros Centrālā finanšu un līgumu aģentūra 2016.gada 23.decembrī noslēdza līgumu par iesniegtā projekta īstenošanu ar Latvijas Investīciju un attīstības aģentūru (turpmāk – LIAA).</w:t>
            </w:r>
          </w:p>
          <w:p w:rsidR="005964BF" w:rsidRPr="009E73CB" w:rsidRDefault="005964BF" w:rsidP="005964BF">
            <w:pPr>
              <w:pStyle w:val="ListParagraph"/>
              <w:ind w:left="0"/>
              <w:jc w:val="both"/>
              <w:rPr>
                <w:sz w:val="24"/>
                <w:szCs w:val="24"/>
              </w:rPr>
            </w:pPr>
            <w:r w:rsidRPr="009E73CB">
              <w:rPr>
                <w:sz w:val="24"/>
                <w:szCs w:val="24"/>
              </w:rPr>
              <w:t xml:space="preserve">1.2.1.2.pasākumam kopējais attiecināmais finansējums ir 42 352 941 </w:t>
            </w:r>
            <w:r w:rsidRPr="009E73CB">
              <w:rPr>
                <w:i/>
                <w:sz w:val="24"/>
                <w:szCs w:val="24"/>
              </w:rPr>
              <w:t>euro</w:t>
            </w:r>
            <w:r w:rsidRPr="009E73CB">
              <w:rPr>
                <w:sz w:val="24"/>
                <w:szCs w:val="24"/>
              </w:rPr>
              <w:t xml:space="preserve">, tai skaitā </w:t>
            </w:r>
            <w:r w:rsidRPr="00AD4091">
              <w:rPr>
                <w:sz w:val="24"/>
                <w:szCs w:val="24"/>
              </w:rPr>
              <w:t xml:space="preserve">Eiropas Reģionālā un attīstības fonda (turpmāk – ERAF) </w:t>
            </w:r>
            <w:r w:rsidRPr="009E73CB">
              <w:rPr>
                <w:sz w:val="24"/>
                <w:szCs w:val="24"/>
              </w:rPr>
              <w:t xml:space="preserve">finansējums – 34 500 000 </w:t>
            </w:r>
            <w:r w:rsidRPr="009E73CB">
              <w:rPr>
                <w:i/>
                <w:sz w:val="24"/>
                <w:szCs w:val="24"/>
              </w:rPr>
              <w:t>euro</w:t>
            </w:r>
            <w:r w:rsidRPr="009E73CB">
              <w:rPr>
                <w:sz w:val="24"/>
                <w:szCs w:val="24"/>
              </w:rPr>
              <w:t xml:space="preserve">, valsts budžeta finansējums – 6 088 235 </w:t>
            </w:r>
            <w:r w:rsidRPr="009E73CB">
              <w:rPr>
                <w:i/>
                <w:sz w:val="24"/>
                <w:szCs w:val="24"/>
              </w:rPr>
              <w:t>euro</w:t>
            </w:r>
            <w:r w:rsidRPr="009E73CB">
              <w:rPr>
                <w:sz w:val="24"/>
                <w:szCs w:val="24"/>
              </w:rPr>
              <w:t xml:space="preserve"> un privātais līdzfinansējums – 1 764 706 </w:t>
            </w:r>
            <w:r w:rsidRPr="009E73CB">
              <w:rPr>
                <w:i/>
                <w:sz w:val="24"/>
                <w:szCs w:val="24"/>
              </w:rPr>
              <w:t>euro</w:t>
            </w:r>
            <w:r w:rsidRPr="009E73CB">
              <w:rPr>
                <w:sz w:val="24"/>
                <w:szCs w:val="24"/>
              </w:rPr>
              <w:t>.</w:t>
            </w:r>
          </w:p>
          <w:p w:rsidR="005964BF" w:rsidRPr="009E73CB" w:rsidRDefault="005964BF" w:rsidP="00C62741">
            <w:pPr>
              <w:autoSpaceDE w:val="0"/>
              <w:autoSpaceDN w:val="0"/>
              <w:jc w:val="both"/>
            </w:pPr>
            <w:r w:rsidRPr="009E73CB">
              <w:t xml:space="preserve">Projekta iesniegumā pasākuma īstenošanai kopējo attiecināmo finansējumu plāno ne vairāk kā  20 294 118 </w:t>
            </w:r>
            <w:r w:rsidRPr="009E73CB">
              <w:rPr>
                <w:i/>
              </w:rPr>
              <w:t>euro</w:t>
            </w:r>
            <w:r w:rsidRPr="009E73CB">
              <w:t xml:space="preserve"> apmērā, tai skaitā ERAF finansējum</w:t>
            </w:r>
            <w:r>
              <w:t>s</w:t>
            </w:r>
            <w:r w:rsidRPr="009E73CB">
              <w:t xml:space="preserve"> – 17 250 000 </w:t>
            </w:r>
            <w:r w:rsidRPr="009E73CB">
              <w:rPr>
                <w:i/>
              </w:rPr>
              <w:t>euro</w:t>
            </w:r>
            <w:r w:rsidRPr="009E73CB">
              <w:t xml:space="preserve"> (rezerves apjoms  17 250 000  </w:t>
            </w:r>
            <w:r w:rsidRPr="009E73CB">
              <w:rPr>
                <w:i/>
              </w:rPr>
              <w:t>euro</w:t>
            </w:r>
            <w:r w:rsidRPr="009E73CB">
              <w:t>) apmērā, valsts budžeta finansējum</w:t>
            </w:r>
            <w:r>
              <w:t>s</w:t>
            </w:r>
            <w:r w:rsidRPr="009E73CB">
              <w:t xml:space="preserve"> – 3 044 118 </w:t>
            </w:r>
            <w:r w:rsidRPr="009E73CB">
              <w:rPr>
                <w:i/>
              </w:rPr>
              <w:t>euro</w:t>
            </w:r>
            <w:r w:rsidRPr="009E73CB">
              <w:t xml:space="preserve"> (rezerves apjoms 3 044 117 </w:t>
            </w:r>
            <w:r w:rsidRPr="009E73CB">
              <w:rPr>
                <w:i/>
              </w:rPr>
              <w:t>euro</w:t>
            </w:r>
            <w:r w:rsidRPr="009E73CB">
              <w:t xml:space="preserve">) apmērā. </w:t>
            </w:r>
          </w:p>
          <w:p w:rsidR="005964BF" w:rsidRPr="00F0083D" w:rsidRDefault="005964BF" w:rsidP="005964BF">
            <w:pPr>
              <w:pStyle w:val="ListParagraph"/>
              <w:ind w:left="0"/>
              <w:jc w:val="both"/>
              <w:rPr>
                <w:sz w:val="24"/>
                <w:szCs w:val="24"/>
              </w:rPr>
            </w:pPr>
            <w:r w:rsidRPr="009E73CB">
              <w:rPr>
                <w:sz w:val="24"/>
                <w:szCs w:val="24"/>
              </w:rPr>
              <w:t xml:space="preserve">1.2.1.2.pasākuma ietvaros snieguma rezerve tika noteikta 50% apmērā. Ņemot vērā, ka līdz  2018.gada 31.decembrim ir nepieciešams sertificēt izdevumus 6 352 941 </w:t>
            </w:r>
            <w:r w:rsidRPr="009E73CB">
              <w:rPr>
                <w:i/>
                <w:sz w:val="24"/>
                <w:szCs w:val="24"/>
              </w:rPr>
              <w:t>euro</w:t>
            </w:r>
            <w:r w:rsidRPr="009E73CB">
              <w:rPr>
                <w:sz w:val="24"/>
                <w:szCs w:val="24"/>
              </w:rPr>
              <w:t xml:space="preserve"> apmērā, gadījumā, ja minētā summa līdz 2018.gada 31.decembrim </w:t>
            </w:r>
            <w:r w:rsidRPr="009E73CB">
              <w:rPr>
                <w:sz w:val="24"/>
                <w:szCs w:val="24"/>
              </w:rPr>
              <w:lastRenderedPageBreak/>
              <w:t xml:space="preserve">netiek sertificēta, pastāv risks, ka līdz projekta īstenošanas beigām var netikt apgūts viss pieejamais finansējums. Tādejādi, jau savlaicīgi var tik lemts par finansējuma </w:t>
            </w:r>
            <w:r>
              <w:rPr>
                <w:sz w:val="24"/>
                <w:szCs w:val="24"/>
              </w:rPr>
              <w:t xml:space="preserve">izlietojumu citām prioritātēm. </w:t>
            </w:r>
          </w:p>
          <w:p w:rsidR="005964BF" w:rsidRPr="009E73CB" w:rsidRDefault="005964BF" w:rsidP="00C62741">
            <w:pPr>
              <w:jc w:val="both"/>
            </w:pPr>
            <w:r w:rsidRPr="009E73CB">
              <w:t>1.2.1.2.pasākuma ietvaros LIAA</w:t>
            </w:r>
            <w:r>
              <w:t xml:space="preserve"> līdz ar līguma par projekta īstenošanas noslēgšanu uzsāk šādu atbalstāmo darbību īstenošanu</w:t>
            </w:r>
            <w:r w:rsidRPr="009E73CB">
              <w:t>:</w:t>
            </w:r>
          </w:p>
          <w:p w:rsidR="005964BF" w:rsidRPr="009E73CB" w:rsidRDefault="005964BF" w:rsidP="005964BF">
            <w:pPr>
              <w:numPr>
                <w:ilvl w:val="0"/>
                <w:numId w:val="33"/>
              </w:numPr>
              <w:ind w:left="743" w:hanging="357"/>
              <w:jc w:val="both"/>
            </w:pPr>
            <w:r w:rsidRPr="009E73CB">
              <w:t>Tehnoloģiju pārneses procesa veicināšana un koordinācija;</w:t>
            </w:r>
          </w:p>
          <w:p w:rsidR="005964BF" w:rsidRDefault="005964BF" w:rsidP="005964BF">
            <w:pPr>
              <w:numPr>
                <w:ilvl w:val="0"/>
                <w:numId w:val="33"/>
              </w:numPr>
              <w:ind w:left="743" w:hanging="357"/>
              <w:jc w:val="both"/>
            </w:pPr>
            <w:r w:rsidRPr="009E73CB">
              <w:t>Publisko pētniecības organizāciju pētniecības rezultātu komercializācijas un patentēšanas fonda darbības nodrošināšana;</w:t>
            </w:r>
          </w:p>
          <w:p w:rsidR="005964BF" w:rsidRDefault="005964BF" w:rsidP="005964BF">
            <w:pPr>
              <w:numPr>
                <w:ilvl w:val="0"/>
                <w:numId w:val="33"/>
              </w:numPr>
              <w:ind w:left="743" w:hanging="357"/>
              <w:jc w:val="both"/>
            </w:pPr>
            <w:r>
              <w:t>Inovāciju vaučeru</w:t>
            </w:r>
            <w:r w:rsidRPr="00E67A86">
              <w:t xml:space="preserve"> MVK atbalsta nodrošināšana</w:t>
            </w:r>
            <w:r>
              <w:t>;</w:t>
            </w:r>
          </w:p>
          <w:p w:rsidR="005964BF" w:rsidRDefault="005964BF" w:rsidP="005964BF">
            <w:pPr>
              <w:numPr>
                <w:ilvl w:val="0"/>
                <w:numId w:val="33"/>
              </w:numPr>
              <w:ind w:left="743" w:hanging="357"/>
              <w:jc w:val="both"/>
            </w:pPr>
            <w:r>
              <w:t xml:space="preserve">Atbalsts augstas kvalifikācijas darbiniekiem saskaņā ar </w:t>
            </w:r>
            <w:r w:rsidRPr="00072326">
              <w:rPr>
                <w:i/>
              </w:rPr>
              <w:t>Jaunuz</w:t>
            </w:r>
            <w:r>
              <w:rPr>
                <w:i/>
              </w:rPr>
              <w:t>ņēmumu darbības</w:t>
            </w:r>
            <w:r w:rsidRPr="00072326">
              <w:rPr>
                <w:i/>
              </w:rPr>
              <w:t xml:space="preserve"> atbalsta likuma</w:t>
            </w:r>
            <w:r>
              <w:t xml:space="preserve"> prasībām (integrēts Inovāciju vaučeru</w:t>
            </w:r>
            <w:r w:rsidRPr="00E67A86">
              <w:t xml:space="preserve"> MVK</w:t>
            </w:r>
            <w:r>
              <w:t xml:space="preserve"> atbalsta ietvaros)</w:t>
            </w:r>
            <w:r w:rsidRPr="00E67A86">
              <w:t>.</w:t>
            </w:r>
          </w:p>
          <w:p w:rsidR="005964BF" w:rsidRDefault="005964BF" w:rsidP="005964BF">
            <w:pPr>
              <w:jc w:val="both"/>
            </w:pPr>
            <w:r>
              <w:t>Lai uzlabotu 1.2.1.2.pasākuma īstenošanas efektivitāti, EM ir izstrādājusi šādus grozījumus MK noteikumos Nr.692:</w:t>
            </w:r>
          </w:p>
          <w:p w:rsidR="005964BF" w:rsidRDefault="005964BF" w:rsidP="005964BF">
            <w:pPr>
              <w:jc w:val="both"/>
            </w:pPr>
            <w:r>
              <w:t>Atbilstoši Jaunuzņēmumu darbības atbalsta likuma (turpmāk – Jaunuzņēmumu likums) 2.pantam Jaunuzņēmumu likuma mērķis ir veicināt jaunuzņēmumu veidošanos Latvijā, tādējādi sekmējot pētniecību, kā arī inovatīvu ideju, produktu vai procesu izmantošanu saimnieciskajā darbībā (pētniecības produktu komercializāciju).</w:t>
            </w:r>
          </w:p>
          <w:p w:rsidR="005964BF" w:rsidRDefault="005964BF" w:rsidP="005964BF">
            <w:pPr>
              <w:jc w:val="both"/>
            </w:pPr>
            <w:r>
              <w:t xml:space="preserve">Vienlaicīgi Jaunuzņēmumu likuma 13.panta pirmā daļa nosaka, ka  atbalsta programmas administrējošā iestāde ir LIAA, kā arī 14.panta otrā daļa nosaka, ka sekretariāta funkcijas nodrošina LIAA, kuras pakļautībā ir izveidots Vienoto tehnoloģiju pārneses centrs (turpmāk – Centrs). </w:t>
            </w:r>
          </w:p>
          <w:p w:rsidR="00AB0767" w:rsidRDefault="00980992" w:rsidP="005964BF">
            <w:pPr>
              <w:jc w:val="both"/>
            </w:pPr>
            <w:r w:rsidRPr="00980992">
              <w:t>Lai veicinātu 1.2.1.2. pasākuma realizāciju, ar Eiropas komisijas atbalstu tika veikta ārējā eksperta</w:t>
            </w:r>
            <w:r w:rsidR="00971A22">
              <w:t xml:space="preserve"> </w:t>
            </w:r>
            <w:r w:rsidRPr="00980992">
              <w:t>(Somijas eksperts - Jari Romanainen)  izvērtējums par</w:t>
            </w:r>
            <w:r w:rsidR="006B7B67">
              <w:t xml:space="preserve"> Tehnoloģiju pārneses</w:t>
            </w:r>
            <w:r w:rsidRPr="00980992">
              <w:t xml:space="preserve"> programmas struktūru un atbalsta instrumentiem, esošo realizāciju, kā arī izteikti priekšlikumi turpmākajai pasākuma pilnveidei. 2017.gada 30.jūnijā eksperts prezentēja secinājumus un priekšlikumus, kas jūlijā tika apkopoti. </w:t>
            </w:r>
            <w:r w:rsidR="00971A22">
              <w:t>EM</w:t>
            </w:r>
            <w:r w:rsidRPr="00980992">
              <w:t xml:space="preserve"> provizoriski plāno izstrādāt atsevišķu Ministru kabineta noteikumu projektu, pamatojoties uz eksperta izvērtējumā izteiktajiem priekšlikumiem.</w:t>
            </w:r>
          </w:p>
          <w:p w:rsidR="00FA1EB5" w:rsidRDefault="00AB0767" w:rsidP="00FA1EB5">
            <w:pPr>
              <w:jc w:val="both"/>
            </w:pPr>
            <w:r>
              <w:t xml:space="preserve">Noteikumu projekta ietvaros tiek grozīts </w:t>
            </w:r>
            <w:r w:rsidR="00971A22">
              <w:t xml:space="preserve">1.2.1.2.pasākuma </w:t>
            </w:r>
            <w:r>
              <w:t>mērķis</w:t>
            </w:r>
            <w:r w:rsidR="00A56339">
              <w:t xml:space="preserve"> un mērķauditorijas loks</w:t>
            </w:r>
            <w:r w:rsidRPr="00AB0767">
              <w:t xml:space="preserve">, </w:t>
            </w:r>
            <w:r w:rsidR="008B0A41">
              <w:t>paplašinot</w:t>
            </w:r>
            <w:r w:rsidR="00FA1EB5" w:rsidRPr="00ED67B4">
              <w:t xml:space="preserve"> projekta iesniedzēja</w:t>
            </w:r>
            <w:r w:rsidR="00FA1EB5">
              <w:t xml:space="preserve"> </w:t>
            </w:r>
            <w:r w:rsidR="00FA1EB5" w:rsidRPr="00ED67B4">
              <w:t>(LIAA) kompetenci un tvērumu jaunuzņēmumu atbalsta jomā. Realizējot 1.2.1.2. pasākumu ir izkristalizējies, ka tehnoloģiju pārneses neatņemama sastāvdaļa ir jaunuzņēmumi, kas realizē produktus ar augstu pievienoto vērtību un īsteno zināšanās balstītu</w:t>
            </w:r>
            <w:r w:rsidR="00FA1EB5">
              <w:t xml:space="preserve"> </w:t>
            </w:r>
            <w:r w:rsidR="00FA1EB5" w:rsidRPr="00ED67B4">
              <w:t>p</w:t>
            </w:r>
            <w:r w:rsidR="00BE3319">
              <w:t>roduktu attīstību biznesa vidē, tādēļ ir būtiski atzīt</w:t>
            </w:r>
            <w:r w:rsidR="00FA1EB5" w:rsidRPr="00ED67B4">
              <w:t xml:space="preserve"> jaunuzņēmumus kā būtisku tehnoloģiju pārneses ekosistēmas spēlētāju Latvijā.</w:t>
            </w:r>
          </w:p>
          <w:p w:rsidR="00FB78A9" w:rsidRPr="005D0658" w:rsidRDefault="00AB0767" w:rsidP="00FB78A9">
            <w:pPr>
              <w:jc w:val="both"/>
            </w:pPr>
            <w:r>
              <w:t>Jaunuzņēmumi kā viens no tehnoloģiju pārneses, t.sk. komercializācijas veidiem sekmē pētniecību, kā arī inovatīvu ideju, produktu vai procesu izmantošanu saimnieciskajā darbībā (pētniecības produktu komercializāciju).</w:t>
            </w:r>
            <w:r w:rsidR="00CB6C7D">
              <w:t xml:space="preserve"> Ņemot vērā, </w:t>
            </w:r>
            <w:r w:rsidR="00CB6C7D">
              <w:lastRenderedPageBreak/>
              <w:t xml:space="preserve">ka tiek paplašināts 1.2.1.2.pasākuma mērķis, noteikumu projekts paredz arī papildināt Centra atbalstāmās darbības. </w:t>
            </w:r>
            <w:r>
              <w:t xml:space="preserve"> </w:t>
            </w:r>
            <w:r w:rsidR="00FB78A9">
              <w:t>Iekļaujot MK noteikumos</w:t>
            </w:r>
            <w:r w:rsidR="00FB78A9" w:rsidRPr="009E73CB">
              <w:t xml:space="preserve"> Nr.692</w:t>
            </w:r>
            <w:r w:rsidR="00FB78A9">
              <w:t xml:space="preserve">  atbalstu jaunuzņēmumiem, kā arī sniedzot informāciju un konsultācijas citām iestādēm atbilstoši Centra īstenotajām darbībām, 18.1.7.apakšpunkts tiek izteikts jaunā redakcijā, iekļaujot arī </w:t>
            </w:r>
            <w:r w:rsidR="00FB78A9" w:rsidRPr="00C818AD">
              <w:t>mārketinga materiālu izgatavošanas, mārketinga aktivitātes</w:t>
            </w:r>
            <w:r w:rsidR="00FB78A9">
              <w:t>.</w:t>
            </w:r>
          </w:p>
          <w:p w:rsidR="00AB0767" w:rsidRDefault="00AB0767" w:rsidP="00AB0767">
            <w:pPr>
              <w:jc w:val="both"/>
            </w:pPr>
            <w:r>
              <w:t xml:space="preserve">Tvēruma paplašināšana sevī ietver gan </w:t>
            </w:r>
            <w:r w:rsidR="00971A22">
              <w:t xml:space="preserve">MK noteikumu Nr.692 </w:t>
            </w:r>
            <w:r>
              <w:t xml:space="preserve">ietverto atbalstu augsti kvalificētu darbinieku piesaistei, bet arī </w:t>
            </w:r>
            <w:r w:rsidR="00971A22">
              <w:t>darbības</w:t>
            </w:r>
            <w:r>
              <w:t>, kas veicinās jaunuzņēmumu ekosistēmas attīstību kopumā. Skaidrojam, ka</w:t>
            </w:r>
            <w:r w:rsidR="00971A22">
              <w:t>,</w:t>
            </w:r>
            <w:r>
              <w:t xml:space="preserve"> lai gan </w:t>
            </w:r>
            <w:r w:rsidR="00971A22">
              <w:t xml:space="preserve">1.2.1.2.pasākuma </w:t>
            </w:r>
            <w:r>
              <w:t xml:space="preserve">sākotnējā novērtējumā jaunuzņēmumu atbalsts </w:t>
            </w:r>
            <w:r w:rsidR="0032234F">
              <w:t xml:space="preserve">Tehnoloģiju pārneses </w:t>
            </w:r>
            <w:r>
              <w:t xml:space="preserve">programmas ietvaros </w:t>
            </w:r>
            <w:r w:rsidR="0032234F">
              <w:t>nebija paredzēts</w:t>
            </w:r>
            <w:r>
              <w:t xml:space="preserve">, tomēr jaunuzņēmumi ir neatņemama tehnoloģiju pārneses ekosistēmas sastāvdaļa, tādēļ </w:t>
            </w:r>
            <w:r w:rsidR="0032234F">
              <w:t>ir būtiski sniegt atbalstu to attīstībai</w:t>
            </w:r>
            <w:r>
              <w:t xml:space="preserve">. </w:t>
            </w:r>
          </w:p>
          <w:p w:rsidR="00421EBD" w:rsidRDefault="00421EBD" w:rsidP="00AB0767">
            <w:pPr>
              <w:jc w:val="both"/>
            </w:pPr>
            <w:r w:rsidRPr="00421EBD">
              <w:t>Ministru kabineta noteikumu grozījumu rezultātā paplašināsies projekta iesniedzēja(LIAA) darbības tvērums un kompetence, veicinot jaunuzņēmumu atbalstu un attīstību. Ministru kabineta noteikumu grozījumu rezultātā netiek mainīta 1.2.1.2. pasākuma mērķa grupa – komersanti un pētniecības organizācijas – kas ir noteikta Ministru kabineta noteikumu spēkā esošās redakcijas 5.punktā. Vienlaikus tiks palielināta projekta iesniedzēja kapacitāte un īstenoto aktivitāto aktivitāšu skaits attiecībā uz daļu no komersantiem, jo jaunuzņēmumi ietilpst komersantu grupā.</w:t>
            </w:r>
          </w:p>
          <w:p w:rsidR="00C6033A" w:rsidRDefault="00E37A43" w:rsidP="00AB0767">
            <w:pPr>
              <w:jc w:val="both"/>
            </w:pPr>
            <w:r>
              <w:t xml:space="preserve">Vienlaikus mērķī un atbalstāmajās darbībās tiek ietverts  </w:t>
            </w:r>
            <w:r w:rsidR="00A070EB">
              <w:t>atbalsts ārvalstu pārstāvniecības</w:t>
            </w:r>
            <w:r>
              <w:t xml:space="preserve"> </w:t>
            </w:r>
            <w:r w:rsidR="00971A22">
              <w:t>nodrošināšanai</w:t>
            </w:r>
            <w:r>
              <w:t xml:space="preserve">. Pārstāvja darbs ārvalstu pārstāvniecībā ir būtisks, lai </w:t>
            </w:r>
            <w:r w:rsidR="009E6E43">
              <w:t xml:space="preserve">sekmētu Latvijā radītu tehnoloģiju pārneses produktu starptautisko konkurētspēju un pētniecisko organizāciju īpašumā esošo </w:t>
            </w:r>
            <w:r w:rsidR="009E6E43" w:rsidRPr="009E6E43">
              <w:t>pētniecības</w:t>
            </w:r>
            <w:r w:rsidR="00CB6C7D">
              <w:t xml:space="preserve"> </w:t>
            </w:r>
            <w:r w:rsidR="009E6E43" w:rsidRPr="009E6E43">
              <w:t>rezultātu komercializāciju gan Latvijā, gan ārvalstīs</w:t>
            </w:r>
            <w:r w:rsidR="009E6E43">
              <w:t xml:space="preserve">. </w:t>
            </w:r>
          </w:p>
          <w:p w:rsidR="00C6033A" w:rsidRDefault="00736FD9" w:rsidP="00AB0767">
            <w:pPr>
              <w:jc w:val="both"/>
            </w:pPr>
            <w:r>
              <w:t>Atbalstāmās darbības ietvaros tiek n</w:t>
            </w:r>
            <w:r w:rsidR="00C6033A" w:rsidRPr="00C6033A">
              <w:t>odrošināt</w:t>
            </w:r>
            <w:r>
              <w:t>a</w:t>
            </w:r>
            <w:r w:rsidR="00C6033A" w:rsidRPr="00C6033A">
              <w:t xml:space="preserve"> Latvijas ār</w:t>
            </w:r>
            <w:r>
              <w:t>valstu ekonomiskās</w:t>
            </w:r>
            <w:r w:rsidR="00A070EB">
              <w:t xml:space="preserve"> pārstāvniecības</w:t>
            </w:r>
            <w:r w:rsidR="00C6033A" w:rsidRPr="00C6033A">
              <w:t xml:space="preserve"> </w:t>
            </w:r>
            <w:r w:rsidR="00A070EB">
              <w:t xml:space="preserve">Amerikas Savienotajās valstīs </w:t>
            </w:r>
            <w:r w:rsidR="00262371">
              <w:t>darbība</w:t>
            </w:r>
            <w:r w:rsidR="00C6033A" w:rsidRPr="00C6033A">
              <w:t>, tādējādi veicinot poten</w:t>
            </w:r>
            <w:r w:rsidR="00A070EB">
              <w:t xml:space="preserve">ciālo ārējo noieta tirgu izpēti un jaunu noieta tirgu apgūšanu. </w:t>
            </w:r>
            <w:r w:rsidR="00CB6819">
              <w:t>1.2.1.2</w:t>
            </w:r>
            <w:r w:rsidR="00CB6819" w:rsidRPr="00C6033A">
              <w:t xml:space="preserve">. pasākumā </w:t>
            </w:r>
            <w:r w:rsidR="00CB6819">
              <w:t>atbalstāmā darbība</w:t>
            </w:r>
            <w:r w:rsidR="00C5705D">
              <w:t xml:space="preserve"> </w:t>
            </w:r>
            <w:r w:rsidR="00CB6819">
              <w:t xml:space="preserve">atsķiras </w:t>
            </w:r>
            <w:r w:rsidR="00262371" w:rsidRPr="00C6033A">
              <w:t xml:space="preserve">salīdzinot ar </w:t>
            </w:r>
            <w:r w:rsidR="00003B08">
              <w:t>3.2.1.2.</w:t>
            </w:r>
            <w:r w:rsidR="00C5705D">
              <w:t xml:space="preserve"> </w:t>
            </w:r>
            <w:r w:rsidR="00CB6819">
              <w:t xml:space="preserve">pasākuma </w:t>
            </w:r>
            <w:r w:rsidR="000C5252">
              <w:t>atbalstāmo</w:t>
            </w:r>
            <w:r w:rsidR="00CB6819">
              <w:t xml:space="preserve"> darb</w:t>
            </w:r>
            <w:r w:rsidR="000C5252">
              <w:t>ību</w:t>
            </w:r>
            <w:r w:rsidR="00A20F3F">
              <w:t xml:space="preserve"> </w:t>
            </w:r>
            <w:r w:rsidR="00CB6819">
              <w:t>ārvalstu ekonomisk</w:t>
            </w:r>
            <w:r w:rsidR="00A20F3F">
              <w:t>o pārstāvniecīb</w:t>
            </w:r>
            <w:r w:rsidR="00C57FD0">
              <w:t>u nodrošināšanā</w:t>
            </w:r>
            <w:r w:rsidR="00A20F3F">
              <w:t>, jo 1.2.1.2. pasākuma ietvaros īstenotā ārvalstu</w:t>
            </w:r>
            <w:r w:rsidR="00116D27">
              <w:t xml:space="preserve"> pārstāvniecība Amerikas Savienotajās valstīs risinās specifiskākas komersantu </w:t>
            </w:r>
            <w:r w:rsidR="00DC5B96">
              <w:t xml:space="preserve">nišas </w:t>
            </w:r>
            <w:r w:rsidR="00116D27">
              <w:t xml:space="preserve">grupas </w:t>
            </w:r>
            <w:r w:rsidR="00DD139C">
              <w:t>attīstību.</w:t>
            </w:r>
            <w:r w:rsidR="00C444FA">
              <w:t xml:space="preserve"> </w:t>
            </w:r>
            <w:r w:rsidR="002F21B1">
              <w:t xml:space="preserve">Būtiski, ka šīs jaunās tehnoloģiju pārneses pārstāvniecības ārvalstīs funkcijas un specifika atšķiršies no esošās pārstāvniecības Amerikas Savienotajās valstīs. Esošā pārstāvniecība pilda pienākumus Amerikas Savienoto valstu galvaspilsētā, tās atrašanās vieta(Latvijas vēstniecība Amerikas Savienotajās valstīs) un darbības specifika ietver visu uzņēmumu, nozaru un Latvijas reprezentāciju kopumā. Turpretī t.s. tehnoloģiju pārstāvniecība atradīsies neformālajā inovāciju un tehnoloģiju galvaspilsētā – Silīcija ielejā, kas nodrošinās specifisku nišas jaunuzņēmumu atbalstu, kas saistīti ar augstu izaugsmes potenciālu un pievienoto vērtību. Pēc Grozījumu spēkā </w:t>
            </w:r>
            <w:r w:rsidR="002F21B1">
              <w:lastRenderedPageBreak/>
              <w:t xml:space="preserve">stāšanās tiks papildināta </w:t>
            </w:r>
            <w:r w:rsidR="002F21B1" w:rsidRPr="00DD6770">
              <w:t>Eiropas Reģionālās attīstības fonda projekta “Tehnoloģiju pārneses programma” īstenošanas stratēģija</w:t>
            </w:r>
            <w:r w:rsidR="002F21B1">
              <w:t xml:space="preserve">, kur tiks </w:t>
            </w:r>
            <w:r w:rsidR="002F21B1" w:rsidRPr="00DD6770">
              <w:t>paredzēti arī rezultatīvie rādītāji pārstāvniecības darbības rezultātu novērtēšanai.</w:t>
            </w:r>
          </w:p>
          <w:p w:rsidR="00C6033A" w:rsidRDefault="00D23872" w:rsidP="00AB0767">
            <w:pPr>
              <w:jc w:val="both"/>
            </w:pPr>
            <w:r>
              <w:t>Pārstāvja pien</w:t>
            </w:r>
            <w:r w:rsidR="00C6033A">
              <w:t>ākumos</w:t>
            </w:r>
            <w:r w:rsidR="00736FD9">
              <w:t xml:space="preserve"> ietilpst </w:t>
            </w:r>
            <w:r w:rsidR="00F5730C">
              <w:t>nodrošin</w:t>
            </w:r>
            <w:r w:rsidR="00DD139C">
              <w:t>āt</w:t>
            </w:r>
            <w:r w:rsidR="00C6033A" w:rsidRPr="00C6033A">
              <w:t xml:space="preserve"> konsultācijas un atbalstu </w:t>
            </w:r>
            <w:r w:rsidR="00937FB9" w:rsidRPr="00937FB9">
              <w:t xml:space="preserve">jaunuzņēmumiem un pētniecības organizācijām </w:t>
            </w:r>
            <w:r w:rsidR="00C6033A" w:rsidRPr="00C6033A">
              <w:t>ārējo tirgu apgūšanai un pasākumiem uzņēmējdarbības veicināšanai, nodrošinot Latvijas ār</w:t>
            </w:r>
            <w:r w:rsidR="00DD139C">
              <w:t>valstu ekonomiskās pārstāvniecības</w:t>
            </w:r>
            <w:r w:rsidR="003E3694">
              <w:t xml:space="preserve"> darbību,</w:t>
            </w:r>
            <w:r w:rsidR="00C6033A" w:rsidRPr="00C6033A">
              <w:t xml:space="preserve"> kā arī mārketinga pasākumu īstenošanu</w:t>
            </w:r>
            <w:r w:rsidR="00DD139C">
              <w:t xml:space="preserve">. Vienlaikus pārstāvniecības rezultātā tiek </w:t>
            </w:r>
            <w:r w:rsidR="00C6033A" w:rsidRPr="00C6033A">
              <w:t>veicināt</w:t>
            </w:r>
            <w:r w:rsidR="00DD139C">
              <w:t>a jaunuzņēmumu starptautiskā konkurētspēja</w:t>
            </w:r>
            <w:r w:rsidR="00C6033A" w:rsidRPr="00C6033A">
              <w:t>, atbalstot ieiešanu ārvalstu tirgos un uzņēmējdarbības veicināšanu</w:t>
            </w:r>
            <w:r w:rsidR="00DD139C">
              <w:t xml:space="preserve">. </w:t>
            </w:r>
          </w:p>
          <w:p w:rsidR="00D6380F" w:rsidRDefault="00D6380F" w:rsidP="00D6380F">
            <w:pPr>
              <w:jc w:val="both"/>
            </w:pPr>
            <w:r>
              <w:t>Centra darbinieks - ārvalstu ekonomiskas pārstāvis MK noteikumu nr.692  izpratnē, būs diplomāts – specializētais atašejs, ko atbilstoši Diplomātiskā un konsulārā dienesta likuma 11.pantam amatā – nozares atašejs iecels Ekonomikas ministrija, atašeja diplomātisko rangu piešķirs Ārlietu ministrija.</w:t>
            </w:r>
            <w:r w:rsidR="00F64FF8">
              <w:t xml:space="preserve"> Latvijas pārstāvis Amerikas Savienotajās valstīs(Silīcija ielejā) sekmēs esošo MK noteikumu Nr.692 iznākumu rādītāju sasniegšanu</w:t>
            </w:r>
            <w:r w:rsidR="00F64FF8" w:rsidRPr="00F64FF8">
              <w:t>.</w:t>
            </w:r>
            <w:r w:rsidR="00F64FF8">
              <w:t xml:space="preserve"> </w:t>
            </w:r>
          </w:p>
          <w:p w:rsidR="00D6380F" w:rsidRDefault="00D6380F" w:rsidP="00D6380F">
            <w:pPr>
              <w:jc w:val="both"/>
            </w:pPr>
            <w:r>
              <w:t xml:space="preserve">Ekonomikas ministrijas darbības joma ir  izstrādāt un īsteno eksporta veicināšanas un ārvalstu investīciju piesaistes politiku,  koordinēt Latvijas Republikas ārējo ekonomisko pārstāvniecību tīkla izveidi un to darbību. MK noteikumu Nr.692 17.1.10.apakšpunkts paredz minētās darbības, bet MK noteikumu Nr.692 ietvaros tas tiek darīts specifiskā uzņēmumu specifiskai uzņēmēju nišai – jaunuzņēmumiem. </w:t>
            </w:r>
            <w:r w:rsidR="00E12972">
              <w:t xml:space="preserve">Atbalsts būs pieejams kopējai jaunuzņēmumu ekosistēmas vides attīstībai. </w:t>
            </w:r>
            <w:r w:rsidR="00DD6770">
              <w:t xml:space="preserve">Pēc Grozījumu spēkā stāšanās tiks papildināta </w:t>
            </w:r>
            <w:r w:rsidR="00DD6770" w:rsidRPr="00DD6770">
              <w:t>Eiropas Reģionālās attīstības fonda projekta “Tehnoloģiju pārneses programma” īstenošanas stratēģija</w:t>
            </w:r>
            <w:r w:rsidR="00DD6770">
              <w:t xml:space="preserve">, kur tiks </w:t>
            </w:r>
            <w:r w:rsidR="00DD6770" w:rsidRPr="00DD6770">
              <w:t>paredzēti arī rezultatīvie rādītāji pārstāvniecības darbības rezultātu novērtēšanai.</w:t>
            </w:r>
          </w:p>
          <w:p w:rsidR="00AB0767" w:rsidRDefault="00AB0767" w:rsidP="00AB0767">
            <w:pPr>
              <w:jc w:val="both"/>
            </w:pPr>
            <w:r>
              <w:t xml:space="preserve">Līdz ar to ierosinātie grozījumi cieši saistīti ar abām </w:t>
            </w:r>
            <w:r w:rsidR="0032234F">
              <w:t>T</w:t>
            </w:r>
            <w:r>
              <w:t>ehnoloģiju pārneses programmas mērķa grupām – komersantiem un pētniecības organizācijām, veicina to sadarbību, sekmē zināšanu pārvēršanu uzņēmējdarbībā un inovāciju aktivitātes komersantos.</w:t>
            </w:r>
            <w:r w:rsidR="00F64FF8">
              <w:t xml:space="preserve"> </w:t>
            </w:r>
          </w:p>
          <w:p w:rsidR="00AB0767" w:rsidRDefault="007D47A4" w:rsidP="005964BF">
            <w:pPr>
              <w:jc w:val="both"/>
            </w:pPr>
            <w:r>
              <w:t xml:space="preserve">1.2.1.2.pasākuma </w:t>
            </w:r>
            <w:r w:rsidR="00AB0767">
              <w:t xml:space="preserve">ietvaros tiks sniegts atbalsts jaunuzņēmumiem, kas potenciāli varēs pretendēt uz </w:t>
            </w:r>
            <w:r>
              <w:t xml:space="preserve">atbalstu </w:t>
            </w:r>
            <w:r w:rsidR="00AB0767">
              <w:t>augsti kvalificētu darbinieku</w:t>
            </w:r>
            <w:r>
              <w:t xml:space="preserve"> piesaistei</w:t>
            </w:r>
            <w:r w:rsidR="00AB0767">
              <w:t xml:space="preserve">. </w:t>
            </w:r>
            <w:r>
              <w:t>Noteikumu projekta</w:t>
            </w:r>
            <w:r w:rsidR="00595245">
              <w:t xml:space="preserve"> ietvaros netiek grozīti iznākuma rādītāji, jo jaunuzņēmumi ietilpst </w:t>
            </w:r>
            <w:r w:rsidR="0063423D">
              <w:t xml:space="preserve">kategorijā “atbalstītie komersanti”. Tomēr, ņemot vērā izmaiņas </w:t>
            </w:r>
            <w:r>
              <w:t xml:space="preserve">1.2.1.2.pasākuma </w:t>
            </w:r>
            <w:r w:rsidR="0063423D">
              <w:t>mērķī un tvēruma paplašināšanu</w:t>
            </w:r>
            <w:r>
              <w:t>,</w:t>
            </w:r>
            <w:r w:rsidR="0063423D">
              <w:t xml:space="preserve"> paredzams, ka vismaz 10 % no atbalstīto komersantu skaita </w:t>
            </w:r>
            <w:r>
              <w:t xml:space="preserve">būs </w:t>
            </w:r>
            <w:r w:rsidR="0063423D">
              <w:t xml:space="preserve">jaunuzņēmumi. </w:t>
            </w:r>
          </w:p>
          <w:p w:rsidR="0069580B" w:rsidRDefault="005964BF" w:rsidP="005964BF">
            <w:pPr>
              <w:jc w:val="both"/>
            </w:pPr>
            <w:r>
              <w:t>Šobrīd MK noteikumu</w:t>
            </w:r>
            <w:r w:rsidRPr="009E73CB">
              <w:t xml:space="preserve"> Nr.692</w:t>
            </w:r>
            <w:r>
              <w:t xml:space="preserve"> 17.punktā ir noteikts, kādas darbības Centrs īsteno, taču nav noteiktas darbības saistībā ar atbalsta sniegšanu jaunuzņēmumiem</w:t>
            </w:r>
            <w:r w:rsidR="00D311A7">
              <w:t>. Ņ</w:t>
            </w:r>
            <w:r w:rsidR="0063423D">
              <w:t>emot vērā iepriekš aprakstīto jaunuzņēmumu būtisko lomu Latvijas tehnoloģiju pārneses ekosistēmas attīstībā</w:t>
            </w:r>
            <w:r w:rsidR="00F7097C">
              <w:t xml:space="preserve">, </w:t>
            </w:r>
            <w:r>
              <w:t>17.1.apakšpunkts tiek papildināts ar vairākiem apakšpunktiem</w:t>
            </w:r>
            <w:r w:rsidR="00F7097C">
              <w:t xml:space="preserve">. </w:t>
            </w:r>
            <w:r w:rsidR="00F7097C" w:rsidRPr="00F7097C">
              <w:t xml:space="preserve">Noteikumu projekta </w:t>
            </w:r>
            <w:r w:rsidR="00F7097C" w:rsidRPr="00F7097C">
              <w:lastRenderedPageBreak/>
              <w:t>izstrādes laikā ir izvērtēta</w:t>
            </w:r>
            <w:r w:rsidR="00D311A7">
              <w:t>s</w:t>
            </w:r>
            <w:r w:rsidR="00F7097C" w:rsidRPr="00F7097C">
              <w:t xml:space="preserve"> 17.1.5. un 17.1.10. apakšpunktu jaunās redakcijas, nodrošinot nepārklāšanos ar 1.2.2.2.</w:t>
            </w:r>
            <w:r w:rsidR="00D311A7" w:rsidRPr="00F7097C">
              <w:t>pasākum</w:t>
            </w:r>
            <w:r w:rsidR="00D311A7">
              <w:t>a</w:t>
            </w:r>
            <w:r w:rsidR="00D311A7" w:rsidRPr="00F7097C">
              <w:t xml:space="preserve"> </w:t>
            </w:r>
            <w:r w:rsidR="00F7097C" w:rsidRPr="00F7097C">
              <w:t>„Inovācijas motivācijas programma”</w:t>
            </w:r>
            <w:r w:rsidR="00D311A7">
              <w:t xml:space="preserve"> (turpmāk – 1.2.2.2.pasākums) atbalstāmajām darbībām</w:t>
            </w:r>
            <w:r w:rsidR="00F7097C" w:rsidRPr="00F7097C">
              <w:t xml:space="preserve">. </w:t>
            </w:r>
            <w:r w:rsidR="00D311A7">
              <w:t>Gan 1.2.1.2.pasākumu, gan 1.2.2.2.pasākumu</w:t>
            </w:r>
            <w:r w:rsidR="00D311A7" w:rsidRPr="00F7097C">
              <w:t xml:space="preserve"> </w:t>
            </w:r>
            <w:r w:rsidR="00F7097C" w:rsidRPr="00F7097C">
              <w:t xml:space="preserve">administrē  </w:t>
            </w:r>
            <w:r w:rsidR="00D311A7">
              <w:t>LIAA</w:t>
            </w:r>
            <w:r w:rsidR="00F7097C" w:rsidRPr="00F7097C">
              <w:t xml:space="preserve"> Tehnoloģiju departaments, tādēļ aktivitātes tiek organizētas nedublējot, bet papildinot viena otru un par pasākumiem atbildīgajām nodaļām savstarpēji koordinējot īstenotās aktivitātes. </w:t>
            </w:r>
            <w:r w:rsidR="00D311A7" w:rsidRPr="00F7097C">
              <w:t xml:space="preserve">1.2.2.2. </w:t>
            </w:r>
            <w:r w:rsidR="00D311A7">
              <w:t>p</w:t>
            </w:r>
            <w:r w:rsidR="00D311A7" w:rsidRPr="00F7097C">
              <w:t xml:space="preserve">asākuma </w:t>
            </w:r>
            <w:r w:rsidR="00F7097C" w:rsidRPr="00F7097C">
              <w:t xml:space="preserve">ietvaros paredzētās aktivitātes </w:t>
            </w:r>
            <w:r w:rsidR="007328C2">
              <w:t xml:space="preserve">aptver </w:t>
            </w:r>
            <w:r w:rsidR="00F7097C" w:rsidRPr="00F7097C">
              <w:t>plašāku sabiedrību daļu, informējot par iespējām uzsākt inovatīvu uzņēmējdarbību. Savukārt 1.2.1.2.</w:t>
            </w:r>
            <w:r w:rsidR="007328C2">
              <w:t>pasākuma</w:t>
            </w:r>
            <w:r w:rsidR="00F7097C" w:rsidRPr="00F7097C">
              <w:t xml:space="preserve"> </w:t>
            </w:r>
            <w:r w:rsidR="007328C2">
              <w:t xml:space="preserve">atbalstāmās </w:t>
            </w:r>
            <w:r w:rsidR="00F7097C" w:rsidRPr="00F7097C">
              <w:t>darbības tiek vērstas uz ar tehnoloģiju pārnesi saistītām aktivitātēm un to veicināšanu. Tātad</w:t>
            </w:r>
            <w:r w:rsidR="007328C2">
              <w:t>,</w:t>
            </w:r>
            <w:r w:rsidR="00F7097C" w:rsidRPr="00F7097C">
              <w:t xml:space="preserve"> </w:t>
            </w:r>
            <w:r w:rsidR="007328C2">
              <w:t>1.2.1.2.</w:t>
            </w:r>
            <w:r w:rsidR="00F7097C" w:rsidRPr="00F7097C">
              <w:t>pasākuma ietvaros konsultācijas ir specifiskākas, ietverot tehnoloģiju pārneses komponenti.</w:t>
            </w:r>
            <w:r w:rsidR="00980992">
              <w:t xml:space="preserve"> Kopumā grozījumu rezultātā var prognozēt pozitīvu 1.2.1.2. pasākuma sinerģiju ar citiem pasākumiem</w:t>
            </w:r>
            <w:r w:rsidR="007328C2">
              <w:t>,</w:t>
            </w:r>
            <w:r w:rsidR="00980992">
              <w:t xml:space="preserve"> veicinot savstarpēju papildinātību, bet izslēdzot iespējamo pārklāšanos vai dubultā finansējuma iespējamību. </w:t>
            </w:r>
          </w:p>
          <w:p w:rsidR="0069580B" w:rsidRDefault="006B3933" w:rsidP="005964BF">
            <w:pPr>
              <w:jc w:val="both"/>
            </w:pPr>
            <w:r>
              <w:t xml:space="preserve">Noteikumu projektā tiek ietverta prasība, ka </w:t>
            </w:r>
            <w:r w:rsidR="0069580B" w:rsidRPr="0069580B">
              <w:t>Centrs izstrādā kārtību, kādā jaunuzņēmumiem tiek piešķirts atbalsts dalībai izstādēs, konferencēs, kontaktbir</w:t>
            </w:r>
            <w:r w:rsidR="009F45FB">
              <w:t>žās, tirdzniecības misijās u.c.</w:t>
            </w:r>
            <w:r w:rsidR="00767186">
              <w:t xml:space="preserve"> pasākumos. Izstrādāto kārtību</w:t>
            </w:r>
            <w:r w:rsidR="0069580B" w:rsidRPr="0069580B">
              <w:t xml:space="preserve"> </w:t>
            </w:r>
            <w:r w:rsidR="00767186">
              <w:t>Centrs</w:t>
            </w:r>
            <w:r w:rsidR="0069580B" w:rsidRPr="0069580B">
              <w:t xml:space="preserve"> saskaņo </w:t>
            </w:r>
            <w:r w:rsidR="00767186">
              <w:t>ar atbildīgo iestādi, iestrādājot</w:t>
            </w:r>
            <w:r w:rsidR="0069580B" w:rsidRPr="0069580B">
              <w:t xml:space="preserve"> skaidrus atbalsta piešķiršanas kritērijus, kas nodrošinātu </w:t>
            </w:r>
            <w:r w:rsidR="00767186">
              <w:t xml:space="preserve">17.1.12. </w:t>
            </w:r>
            <w:r w:rsidR="0069580B" w:rsidRPr="0069580B">
              <w:t>apakšpunktā minētās atbalstāmās darbības demarkāciju ar 3.2.1.2. pasākuma "Starptautiskās konkurētspējas veicināšana" atbalstāmajām darbībām.</w:t>
            </w:r>
            <w:r w:rsidR="00002B49">
              <w:t xml:space="preserve"> </w:t>
            </w:r>
          </w:p>
          <w:p w:rsidR="005964BF" w:rsidRDefault="00980992" w:rsidP="005964BF">
            <w:pPr>
              <w:jc w:val="both"/>
            </w:pPr>
            <w:r>
              <w:t>Pozitīvi vērtējams apstāklis, ka vairāku</w:t>
            </w:r>
            <w:r w:rsidR="007328C2">
              <w:t>s ar</w:t>
            </w:r>
            <w:r>
              <w:t xml:space="preserve"> </w:t>
            </w:r>
            <w:r w:rsidR="007328C2">
              <w:t xml:space="preserve">1.2.1.2 pasākumu saistītos </w:t>
            </w:r>
            <w:r>
              <w:t>pasākumu</w:t>
            </w:r>
            <w:r w:rsidR="007328C2">
              <w:t>s</w:t>
            </w:r>
            <w:r>
              <w:t xml:space="preserve">, piemēram, </w:t>
            </w:r>
            <w:r w:rsidRPr="00980992">
              <w:t>3.2.1.2.</w:t>
            </w:r>
            <w:r w:rsidR="007328C2" w:rsidRPr="00980992">
              <w:t>pasākum</w:t>
            </w:r>
            <w:r w:rsidR="007328C2">
              <w:t>u</w:t>
            </w:r>
            <w:r w:rsidR="007328C2" w:rsidRPr="00980992">
              <w:t xml:space="preserve"> </w:t>
            </w:r>
            <w:r w:rsidRPr="00980992">
              <w:t>"Starptautiskās konkurētspējas veicināšana"</w:t>
            </w:r>
            <w:r>
              <w:t xml:space="preserve"> un 1.2.2.2. </w:t>
            </w:r>
            <w:r w:rsidR="007328C2">
              <w:t xml:space="preserve">pasākumu </w:t>
            </w:r>
            <w:r>
              <w:t>realizē LIAA, kas nodrošina, ka vienas iestādes ietvaros var savstarpēji koordinēt īstenotās aktivitātes, nodrošinot pozitīvu savstarpējo sinerģiju</w:t>
            </w:r>
            <w:r w:rsidR="007328C2">
              <w:t xml:space="preserve"> un</w:t>
            </w:r>
            <w:r>
              <w:t xml:space="preserve"> novēršot pārklāšanos. </w:t>
            </w:r>
            <w:r w:rsidR="005964BF">
              <w:t>MK noteikumu</w:t>
            </w:r>
            <w:r w:rsidR="005964BF" w:rsidRPr="009E73CB">
              <w:t xml:space="preserve"> Nr.692</w:t>
            </w:r>
            <w:r w:rsidR="005964BF">
              <w:t xml:space="preserve"> </w:t>
            </w:r>
            <w:r w:rsidR="005964BF" w:rsidRPr="00766905">
              <w:t xml:space="preserve">III </w:t>
            </w:r>
            <w:r w:rsidR="005964BF">
              <w:t>no</w:t>
            </w:r>
            <w:r w:rsidR="005964BF" w:rsidRPr="00766905">
              <w:t>daļa nosaka Tehnoloģiju pārneses procesa veicināšanu un koordināciju</w:t>
            </w:r>
            <w:r w:rsidR="005964BF">
              <w:t xml:space="preserve">, kur </w:t>
            </w:r>
            <w:r w:rsidR="005964BF" w:rsidRPr="00766905">
              <w:t>17.punktā ir atrunātas Centra darbības, savukārt 18.punkt</w:t>
            </w:r>
            <w:r w:rsidR="005964BF">
              <w:t>ā</w:t>
            </w:r>
            <w:r w:rsidR="005964BF" w:rsidRPr="00766905">
              <w:t xml:space="preserve"> noteiktas Centra tiešās attiecināmās izmaksas</w:t>
            </w:r>
            <w:r w:rsidR="005964BF">
              <w:t xml:space="preserve">. </w:t>
            </w:r>
            <w:r w:rsidR="005964BF" w:rsidRPr="00766905">
              <w:t xml:space="preserve">18.1.2.apakšpunktā minēts, ka komandējuma izmaksas attiecināmas ne vairāk kā piecām personām. </w:t>
            </w:r>
            <w:r w:rsidR="005964BF">
              <w:t>Tomēr</w:t>
            </w:r>
            <w:r w:rsidR="005964BF" w:rsidRPr="00766905">
              <w:t xml:space="preserve"> LIAA kā tiešās pārvaldes iestāde, kuras pakļautībā ir Centrs, ar komandējumiem saistītos izdevumus aprēķina atbilstoši Ministru kabineta </w:t>
            </w:r>
            <w:r w:rsidR="005964BF">
              <w:t xml:space="preserve">2010.gada 12.oktobra </w:t>
            </w:r>
            <w:r w:rsidR="005964BF" w:rsidRPr="00766905">
              <w:t>noteikumiem Nr. 969 “Kārtība, kādā atlīdzināmi ar kom</w:t>
            </w:r>
            <w:r w:rsidR="005964BF">
              <w:t xml:space="preserve">andējumiem saistītie izdevumi”. Savukārt </w:t>
            </w:r>
            <w:r w:rsidR="005964BF" w:rsidRPr="00766905">
              <w:t xml:space="preserve">5 darbinieku ierobežojums ir nepieciešams projekta iesniedzējam, kas </w:t>
            </w:r>
            <w:r w:rsidR="005964BF">
              <w:t>pretendē uz programmas atbalstu, tādēļ tas tiek precizēts MK noteikumu</w:t>
            </w:r>
            <w:r w:rsidR="005964BF" w:rsidRPr="009E73CB">
              <w:t xml:space="preserve"> Nr.692</w:t>
            </w:r>
            <w:r w:rsidR="005964BF">
              <w:t xml:space="preserve"> projektā tiek precizēts 18.1.2. apakšpunkts. </w:t>
            </w:r>
          </w:p>
          <w:p w:rsidR="003C06C8" w:rsidRDefault="003C06C8" w:rsidP="005964BF">
            <w:pPr>
              <w:jc w:val="both"/>
            </w:pPr>
            <w:r w:rsidRPr="003C06C8">
              <w:t xml:space="preserve">Ņemot vēra, ka </w:t>
            </w:r>
            <w:r w:rsidR="007328C2">
              <w:t xml:space="preserve">Centrs </w:t>
            </w:r>
            <w:r w:rsidRPr="003C06C8">
              <w:t>ir saskāries ar situācijām, kad</w:t>
            </w:r>
            <w:r w:rsidR="007328C2">
              <w:t xml:space="preserve"> vairāk  nekā pieciem LIAA darbiniekiem</w:t>
            </w:r>
            <w:r w:rsidRPr="003C06C8">
              <w:t xml:space="preserve"> </w:t>
            </w:r>
            <w:r w:rsidR="007328C2">
              <w:t>bija</w:t>
            </w:r>
            <w:r w:rsidR="007328C2" w:rsidRPr="003C06C8">
              <w:t xml:space="preserve"> </w:t>
            </w:r>
            <w:r w:rsidRPr="003C06C8">
              <w:t xml:space="preserve">nepieciešams </w:t>
            </w:r>
            <w:r w:rsidR="007328C2">
              <w:t>doties komandējumā</w:t>
            </w:r>
            <w:r w:rsidRPr="003C06C8">
              <w:t xml:space="preserve">, tad šāds ierobežojums ir atceļams, lai veicinātu efektīvāku </w:t>
            </w:r>
            <w:r w:rsidR="003B7866">
              <w:t>T</w:t>
            </w:r>
            <w:r w:rsidR="003B7866" w:rsidRPr="003C06C8">
              <w:t xml:space="preserve">ehnoloģiju </w:t>
            </w:r>
            <w:r w:rsidRPr="003C06C8">
              <w:t xml:space="preserve">pārneses programmas aktivitāšu realizāciju. Nepieciešamība pēc vairāk </w:t>
            </w:r>
            <w:r w:rsidR="001E33EF">
              <w:t>ne</w:t>
            </w:r>
            <w:r w:rsidRPr="003C06C8">
              <w:t xml:space="preserve">kā piecu LIAA </w:t>
            </w:r>
            <w:r w:rsidRPr="003C06C8">
              <w:lastRenderedPageBreak/>
              <w:t xml:space="preserve">pārstāvju dalības komandējumā rodas </w:t>
            </w:r>
            <w:r w:rsidR="001E33EF">
              <w:t xml:space="preserve">Centra </w:t>
            </w:r>
            <w:r w:rsidRPr="003C06C8">
              <w:t xml:space="preserve">organizētajos pasākumos ārpus Rīgas teritorijas. </w:t>
            </w:r>
            <w:r w:rsidR="00007342">
              <w:t xml:space="preserve">Tehnoloģiju </w:t>
            </w:r>
            <w:r w:rsidR="00283177">
              <w:t>pārneses programmas ietvaros nav</w:t>
            </w:r>
            <w:r w:rsidRPr="003C06C8">
              <w:t xml:space="preserve"> nepieciešamība ierobežot valsts tiešās pārvaldes iestādi, kas pati izvērtē katra komandējuma nepieciešamību, ņemot vērā efektivitātes, lietderības un labas pārvaldības principus.</w:t>
            </w:r>
            <w:r w:rsidR="00283177">
              <w:t xml:space="preserve"> </w:t>
            </w:r>
            <w:r w:rsidR="00512D41">
              <w:t xml:space="preserve">Tādēļ tiek precizēts 18.1.2. apakšpunkts, kā arī prasība par piecu cilvēku ierobežojumu komandējumos tiek noteikta </w:t>
            </w:r>
            <w:r w:rsidR="00283177" w:rsidRPr="00F577F0">
              <w:rPr>
                <w:rFonts w:eastAsia="Times New Roman"/>
              </w:rPr>
              <w:t>34.2.2.5</w:t>
            </w:r>
            <w:r w:rsidR="00512D41">
              <w:rPr>
                <w:rFonts w:eastAsia="Times New Roman"/>
              </w:rPr>
              <w:t xml:space="preserve"> apakšpunktā. </w:t>
            </w:r>
          </w:p>
          <w:p w:rsidR="005964BF" w:rsidRDefault="005964BF" w:rsidP="005964BF">
            <w:pPr>
              <w:jc w:val="both"/>
            </w:pPr>
            <w:r w:rsidRPr="00FC245F">
              <w:t>Komercializācijas un patentēšanas fonda ietvaros tiks īstenoti projekti, kuru īstenoš</w:t>
            </w:r>
            <w:r>
              <w:t xml:space="preserve">anā tiek izdalīts: </w:t>
            </w:r>
            <w:r w:rsidRPr="00FC245F">
              <w:t>1) atbalsta finansējuma piešķiršana tehniski ekonomiskās priekšizpētes veikšanai un komercializācijas stratēģijas izstrādei (</w:t>
            </w:r>
            <w:r>
              <w:t>MK noteikumu</w:t>
            </w:r>
            <w:r w:rsidRPr="009E73CB">
              <w:t xml:space="preserve"> Nr.692</w:t>
            </w:r>
            <w:r>
              <w:t xml:space="preserve"> </w:t>
            </w:r>
            <w:r w:rsidRPr="00FC245F">
              <w:t>33.punkts); 2) atbalsta finansējuma piešķiršana komercializācijas pasākumu īstenošanai (</w:t>
            </w:r>
            <w:r>
              <w:t>MK noteikumu</w:t>
            </w:r>
            <w:r w:rsidRPr="009E73CB">
              <w:t xml:space="preserve"> Nr.692</w:t>
            </w:r>
            <w:r w:rsidRPr="00FC245F">
              <w:t xml:space="preserve"> 35. un 37.punkts). Ņemot vērā, ka LIAA mērķis nav finansēt tikai dokumentu izstrādi (ar to saprotot priekšizpēti un stratēģiju) bez mērķa veikt faktiskas komercializācijas darbības, tad LIAA izstrādātā atbalsta sniegšanas kārtība paredz, ka atbalsta saņēmējs īsteno vienu tehnoloģiju pārneses projektu ar diviem iepriekš minētajiem soļiem. Šobrīd MK noteikumu </w:t>
            </w:r>
            <w:r>
              <w:t>Nr.</w:t>
            </w:r>
            <w:r w:rsidRPr="00FC245F">
              <w:t>692 30.2. un 30.3.</w:t>
            </w:r>
            <w:r>
              <w:t>apakšpunktos noteikts</w:t>
            </w:r>
            <w:r w:rsidRPr="00FC245F">
              <w:t xml:space="preserve"> par divu projektu iesniegšanu, proti, tehnoloģiju pārneses projekta un pētniecības projekta, kas neatbilst faktiskajai situācijai, turklāt pētniecības projekti šī pasākum</w:t>
            </w:r>
            <w:r>
              <w:t xml:space="preserve">a ietvaros vispār nav paredzēti, tādēļ noteikumu projektā tiek precizēti minētie apakšpunkti. </w:t>
            </w:r>
          </w:p>
          <w:p w:rsidR="005964BF" w:rsidRDefault="00453879" w:rsidP="005964BF">
            <w:pPr>
              <w:jc w:val="both"/>
              <w:rPr>
                <w:rFonts w:eastAsia="Times New Roman"/>
                <w:szCs w:val="22"/>
              </w:rPr>
            </w:pPr>
            <w:r w:rsidRPr="00453879">
              <w:t xml:space="preserve">Noteikumu projekta 10. punktā izteiktajā noteikumu 34.2.2.3. apakšpunktā ir noteikts, ka minēto apakšpunktu nepiemēro </w:t>
            </w:r>
            <w:r w:rsidR="000D6789">
              <w:t>LIAA</w:t>
            </w:r>
            <w:r w:rsidRPr="00453879">
              <w:t xml:space="preserve"> organizētajām tirdzniecības misijām ārvalstīs, kurās piedalās valsts augstākās amatpersonas.</w:t>
            </w:r>
            <w:r>
              <w:t xml:space="preserve"> Šī punkta izpratnē valsts augstākās amatpersonas ir Ministru kabineta 2010.gada 28.septembra instrukcijā Nr.16 „</w:t>
            </w:r>
            <w:r w:rsidRPr="00453879">
              <w:t>Kārtība, kādā valsts augstākās amatpersonas apziņojamas valsts apdraudējuma gadījumā un par ārkārtas notikumiem valstī</w:t>
            </w:r>
            <w:r>
              <w:t xml:space="preserve">” 1.pielikumā minētās amatpersonas. </w:t>
            </w:r>
            <w:r w:rsidR="005964BF">
              <w:t>MK noteikumu</w:t>
            </w:r>
            <w:r w:rsidR="005964BF" w:rsidRPr="009E73CB">
              <w:t xml:space="preserve"> Nr.692</w:t>
            </w:r>
            <w:r w:rsidR="005964BF">
              <w:t xml:space="preserve"> </w:t>
            </w:r>
            <w:r w:rsidR="005964BF">
              <w:rPr>
                <w:szCs w:val="22"/>
              </w:rPr>
              <w:t>53.punktā ir noteikts:</w:t>
            </w:r>
            <w:r w:rsidR="005964BF" w:rsidRPr="00A923CC">
              <w:rPr>
                <w:b/>
                <w:szCs w:val="22"/>
              </w:rPr>
              <w:t xml:space="preserve"> </w:t>
            </w:r>
            <w:r w:rsidR="005964BF" w:rsidRPr="00C818AD">
              <w:rPr>
                <w:szCs w:val="22"/>
              </w:rPr>
              <w:t>„</w:t>
            </w:r>
            <w:r w:rsidR="005964BF" w:rsidRPr="00A923CC">
              <w:rPr>
                <w:szCs w:val="22"/>
              </w:rPr>
              <w:t>a</w:t>
            </w:r>
            <w:r w:rsidR="005964BF" w:rsidRPr="00A923CC">
              <w:rPr>
                <w:rFonts w:eastAsia="Times New Roman"/>
                <w:szCs w:val="22"/>
              </w:rPr>
              <w:t xml:space="preserve">tbalsta pieteikuma minimālais līdzfinansējuma apmērs nav noteikts. Atbalsta pieteikuma maksimālais atbalsta līdzfinansējuma apmērs vienai komersanta saistīto personu grupai nepārsniedz 25 000 </w:t>
            </w:r>
            <w:r w:rsidR="005964BF" w:rsidRPr="00A923CC">
              <w:rPr>
                <w:rFonts w:eastAsia="Times New Roman"/>
                <w:i/>
                <w:iCs/>
                <w:szCs w:val="22"/>
              </w:rPr>
              <w:t>euro</w:t>
            </w:r>
            <w:r w:rsidR="005964BF" w:rsidRPr="00A923CC">
              <w:rPr>
                <w:rFonts w:eastAsia="Times New Roman"/>
                <w:szCs w:val="22"/>
              </w:rPr>
              <w:t xml:space="preserve"> šo noteikumu 41.1., 41.2., 41.3., 41.4., 41.5. un 41.6. apakšpunktā minētajām darbībām</w:t>
            </w:r>
            <w:r w:rsidR="005964BF">
              <w:rPr>
                <w:rFonts w:eastAsia="Times New Roman"/>
                <w:szCs w:val="22"/>
              </w:rPr>
              <w:t>”. Tomēr</w:t>
            </w:r>
            <w:r w:rsidR="005964BF" w:rsidRPr="00A923CC">
              <w:rPr>
                <w:rFonts w:eastAsia="Times New Roman"/>
                <w:szCs w:val="22"/>
              </w:rPr>
              <w:t xml:space="preserve"> </w:t>
            </w:r>
            <w:r w:rsidR="005964BF">
              <w:rPr>
                <w:rFonts w:eastAsia="Times New Roman"/>
                <w:szCs w:val="22"/>
              </w:rPr>
              <w:t>nav viennozīmīgi norādīts</w:t>
            </w:r>
            <w:r w:rsidR="005964BF" w:rsidRPr="00A923CC">
              <w:rPr>
                <w:rFonts w:eastAsia="Times New Roman"/>
                <w:szCs w:val="22"/>
              </w:rPr>
              <w:t xml:space="preserve">, ka šis atbalsta līdzfinansējuma apmērs ir 25000 euro pasākuma ietvaros. Tas netieši izriet no </w:t>
            </w:r>
            <w:r w:rsidR="005964BF">
              <w:t>MK noteikumu</w:t>
            </w:r>
            <w:r w:rsidR="005964BF" w:rsidRPr="009E73CB">
              <w:t xml:space="preserve"> Nr.692</w:t>
            </w:r>
            <w:r w:rsidR="005964BF">
              <w:t xml:space="preserve"> </w:t>
            </w:r>
            <w:r w:rsidR="005964BF">
              <w:rPr>
                <w:rFonts w:eastAsia="Times New Roman"/>
                <w:szCs w:val="22"/>
              </w:rPr>
              <w:t>58.punkta, kurā noteikts, ka</w:t>
            </w:r>
            <w:r w:rsidR="005964BF" w:rsidRPr="009C6311">
              <w:rPr>
                <w:rFonts w:eastAsia="Times New Roman"/>
                <w:szCs w:val="22"/>
              </w:rPr>
              <w:t xml:space="preserve"> pasākuma</w:t>
            </w:r>
            <w:r w:rsidR="005964BF" w:rsidRPr="00A923CC">
              <w:rPr>
                <w:rFonts w:eastAsia="Times New Roman"/>
                <w:szCs w:val="22"/>
              </w:rPr>
              <w:t xml:space="preserve"> ietvaros komersants var iesniegt neierobežotu atbalsta pieteikumu skaitu, vienam pieteikumam nepārsniedzot šo noteikumu 53. punktā minēto maksimāli pieejamo līdzfinansējuma summu. </w:t>
            </w:r>
          </w:p>
          <w:p w:rsidR="00AE6916" w:rsidRDefault="005964BF" w:rsidP="00AE6916">
            <w:pPr>
              <w:jc w:val="both"/>
            </w:pPr>
            <w:r w:rsidRPr="00AA7ED4">
              <w:rPr>
                <w:szCs w:val="22"/>
              </w:rPr>
              <w:t xml:space="preserve">Lai nodrošinātu sekmīgu tehnoloģijas pārneses programmas īstenošanu, tai skaitā informējot un atbalstot programmas dalībniekus, tiek izmantots liels skaits ārpakalpojumu. </w:t>
            </w:r>
            <w:r>
              <w:rPr>
                <w:szCs w:val="22"/>
              </w:rPr>
              <w:t>Pašlaik spēkā esošie</w:t>
            </w:r>
            <w:r w:rsidRPr="00AA7ED4">
              <w:rPr>
                <w:szCs w:val="22"/>
              </w:rPr>
              <w:t xml:space="preserve"> norm</w:t>
            </w:r>
            <w:r>
              <w:rPr>
                <w:szCs w:val="22"/>
              </w:rPr>
              <w:t xml:space="preserve">atīvie akti </w:t>
            </w:r>
            <w:r w:rsidRPr="00AA7ED4">
              <w:rPr>
                <w:szCs w:val="22"/>
              </w:rPr>
              <w:t>paredz, ka maksimālais avansa maksājuma apjoms par ārpakalpojumu nedrīkst pārsnie</w:t>
            </w:r>
            <w:r>
              <w:rPr>
                <w:szCs w:val="22"/>
              </w:rPr>
              <w:t xml:space="preserve">gt 20% </w:t>
            </w:r>
            <w:r>
              <w:rPr>
                <w:szCs w:val="22"/>
              </w:rPr>
              <w:lastRenderedPageBreak/>
              <w:t>no kopējā maksājuma, savukārt</w:t>
            </w:r>
            <w:r w:rsidRPr="00AA7ED4">
              <w:rPr>
                <w:szCs w:val="22"/>
              </w:rPr>
              <w:t xml:space="preserve"> citās programmās (piemēram:</w:t>
            </w:r>
            <w:r>
              <w:rPr>
                <w:szCs w:val="22"/>
              </w:rPr>
              <w:t xml:space="preserve"> </w:t>
            </w:r>
            <w:r w:rsidRPr="00AA7ED4">
              <w:rPr>
                <w:szCs w:val="22"/>
              </w:rPr>
              <w:t>3.2.1.2.pasākuma “Starptautiskās konkurētspējas veicināšana”) pieļaujamais avansa maksājuma apmērs va</w:t>
            </w:r>
            <w:r>
              <w:rPr>
                <w:szCs w:val="22"/>
              </w:rPr>
              <w:t>r tikt sasniegts līdz pat 100 %</w:t>
            </w:r>
            <w:r>
              <w:rPr>
                <w:i/>
                <w:szCs w:val="22"/>
              </w:rPr>
              <w:t xml:space="preserve">. </w:t>
            </w:r>
            <w:r>
              <w:rPr>
                <w:szCs w:val="22"/>
              </w:rPr>
              <w:t xml:space="preserve">Tādēļ, lai nodrošinātu efektīvāku tehnoloģiju pārneses programmas realizāciju, tiek mainīts avansa maksājuma apmērs. </w:t>
            </w:r>
            <w:r w:rsidR="00A441BC">
              <w:rPr>
                <w:szCs w:val="22"/>
              </w:rPr>
              <w:t>A</w:t>
            </w:r>
            <w:r w:rsidR="00A441BC" w:rsidRPr="00A441BC">
              <w:rPr>
                <w:szCs w:val="22"/>
              </w:rPr>
              <w:t xml:space="preserve">vansa maksājums 100 procentu apmērā netiek piemērots visos gadījumos, bet uzskatāms </w:t>
            </w:r>
            <w:r w:rsidR="000D6789">
              <w:rPr>
                <w:szCs w:val="22"/>
              </w:rPr>
              <w:t xml:space="preserve">par </w:t>
            </w:r>
            <w:r w:rsidR="00A441BC" w:rsidRPr="00A441BC">
              <w:rPr>
                <w:szCs w:val="22"/>
              </w:rPr>
              <w:t xml:space="preserve">risinājumu konkrētos izņēmuma gadījumos, kad 100 procentu avansa maksājums atbilst nozares prakses prasībām un veicinās operatīvāka un kvalitatīvāka ārpakalpojuma saņemšanu. Konkrēts avansa apmērs nosakāms katra </w:t>
            </w:r>
            <w:r w:rsidR="00421EBD">
              <w:rPr>
                <w:szCs w:val="22"/>
              </w:rPr>
              <w:t xml:space="preserve">iepirkuma procedūras </w:t>
            </w:r>
            <w:r w:rsidR="00A441BC" w:rsidRPr="00A441BC">
              <w:rPr>
                <w:szCs w:val="22"/>
              </w:rPr>
              <w:t>nolikuma ietvaros</w:t>
            </w:r>
            <w:r w:rsidR="00580D99">
              <w:rPr>
                <w:szCs w:val="22"/>
              </w:rPr>
              <w:t>,</w:t>
            </w:r>
            <w:r w:rsidR="00A441BC" w:rsidRPr="00A441BC">
              <w:rPr>
                <w:szCs w:val="22"/>
              </w:rPr>
              <w:t xml:space="preserve"> vadoties no nozares prakses.</w:t>
            </w:r>
            <w:r w:rsidR="00AE6916">
              <w:rPr>
                <w:szCs w:val="22"/>
              </w:rPr>
              <w:t xml:space="preserve"> </w:t>
            </w:r>
            <w:r w:rsidR="00AE6916">
              <w:t>Ņemot vērā līdzšinējo pieredzi, organizējot pasākumus (piemēram,  ikgadējais jaunrades festivāls “iNovuss”, dalība sarunu festivālā “Lampa”), tika secināts, ka esošais 20% avans maksājumu ierobežojums ar pasākumu rīkošanu saistītos iepirkumos ir pretrunā nozares praksei. Sakarā ar pasākumu organizēšanas nozares specifiku, ka pakalpojuma sniedzēji ar pasākumu organizēšanu saistītās izmaksas pieprasa pasākuma sagatavošanas posmā, piekrītot sniegt pakalpojumu tikai, ja pasūtītājs priekšfinansē daļu no pakalpojumiem. Priekšfinansējums, jeb avanss nepieciešams, jo sniedzot pasākumu organizēšanas pakalpojumus rodas izmaksas vēl pirms pakalpojuma sniegšanas (piem., ēdināšanas pakalpojumu nodrošināšanai nepieciešamo izejvielu iegāde, scenogrāfijas izstrādei nepieciešamo materiālu apmaksai, investīcijas tehnikas u.c. nodrošinājuma iegādei u.c. citu izejmateriālu iegāde). Šādos gadījumos aizsardzība pret iespējamiem riskiem tiek noteikta līgumos starp pasūtītāju un pakalpojuma sniedzēju, lai nodrošinātu atbilstošu pakalpojuma sniedzēja un LIAA saistību izpildi, tostarp avansa maksājuma atmaksu.</w:t>
            </w:r>
          </w:p>
          <w:p w:rsidR="005964BF" w:rsidRPr="00AA7ED4" w:rsidRDefault="005964BF" w:rsidP="005964BF">
            <w:pPr>
              <w:pStyle w:val="CommentText"/>
              <w:jc w:val="both"/>
              <w:rPr>
                <w:sz w:val="24"/>
                <w:szCs w:val="22"/>
              </w:rPr>
            </w:pPr>
            <w:r>
              <w:rPr>
                <w:sz w:val="24"/>
                <w:szCs w:val="22"/>
                <w:lang w:val="lv-LV"/>
              </w:rPr>
              <w:t>Centrs, s</w:t>
            </w:r>
            <w:r>
              <w:rPr>
                <w:sz w:val="24"/>
                <w:szCs w:val="22"/>
              </w:rPr>
              <w:t xml:space="preserve">niedzot konsultācijas, </w:t>
            </w:r>
            <w:r>
              <w:rPr>
                <w:sz w:val="24"/>
                <w:szCs w:val="22"/>
                <w:lang w:val="lv-LV"/>
              </w:rPr>
              <w:t>ir</w:t>
            </w:r>
            <w:r>
              <w:rPr>
                <w:sz w:val="24"/>
                <w:szCs w:val="22"/>
              </w:rPr>
              <w:t xml:space="preserve"> identificēj</w:t>
            </w:r>
            <w:r>
              <w:rPr>
                <w:sz w:val="24"/>
                <w:szCs w:val="22"/>
                <w:lang w:val="lv-LV"/>
              </w:rPr>
              <w:t>is</w:t>
            </w:r>
            <w:r w:rsidRPr="00AA7ED4">
              <w:rPr>
                <w:sz w:val="24"/>
                <w:szCs w:val="22"/>
              </w:rPr>
              <w:t xml:space="preserve">, ka ieinteresēto loks ir daudz plašāks, nekā </w:t>
            </w:r>
            <w:r w:rsidRPr="00FF7687">
              <w:rPr>
                <w:sz w:val="24"/>
                <w:szCs w:val="22"/>
              </w:rPr>
              <w:t xml:space="preserve">MK noteikumu Nr.692 </w:t>
            </w:r>
            <w:r w:rsidRPr="00AA7ED4">
              <w:rPr>
                <w:sz w:val="24"/>
                <w:szCs w:val="22"/>
              </w:rPr>
              <w:t xml:space="preserve">29. un 42.punktā minētie atbalsta pretendenti un jautājumi ir saistīti par visiem Latvijā pieejamajiem atbalsta instrumentiem, ne tikai noteikumos 17.1.6. un 17.1.7.apakšpunktā noteiktajiem. </w:t>
            </w:r>
          </w:p>
          <w:p w:rsidR="007C57D8" w:rsidRPr="007C57D8" w:rsidRDefault="005964BF" w:rsidP="007C57D8">
            <w:pPr>
              <w:pStyle w:val="CommentText"/>
              <w:jc w:val="both"/>
              <w:rPr>
                <w:sz w:val="24"/>
                <w:szCs w:val="24"/>
                <w:lang w:val="lv-LV"/>
              </w:rPr>
            </w:pPr>
            <w:r w:rsidRPr="00DD31F0">
              <w:rPr>
                <w:sz w:val="24"/>
                <w:szCs w:val="24"/>
                <w:lang w:val="lv-LV"/>
              </w:rPr>
              <w:t xml:space="preserve">Tādēļ tiek </w:t>
            </w:r>
            <w:r w:rsidRPr="00DD31F0">
              <w:rPr>
                <w:sz w:val="24"/>
                <w:szCs w:val="24"/>
              </w:rPr>
              <w:t>paplašināt</w:t>
            </w:r>
            <w:r w:rsidRPr="00DD31F0">
              <w:rPr>
                <w:sz w:val="24"/>
                <w:szCs w:val="24"/>
                <w:lang w:val="lv-LV"/>
              </w:rPr>
              <w:t>a</w:t>
            </w:r>
            <w:r w:rsidRPr="00DD31F0">
              <w:rPr>
                <w:sz w:val="24"/>
                <w:szCs w:val="24"/>
              </w:rPr>
              <w:t xml:space="preserve"> mērķauditorij</w:t>
            </w:r>
            <w:r w:rsidRPr="00DD31F0">
              <w:rPr>
                <w:sz w:val="24"/>
                <w:szCs w:val="24"/>
                <w:lang w:val="lv-LV"/>
              </w:rPr>
              <w:t>a, ļaujot</w:t>
            </w:r>
            <w:r w:rsidRPr="00DD31F0">
              <w:rPr>
                <w:sz w:val="24"/>
                <w:szCs w:val="24"/>
              </w:rPr>
              <w:t xml:space="preserve"> sniegt informāciju un konsultācijas plašākam interesentu lokam, tādējādi izsakot 17.1.5.apakšpunktu sekojošā redakcijā: </w:t>
            </w:r>
            <w:r w:rsidRPr="00DD31F0">
              <w:rPr>
                <w:sz w:val="24"/>
                <w:szCs w:val="24"/>
                <w:lang w:val="lv-LV"/>
              </w:rPr>
              <w:t>,,17.1.5. informācijas un konsultāciju sniegšana pētniecības organizāc</w:t>
            </w:r>
            <w:r w:rsidR="004D4E1D">
              <w:rPr>
                <w:sz w:val="24"/>
                <w:szCs w:val="24"/>
                <w:lang w:val="lv-LV"/>
              </w:rPr>
              <w:t xml:space="preserve">ijām, pētniekiem, komersantiem </w:t>
            </w:r>
            <w:r w:rsidRPr="00DD31F0">
              <w:rPr>
                <w:sz w:val="24"/>
                <w:szCs w:val="24"/>
                <w:lang w:val="lv-LV"/>
              </w:rPr>
              <w:t>par tehnoloģiju pārnesi un inovāciju, t.sk. par pieejamajiem atbalsta indtrumentiem.”</w:t>
            </w:r>
            <w:r w:rsidR="004D4E1D">
              <w:rPr>
                <w:sz w:val="24"/>
                <w:szCs w:val="24"/>
                <w:lang w:val="lv-LV"/>
              </w:rPr>
              <w:t>.</w:t>
            </w:r>
            <w:r w:rsidR="00573736">
              <w:rPr>
                <w:sz w:val="24"/>
                <w:szCs w:val="24"/>
                <w:lang w:val="lv-LV"/>
              </w:rPr>
              <w:t xml:space="preserve"> </w:t>
            </w:r>
            <w:r w:rsidR="007C57D8">
              <w:rPr>
                <w:sz w:val="24"/>
                <w:szCs w:val="24"/>
                <w:lang w:val="lv-LV"/>
              </w:rPr>
              <w:t xml:space="preserve">Noteikumu projekta izstrādes gaitā ir veikta analīze par 17.1.12.apakšpunkta nepārklāšanos ar jau realizētām aktivitātēm </w:t>
            </w:r>
            <w:r w:rsidR="007C57D8" w:rsidRPr="007C57D8">
              <w:rPr>
                <w:sz w:val="24"/>
                <w:szCs w:val="24"/>
                <w:lang w:val="lv-LV"/>
              </w:rPr>
              <w:t>3.2.1.2.pasākuma "Starptautiskās konkurētspējas veicināšan</w:t>
            </w:r>
            <w:r w:rsidR="007C57D8">
              <w:rPr>
                <w:sz w:val="24"/>
                <w:szCs w:val="24"/>
                <w:lang w:val="lv-LV"/>
              </w:rPr>
              <w:t xml:space="preserve">a" </w:t>
            </w:r>
            <w:r w:rsidR="007C57D8" w:rsidRPr="007C57D8">
              <w:rPr>
                <w:sz w:val="24"/>
                <w:szCs w:val="24"/>
                <w:lang w:val="lv-LV"/>
              </w:rPr>
              <w:t>ietvaros</w:t>
            </w:r>
            <w:r w:rsidR="007C57D8">
              <w:rPr>
                <w:sz w:val="24"/>
                <w:szCs w:val="24"/>
                <w:lang w:val="lv-LV"/>
              </w:rPr>
              <w:t>. Ņ</w:t>
            </w:r>
            <w:r w:rsidR="007C57D8" w:rsidRPr="007C57D8">
              <w:rPr>
                <w:sz w:val="24"/>
                <w:szCs w:val="24"/>
                <w:lang w:val="lv-LV"/>
              </w:rPr>
              <w:t>emot vērā, ka jaunuzņēmumi ir mērķa grupa, kurai ir  īpašas vajadzības un nepieciešams papildus atbalsts, tiem plānotais atbalsts no Tehnoloģiju pārneses programmas ietver plašāku attiecināmo izmaksu apjomu un saturu, kā arī lielāku finansējuma intensitāti.</w:t>
            </w:r>
          </w:p>
          <w:p w:rsidR="007C57D8" w:rsidRDefault="007C57D8" w:rsidP="007C57D8">
            <w:pPr>
              <w:pStyle w:val="CommentText"/>
              <w:jc w:val="both"/>
              <w:rPr>
                <w:sz w:val="24"/>
                <w:szCs w:val="24"/>
                <w:lang w:val="lv-LV"/>
              </w:rPr>
            </w:pPr>
            <w:r w:rsidRPr="007C57D8">
              <w:rPr>
                <w:sz w:val="24"/>
                <w:szCs w:val="24"/>
                <w:lang w:val="lv-LV"/>
              </w:rPr>
              <w:lastRenderedPageBreak/>
              <w:t>Tehnoloģiju pārneses programmas ietvaros tiek paredzētas tādas aktivitātes, kas nav orientētas uz eksporta veicināšanu, bet uz uzņēmuma attīstību – sadarbības partneru, investoru, riska kapitālistu piesaistīšanu.</w:t>
            </w:r>
            <w:r>
              <w:rPr>
                <w:sz w:val="24"/>
                <w:szCs w:val="24"/>
                <w:lang w:val="lv-LV"/>
              </w:rPr>
              <w:t xml:space="preserve"> </w:t>
            </w:r>
            <w:r w:rsidR="001E0542">
              <w:rPr>
                <w:sz w:val="24"/>
                <w:szCs w:val="24"/>
                <w:lang w:val="lv-LV"/>
              </w:rPr>
              <w:t>Noteikumu projektā netiek grozīta atbalsta intensitāte, kas noteikta spēkā esošajā Ministru kabineta noteikumu redakcijas 20.punktā, ka „</w:t>
            </w:r>
            <w:r w:rsidR="001E0542" w:rsidRPr="001E0542">
              <w:rPr>
                <w:sz w:val="24"/>
                <w:szCs w:val="24"/>
                <w:lang w:val="lv-LV"/>
              </w:rPr>
              <w:t>Atbalsta intensitāte šo noteikumu 17. punktā minēto atbalstāmo darbību īstenošanai ir 100 %, ievērojot, ka Eiropas Reģionālās attīstības fonda līdzfinansējums ir ne vairāk kā 85 % no projekta kopējā attiecināmā finansējuma.</w:t>
            </w:r>
            <w:r w:rsidR="001E0542">
              <w:rPr>
                <w:sz w:val="24"/>
                <w:szCs w:val="24"/>
                <w:lang w:val="lv-LV"/>
              </w:rPr>
              <w:t>”.</w:t>
            </w:r>
          </w:p>
          <w:p w:rsidR="00C02CE8" w:rsidRPr="00DD31F0" w:rsidRDefault="003338DE" w:rsidP="003338DE">
            <w:pPr>
              <w:pStyle w:val="CommentText"/>
              <w:jc w:val="both"/>
              <w:rPr>
                <w:sz w:val="24"/>
                <w:szCs w:val="24"/>
                <w:lang w:val="lv-LV"/>
              </w:rPr>
            </w:pPr>
            <w:r>
              <w:rPr>
                <w:sz w:val="24"/>
                <w:szCs w:val="24"/>
                <w:lang w:val="lv-LV"/>
              </w:rPr>
              <w:t xml:space="preserve">Noteikumu projektā tiek veikts grozījums </w:t>
            </w:r>
            <w:r w:rsidRPr="003338DE">
              <w:rPr>
                <w:sz w:val="24"/>
                <w:szCs w:val="24"/>
                <w:lang w:val="lv-LV"/>
              </w:rPr>
              <w:t>MK noteikumu Nr.692 28.1 punktā</w:t>
            </w:r>
            <w:r>
              <w:rPr>
                <w:sz w:val="24"/>
                <w:szCs w:val="24"/>
                <w:lang w:val="lv-LV"/>
              </w:rPr>
              <w:t>, jo</w:t>
            </w:r>
            <w:r w:rsidR="006B7B67">
              <w:rPr>
                <w:sz w:val="24"/>
                <w:szCs w:val="24"/>
                <w:lang w:val="lv-LV"/>
              </w:rPr>
              <w:t>,</w:t>
            </w:r>
            <w:r>
              <w:rPr>
                <w:sz w:val="24"/>
                <w:szCs w:val="24"/>
                <w:lang w:val="lv-LV"/>
              </w:rPr>
              <w:t xml:space="preserve"> i</w:t>
            </w:r>
            <w:r w:rsidRPr="003338DE">
              <w:rPr>
                <w:sz w:val="24"/>
                <w:szCs w:val="24"/>
                <w:lang w:val="lv-LV"/>
              </w:rPr>
              <w:t xml:space="preserve">zvērtējot nepieciešamību pēc praktiskām zināšanām, kas ir būtiskas </w:t>
            </w:r>
            <w:r w:rsidR="006B7B67">
              <w:rPr>
                <w:sz w:val="24"/>
                <w:szCs w:val="24"/>
                <w:lang w:val="lv-LV"/>
              </w:rPr>
              <w:t>T</w:t>
            </w:r>
            <w:r w:rsidR="006B7B67" w:rsidRPr="003338DE">
              <w:rPr>
                <w:sz w:val="24"/>
                <w:szCs w:val="24"/>
                <w:lang w:val="lv-LV"/>
              </w:rPr>
              <w:t xml:space="preserve">ehnoloģiju </w:t>
            </w:r>
            <w:r w:rsidRPr="003338DE">
              <w:rPr>
                <w:sz w:val="24"/>
                <w:szCs w:val="24"/>
                <w:lang w:val="lv-LV"/>
              </w:rPr>
              <w:t>p</w:t>
            </w:r>
            <w:r w:rsidR="00C02CE8">
              <w:rPr>
                <w:sz w:val="24"/>
                <w:szCs w:val="24"/>
                <w:lang w:val="lv-LV"/>
              </w:rPr>
              <w:t>ārneses programmas realizācijai</w:t>
            </w:r>
            <w:r w:rsidRPr="003338DE">
              <w:rPr>
                <w:sz w:val="24"/>
                <w:szCs w:val="24"/>
                <w:lang w:val="lv-LV"/>
              </w:rPr>
              <w:t>. Jāuzsver, ka komercializācijas eksperti vairumā gadījumu ir uzņēmēji</w:t>
            </w:r>
            <w:r w:rsidR="00277E2C">
              <w:rPr>
                <w:sz w:val="24"/>
                <w:szCs w:val="24"/>
                <w:lang w:val="lv-LV"/>
              </w:rPr>
              <w:t>,</w:t>
            </w:r>
            <w:r w:rsidRPr="003338DE">
              <w:rPr>
                <w:sz w:val="24"/>
                <w:szCs w:val="24"/>
                <w:lang w:val="lv-LV"/>
              </w:rPr>
              <w:t xml:space="preserve"> nevis zinātnieki, tādēļ izšķiroša nozīme ir uzņēmējdarbības pieredzei</w:t>
            </w:r>
            <w:r w:rsidR="00277E2C">
              <w:rPr>
                <w:sz w:val="24"/>
                <w:szCs w:val="24"/>
                <w:lang w:val="lv-LV"/>
              </w:rPr>
              <w:t>,</w:t>
            </w:r>
            <w:r w:rsidRPr="003338DE">
              <w:rPr>
                <w:sz w:val="24"/>
                <w:szCs w:val="24"/>
                <w:lang w:val="lv-LV"/>
              </w:rPr>
              <w:t xml:space="preserve"> nevi</w:t>
            </w:r>
            <w:r w:rsidR="00C02CE8">
              <w:rPr>
                <w:sz w:val="24"/>
                <w:szCs w:val="24"/>
                <w:lang w:val="lv-LV"/>
              </w:rPr>
              <w:t xml:space="preserve">s zinātniskajai kvalifikācijai. </w:t>
            </w:r>
            <w:r w:rsidRPr="003338DE">
              <w:rPr>
                <w:sz w:val="24"/>
                <w:szCs w:val="24"/>
                <w:lang w:val="lv-LV"/>
              </w:rPr>
              <w:t>Atsevišķos gadījumos, kad tas būs nepieciešams, ekspertiem tiks izvirzītas prasības arī pēc zinātniskās kvalifikācijas – piemēram</w:t>
            </w:r>
            <w:r w:rsidR="003B7866">
              <w:rPr>
                <w:sz w:val="24"/>
                <w:szCs w:val="24"/>
                <w:lang w:val="lv-LV"/>
              </w:rPr>
              <w:t>,</w:t>
            </w:r>
            <w:r w:rsidRPr="003338DE">
              <w:rPr>
                <w:sz w:val="24"/>
                <w:szCs w:val="24"/>
                <w:lang w:val="lv-LV"/>
              </w:rPr>
              <w:t xml:space="preserve"> doktora grādu.</w:t>
            </w:r>
            <w:r w:rsidR="00C02CE8">
              <w:rPr>
                <w:sz w:val="24"/>
                <w:szCs w:val="24"/>
                <w:lang w:val="lv-LV"/>
              </w:rPr>
              <w:t xml:space="preserve"> </w:t>
            </w:r>
            <w:r w:rsidR="00C02CE8" w:rsidRPr="00C02CE8">
              <w:rPr>
                <w:sz w:val="24"/>
                <w:szCs w:val="24"/>
                <w:lang w:val="lv-LV"/>
              </w:rPr>
              <w:t>Centra ietvaros tiek nodrošināta 1.2.1.2.pasākuma atbalstāmās darbības “Inovāciju vaučeru MVK atbalsta nodrošināšana” īstenošana, tomēr specifiskos uzņēmumu inovāciju jeb inovatīvu ideju gadījumos var rasties nepieciešamība pēc eksperta piesaisties, lai izvērtētu inovācijas vaučera atbalsta nepieciešamību.</w:t>
            </w:r>
          </w:p>
        </w:tc>
      </w:tr>
      <w:tr w:rsidR="00330C43" w:rsidRPr="002D07C0" w:rsidTr="00F31316">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2D07C0" w:rsidRDefault="00330C43" w:rsidP="005C1044">
            <w:pPr>
              <w:jc w:val="center"/>
              <w:rPr>
                <w:lang w:eastAsia="en-US"/>
              </w:rPr>
            </w:pPr>
            <w:r w:rsidRPr="002D07C0">
              <w:lastRenderedPageBreak/>
              <w:t>3.</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330C43" w:rsidRPr="002D07C0" w:rsidRDefault="00330C43" w:rsidP="005C1044">
            <w:pPr>
              <w:rPr>
                <w:lang w:eastAsia="en-US"/>
              </w:rPr>
            </w:pPr>
            <w:r w:rsidRPr="002D07C0">
              <w:t>Projekta izstrādē iesaistītās institūcijas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893FBD" w:rsidRPr="002D07C0" w:rsidRDefault="005C1698" w:rsidP="005C1698">
            <w:pPr>
              <w:jc w:val="both"/>
            </w:pPr>
            <w:r>
              <w:rPr>
                <w:rFonts w:eastAsia="Times New Roman"/>
              </w:rPr>
              <w:t>EM</w:t>
            </w:r>
            <w:r w:rsidR="005964BF">
              <w:rPr>
                <w:rFonts w:eastAsia="Times New Roman"/>
              </w:rPr>
              <w:t xml:space="preserve"> un </w:t>
            </w:r>
            <w:r>
              <w:rPr>
                <w:rFonts w:eastAsia="Times New Roman"/>
              </w:rPr>
              <w:t>LIAA</w:t>
            </w:r>
            <w:r w:rsidR="005964BF">
              <w:rPr>
                <w:rFonts w:eastAsia="Times New Roman"/>
              </w:rPr>
              <w:t>.</w:t>
            </w:r>
          </w:p>
        </w:tc>
      </w:tr>
      <w:tr w:rsidR="00330C43" w:rsidRPr="002D07C0" w:rsidTr="00F31316">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2D07C0" w:rsidRDefault="00330C43" w:rsidP="005C1044">
            <w:pPr>
              <w:jc w:val="center"/>
              <w:rPr>
                <w:lang w:eastAsia="en-US"/>
              </w:rPr>
            </w:pPr>
            <w:r w:rsidRPr="002D07C0">
              <w:t>4.</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330C43" w:rsidRPr="002D07C0" w:rsidRDefault="00330C43" w:rsidP="005C1044">
            <w:pPr>
              <w:rPr>
                <w:lang w:eastAsia="en-US"/>
              </w:rPr>
            </w:pPr>
            <w:r w:rsidRPr="002D07C0">
              <w:t>Cita informācija</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2D07C0" w:rsidRDefault="00554AB1" w:rsidP="005C1044">
            <w:r w:rsidRPr="002D07C0">
              <w:t>Nav.</w:t>
            </w:r>
          </w:p>
        </w:tc>
      </w:tr>
    </w:tbl>
    <w:p w:rsidR="000D3D70" w:rsidRPr="002D07C0" w:rsidRDefault="000D3D70" w:rsidP="005C1044">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4995"/>
        <w:gridCol w:w="3789"/>
      </w:tblGrid>
      <w:tr w:rsidR="00261ED1" w:rsidRPr="002D07C0"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2D07C0" w:rsidRDefault="00261ED1" w:rsidP="005C1044">
            <w:pPr>
              <w:pStyle w:val="ListParagraph"/>
              <w:tabs>
                <w:tab w:val="left" w:pos="2268"/>
                <w:tab w:val="left" w:pos="2410"/>
              </w:tabs>
              <w:ind w:left="1080"/>
              <w:jc w:val="center"/>
              <w:rPr>
                <w:b/>
                <w:sz w:val="24"/>
                <w:szCs w:val="24"/>
                <w:lang w:eastAsia="en-US"/>
              </w:rPr>
            </w:pPr>
            <w:r w:rsidRPr="002D07C0">
              <w:rPr>
                <w:b/>
                <w:bCs/>
                <w:sz w:val="24"/>
                <w:szCs w:val="24"/>
              </w:rPr>
              <w:t>II. Tiesību akta projekta ietekme uz sabiedrību, tautsaimniecības attīstību un administratīvo slogu</w:t>
            </w:r>
          </w:p>
        </w:tc>
      </w:tr>
      <w:tr w:rsidR="00261ED1" w:rsidRPr="002D07C0" w:rsidTr="00624D78">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2D07C0" w:rsidRDefault="00261ED1" w:rsidP="005C1044">
            <w:pPr>
              <w:jc w:val="center"/>
              <w:rPr>
                <w:lang w:eastAsia="en-US"/>
              </w:rPr>
            </w:pPr>
            <w:r w:rsidRPr="002D07C0">
              <w:t>1.</w:t>
            </w:r>
          </w:p>
        </w:tc>
        <w:tc>
          <w:tcPr>
            <w:tcW w:w="4995" w:type="dxa"/>
            <w:tcBorders>
              <w:top w:val="single" w:sz="4" w:space="0" w:color="auto"/>
              <w:left w:val="single" w:sz="4" w:space="0" w:color="auto"/>
              <w:bottom w:val="single" w:sz="4" w:space="0" w:color="auto"/>
              <w:right w:val="single" w:sz="4" w:space="0" w:color="auto"/>
            </w:tcBorders>
            <w:shd w:val="clear" w:color="auto" w:fill="auto"/>
            <w:hideMark/>
          </w:tcPr>
          <w:p w:rsidR="00261ED1" w:rsidRPr="00E45BEE" w:rsidRDefault="00261ED1" w:rsidP="005C1044">
            <w:pPr>
              <w:rPr>
                <w:lang w:eastAsia="en-US"/>
              </w:rPr>
            </w:pPr>
            <w:r w:rsidRPr="00E45BEE">
              <w:t>Sabiedrības mērķgrupas, kuras tiesiskais regulējums ietekmē vai varētu ietekmēt</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00254C" w:rsidRPr="00E45BEE" w:rsidRDefault="00726C77" w:rsidP="005C1044">
            <w:pPr>
              <w:pStyle w:val="ListParagraph"/>
              <w:tabs>
                <w:tab w:val="left" w:pos="317"/>
              </w:tabs>
              <w:ind w:left="34"/>
              <w:jc w:val="both"/>
              <w:rPr>
                <w:bCs/>
                <w:sz w:val="24"/>
                <w:szCs w:val="24"/>
                <w:lang w:eastAsia="en-US"/>
              </w:rPr>
            </w:pPr>
            <w:r>
              <w:rPr>
                <w:sz w:val="24"/>
                <w:szCs w:val="24"/>
              </w:rPr>
              <w:t>1.2.1.2</w:t>
            </w:r>
            <w:r w:rsidR="00E45BEE" w:rsidRPr="00E45BEE">
              <w:rPr>
                <w:sz w:val="24"/>
                <w:szCs w:val="24"/>
              </w:rPr>
              <w:t xml:space="preserve">.pasākuma mērķa grupa ir </w:t>
            </w:r>
            <w:r w:rsidRPr="00726C77">
              <w:rPr>
                <w:sz w:val="24"/>
                <w:szCs w:val="24"/>
              </w:rPr>
              <w:t>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w:t>
            </w:r>
            <w:r>
              <w:rPr>
                <w:sz w:val="24"/>
                <w:szCs w:val="24"/>
              </w:rPr>
              <w:t xml:space="preserve">, </w:t>
            </w:r>
            <w:r w:rsidR="00E45BEE" w:rsidRPr="00E45BEE">
              <w:rPr>
                <w:sz w:val="24"/>
                <w:szCs w:val="24"/>
              </w:rPr>
              <w:t>mikro, mazie, vidējie un lielie komersanti.</w:t>
            </w:r>
          </w:p>
        </w:tc>
      </w:tr>
      <w:tr w:rsidR="00261ED1" w:rsidRPr="002D07C0" w:rsidTr="00624D78">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2D07C0" w:rsidRDefault="00261ED1" w:rsidP="005C1044">
            <w:pPr>
              <w:jc w:val="center"/>
            </w:pPr>
            <w:r w:rsidRPr="002D07C0">
              <w:t>2.</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E45BEE" w:rsidRDefault="00261ED1" w:rsidP="005C1044">
            <w:pPr>
              <w:rPr>
                <w:rFonts w:ascii="Arial" w:hAnsi="Arial" w:cs="Arial"/>
                <w:color w:val="414142"/>
              </w:rPr>
            </w:pPr>
            <w:r w:rsidRPr="00E45BEE">
              <w:t>Tiesiskā regulējuma ietekme uz tautsaimniecību un administratīvo slogu</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5C0EAF" w:rsidRPr="005A7DE3" w:rsidRDefault="005A7DE3" w:rsidP="005A7DE3">
            <w:pPr>
              <w:jc w:val="both"/>
            </w:pPr>
            <w:r>
              <w:t>Noteikumu projekta ietvaros tiek grozīts 1.2.1.2.pasākuma mērķis un mērķauditorijas loks</w:t>
            </w:r>
            <w:r w:rsidRPr="00AB0767">
              <w:t xml:space="preserve">, </w:t>
            </w:r>
            <w:r>
              <w:t>paplašinot</w:t>
            </w:r>
            <w:r w:rsidRPr="00ED67B4">
              <w:t xml:space="preserve"> projekta iesniedzēja</w:t>
            </w:r>
            <w:r>
              <w:t xml:space="preserve"> </w:t>
            </w:r>
            <w:r w:rsidRPr="00ED67B4">
              <w:t xml:space="preserve">(LIAA) kompetenci un tvērumu jaunuzņēmumu atbalsta jomā. Realizējot 1.2.1.2. pasākumu ir izkristalizējies, ka tehnoloģiju pārneses neatņemama sastāvdaļa ir </w:t>
            </w:r>
            <w:r w:rsidRPr="00ED67B4">
              <w:lastRenderedPageBreak/>
              <w:t>jaunuzņēmumi, kas realizē produktus ar augstu pievienoto vērtību un īsteno zināšanās balstītu</w:t>
            </w:r>
            <w:r>
              <w:t xml:space="preserve"> </w:t>
            </w:r>
            <w:r w:rsidRPr="00ED67B4">
              <w:t>p</w:t>
            </w:r>
            <w:r>
              <w:t>roduktu attīstību biznesa vidē, tādēļ ir būtiski atzīt</w:t>
            </w:r>
            <w:r w:rsidRPr="00ED67B4">
              <w:t xml:space="preserve"> jaunuzņēmumus kā būtisku tehnoloģiju pārneses ekosistēmas spēlētāju Latvijā.</w:t>
            </w:r>
          </w:p>
        </w:tc>
      </w:tr>
      <w:tr w:rsidR="00261ED1" w:rsidRPr="002D07C0" w:rsidTr="00624D78">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2D07C0" w:rsidRDefault="00261ED1" w:rsidP="005C1044">
            <w:pPr>
              <w:jc w:val="center"/>
            </w:pPr>
            <w:r w:rsidRPr="002D07C0">
              <w:lastRenderedPageBreak/>
              <w:t>3.</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E45BEE" w:rsidRDefault="00261ED1" w:rsidP="005C1044">
            <w:pPr>
              <w:rPr>
                <w:rFonts w:ascii="Arial" w:hAnsi="Arial" w:cs="Arial"/>
                <w:color w:val="414142"/>
              </w:rPr>
            </w:pPr>
            <w:r w:rsidRPr="00E45BEE">
              <w:t>Administratīvo izmaksu monetārs novērtējums</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E45BEE" w:rsidRDefault="00F61B94" w:rsidP="005C1044">
            <w:pPr>
              <w:pStyle w:val="ListParagraph"/>
              <w:tabs>
                <w:tab w:val="left" w:pos="317"/>
              </w:tabs>
              <w:ind w:left="0"/>
              <w:jc w:val="both"/>
              <w:rPr>
                <w:bCs/>
                <w:sz w:val="24"/>
                <w:szCs w:val="24"/>
                <w:lang w:eastAsia="en-US"/>
              </w:rPr>
            </w:pPr>
            <w:r w:rsidRPr="00F61B94">
              <w:rPr>
                <w:bCs/>
                <w:sz w:val="24"/>
                <w:szCs w:val="24"/>
                <w:lang w:eastAsia="en-US"/>
              </w:rPr>
              <w:t>Projekts šo jomu neskar</w:t>
            </w:r>
            <w:r>
              <w:rPr>
                <w:bCs/>
                <w:sz w:val="24"/>
                <w:szCs w:val="24"/>
                <w:lang w:eastAsia="en-US"/>
              </w:rPr>
              <w:t>.</w:t>
            </w:r>
          </w:p>
        </w:tc>
      </w:tr>
      <w:tr w:rsidR="00261ED1" w:rsidRPr="002D07C0" w:rsidTr="00624D78">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2D07C0" w:rsidRDefault="00261ED1" w:rsidP="005C1044">
            <w:pPr>
              <w:jc w:val="center"/>
            </w:pPr>
            <w:r w:rsidRPr="002D07C0">
              <w:t>4.</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2D07C0" w:rsidRDefault="00261ED1" w:rsidP="005C1044">
            <w:pPr>
              <w:rPr>
                <w:rFonts w:ascii="Arial" w:hAnsi="Arial" w:cs="Arial"/>
                <w:color w:val="414142"/>
                <w:sz w:val="20"/>
                <w:szCs w:val="20"/>
              </w:rPr>
            </w:pPr>
            <w:r w:rsidRPr="002D07C0">
              <w:t>Cita informācija</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2D07C0" w:rsidRDefault="00F61B94" w:rsidP="00F61B94">
            <w:pPr>
              <w:pStyle w:val="ListParagraph"/>
              <w:tabs>
                <w:tab w:val="left" w:pos="317"/>
              </w:tabs>
              <w:ind w:left="0"/>
              <w:jc w:val="both"/>
              <w:rPr>
                <w:bCs/>
                <w:sz w:val="24"/>
                <w:szCs w:val="24"/>
                <w:lang w:eastAsia="en-US"/>
              </w:rPr>
            </w:pPr>
            <w:r>
              <w:rPr>
                <w:bCs/>
                <w:sz w:val="24"/>
                <w:szCs w:val="24"/>
                <w:lang w:eastAsia="en-US"/>
              </w:rPr>
              <w:t>Nav.</w:t>
            </w:r>
          </w:p>
        </w:tc>
      </w:tr>
    </w:tbl>
    <w:p w:rsidR="00DF14FA" w:rsidRPr="002D07C0" w:rsidRDefault="00DF14FA" w:rsidP="005C1044">
      <w:pPr>
        <w:jc w:val="both"/>
      </w:pPr>
    </w:p>
    <w:p w:rsidR="00BC1EFB" w:rsidRPr="002D07C0" w:rsidRDefault="00BC1EFB" w:rsidP="005C1044">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946"/>
        <w:gridCol w:w="5953"/>
      </w:tblGrid>
      <w:tr w:rsidR="00330C43" w:rsidRPr="002D07C0" w:rsidTr="00663CC5">
        <w:trPr>
          <w:trHeight w:val="421"/>
        </w:trPr>
        <w:tc>
          <w:tcPr>
            <w:tcW w:w="9214" w:type="dxa"/>
            <w:gridSpan w:val="3"/>
            <w:vAlign w:val="center"/>
          </w:tcPr>
          <w:p w:rsidR="00330C43" w:rsidRPr="002D07C0" w:rsidRDefault="00330C43" w:rsidP="005C1044">
            <w:pPr>
              <w:pStyle w:val="naisnod"/>
              <w:spacing w:before="0" w:beforeAutospacing="0" w:after="0" w:afterAutospacing="0"/>
              <w:ind w:left="57" w:right="57"/>
              <w:jc w:val="center"/>
            </w:pPr>
            <w:r w:rsidRPr="002D07C0">
              <w:rPr>
                <w:b/>
              </w:rPr>
              <w:t>VI. Sabiedrības līdzdalība un komunikācijas aktivitātes</w:t>
            </w:r>
          </w:p>
        </w:tc>
      </w:tr>
      <w:tr w:rsidR="00330C43" w:rsidRPr="002D07C0" w:rsidTr="00D56142">
        <w:trPr>
          <w:trHeight w:val="553"/>
        </w:trPr>
        <w:tc>
          <w:tcPr>
            <w:tcW w:w="315" w:type="dxa"/>
          </w:tcPr>
          <w:p w:rsidR="00330C43" w:rsidRPr="002D07C0" w:rsidRDefault="00330C43" w:rsidP="005C1044">
            <w:pPr>
              <w:ind w:left="57" w:right="57"/>
              <w:jc w:val="both"/>
              <w:rPr>
                <w:bCs/>
              </w:rPr>
            </w:pPr>
            <w:r w:rsidRPr="002D07C0">
              <w:rPr>
                <w:bCs/>
              </w:rPr>
              <w:t>1.</w:t>
            </w:r>
          </w:p>
        </w:tc>
        <w:tc>
          <w:tcPr>
            <w:tcW w:w="2946" w:type="dxa"/>
          </w:tcPr>
          <w:p w:rsidR="00330C43" w:rsidRPr="002D07C0" w:rsidRDefault="00330C43" w:rsidP="005C1044">
            <w:pPr>
              <w:tabs>
                <w:tab w:val="left" w:pos="170"/>
              </w:tabs>
              <w:ind w:left="57" w:right="57"/>
            </w:pPr>
            <w:r w:rsidRPr="002D07C0">
              <w:t>Plānotās sabiedrības līdzdalības un komunikācijas aktivitātes saistībā ar projektu</w:t>
            </w:r>
          </w:p>
        </w:tc>
        <w:tc>
          <w:tcPr>
            <w:tcW w:w="5953" w:type="dxa"/>
          </w:tcPr>
          <w:p w:rsidR="0077305F" w:rsidRPr="002D07C0" w:rsidRDefault="006C3EDF" w:rsidP="005C1044">
            <w:pPr>
              <w:shd w:val="clear" w:color="auto" w:fill="FFFFFF"/>
              <w:ind w:left="57" w:right="113"/>
              <w:jc w:val="both"/>
            </w:pPr>
            <w:bookmarkStart w:id="0" w:name="p61"/>
            <w:bookmarkEnd w:id="0"/>
            <w:r w:rsidRPr="002D07C0">
              <w:t xml:space="preserve">Atbilstoši normatīvo aktu prasībām </w:t>
            </w:r>
            <w:r w:rsidR="00047C4D" w:rsidRPr="002D07C0">
              <w:t>EM</w:t>
            </w:r>
            <w:r w:rsidR="003944A8" w:rsidRPr="002D07C0">
              <w:t xml:space="preserve"> tās </w:t>
            </w:r>
            <w:r w:rsidRPr="002D07C0">
              <w:t xml:space="preserve">tīmekļa vietnē </w:t>
            </w:r>
            <w:r w:rsidR="003944A8" w:rsidRPr="002D07C0">
              <w:t>publicē</w:t>
            </w:r>
            <w:r w:rsidR="00743A0D" w:rsidRPr="002D07C0">
              <w:t xml:space="preserve"> informāciju</w:t>
            </w:r>
            <w:r w:rsidRPr="002D07C0">
              <w:t xml:space="preserve"> par noteikumu projektu un  tā virzību</w:t>
            </w:r>
            <w:r w:rsidR="00343C7B" w:rsidRPr="002D07C0">
              <w:t xml:space="preserve">. </w:t>
            </w:r>
          </w:p>
        </w:tc>
      </w:tr>
      <w:tr w:rsidR="00330C43" w:rsidRPr="002D07C0" w:rsidTr="00D56142">
        <w:trPr>
          <w:trHeight w:val="339"/>
        </w:trPr>
        <w:tc>
          <w:tcPr>
            <w:tcW w:w="315" w:type="dxa"/>
          </w:tcPr>
          <w:p w:rsidR="00330C43" w:rsidRPr="002D07C0" w:rsidRDefault="00330C43" w:rsidP="005C1044">
            <w:pPr>
              <w:ind w:left="57" w:right="57"/>
              <w:jc w:val="both"/>
              <w:rPr>
                <w:bCs/>
              </w:rPr>
            </w:pPr>
            <w:r w:rsidRPr="002D07C0">
              <w:rPr>
                <w:bCs/>
              </w:rPr>
              <w:t>2.</w:t>
            </w:r>
          </w:p>
        </w:tc>
        <w:tc>
          <w:tcPr>
            <w:tcW w:w="2946" w:type="dxa"/>
          </w:tcPr>
          <w:p w:rsidR="00330C43" w:rsidRPr="002D07C0" w:rsidRDefault="00330C43" w:rsidP="005C1044">
            <w:pPr>
              <w:ind w:left="57" w:right="57"/>
            </w:pPr>
            <w:r w:rsidRPr="002D07C0">
              <w:t>Sabiedrības līdzdalība projekta izstrādē</w:t>
            </w:r>
          </w:p>
        </w:tc>
        <w:tc>
          <w:tcPr>
            <w:tcW w:w="5953" w:type="dxa"/>
          </w:tcPr>
          <w:p w:rsidR="00B4453B" w:rsidRPr="002D07C0" w:rsidRDefault="00CF6A56" w:rsidP="005C1044">
            <w:pPr>
              <w:shd w:val="clear" w:color="auto" w:fill="FFFFFF"/>
              <w:ind w:left="57" w:right="113"/>
              <w:jc w:val="both"/>
              <w:rPr>
                <w:shd w:val="clear" w:color="auto" w:fill="FFFFFF"/>
              </w:rPr>
            </w:pPr>
            <w:bookmarkStart w:id="1" w:name="p62"/>
            <w:bookmarkEnd w:id="1"/>
            <w:r w:rsidRPr="00C3406D">
              <w:rPr>
                <w:shd w:val="clear" w:color="auto" w:fill="FFFFFF"/>
              </w:rPr>
              <w:t>Atbilstoši normatīvo aktu prasībām EM tās tīmekļa vietnē publicē informāciju par noteikumu projektu un  tā virzību.</w:t>
            </w:r>
          </w:p>
        </w:tc>
      </w:tr>
      <w:tr w:rsidR="00330C43" w:rsidRPr="002D07C0" w:rsidTr="00D56142">
        <w:trPr>
          <w:trHeight w:val="476"/>
        </w:trPr>
        <w:tc>
          <w:tcPr>
            <w:tcW w:w="315" w:type="dxa"/>
          </w:tcPr>
          <w:p w:rsidR="00330C43" w:rsidRPr="002D07C0" w:rsidRDefault="00330C43" w:rsidP="005C1044">
            <w:pPr>
              <w:ind w:left="57" w:right="57"/>
              <w:jc w:val="both"/>
              <w:rPr>
                <w:bCs/>
              </w:rPr>
            </w:pPr>
            <w:r w:rsidRPr="002D07C0">
              <w:rPr>
                <w:bCs/>
              </w:rPr>
              <w:t>3.</w:t>
            </w:r>
          </w:p>
        </w:tc>
        <w:tc>
          <w:tcPr>
            <w:tcW w:w="2946" w:type="dxa"/>
          </w:tcPr>
          <w:p w:rsidR="00330C43" w:rsidRPr="002D07C0" w:rsidRDefault="00330C43" w:rsidP="005C1044">
            <w:pPr>
              <w:ind w:left="57" w:right="57"/>
            </w:pPr>
            <w:r w:rsidRPr="002D07C0">
              <w:t>Sabiedrības līdzdalības rezultāti</w:t>
            </w:r>
          </w:p>
        </w:tc>
        <w:tc>
          <w:tcPr>
            <w:tcW w:w="5953" w:type="dxa"/>
          </w:tcPr>
          <w:p w:rsidR="00AD21F1" w:rsidRPr="002D07C0" w:rsidRDefault="00CF6A56" w:rsidP="005C1044">
            <w:pPr>
              <w:shd w:val="clear" w:color="auto" w:fill="FFFFFF"/>
              <w:ind w:left="57" w:right="113"/>
              <w:jc w:val="both"/>
              <w:rPr>
                <w:shd w:val="clear" w:color="auto" w:fill="FFFFFF"/>
              </w:rPr>
            </w:pPr>
            <w:r>
              <w:rPr>
                <w:shd w:val="clear" w:color="auto" w:fill="FFFFFF"/>
              </w:rPr>
              <w:t>MK noteikumu projekts ir labvēlīgs sabiedrības mērķgrupai.</w:t>
            </w:r>
          </w:p>
        </w:tc>
      </w:tr>
      <w:tr w:rsidR="00330C43" w:rsidRPr="002D07C0" w:rsidTr="00D56142">
        <w:trPr>
          <w:trHeight w:val="205"/>
        </w:trPr>
        <w:tc>
          <w:tcPr>
            <w:tcW w:w="315" w:type="dxa"/>
          </w:tcPr>
          <w:p w:rsidR="00330C43" w:rsidRPr="002D07C0" w:rsidRDefault="00330C43" w:rsidP="005C1044">
            <w:pPr>
              <w:ind w:left="57" w:right="57"/>
              <w:jc w:val="both"/>
              <w:rPr>
                <w:bCs/>
              </w:rPr>
            </w:pPr>
            <w:r w:rsidRPr="002D07C0">
              <w:rPr>
                <w:bCs/>
              </w:rPr>
              <w:t>4.</w:t>
            </w:r>
          </w:p>
        </w:tc>
        <w:tc>
          <w:tcPr>
            <w:tcW w:w="2946" w:type="dxa"/>
          </w:tcPr>
          <w:p w:rsidR="00330C43" w:rsidRPr="002D07C0" w:rsidRDefault="00330C43" w:rsidP="005C1044">
            <w:pPr>
              <w:ind w:left="57" w:right="57"/>
            </w:pPr>
            <w:r w:rsidRPr="002D07C0">
              <w:t>Cita informācija</w:t>
            </w:r>
          </w:p>
        </w:tc>
        <w:tc>
          <w:tcPr>
            <w:tcW w:w="5953" w:type="dxa"/>
          </w:tcPr>
          <w:p w:rsidR="00330C43" w:rsidRPr="002D07C0" w:rsidRDefault="003805E5" w:rsidP="005C1044">
            <w:pPr>
              <w:ind w:left="57" w:right="113"/>
              <w:jc w:val="both"/>
            </w:pPr>
            <w:r w:rsidRPr="002D07C0">
              <w:t>Nav.</w:t>
            </w:r>
          </w:p>
        </w:tc>
      </w:tr>
    </w:tbl>
    <w:p w:rsidR="00282E1F" w:rsidRPr="002D07C0" w:rsidRDefault="00282E1F" w:rsidP="005C1044">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3495"/>
        <w:gridCol w:w="5376"/>
      </w:tblGrid>
      <w:tr w:rsidR="00282E1F" w:rsidRPr="002D07C0" w:rsidTr="00663CC5">
        <w:trPr>
          <w:trHeight w:val="421"/>
        </w:trPr>
        <w:tc>
          <w:tcPr>
            <w:tcW w:w="9204" w:type="dxa"/>
            <w:gridSpan w:val="3"/>
            <w:vAlign w:val="center"/>
          </w:tcPr>
          <w:p w:rsidR="00282E1F" w:rsidRPr="002D07C0" w:rsidRDefault="00282E1F" w:rsidP="005C1044">
            <w:pPr>
              <w:pStyle w:val="naisnod"/>
              <w:spacing w:before="0" w:beforeAutospacing="0" w:after="0" w:afterAutospacing="0"/>
              <w:ind w:left="57" w:right="57"/>
              <w:jc w:val="center"/>
            </w:pPr>
            <w:r w:rsidRPr="002D07C0">
              <w:rPr>
                <w:b/>
              </w:rPr>
              <w:t>VII. Tiesību akta projekta izpildes nodrošināšana un tās ietekme uz institūcijām</w:t>
            </w:r>
          </w:p>
        </w:tc>
      </w:tr>
      <w:tr w:rsidR="00282E1F" w:rsidRPr="002D07C0" w:rsidTr="00D56142">
        <w:trPr>
          <w:trHeight w:val="553"/>
        </w:trPr>
        <w:tc>
          <w:tcPr>
            <w:tcW w:w="333" w:type="dxa"/>
          </w:tcPr>
          <w:p w:rsidR="00282E1F" w:rsidRPr="002D07C0" w:rsidRDefault="00282E1F" w:rsidP="005C1044">
            <w:pPr>
              <w:ind w:left="57" w:right="57"/>
              <w:jc w:val="both"/>
              <w:rPr>
                <w:bCs/>
              </w:rPr>
            </w:pPr>
            <w:r w:rsidRPr="002D07C0">
              <w:rPr>
                <w:bCs/>
              </w:rPr>
              <w:t>1.</w:t>
            </w:r>
          </w:p>
        </w:tc>
        <w:tc>
          <w:tcPr>
            <w:tcW w:w="3495" w:type="dxa"/>
          </w:tcPr>
          <w:p w:rsidR="00282E1F" w:rsidRPr="002D07C0" w:rsidRDefault="00282E1F" w:rsidP="005C1044">
            <w:pPr>
              <w:ind w:left="57" w:right="57"/>
            </w:pPr>
            <w:r w:rsidRPr="002D07C0">
              <w:t>Projekta izpildē iesaistītās institūcijas</w:t>
            </w:r>
          </w:p>
        </w:tc>
        <w:tc>
          <w:tcPr>
            <w:tcW w:w="5376" w:type="dxa"/>
          </w:tcPr>
          <w:p w:rsidR="00282E1F" w:rsidRPr="002D07C0" w:rsidRDefault="005964BF" w:rsidP="002127ED">
            <w:pPr>
              <w:shd w:val="clear" w:color="auto" w:fill="FFFFFF"/>
              <w:ind w:left="57" w:right="113"/>
              <w:jc w:val="both"/>
            </w:pPr>
            <w:r>
              <w:rPr>
                <w:rFonts w:eastAsia="Times New Roman"/>
              </w:rPr>
              <w:t xml:space="preserve">Ekonomikas ministrija un </w:t>
            </w:r>
            <w:r w:rsidRPr="007327FD">
              <w:rPr>
                <w:rFonts w:eastAsia="Times New Roman"/>
              </w:rPr>
              <w:t>Latvijas Investīciju un attīstības aģentūra</w:t>
            </w:r>
            <w:r>
              <w:t xml:space="preserve"> kā projekta īstenotājs</w:t>
            </w:r>
            <w:r w:rsidRPr="002D07C0">
              <w:t xml:space="preserve">, kā arī </w:t>
            </w:r>
            <w:r>
              <w:t>Centrālā finanšu un līgumu aģentūra</w:t>
            </w:r>
            <w:r w:rsidRPr="002D07C0">
              <w:t xml:space="preserve"> kā sadarbības iestāde.</w:t>
            </w:r>
          </w:p>
        </w:tc>
      </w:tr>
      <w:tr w:rsidR="00282E1F" w:rsidRPr="002D07C0" w:rsidTr="00D56142">
        <w:trPr>
          <w:trHeight w:val="339"/>
        </w:trPr>
        <w:tc>
          <w:tcPr>
            <w:tcW w:w="333" w:type="dxa"/>
          </w:tcPr>
          <w:p w:rsidR="00282E1F" w:rsidRPr="002D07C0" w:rsidRDefault="00282E1F" w:rsidP="005C1044">
            <w:pPr>
              <w:ind w:left="57" w:right="57"/>
              <w:jc w:val="both"/>
              <w:rPr>
                <w:bCs/>
              </w:rPr>
            </w:pPr>
            <w:r w:rsidRPr="002D07C0">
              <w:rPr>
                <w:bCs/>
              </w:rPr>
              <w:t>2.</w:t>
            </w:r>
          </w:p>
        </w:tc>
        <w:tc>
          <w:tcPr>
            <w:tcW w:w="3495" w:type="dxa"/>
          </w:tcPr>
          <w:p w:rsidR="00282E1F" w:rsidRPr="002D07C0" w:rsidRDefault="00282E1F" w:rsidP="005C1044">
            <w:pPr>
              <w:ind w:left="57" w:right="57"/>
            </w:pPr>
            <w:r w:rsidRPr="002D07C0">
              <w:t xml:space="preserve">Projekta izpildes ietekme uz pārvaldes funkcijām un institucionālo struktūru. </w:t>
            </w:r>
          </w:p>
          <w:p w:rsidR="00282E1F" w:rsidRPr="002D07C0" w:rsidRDefault="00282E1F" w:rsidP="005C1044">
            <w:pPr>
              <w:ind w:left="57" w:right="57"/>
            </w:pPr>
            <w:r w:rsidRPr="002D07C0">
              <w:t>Jaunu institūciju izveide, esošu institūciju likvidācija vai reorganizācija, to ietekme uz institūcijas cilvēkresursiem</w:t>
            </w:r>
          </w:p>
        </w:tc>
        <w:tc>
          <w:tcPr>
            <w:tcW w:w="5376" w:type="dxa"/>
          </w:tcPr>
          <w:p w:rsidR="00282E1F" w:rsidRPr="002D07C0" w:rsidRDefault="00EE03B3" w:rsidP="005C1044">
            <w:pPr>
              <w:shd w:val="clear" w:color="auto" w:fill="FFFFFF"/>
              <w:ind w:left="57" w:right="113"/>
              <w:jc w:val="both"/>
              <w:rPr>
                <w:kern w:val="24"/>
              </w:rPr>
            </w:pPr>
            <w:r w:rsidRPr="002D07C0">
              <w:t>Nav plānota jaunu institūciju izveide, esošu institūciju likvidācija vai reorga</w:t>
            </w:r>
            <w:r w:rsidRPr="002D07C0">
              <w:softHyphen/>
              <w:t>nizācija.</w:t>
            </w:r>
          </w:p>
        </w:tc>
      </w:tr>
      <w:tr w:rsidR="00282E1F" w:rsidRPr="002D07C0" w:rsidTr="00D56142">
        <w:trPr>
          <w:trHeight w:val="476"/>
        </w:trPr>
        <w:tc>
          <w:tcPr>
            <w:tcW w:w="333" w:type="dxa"/>
          </w:tcPr>
          <w:p w:rsidR="00282E1F" w:rsidRPr="002D07C0" w:rsidRDefault="00282E1F" w:rsidP="005C1044">
            <w:pPr>
              <w:ind w:left="57" w:right="57"/>
              <w:jc w:val="both"/>
              <w:rPr>
                <w:bCs/>
              </w:rPr>
            </w:pPr>
            <w:r w:rsidRPr="002D07C0">
              <w:rPr>
                <w:bCs/>
              </w:rPr>
              <w:t>3.</w:t>
            </w:r>
          </w:p>
        </w:tc>
        <w:tc>
          <w:tcPr>
            <w:tcW w:w="3495" w:type="dxa"/>
          </w:tcPr>
          <w:p w:rsidR="00282E1F" w:rsidRPr="002D07C0" w:rsidRDefault="00282E1F" w:rsidP="005C1044">
            <w:pPr>
              <w:ind w:left="57" w:right="57"/>
            </w:pPr>
            <w:r w:rsidRPr="002D07C0">
              <w:t>Cita informācija</w:t>
            </w:r>
          </w:p>
        </w:tc>
        <w:tc>
          <w:tcPr>
            <w:tcW w:w="5376" w:type="dxa"/>
          </w:tcPr>
          <w:p w:rsidR="00282E1F" w:rsidRPr="002D07C0" w:rsidRDefault="00EE03B3" w:rsidP="005C1044">
            <w:pPr>
              <w:shd w:val="clear" w:color="auto" w:fill="FFFFFF"/>
              <w:ind w:left="57" w:right="113"/>
              <w:jc w:val="both"/>
            </w:pPr>
            <w:r w:rsidRPr="002D07C0">
              <w:t>Nav</w:t>
            </w:r>
            <w:r w:rsidR="00DD1F5F" w:rsidRPr="002D07C0">
              <w:t>.</w:t>
            </w:r>
            <w:r w:rsidRPr="002D07C0">
              <w:t xml:space="preserve"> </w:t>
            </w:r>
          </w:p>
        </w:tc>
      </w:tr>
    </w:tbl>
    <w:p w:rsidR="00663CC5" w:rsidRDefault="00663CC5" w:rsidP="005C1044">
      <w:pPr>
        <w:jc w:val="both"/>
        <w:rPr>
          <w:b/>
        </w:rPr>
      </w:pPr>
    </w:p>
    <w:p w:rsidR="009F6D57" w:rsidRPr="009F6D57" w:rsidRDefault="009F6D57" w:rsidP="009F6D57">
      <w:pPr>
        <w:jc w:val="both"/>
        <w:rPr>
          <w:b/>
        </w:rPr>
      </w:pPr>
      <w:r w:rsidRPr="009F6D57">
        <w:rPr>
          <w:b/>
        </w:rPr>
        <w:t>Anotācijas III, IV un V sadaļa – projekts šīs jomas neskar.</w:t>
      </w:r>
    </w:p>
    <w:p w:rsidR="00F31316" w:rsidRDefault="00F31316" w:rsidP="005C1044">
      <w:pPr>
        <w:jc w:val="both"/>
        <w:rPr>
          <w:b/>
        </w:rPr>
      </w:pPr>
    </w:p>
    <w:p w:rsidR="00CF13B3" w:rsidRDefault="00CF13B3" w:rsidP="005C1044">
      <w:pPr>
        <w:jc w:val="both"/>
      </w:pPr>
    </w:p>
    <w:p w:rsidR="00CF6A56" w:rsidRPr="00925435" w:rsidRDefault="00CF6A56" w:rsidP="005C1044">
      <w:pPr>
        <w:jc w:val="both"/>
      </w:pPr>
      <w:r w:rsidRPr="00925435">
        <w:t>Ministru prezidenta biedrs,</w:t>
      </w:r>
    </w:p>
    <w:p w:rsidR="00CF6A56" w:rsidRDefault="005C1044" w:rsidP="005C1044">
      <w:pPr>
        <w:tabs>
          <w:tab w:val="right" w:pos="9071"/>
        </w:tabs>
      </w:pPr>
      <w:r>
        <w:t>ekonomikas ministrs</w:t>
      </w:r>
      <w:r>
        <w:tab/>
      </w:r>
      <w:r w:rsidR="00CF6A56">
        <w:t>A.Ašeradens</w:t>
      </w:r>
    </w:p>
    <w:p w:rsidR="00CF6A56" w:rsidRPr="004E0D61" w:rsidRDefault="00CF6A56" w:rsidP="005C1044">
      <w:pPr>
        <w:tabs>
          <w:tab w:val="right" w:pos="7938"/>
        </w:tabs>
      </w:pPr>
      <w:r w:rsidRPr="004E0D61">
        <w:tab/>
      </w:r>
    </w:p>
    <w:p w:rsidR="00F31316" w:rsidRDefault="00F31316" w:rsidP="005C1044">
      <w:pPr>
        <w:tabs>
          <w:tab w:val="right" w:pos="9071"/>
        </w:tabs>
      </w:pPr>
    </w:p>
    <w:p w:rsidR="00F31316" w:rsidRDefault="00F31316" w:rsidP="005C1044">
      <w:pPr>
        <w:tabs>
          <w:tab w:val="right" w:pos="9071"/>
        </w:tabs>
      </w:pPr>
    </w:p>
    <w:p w:rsidR="00CF6A56" w:rsidRDefault="00CF6A56" w:rsidP="005C1044">
      <w:pPr>
        <w:tabs>
          <w:tab w:val="right" w:pos="9071"/>
        </w:tabs>
      </w:pPr>
      <w:r>
        <w:t>Vīza: V</w:t>
      </w:r>
      <w:r w:rsidR="005C1044">
        <w:t>alsts sekretārs</w:t>
      </w:r>
      <w:r w:rsidR="005C1044">
        <w:tab/>
      </w:r>
      <w:r>
        <w:t xml:space="preserve">J.Stinka </w:t>
      </w:r>
    </w:p>
    <w:p w:rsidR="007203E9" w:rsidRPr="009313E6" w:rsidRDefault="007203E9" w:rsidP="005C1044">
      <w:pPr>
        <w:pStyle w:val="Header"/>
        <w:tabs>
          <w:tab w:val="clear" w:pos="4153"/>
          <w:tab w:val="clear" w:pos="8306"/>
        </w:tabs>
        <w:rPr>
          <w:sz w:val="20"/>
          <w:szCs w:val="20"/>
          <w:lang w:val="lv-LV"/>
        </w:rPr>
      </w:pPr>
    </w:p>
    <w:p w:rsidR="00F31316" w:rsidRDefault="00F31316" w:rsidP="004967EA">
      <w:pPr>
        <w:pStyle w:val="naislab"/>
        <w:spacing w:before="0" w:after="0"/>
        <w:jc w:val="left"/>
      </w:pPr>
    </w:p>
    <w:p w:rsidR="009037F9" w:rsidRDefault="009037F9" w:rsidP="00816E74">
      <w:pPr>
        <w:pStyle w:val="naislab"/>
        <w:spacing w:before="0" w:after="0"/>
        <w:jc w:val="left"/>
        <w:rPr>
          <w:noProof/>
        </w:rPr>
      </w:pPr>
      <w:bookmarkStart w:id="2" w:name="_GoBack"/>
      <w:bookmarkEnd w:id="2"/>
    </w:p>
    <w:p w:rsidR="009037F9" w:rsidRPr="008D7912" w:rsidRDefault="00CF13B3" w:rsidP="00134FB3">
      <w:pPr>
        <w:pStyle w:val="naislab"/>
        <w:tabs>
          <w:tab w:val="center" w:pos="4535"/>
        </w:tabs>
        <w:spacing w:before="0" w:after="0"/>
        <w:jc w:val="left"/>
        <w:rPr>
          <w:noProof/>
          <w:sz w:val="20"/>
        </w:rPr>
      </w:pPr>
      <w:r w:rsidRPr="008D7912">
        <w:rPr>
          <w:noProof/>
          <w:sz w:val="20"/>
        </w:rPr>
        <w:t>Siliņš</w:t>
      </w:r>
      <w:r w:rsidR="009037F9" w:rsidRPr="008D7912">
        <w:rPr>
          <w:noProof/>
          <w:sz w:val="20"/>
        </w:rPr>
        <w:t xml:space="preserve">, </w:t>
      </w:r>
      <w:r w:rsidRPr="008D7912">
        <w:rPr>
          <w:noProof/>
          <w:sz w:val="20"/>
        </w:rPr>
        <w:t>6701300</w:t>
      </w:r>
      <w:r w:rsidR="00134FB3" w:rsidRPr="008D7912">
        <w:rPr>
          <w:noProof/>
          <w:sz w:val="20"/>
        </w:rPr>
        <w:t>5</w:t>
      </w:r>
    </w:p>
    <w:p w:rsidR="00E068C7" w:rsidRPr="008D7912" w:rsidRDefault="00CF13B3" w:rsidP="00134FB3">
      <w:pPr>
        <w:pStyle w:val="naislab"/>
        <w:tabs>
          <w:tab w:val="center" w:pos="4535"/>
        </w:tabs>
        <w:spacing w:before="0" w:after="0"/>
        <w:jc w:val="left"/>
        <w:rPr>
          <w:noProof/>
          <w:sz w:val="22"/>
        </w:rPr>
      </w:pPr>
      <w:r w:rsidRPr="008D7912">
        <w:rPr>
          <w:noProof/>
          <w:sz w:val="20"/>
        </w:rPr>
        <w:t>Janis.Silins</w:t>
      </w:r>
      <w:r w:rsidR="009037F9" w:rsidRPr="008D7912">
        <w:rPr>
          <w:noProof/>
          <w:sz w:val="20"/>
        </w:rPr>
        <w:t>@em.gov.lv</w:t>
      </w:r>
      <w:r w:rsidR="00A32A9B" w:rsidRPr="008D7912">
        <w:rPr>
          <w:noProof/>
          <w:sz w:val="22"/>
        </w:rPr>
        <w:tab/>
      </w:r>
    </w:p>
    <w:sectPr w:rsidR="00E068C7" w:rsidRPr="008D7912" w:rsidSect="00BB3106">
      <w:headerReference w:type="default" r:id="rId12"/>
      <w:footerReference w:type="even" r:id="rId13"/>
      <w:footerReference w:type="default" r:id="rId14"/>
      <w:headerReference w:type="first" r:id="rId15"/>
      <w:footerReference w:type="first" r:id="rId16"/>
      <w:pgSz w:w="11906" w:h="16838"/>
      <w:pgMar w:top="1134" w:right="1134"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7E" w:rsidRDefault="00F02D7E">
      <w:r>
        <w:separator/>
      </w:r>
    </w:p>
  </w:endnote>
  <w:endnote w:type="continuationSeparator" w:id="0">
    <w:p w:rsidR="00F02D7E" w:rsidRDefault="00F0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186C21" w:rsidRDefault="004C047A"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DE2067" w:rsidRDefault="00CF13B3" w:rsidP="004C33AD">
    <w:pPr>
      <w:pStyle w:val="Footer"/>
      <w:jc w:val="both"/>
    </w:pPr>
    <w:r w:rsidRPr="00CF13B3">
      <w:rPr>
        <w:bCs/>
        <w:noProof/>
        <w:sz w:val="20"/>
        <w:szCs w:val="20"/>
      </w:rPr>
      <w:t>EMAnot_28092017_groz692.docx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3903A8" w:rsidRDefault="00CF13B3" w:rsidP="00504A53">
    <w:pPr>
      <w:tabs>
        <w:tab w:val="left" w:pos="9071"/>
      </w:tabs>
      <w:ind w:right="-1"/>
      <w:jc w:val="both"/>
      <w:rPr>
        <w:sz w:val="20"/>
        <w:szCs w:val="20"/>
      </w:rPr>
    </w:pPr>
    <w:r w:rsidRPr="00CF13B3">
      <w:rPr>
        <w:bCs/>
        <w:noProof/>
        <w:sz w:val="20"/>
        <w:szCs w:val="20"/>
      </w:rPr>
      <w:t>EMAnot_28092017_groz692.docx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7E" w:rsidRDefault="00F02D7E">
      <w:r>
        <w:separator/>
      </w:r>
    </w:p>
  </w:footnote>
  <w:footnote w:type="continuationSeparator" w:id="0">
    <w:p w:rsidR="00F02D7E" w:rsidRDefault="00F0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Default="004C047A"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912">
      <w:rPr>
        <w:rStyle w:val="PageNumber"/>
        <w:noProof/>
      </w:rPr>
      <w:t>9</w:t>
    </w:r>
    <w:r>
      <w:rPr>
        <w:rStyle w:val="PageNumber"/>
      </w:rPr>
      <w:fldChar w:fldCharType="end"/>
    </w:r>
  </w:p>
  <w:p w:rsidR="004C047A" w:rsidRDefault="004C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433CA3" w:rsidRDefault="004C047A"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E99"/>
    <w:multiLevelType w:val="hybridMultilevel"/>
    <w:tmpl w:val="2C3EA3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B5833"/>
    <w:multiLevelType w:val="hybridMultilevel"/>
    <w:tmpl w:val="D1C2B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E4A58"/>
    <w:multiLevelType w:val="hybridMultilevel"/>
    <w:tmpl w:val="B9765B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005251"/>
    <w:multiLevelType w:val="hybridMultilevel"/>
    <w:tmpl w:val="A52E4EE0"/>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913CFB"/>
    <w:multiLevelType w:val="hybridMultilevel"/>
    <w:tmpl w:val="FAB46C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9E3BFF"/>
    <w:multiLevelType w:val="hybridMultilevel"/>
    <w:tmpl w:val="ECA89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8" w15:restartNumberingAfterBreak="0">
    <w:nsid w:val="44AA631A"/>
    <w:multiLevelType w:val="hybridMultilevel"/>
    <w:tmpl w:val="479810D6"/>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9"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1"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3E3906"/>
    <w:multiLevelType w:val="hybridMultilevel"/>
    <w:tmpl w:val="A11EA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513970"/>
    <w:multiLevelType w:val="hybridMultilevel"/>
    <w:tmpl w:val="770200A6"/>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0A3599"/>
    <w:multiLevelType w:val="hybridMultilevel"/>
    <w:tmpl w:val="C6BA8B5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5455A1"/>
    <w:multiLevelType w:val="hybridMultilevel"/>
    <w:tmpl w:val="AE128060"/>
    <w:lvl w:ilvl="0" w:tplc="0426000D">
      <w:start w:val="1"/>
      <w:numFmt w:val="bullet"/>
      <w:lvlText w:val=""/>
      <w:lvlJc w:val="left"/>
      <w:pPr>
        <w:ind w:left="788" w:hanging="360"/>
      </w:pPr>
      <w:rPr>
        <w:rFonts w:ascii="Wingdings" w:hAnsi="Wingding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1"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3"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7" w15:restartNumberingAfterBreak="0">
    <w:nsid w:val="75B617A8"/>
    <w:multiLevelType w:val="hybridMultilevel"/>
    <w:tmpl w:val="FB487BEA"/>
    <w:lvl w:ilvl="0" w:tplc="45FAE8A0">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8"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8"/>
  </w:num>
  <w:num w:numId="3">
    <w:abstractNumId w:val="38"/>
  </w:num>
  <w:num w:numId="4">
    <w:abstractNumId w:val="36"/>
  </w:num>
  <w:num w:numId="5">
    <w:abstractNumId w:val="9"/>
  </w:num>
  <w:num w:numId="6">
    <w:abstractNumId w:val="24"/>
  </w:num>
  <w:num w:numId="7">
    <w:abstractNumId w:val="16"/>
  </w:num>
  <w:num w:numId="8">
    <w:abstractNumId w:val="7"/>
  </w:num>
  <w:num w:numId="9">
    <w:abstractNumId w:val="6"/>
  </w:num>
  <w:num w:numId="10">
    <w:abstractNumId w:val="10"/>
  </w:num>
  <w:num w:numId="11">
    <w:abstractNumId w:val="17"/>
  </w:num>
  <w:num w:numId="12">
    <w:abstractNumId w:val="35"/>
  </w:num>
  <w:num w:numId="13">
    <w:abstractNumId w:val="20"/>
  </w:num>
  <w:num w:numId="14">
    <w:abstractNumId w:val="32"/>
  </w:num>
  <w:num w:numId="15">
    <w:abstractNumId w:val="3"/>
  </w:num>
  <w:num w:numId="16">
    <w:abstractNumId w:val="39"/>
  </w:num>
  <w:num w:numId="17">
    <w:abstractNumId w:val="5"/>
  </w:num>
  <w:num w:numId="18">
    <w:abstractNumId w:val="28"/>
  </w:num>
  <w:num w:numId="19">
    <w:abstractNumId w:val="22"/>
  </w:num>
  <w:num w:numId="20">
    <w:abstractNumId w:val="19"/>
  </w:num>
  <w:num w:numId="21">
    <w:abstractNumId w:val="21"/>
  </w:num>
  <w:num w:numId="22">
    <w:abstractNumId w:val="33"/>
  </w:num>
  <w:num w:numId="23">
    <w:abstractNumId w:val="29"/>
  </w:num>
  <w:num w:numId="24">
    <w:abstractNumId w:val="31"/>
  </w:num>
  <w:num w:numId="25">
    <w:abstractNumId w:val="25"/>
  </w:num>
  <w:num w:numId="26">
    <w:abstractNumId w:val="34"/>
  </w:num>
  <w:num w:numId="27">
    <w:abstractNumId w:val="15"/>
  </w:num>
  <w:num w:numId="28">
    <w:abstractNumId w:val="4"/>
  </w:num>
  <w:num w:numId="29">
    <w:abstractNumId w:val="37"/>
  </w:num>
  <w:num w:numId="30">
    <w:abstractNumId w:val="23"/>
  </w:num>
  <w:num w:numId="31">
    <w:abstractNumId w:val="11"/>
  </w:num>
  <w:num w:numId="32">
    <w:abstractNumId w:val="26"/>
  </w:num>
  <w:num w:numId="33">
    <w:abstractNumId w:val="27"/>
  </w:num>
  <w:num w:numId="34">
    <w:abstractNumId w:val="14"/>
  </w:num>
  <w:num w:numId="35">
    <w:abstractNumId w:val="0"/>
  </w:num>
  <w:num w:numId="36">
    <w:abstractNumId w:val="2"/>
  </w:num>
  <w:num w:numId="37">
    <w:abstractNumId w:val="1"/>
  </w:num>
  <w:num w:numId="38">
    <w:abstractNumId w:val="18"/>
  </w:num>
  <w:num w:numId="39">
    <w:abstractNumId w:val="3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doNotShadeFormData/>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B8D"/>
    <w:rsid w:val="00000A3B"/>
    <w:rsid w:val="000015AC"/>
    <w:rsid w:val="0000172D"/>
    <w:rsid w:val="00002171"/>
    <w:rsid w:val="0000254C"/>
    <w:rsid w:val="00002B49"/>
    <w:rsid w:val="00002E0E"/>
    <w:rsid w:val="00003A26"/>
    <w:rsid w:val="00003B08"/>
    <w:rsid w:val="000054C8"/>
    <w:rsid w:val="000069F6"/>
    <w:rsid w:val="00006CDD"/>
    <w:rsid w:val="000070AB"/>
    <w:rsid w:val="00007342"/>
    <w:rsid w:val="00010130"/>
    <w:rsid w:val="0001036C"/>
    <w:rsid w:val="00010489"/>
    <w:rsid w:val="00010917"/>
    <w:rsid w:val="00010D44"/>
    <w:rsid w:val="0001104C"/>
    <w:rsid w:val="00011F50"/>
    <w:rsid w:val="000126CC"/>
    <w:rsid w:val="00013582"/>
    <w:rsid w:val="00014D26"/>
    <w:rsid w:val="00016A4F"/>
    <w:rsid w:val="00016DB8"/>
    <w:rsid w:val="00016FFA"/>
    <w:rsid w:val="00020610"/>
    <w:rsid w:val="00021136"/>
    <w:rsid w:val="00021948"/>
    <w:rsid w:val="000226EF"/>
    <w:rsid w:val="00022716"/>
    <w:rsid w:val="00022ADB"/>
    <w:rsid w:val="00023A5E"/>
    <w:rsid w:val="00025982"/>
    <w:rsid w:val="00025D9F"/>
    <w:rsid w:val="000261F2"/>
    <w:rsid w:val="0002670D"/>
    <w:rsid w:val="000276C4"/>
    <w:rsid w:val="00027C48"/>
    <w:rsid w:val="00031531"/>
    <w:rsid w:val="00032C84"/>
    <w:rsid w:val="00032CC9"/>
    <w:rsid w:val="00033622"/>
    <w:rsid w:val="00033962"/>
    <w:rsid w:val="00035163"/>
    <w:rsid w:val="00035750"/>
    <w:rsid w:val="000363D2"/>
    <w:rsid w:val="00036BA5"/>
    <w:rsid w:val="00037EA8"/>
    <w:rsid w:val="00041C63"/>
    <w:rsid w:val="0004227B"/>
    <w:rsid w:val="000439E5"/>
    <w:rsid w:val="00043C55"/>
    <w:rsid w:val="00046B88"/>
    <w:rsid w:val="0004745A"/>
    <w:rsid w:val="0004782E"/>
    <w:rsid w:val="00047ADE"/>
    <w:rsid w:val="00047C4D"/>
    <w:rsid w:val="000501E1"/>
    <w:rsid w:val="000503D4"/>
    <w:rsid w:val="000518A7"/>
    <w:rsid w:val="00056289"/>
    <w:rsid w:val="00056326"/>
    <w:rsid w:val="00057D59"/>
    <w:rsid w:val="000600BF"/>
    <w:rsid w:val="000605F8"/>
    <w:rsid w:val="00061BA5"/>
    <w:rsid w:val="00062143"/>
    <w:rsid w:val="000624F1"/>
    <w:rsid w:val="000643D4"/>
    <w:rsid w:val="000648AC"/>
    <w:rsid w:val="00064C5E"/>
    <w:rsid w:val="00065F9C"/>
    <w:rsid w:val="0006611D"/>
    <w:rsid w:val="000663AF"/>
    <w:rsid w:val="000671DF"/>
    <w:rsid w:val="000706BF"/>
    <w:rsid w:val="00070927"/>
    <w:rsid w:val="000715EF"/>
    <w:rsid w:val="000716C4"/>
    <w:rsid w:val="00072326"/>
    <w:rsid w:val="00075707"/>
    <w:rsid w:val="00076AD3"/>
    <w:rsid w:val="000805C2"/>
    <w:rsid w:val="00080875"/>
    <w:rsid w:val="00080F7E"/>
    <w:rsid w:val="00081113"/>
    <w:rsid w:val="000817DA"/>
    <w:rsid w:val="00083A4D"/>
    <w:rsid w:val="00084A32"/>
    <w:rsid w:val="00085257"/>
    <w:rsid w:val="00085C7A"/>
    <w:rsid w:val="00086C25"/>
    <w:rsid w:val="00086F28"/>
    <w:rsid w:val="0008752E"/>
    <w:rsid w:val="0009001A"/>
    <w:rsid w:val="00091649"/>
    <w:rsid w:val="0009178C"/>
    <w:rsid w:val="000919A4"/>
    <w:rsid w:val="0009201C"/>
    <w:rsid w:val="00093676"/>
    <w:rsid w:val="00094212"/>
    <w:rsid w:val="0009448B"/>
    <w:rsid w:val="00094926"/>
    <w:rsid w:val="00095292"/>
    <w:rsid w:val="000952A1"/>
    <w:rsid w:val="00096395"/>
    <w:rsid w:val="0009693B"/>
    <w:rsid w:val="000A0387"/>
    <w:rsid w:val="000A03A6"/>
    <w:rsid w:val="000A2823"/>
    <w:rsid w:val="000A30C6"/>
    <w:rsid w:val="000A3888"/>
    <w:rsid w:val="000A423C"/>
    <w:rsid w:val="000A534A"/>
    <w:rsid w:val="000A5697"/>
    <w:rsid w:val="000A697B"/>
    <w:rsid w:val="000A79AB"/>
    <w:rsid w:val="000B2D8F"/>
    <w:rsid w:val="000B3E3D"/>
    <w:rsid w:val="000B3E6C"/>
    <w:rsid w:val="000B46E1"/>
    <w:rsid w:val="000B4CB2"/>
    <w:rsid w:val="000B582B"/>
    <w:rsid w:val="000B744A"/>
    <w:rsid w:val="000B74F2"/>
    <w:rsid w:val="000B7AB5"/>
    <w:rsid w:val="000C0B70"/>
    <w:rsid w:val="000C0F79"/>
    <w:rsid w:val="000C1255"/>
    <w:rsid w:val="000C3696"/>
    <w:rsid w:val="000C4F50"/>
    <w:rsid w:val="000C5252"/>
    <w:rsid w:val="000C6464"/>
    <w:rsid w:val="000C7E15"/>
    <w:rsid w:val="000D0DCE"/>
    <w:rsid w:val="000D1838"/>
    <w:rsid w:val="000D2016"/>
    <w:rsid w:val="000D208D"/>
    <w:rsid w:val="000D2C17"/>
    <w:rsid w:val="000D2E24"/>
    <w:rsid w:val="000D34A8"/>
    <w:rsid w:val="000D3D70"/>
    <w:rsid w:val="000D4C0F"/>
    <w:rsid w:val="000D51C1"/>
    <w:rsid w:val="000D5433"/>
    <w:rsid w:val="000D5611"/>
    <w:rsid w:val="000D5891"/>
    <w:rsid w:val="000D6789"/>
    <w:rsid w:val="000D7999"/>
    <w:rsid w:val="000E120B"/>
    <w:rsid w:val="000E2161"/>
    <w:rsid w:val="000E327F"/>
    <w:rsid w:val="000E418E"/>
    <w:rsid w:val="000E43ED"/>
    <w:rsid w:val="000E5231"/>
    <w:rsid w:val="000E5B15"/>
    <w:rsid w:val="000E5BDF"/>
    <w:rsid w:val="000E63C6"/>
    <w:rsid w:val="000E6573"/>
    <w:rsid w:val="000E6952"/>
    <w:rsid w:val="000E6DCD"/>
    <w:rsid w:val="000F06A3"/>
    <w:rsid w:val="000F0C52"/>
    <w:rsid w:val="000F0E3B"/>
    <w:rsid w:val="000F14BE"/>
    <w:rsid w:val="000F288D"/>
    <w:rsid w:val="000F2A34"/>
    <w:rsid w:val="000F3247"/>
    <w:rsid w:val="000F4DC7"/>
    <w:rsid w:val="000F4F3B"/>
    <w:rsid w:val="000F53FE"/>
    <w:rsid w:val="000F56A7"/>
    <w:rsid w:val="000F7B86"/>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06976"/>
    <w:rsid w:val="0011299A"/>
    <w:rsid w:val="00112F49"/>
    <w:rsid w:val="00113BA6"/>
    <w:rsid w:val="00115480"/>
    <w:rsid w:val="0011584F"/>
    <w:rsid w:val="00116C54"/>
    <w:rsid w:val="00116D27"/>
    <w:rsid w:val="00120406"/>
    <w:rsid w:val="001206A2"/>
    <w:rsid w:val="00120ACA"/>
    <w:rsid w:val="00121D4F"/>
    <w:rsid w:val="00121F0F"/>
    <w:rsid w:val="001221A7"/>
    <w:rsid w:val="001246EA"/>
    <w:rsid w:val="00124F0E"/>
    <w:rsid w:val="00125297"/>
    <w:rsid w:val="00125BE7"/>
    <w:rsid w:val="001267AF"/>
    <w:rsid w:val="00126C02"/>
    <w:rsid w:val="00126F8A"/>
    <w:rsid w:val="00130B8C"/>
    <w:rsid w:val="001320BC"/>
    <w:rsid w:val="001323C1"/>
    <w:rsid w:val="001333C1"/>
    <w:rsid w:val="00133C20"/>
    <w:rsid w:val="00134FB3"/>
    <w:rsid w:val="001356F7"/>
    <w:rsid w:val="00136085"/>
    <w:rsid w:val="0013629F"/>
    <w:rsid w:val="00136B1B"/>
    <w:rsid w:val="001404C5"/>
    <w:rsid w:val="001408A3"/>
    <w:rsid w:val="001418C6"/>
    <w:rsid w:val="00141D62"/>
    <w:rsid w:val="001428A9"/>
    <w:rsid w:val="00142902"/>
    <w:rsid w:val="00142AEA"/>
    <w:rsid w:val="0014304D"/>
    <w:rsid w:val="00144810"/>
    <w:rsid w:val="00144BF2"/>
    <w:rsid w:val="001457B4"/>
    <w:rsid w:val="00145FE3"/>
    <w:rsid w:val="0014605B"/>
    <w:rsid w:val="00146FAD"/>
    <w:rsid w:val="00150BF6"/>
    <w:rsid w:val="00152A3B"/>
    <w:rsid w:val="0015323A"/>
    <w:rsid w:val="00153AEE"/>
    <w:rsid w:val="00155174"/>
    <w:rsid w:val="001556AE"/>
    <w:rsid w:val="001556FF"/>
    <w:rsid w:val="00155B68"/>
    <w:rsid w:val="00155CBC"/>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5AA3"/>
    <w:rsid w:val="00166390"/>
    <w:rsid w:val="00167801"/>
    <w:rsid w:val="00167959"/>
    <w:rsid w:val="00171627"/>
    <w:rsid w:val="00172468"/>
    <w:rsid w:val="001725AE"/>
    <w:rsid w:val="00172F58"/>
    <w:rsid w:val="001750CD"/>
    <w:rsid w:val="00176350"/>
    <w:rsid w:val="00177068"/>
    <w:rsid w:val="00177522"/>
    <w:rsid w:val="00180BDE"/>
    <w:rsid w:val="00182CBE"/>
    <w:rsid w:val="001913BD"/>
    <w:rsid w:val="001934C4"/>
    <w:rsid w:val="00195D1F"/>
    <w:rsid w:val="00196226"/>
    <w:rsid w:val="0019632B"/>
    <w:rsid w:val="0019688E"/>
    <w:rsid w:val="001979DD"/>
    <w:rsid w:val="001A060A"/>
    <w:rsid w:val="001A2127"/>
    <w:rsid w:val="001A2DC9"/>
    <w:rsid w:val="001A3B59"/>
    <w:rsid w:val="001A478B"/>
    <w:rsid w:val="001A552C"/>
    <w:rsid w:val="001A5627"/>
    <w:rsid w:val="001A5867"/>
    <w:rsid w:val="001A5A2B"/>
    <w:rsid w:val="001A6B23"/>
    <w:rsid w:val="001A756C"/>
    <w:rsid w:val="001A7BCB"/>
    <w:rsid w:val="001B0120"/>
    <w:rsid w:val="001B0A1F"/>
    <w:rsid w:val="001B1416"/>
    <w:rsid w:val="001B2391"/>
    <w:rsid w:val="001B2891"/>
    <w:rsid w:val="001B28B5"/>
    <w:rsid w:val="001B2B6D"/>
    <w:rsid w:val="001B50DE"/>
    <w:rsid w:val="001B5678"/>
    <w:rsid w:val="001B6148"/>
    <w:rsid w:val="001B6264"/>
    <w:rsid w:val="001B688B"/>
    <w:rsid w:val="001B7CB1"/>
    <w:rsid w:val="001C1418"/>
    <w:rsid w:val="001C1AC7"/>
    <w:rsid w:val="001C346C"/>
    <w:rsid w:val="001C363B"/>
    <w:rsid w:val="001C4291"/>
    <w:rsid w:val="001C4492"/>
    <w:rsid w:val="001C5252"/>
    <w:rsid w:val="001C53BB"/>
    <w:rsid w:val="001C651A"/>
    <w:rsid w:val="001C70DA"/>
    <w:rsid w:val="001C7820"/>
    <w:rsid w:val="001D0A43"/>
    <w:rsid w:val="001D1C0E"/>
    <w:rsid w:val="001D2003"/>
    <w:rsid w:val="001D2B79"/>
    <w:rsid w:val="001D2BED"/>
    <w:rsid w:val="001D2C76"/>
    <w:rsid w:val="001D2F71"/>
    <w:rsid w:val="001D33B2"/>
    <w:rsid w:val="001D4106"/>
    <w:rsid w:val="001D4894"/>
    <w:rsid w:val="001D5DA0"/>
    <w:rsid w:val="001D5FE3"/>
    <w:rsid w:val="001D623A"/>
    <w:rsid w:val="001E0542"/>
    <w:rsid w:val="001E05C0"/>
    <w:rsid w:val="001E065F"/>
    <w:rsid w:val="001E1862"/>
    <w:rsid w:val="001E1D73"/>
    <w:rsid w:val="001E228E"/>
    <w:rsid w:val="001E3369"/>
    <w:rsid w:val="001E33EF"/>
    <w:rsid w:val="001E44A7"/>
    <w:rsid w:val="001E4E6D"/>
    <w:rsid w:val="001E5C2E"/>
    <w:rsid w:val="001E5DF4"/>
    <w:rsid w:val="001E6375"/>
    <w:rsid w:val="001F14A5"/>
    <w:rsid w:val="001F14FA"/>
    <w:rsid w:val="001F1B20"/>
    <w:rsid w:val="001F1F35"/>
    <w:rsid w:val="001F2E31"/>
    <w:rsid w:val="001F34E6"/>
    <w:rsid w:val="001F361F"/>
    <w:rsid w:val="001F3D4C"/>
    <w:rsid w:val="001F4DB2"/>
    <w:rsid w:val="001F4DD8"/>
    <w:rsid w:val="001F5063"/>
    <w:rsid w:val="001F595C"/>
    <w:rsid w:val="001F65F3"/>
    <w:rsid w:val="001F7BE6"/>
    <w:rsid w:val="0020001C"/>
    <w:rsid w:val="0020004B"/>
    <w:rsid w:val="002003F2"/>
    <w:rsid w:val="00202DA4"/>
    <w:rsid w:val="002030DB"/>
    <w:rsid w:val="0020342E"/>
    <w:rsid w:val="002062E4"/>
    <w:rsid w:val="00206342"/>
    <w:rsid w:val="00206722"/>
    <w:rsid w:val="00207072"/>
    <w:rsid w:val="00207B52"/>
    <w:rsid w:val="00210698"/>
    <w:rsid w:val="002116BD"/>
    <w:rsid w:val="00212218"/>
    <w:rsid w:val="002127ED"/>
    <w:rsid w:val="00214A06"/>
    <w:rsid w:val="00214F0B"/>
    <w:rsid w:val="00215ED7"/>
    <w:rsid w:val="0021747A"/>
    <w:rsid w:val="00220078"/>
    <w:rsid w:val="002202EA"/>
    <w:rsid w:val="00221CCE"/>
    <w:rsid w:val="00222172"/>
    <w:rsid w:val="00222580"/>
    <w:rsid w:val="00222C27"/>
    <w:rsid w:val="00224FAB"/>
    <w:rsid w:val="0022567B"/>
    <w:rsid w:val="002267F9"/>
    <w:rsid w:val="00226EFD"/>
    <w:rsid w:val="002305A8"/>
    <w:rsid w:val="00230DC6"/>
    <w:rsid w:val="00232B52"/>
    <w:rsid w:val="00234F2B"/>
    <w:rsid w:val="00235496"/>
    <w:rsid w:val="002363B4"/>
    <w:rsid w:val="00237165"/>
    <w:rsid w:val="00237EFC"/>
    <w:rsid w:val="00240959"/>
    <w:rsid w:val="002413A6"/>
    <w:rsid w:val="00241E63"/>
    <w:rsid w:val="002421F8"/>
    <w:rsid w:val="00242936"/>
    <w:rsid w:val="0024330A"/>
    <w:rsid w:val="00244398"/>
    <w:rsid w:val="002463FA"/>
    <w:rsid w:val="0024658B"/>
    <w:rsid w:val="002469A2"/>
    <w:rsid w:val="00246F31"/>
    <w:rsid w:val="00250B85"/>
    <w:rsid w:val="002524B8"/>
    <w:rsid w:val="002539BA"/>
    <w:rsid w:val="00253B3F"/>
    <w:rsid w:val="00253F70"/>
    <w:rsid w:val="00254323"/>
    <w:rsid w:val="0025451F"/>
    <w:rsid w:val="00254A20"/>
    <w:rsid w:val="00254CDC"/>
    <w:rsid w:val="00254E66"/>
    <w:rsid w:val="00255E6A"/>
    <w:rsid w:val="00255FEF"/>
    <w:rsid w:val="00261A6E"/>
    <w:rsid w:val="00261D6D"/>
    <w:rsid w:val="00261ED1"/>
    <w:rsid w:val="00262371"/>
    <w:rsid w:val="002636FC"/>
    <w:rsid w:val="002648C5"/>
    <w:rsid w:val="00265208"/>
    <w:rsid w:val="002668BD"/>
    <w:rsid w:val="002673AF"/>
    <w:rsid w:val="00267907"/>
    <w:rsid w:val="002703C7"/>
    <w:rsid w:val="00270E62"/>
    <w:rsid w:val="00271EB3"/>
    <w:rsid w:val="0027234B"/>
    <w:rsid w:val="0027270B"/>
    <w:rsid w:val="002732E7"/>
    <w:rsid w:val="00273339"/>
    <w:rsid w:val="002737E1"/>
    <w:rsid w:val="0027380B"/>
    <w:rsid w:val="00273F81"/>
    <w:rsid w:val="00273FA2"/>
    <w:rsid w:val="00275744"/>
    <w:rsid w:val="00275E38"/>
    <w:rsid w:val="00275FF8"/>
    <w:rsid w:val="002762A5"/>
    <w:rsid w:val="00277ACD"/>
    <w:rsid w:val="00277E2C"/>
    <w:rsid w:val="00280927"/>
    <w:rsid w:val="00280F91"/>
    <w:rsid w:val="00282093"/>
    <w:rsid w:val="00282E1F"/>
    <w:rsid w:val="00283177"/>
    <w:rsid w:val="00283359"/>
    <w:rsid w:val="00283E34"/>
    <w:rsid w:val="0028403E"/>
    <w:rsid w:val="00285F34"/>
    <w:rsid w:val="00286307"/>
    <w:rsid w:val="00287763"/>
    <w:rsid w:val="002919D2"/>
    <w:rsid w:val="00291E5B"/>
    <w:rsid w:val="00291F16"/>
    <w:rsid w:val="002924CC"/>
    <w:rsid w:val="002924D8"/>
    <w:rsid w:val="00292856"/>
    <w:rsid w:val="00293318"/>
    <w:rsid w:val="00293548"/>
    <w:rsid w:val="0029357C"/>
    <w:rsid w:val="0029369E"/>
    <w:rsid w:val="0029375C"/>
    <w:rsid w:val="00293BE3"/>
    <w:rsid w:val="00293BEA"/>
    <w:rsid w:val="002953DF"/>
    <w:rsid w:val="00296034"/>
    <w:rsid w:val="00296AB3"/>
    <w:rsid w:val="00297452"/>
    <w:rsid w:val="002976ED"/>
    <w:rsid w:val="002A15EF"/>
    <w:rsid w:val="002A1D97"/>
    <w:rsid w:val="002A37F4"/>
    <w:rsid w:val="002A3FAB"/>
    <w:rsid w:val="002A3FAF"/>
    <w:rsid w:val="002A5C20"/>
    <w:rsid w:val="002B30CC"/>
    <w:rsid w:val="002B4865"/>
    <w:rsid w:val="002B49EC"/>
    <w:rsid w:val="002B4A30"/>
    <w:rsid w:val="002B4D5F"/>
    <w:rsid w:val="002B5002"/>
    <w:rsid w:val="002B5A2C"/>
    <w:rsid w:val="002B5E20"/>
    <w:rsid w:val="002B628A"/>
    <w:rsid w:val="002B6636"/>
    <w:rsid w:val="002B746F"/>
    <w:rsid w:val="002B79A1"/>
    <w:rsid w:val="002C2730"/>
    <w:rsid w:val="002C2A3D"/>
    <w:rsid w:val="002C30E4"/>
    <w:rsid w:val="002C442E"/>
    <w:rsid w:val="002C512B"/>
    <w:rsid w:val="002C52EB"/>
    <w:rsid w:val="002C5C63"/>
    <w:rsid w:val="002C6C37"/>
    <w:rsid w:val="002C71B9"/>
    <w:rsid w:val="002C752A"/>
    <w:rsid w:val="002C75AF"/>
    <w:rsid w:val="002C7AEB"/>
    <w:rsid w:val="002C7B42"/>
    <w:rsid w:val="002D07C0"/>
    <w:rsid w:val="002D10F3"/>
    <w:rsid w:val="002D1242"/>
    <w:rsid w:val="002D1AAA"/>
    <w:rsid w:val="002D2DC3"/>
    <w:rsid w:val="002D370A"/>
    <w:rsid w:val="002D50C1"/>
    <w:rsid w:val="002D7F8E"/>
    <w:rsid w:val="002E0B99"/>
    <w:rsid w:val="002E167C"/>
    <w:rsid w:val="002E1A3E"/>
    <w:rsid w:val="002E1CF9"/>
    <w:rsid w:val="002E4AC5"/>
    <w:rsid w:val="002E55A9"/>
    <w:rsid w:val="002F21B1"/>
    <w:rsid w:val="002F25E7"/>
    <w:rsid w:val="002F5BDF"/>
    <w:rsid w:val="002F7833"/>
    <w:rsid w:val="002F7A63"/>
    <w:rsid w:val="003015A8"/>
    <w:rsid w:val="00303A7F"/>
    <w:rsid w:val="003046B0"/>
    <w:rsid w:val="00304D05"/>
    <w:rsid w:val="00305FE3"/>
    <w:rsid w:val="00306BDD"/>
    <w:rsid w:val="00306C1E"/>
    <w:rsid w:val="003112BD"/>
    <w:rsid w:val="003117B2"/>
    <w:rsid w:val="00311D4B"/>
    <w:rsid w:val="0031255F"/>
    <w:rsid w:val="0031340F"/>
    <w:rsid w:val="003134F0"/>
    <w:rsid w:val="003143DF"/>
    <w:rsid w:val="00314552"/>
    <w:rsid w:val="00315B99"/>
    <w:rsid w:val="00320DEC"/>
    <w:rsid w:val="0032152A"/>
    <w:rsid w:val="0032234F"/>
    <w:rsid w:val="00322AB4"/>
    <w:rsid w:val="003233D9"/>
    <w:rsid w:val="00323828"/>
    <w:rsid w:val="00323B3C"/>
    <w:rsid w:val="00324557"/>
    <w:rsid w:val="00324DE2"/>
    <w:rsid w:val="003251E1"/>
    <w:rsid w:val="003258F1"/>
    <w:rsid w:val="00325C75"/>
    <w:rsid w:val="00326868"/>
    <w:rsid w:val="00326A33"/>
    <w:rsid w:val="00326FA6"/>
    <w:rsid w:val="0032708F"/>
    <w:rsid w:val="00330635"/>
    <w:rsid w:val="00330C43"/>
    <w:rsid w:val="00330D4D"/>
    <w:rsid w:val="00332436"/>
    <w:rsid w:val="00332951"/>
    <w:rsid w:val="0033321E"/>
    <w:rsid w:val="003338DE"/>
    <w:rsid w:val="003344F6"/>
    <w:rsid w:val="00334AA3"/>
    <w:rsid w:val="00334B92"/>
    <w:rsid w:val="00334E69"/>
    <w:rsid w:val="003360E0"/>
    <w:rsid w:val="00337715"/>
    <w:rsid w:val="00337DBF"/>
    <w:rsid w:val="00340A6F"/>
    <w:rsid w:val="003422F9"/>
    <w:rsid w:val="00342E1B"/>
    <w:rsid w:val="00343C7B"/>
    <w:rsid w:val="00344178"/>
    <w:rsid w:val="00345AC5"/>
    <w:rsid w:val="00347231"/>
    <w:rsid w:val="0034786E"/>
    <w:rsid w:val="0035093B"/>
    <w:rsid w:val="00350CB0"/>
    <w:rsid w:val="00351FA8"/>
    <w:rsid w:val="00352128"/>
    <w:rsid w:val="0035362C"/>
    <w:rsid w:val="00357227"/>
    <w:rsid w:val="003577C7"/>
    <w:rsid w:val="00360258"/>
    <w:rsid w:val="00360CDE"/>
    <w:rsid w:val="00360F61"/>
    <w:rsid w:val="00362B4E"/>
    <w:rsid w:val="00362FEC"/>
    <w:rsid w:val="00364249"/>
    <w:rsid w:val="0036504D"/>
    <w:rsid w:val="00365127"/>
    <w:rsid w:val="00366D85"/>
    <w:rsid w:val="0036786A"/>
    <w:rsid w:val="003701C0"/>
    <w:rsid w:val="00370544"/>
    <w:rsid w:val="0037374C"/>
    <w:rsid w:val="00373A5D"/>
    <w:rsid w:val="003743B1"/>
    <w:rsid w:val="0037545A"/>
    <w:rsid w:val="00376A77"/>
    <w:rsid w:val="003805E5"/>
    <w:rsid w:val="003838CA"/>
    <w:rsid w:val="0038424B"/>
    <w:rsid w:val="00384F30"/>
    <w:rsid w:val="003852F7"/>
    <w:rsid w:val="0038574C"/>
    <w:rsid w:val="00385B74"/>
    <w:rsid w:val="00385C2A"/>
    <w:rsid w:val="00385DEB"/>
    <w:rsid w:val="00386863"/>
    <w:rsid w:val="003903A8"/>
    <w:rsid w:val="003908DB"/>
    <w:rsid w:val="003924B8"/>
    <w:rsid w:val="0039273B"/>
    <w:rsid w:val="00392B49"/>
    <w:rsid w:val="00392E82"/>
    <w:rsid w:val="003933E9"/>
    <w:rsid w:val="00393472"/>
    <w:rsid w:val="003934B8"/>
    <w:rsid w:val="00393D05"/>
    <w:rsid w:val="003942BF"/>
    <w:rsid w:val="003942E0"/>
    <w:rsid w:val="003944A8"/>
    <w:rsid w:val="003949D4"/>
    <w:rsid w:val="00394C33"/>
    <w:rsid w:val="00396124"/>
    <w:rsid w:val="0039687D"/>
    <w:rsid w:val="003969CE"/>
    <w:rsid w:val="003A0C47"/>
    <w:rsid w:val="003A2154"/>
    <w:rsid w:val="003A2A13"/>
    <w:rsid w:val="003A3816"/>
    <w:rsid w:val="003A4AC8"/>
    <w:rsid w:val="003A6127"/>
    <w:rsid w:val="003A6AB4"/>
    <w:rsid w:val="003A778C"/>
    <w:rsid w:val="003B0FF1"/>
    <w:rsid w:val="003B31CD"/>
    <w:rsid w:val="003B39A6"/>
    <w:rsid w:val="003B3AF8"/>
    <w:rsid w:val="003B45FA"/>
    <w:rsid w:val="003B4632"/>
    <w:rsid w:val="003B5C85"/>
    <w:rsid w:val="003B601E"/>
    <w:rsid w:val="003B6492"/>
    <w:rsid w:val="003B69F4"/>
    <w:rsid w:val="003B7866"/>
    <w:rsid w:val="003B7C62"/>
    <w:rsid w:val="003C06C8"/>
    <w:rsid w:val="003C0B01"/>
    <w:rsid w:val="003C2574"/>
    <w:rsid w:val="003C2797"/>
    <w:rsid w:val="003C2DA4"/>
    <w:rsid w:val="003C3770"/>
    <w:rsid w:val="003C39F1"/>
    <w:rsid w:val="003C4567"/>
    <w:rsid w:val="003C47F2"/>
    <w:rsid w:val="003C58BF"/>
    <w:rsid w:val="003C5D25"/>
    <w:rsid w:val="003C6CB6"/>
    <w:rsid w:val="003C6E0F"/>
    <w:rsid w:val="003C7725"/>
    <w:rsid w:val="003C7C96"/>
    <w:rsid w:val="003D164D"/>
    <w:rsid w:val="003D2917"/>
    <w:rsid w:val="003D3ADD"/>
    <w:rsid w:val="003D3DC7"/>
    <w:rsid w:val="003D42F9"/>
    <w:rsid w:val="003D5485"/>
    <w:rsid w:val="003D5644"/>
    <w:rsid w:val="003D5CDD"/>
    <w:rsid w:val="003D6ECA"/>
    <w:rsid w:val="003E096B"/>
    <w:rsid w:val="003E1992"/>
    <w:rsid w:val="003E2A5A"/>
    <w:rsid w:val="003E3694"/>
    <w:rsid w:val="003E3AE6"/>
    <w:rsid w:val="003E3CE7"/>
    <w:rsid w:val="003E4701"/>
    <w:rsid w:val="003E5435"/>
    <w:rsid w:val="003E5C83"/>
    <w:rsid w:val="003E5CFF"/>
    <w:rsid w:val="003E62BA"/>
    <w:rsid w:val="003E73BB"/>
    <w:rsid w:val="003E755C"/>
    <w:rsid w:val="003E76E7"/>
    <w:rsid w:val="003F070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559D"/>
    <w:rsid w:val="00405B29"/>
    <w:rsid w:val="00406797"/>
    <w:rsid w:val="00407AA4"/>
    <w:rsid w:val="004110C4"/>
    <w:rsid w:val="00411B8F"/>
    <w:rsid w:val="00413696"/>
    <w:rsid w:val="00414B46"/>
    <w:rsid w:val="0041545D"/>
    <w:rsid w:val="0041659D"/>
    <w:rsid w:val="00416F89"/>
    <w:rsid w:val="0041705E"/>
    <w:rsid w:val="0042049C"/>
    <w:rsid w:val="00421513"/>
    <w:rsid w:val="00421EBD"/>
    <w:rsid w:val="004227C9"/>
    <w:rsid w:val="00422D8D"/>
    <w:rsid w:val="00424D8D"/>
    <w:rsid w:val="00425B84"/>
    <w:rsid w:val="00425FF2"/>
    <w:rsid w:val="00426A4A"/>
    <w:rsid w:val="00427841"/>
    <w:rsid w:val="00427933"/>
    <w:rsid w:val="00427BE1"/>
    <w:rsid w:val="00431321"/>
    <w:rsid w:val="00431C6A"/>
    <w:rsid w:val="00431F6D"/>
    <w:rsid w:val="00433222"/>
    <w:rsid w:val="00433CA3"/>
    <w:rsid w:val="00434623"/>
    <w:rsid w:val="00435601"/>
    <w:rsid w:val="004359E1"/>
    <w:rsid w:val="00435B0F"/>
    <w:rsid w:val="004365FE"/>
    <w:rsid w:val="00437EB4"/>
    <w:rsid w:val="00440253"/>
    <w:rsid w:val="004405B1"/>
    <w:rsid w:val="0044125C"/>
    <w:rsid w:val="00443631"/>
    <w:rsid w:val="004437F3"/>
    <w:rsid w:val="00443837"/>
    <w:rsid w:val="0044425C"/>
    <w:rsid w:val="00445707"/>
    <w:rsid w:val="004462A6"/>
    <w:rsid w:val="0044757A"/>
    <w:rsid w:val="004477A8"/>
    <w:rsid w:val="00447B9B"/>
    <w:rsid w:val="0045164A"/>
    <w:rsid w:val="00452232"/>
    <w:rsid w:val="00453421"/>
    <w:rsid w:val="0045355E"/>
    <w:rsid w:val="00453879"/>
    <w:rsid w:val="00453898"/>
    <w:rsid w:val="0045457B"/>
    <w:rsid w:val="00454890"/>
    <w:rsid w:val="00454A09"/>
    <w:rsid w:val="004565EC"/>
    <w:rsid w:val="004566DA"/>
    <w:rsid w:val="00456F68"/>
    <w:rsid w:val="00457218"/>
    <w:rsid w:val="00457912"/>
    <w:rsid w:val="004602A6"/>
    <w:rsid w:val="004603AF"/>
    <w:rsid w:val="0046091D"/>
    <w:rsid w:val="00461384"/>
    <w:rsid w:val="004633A1"/>
    <w:rsid w:val="0046461F"/>
    <w:rsid w:val="00464EF7"/>
    <w:rsid w:val="00465744"/>
    <w:rsid w:val="0046732D"/>
    <w:rsid w:val="00467EA6"/>
    <w:rsid w:val="0047025D"/>
    <w:rsid w:val="00471474"/>
    <w:rsid w:val="00472F52"/>
    <w:rsid w:val="00473AFD"/>
    <w:rsid w:val="00473C57"/>
    <w:rsid w:val="00474E65"/>
    <w:rsid w:val="00475999"/>
    <w:rsid w:val="004773BC"/>
    <w:rsid w:val="004803A0"/>
    <w:rsid w:val="00482751"/>
    <w:rsid w:val="00482E5C"/>
    <w:rsid w:val="00483994"/>
    <w:rsid w:val="00484D6F"/>
    <w:rsid w:val="00485372"/>
    <w:rsid w:val="0048582F"/>
    <w:rsid w:val="00485857"/>
    <w:rsid w:val="00485CD9"/>
    <w:rsid w:val="00486163"/>
    <w:rsid w:val="004867DC"/>
    <w:rsid w:val="00490BC2"/>
    <w:rsid w:val="0049245B"/>
    <w:rsid w:val="004943B2"/>
    <w:rsid w:val="004960DD"/>
    <w:rsid w:val="004967EA"/>
    <w:rsid w:val="00497B1B"/>
    <w:rsid w:val="004A0A47"/>
    <w:rsid w:val="004A0AA3"/>
    <w:rsid w:val="004A3646"/>
    <w:rsid w:val="004A3D81"/>
    <w:rsid w:val="004A42D9"/>
    <w:rsid w:val="004A4EFE"/>
    <w:rsid w:val="004A570F"/>
    <w:rsid w:val="004A7B5A"/>
    <w:rsid w:val="004A7FFE"/>
    <w:rsid w:val="004B0CAD"/>
    <w:rsid w:val="004B16F6"/>
    <w:rsid w:val="004B1C26"/>
    <w:rsid w:val="004B2292"/>
    <w:rsid w:val="004B38D7"/>
    <w:rsid w:val="004B3BA8"/>
    <w:rsid w:val="004B41B4"/>
    <w:rsid w:val="004B4564"/>
    <w:rsid w:val="004B4BD9"/>
    <w:rsid w:val="004C047A"/>
    <w:rsid w:val="004C1386"/>
    <w:rsid w:val="004C25C3"/>
    <w:rsid w:val="004C30B5"/>
    <w:rsid w:val="004C33AD"/>
    <w:rsid w:val="004C3A3D"/>
    <w:rsid w:val="004C5B41"/>
    <w:rsid w:val="004C7D56"/>
    <w:rsid w:val="004C7DDE"/>
    <w:rsid w:val="004D09D2"/>
    <w:rsid w:val="004D1CDA"/>
    <w:rsid w:val="004D3C11"/>
    <w:rsid w:val="004D3C8A"/>
    <w:rsid w:val="004D3D5A"/>
    <w:rsid w:val="004D4E1D"/>
    <w:rsid w:val="004D5770"/>
    <w:rsid w:val="004D74C1"/>
    <w:rsid w:val="004E01A7"/>
    <w:rsid w:val="004E03A5"/>
    <w:rsid w:val="004E1136"/>
    <w:rsid w:val="004E2372"/>
    <w:rsid w:val="004E2585"/>
    <w:rsid w:val="004E29B5"/>
    <w:rsid w:val="004E2A2E"/>
    <w:rsid w:val="004E2F39"/>
    <w:rsid w:val="004E4568"/>
    <w:rsid w:val="004E5360"/>
    <w:rsid w:val="004E62C3"/>
    <w:rsid w:val="004F0AC4"/>
    <w:rsid w:val="004F0D07"/>
    <w:rsid w:val="004F0FB1"/>
    <w:rsid w:val="004F171B"/>
    <w:rsid w:val="004F1AEB"/>
    <w:rsid w:val="004F1BAE"/>
    <w:rsid w:val="004F1BD3"/>
    <w:rsid w:val="004F1F0C"/>
    <w:rsid w:val="004F22CB"/>
    <w:rsid w:val="004F2CCB"/>
    <w:rsid w:val="004F2E44"/>
    <w:rsid w:val="004F38FE"/>
    <w:rsid w:val="004F6878"/>
    <w:rsid w:val="004F7D9F"/>
    <w:rsid w:val="005011A8"/>
    <w:rsid w:val="00502751"/>
    <w:rsid w:val="00502855"/>
    <w:rsid w:val="0050359C"/>
    <w:rsid w:val="00503BDF"/>
    <w:rsid w:val="00504A53"/>
    <w:rsid w:val="00504A57"/>
    <w:rsid w:val="00504C88"/>
    <w:rsid w:val="00504DE4"/>
    <w:rsid w:val="005050DC"/>
    <w:rsid w:val="0050586E"/>
    <w:rsid w:val="005065E4"/>
    <w:rsid w:val="00506F73"/>
    <w:rsid w:val="00510A23"/>
    <w:rsid w:val="00512138"/>
    <w:rsid w:val="00512CBF"/>
    <w:rsid w:val="00512D41"/>
    <w:rsid w:val="00513342"/>
    <w:rsid w:val="00513D72"/>
    <w:rsid w:val="00513EF3"/>
    <w:rsid w:val="00513FBB"/>
    <w:rsid w:val="00514837"/>
    <w:rsid w:val="00514E3B"/>
    <w:rsid w:val="00515068"/>
    <w:rsid w:val="005157D7"/>
    <w:rsid w:val="00515B13"/>
    <w:rsid w:val="00516119"/>
    <w:rsid w:val="00517367"/>
    <w:rsid w:val="00517A8F"/>
    <w:rsid w:val="00517CFE"/>
    <w:rsid w:val="0052015A"/>
    <w:rsid w:val="0052047B"/>
    <w:rsid w:val="005209DB"/>
    <w:rsid w:val="00520A23"/>
    <w:rsid w:val="00521703"/>
    <w:rsid w:val="005223A7"/>
    <w:rsid w:val="005229D7"/>
    <w:rsid w:val="00524E89"/>
    <w:rsid w:val="005262F6"/>
    <w:rsid w:val="00526830"/>
    <w:rsid w:val="00526AB9"/>
    <w:rsid w:val="00526FD3"/>
    <w:rsid w:val="00527678"/>
    <w:rsid w:val="0052778E"/>
    <w:rsid w:val="0053108F"/>
    <w:rsid w:val="0053322A"/>
    <w:rsid w:val="005339A0"/>
    <w:rsid w:val="00533B0E"/>
    <w:rsid w:val="00535DF5"/>
    <w:rsid w:val="00535EB4"/>
    <w:rsid w:val="00536B6D"/>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2CBC"/>
    <w:rsid w:val="00554AB1"/>
    <w:rsid w:val="00555A9D"/>
    <w:rsid w:val="00555C6A"/>
    <w:rsid w:val="00555F3E"/>
    <w:rsid w:val="0055651A"/>
    <w:rsid w:val="005576B0"/>
    <w:rsid w:val="005624F8"/>
    <w:rsid w:val="00565507"/>
    <w:rsid w:val="00566497"/>
    <w:rsid w:val="0056689A"/>
    <w:rsid w:val="005670FE"/>
    <w:rsid w:val="005708D1"/>
    <w:rsid w:val="0057235E"/>
    <w:rsid w:val="00572523"/>
    <w:rsid w:val="00573736"/>
    <w:rsid w:val="00573772"/>
    <w:rsid w:val="005739B0"/>
    <w:rsid w:val="0057481D"/>
    <w:rsid w:val="005753E6"/>
    <w:rsid w:val="005757C3"/>
    <w:rsid w:val="00576865"/>
    <w:rsid w:val="005775BF"/>
    <w:rsid w:val="00580D99"/>
    <w:rsid w:val="0058130D"/>
    <w:rsid w:val="00582658"/>
    <w:rsid w:val="005855B0"/>
    <w:rsid w:val="00586111"/>
    <w:rsid w:val="005861AB"/>
    <w:rsid w:val="00586678"/>
    <w:rsid w:val="00586D51"/>
    <w:rsid w:val="005908C8"/>
    <w:rsid w:val="00590C28"/>
    <w:rsid w:val="00591A64"/>
    <w:rsid w:val="005921A0"/>
    <w:rsid w:val="005923F4"/>
    <w:rsid w:val="005925F6"/>
    <w:rsid w:val="00592B42"/>
    <w:rsid w:val="00593014"/>
    <w:rsid w:val="005935AE"/>
    <w:rsid w:val="00593C30"/>
    <w:rsid w:val="00595245"/>
    <w:rsid w:val="00595346"/>
    <w:rsid w:val="00596457"/>
    <w:rsid w:val="005964BF"/>
    <w:rsid w:val="00597AE8"/>
    <w:rsid w:val="005A016F"/>
    <w:rsid w:val="005A0D79"/>
    <w:rsid w:val="005A0E62"/>
    <w:rsid w:val="005A10FB"/>
    <w:rsid w:val="005A2057"/>
    <w:rsid w:val="005A3C4F"/>
    <w:rsid w:val="005A4B0F"/>
    <w:rsid w:val="005A4CA6"/>
    <w:rsid w:val="005A5474"/>
    <w:rsid w:val="005A6A6F"/>
    <w:rsid w:val="005A7DE3"/>
    <w:rsid w:val="005B0841"/>
    <w:rsid w:val="005B08F6"/>
    <w:rsid w:val="005B11E3"/>
    <w:rsid w:val="005B13AF"/>
    <w:rsid w:val="005B26BE"/>
    <w:rsid w:val="005B2A6F"/>
    <w:rsid w:val="005B2E98"/>
    <w:rsid w:val="005B34BC"/>
    <w:rsid w:val="005B4971"/>
    <w:rsid w:val="005B4D79"/>
    <w:rsid w:val="005B582E"/>
    <w:rsid w:val="005B5E8C"/>
    <w:rsid w:val="005B66B2"/>
    <w:rsid w:val="005B702B"/>
    <w:rsid w:val="005B7A2B"/>
    <w:rsid w:val="005C009E"/>
    <w:rsid w:val="005C03CF"/>
    <w:rsid w:val="005C04AE"/>
    <w:rsid w:val="005C0957"/>
    <w:rsid w:val="005C0EAF"/>
    <w:rsid w:val="005C1044"/>
    <w:rsid w:val="005C1698"/>
    <w:rsid w:val="005C1C2D"/>
    <w:rsid w:val="005C2175"/>
    <w:rsid w:val="005C27B9"/>
    <w:rsid w:val="005C2DA0"/>
    <w:rsid w:val="005C341A"/>
    <w:rsid w:val="005C39E7"/>
    <w:rsid w:val="005C4F8F"/>
    <w:rsid w:val="005D0658"/>
    <w:rsid w:val="005D127A"/>
    <w:rsid w:val="005D1609"/>
    <w:rsid w:val="005D1819"/>
    <w:rsid w:val="005D4842"/>
    <w:rsid w:val="005D5A73"/>
    <w:rsid w:val="005D70B9"/>
    <w:rsid w:val="005E0052"/>
    <w:rsid w:val="005E1C73"/>
    <w:rsid w:val="005E2246"/>
    <w:rsid w:val="005E527A"/>
    <w:rsid w:val="005E5885"/>
    <w:rsid w:val="005E6398"/>
    <w:rsid w:val="005E716D"/>
    <w:rsid w:val="005E7925"/>
    <w:rsid w:val="005F07D3"/>
    <w:rsid w:val="005F0C1C"/>
    <w:rsid w:val="005F1A67"/>
    <w:rsid w:val="005F256C"/>
    <w:rsid w:val="005F2A5A"/>
    <w:rsid w:val="005F3336"/>
    <w:rsid w:val="005F3977"/>
    <w:rsid w:val="005F5523"/>
    <w:rsid w:val="005F6524"/>
    <w:rsid w:val="005F78CF"/>
    <w:rsid w:val="006005CF"/>
    <w:rsid w:val="00601522"/>
    <w:rsid w:val="00602A91"/>
    <w:rsid w:val="00602C7A"/>
    <w:rsid w:val="00603A52"/>
    <w:rsid w:val="00603D1A"/>
    <w:rsid w:val="00604B03"/>
    <w:rsid w:val="00606D36"/>
    <w:rsid w:val="00607C2F"/>
    <w:rsid w:val="006100BF"/>
    <w:rsid w:val="00612807"/>
    <w:rsid w:val="0061539D"/>
    <w:rsid w:val="006159B1"/>
    <w:rsid w:val="0061651A"/>
    <w:rsid w:val="006168D2"/>
    <w:rsid w:val="00616FC8"/>
    <w:rsid w:val="00617094"/>
    <w:rsid w:val="0061743E"/>
    <w:rsid w:val="006177B3"/>
    <w:rsid w:val="006203D0"/>
    <w:rsid w:val="0062199E"/>
    <w:rsid w:val="00621AB0"/>
    <w:rsid w:val="006222A8"/>
    <w:rsid w:val="00624D78"/>
    <w:rsid w:val="00630B3B"/>
    <w:rsid w:val="00630FA5"/>
    <w:rsid w:val="006310E2"/>
    <w:rsid w:val="00631240"/>
    <w:rsid w:val="0063145B"/>
    <w:rsid w:val="00631534"/>
    <w:rsid w:val="00631FB8"/>
    <w:rsid w:val="006325D3"/>
    <w:rsid w:val="00632612"/>
    <w:rsid w:val="00633F09"/>
    <w:rsid w:val="0063423D"/>
    <w:rsid w:val="0063453D"/>
    <w:rsid w:val="00634856"/>
    <w:rsid w:val="006354BD"/>
    <w:rsid w:val="0063679F"/>
    <w:rsid w:val="00637115"/>
    <w:rsid w:val="00637945"/>
    <w:rsid w:val="00637F8C"/>
    <w:rsid w:val="0064001D"/>
    <w:rsid w:val="00640EE3"/>
    <w:rsid w:val="006411A9"/>
    <w:rsid w:val="00641F81"/>
    <w:rsid w:val="00642B0A"/>
    <w:rsid w:val="006441C8"/>
    <w:rsid w:val="00644742"/>
    <w:rsid w:val="00644F99"/>
    <w:rsid w:val="00647C54"/>
    <w:rsid w:val="00650359"/>
    <w:rsid w:val="00650F99"/>
    <w:rsid w:val="00652C4B"/>
    <w:rsid w:val="00652E55"/>
    <w:rsid w:val="00653741"/>
    <w:rsid w:val="00653CC2"/>
    <w:rsid w:val="00653DE8"/>
    <w:rsid w:val="006542E4"/>
    <w:rsid w:val="00655A09"/>
    <w:rsid w:val="00656529"/>
    <w:rsid w:val="00656FCD"/>
    <w:rsid w:val="00660212"/>
    <w:rsid w:val="0066086F"/>
    <w:rsid w:val="00661AFE"/>
    <w:rsid w:val="00662129"/>
    <w:rsid w:val="006627ED"/>
    <w:rsid w:val="00662B5B"/>
    <w:rsid w:val="00662D5E"/>
    <w:rsid w:val="00663CC5"/>
    <w:rsid w:val="00666888"/>
    <w:rsid w:val="00666D36"/>
    <w:rsid w:val="00671392"/>
    <w:rsid w:val="006718EF"/>
    <w:rsid w:val="006719D2"/>
    <w:rsid w:val="00671CD8"/>
    <w:rsid w:val="0067593B"/>
    <w:rsid w:val="00676D30"/>
    <w:rsid w:val="006773D7"/>
    <w:rsid w:val="00677826"/>
    <w:rsid w:val="00677D07"/>
    <w:rsid w:val="006806C4"/>
    <w:rsid w:val="0068314C"/>
    <w:rsid w:val="0068454C"/>
    <w:rsid w:val="006860FF"/>
    <w:rsid w:val="00686744"/>
    <w:rsid w:val="00686C26"/>
    <w:rsid w:val="00687E19"/>
    <w:rsid w:val="00687FA7"/>
    <w:rsid w:val="00690013"/>
    <w:rsid w:val="00690170"/>
    <w:rsid w:val="0069169A"/>
    <w:rsid w:val="006918A2"/>
    <w:rsid w:val="00692584"/>
    <w:rsid w:val="00692B68"/>
    <w:rsid w:val="00693589"/>
    <w:rsid w:val="0069386D"/>
    <w:rsid w:val="00693999"/>
    <w:rsid w:val="00694DC3"/>
    <w:rsid w:val="0069543C"/>
    <w:rsid w:val="006954B3"/>
    <w:rsid w:val="0069580B"/>
    <w:rsid w:val="00696076"/>
    <w:rsid w:val="00697523"/>
    <w:rsid w:val="0069791C"/>
    <w:rsid w:val="006A0793"/>
    <w:rsid w:val="006A10CA"/>
    <w:rsid w:val="006A25EB"/>
    <w:rsid w:val="006A3A6B"/>
    <w:rsid w:val="006A3BA8"/>
    <w:rsid w:val="006A48D9"/>
    <w:rsid w:val="006A4B36"/>
    <w:rsid w:val="006A5FDF"/>
    <w:rsid w:val="006A7153"/>
    <w:rsid w:val="006B13B3"/>
    <w:rsid w:val="006B2982"/>
    <w:rsid w:val="006B3406"/>
    <w:rsid w:val="006B3933"/>
    <w:rsid w:val="006B3F09"/>
    <w:rsid w:val="006B4D9B"/>
    <w:rsid w:val="006B55C3"/>
    <w:rsid w:val="006B685F"/>
    <w:rsid w:val="006B7B67"/>
    <w:rsid w:val="006B7DFE"/>
    <w:rsid w:val="006C08B4"/>
    <w:rsid w:val="006C3682"/>
    <w:rsid w:val="006C3EDF"/>
    <w:rsid w:val="006C451E"/>
    <w:rsid w:val="006C6368"/>
    <w:rsid w:val="006C6B4B"/>
    <w:rsid w:val="006C7116"/>
    <w:rsid w:val="006D04E8"/>
    <w:rsid w:val="006D1E3D"/>
    <w:rsid w:val="006D1EED"/>
    <w:rsid w:val="006D2391"/>
    <w:rsid w:val="006D2742"/>
    <w:rsid w:val="006D2DAA"/>
    <w:rsid w:val="006D4A39"/>
    <w:rsid w:val="006D4F76"/>
    <w:rsid w:val="006D5F8E"/>
    <w:rsid w:val="006D6FD8"/>
    <w:rsid w:val="006D7B92"/>
    <w:rsid w:val="006E0DBA"/>
    <w:rsid w:val="006E1A40"/>
    <w:rsid w:val="006E2371"/>
    <w:rsid w:val="006E39D0"/>
    <w:rsid w:val="006E3A79"/>
    <w:rsid w:val="006E41E2"/>
    <w:rsid w:val="006E4338"/>
    <w:rsid w:val="006E435E"/>
    <w:rsid w:val="006E47D4"/>
    <w:rsid w:val="006E4CE1"/>
    <w:rsid w:val="006E5786"/>
    <w:rsid w:val="006E654C"/>
    <w:rsid w:val="006E7C0D"/>
    <w:rsid w:val="006F0F9F"/>
    <w:rsid w:val="006F1EFE"/>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646"/>
    <w:rsid w:val="00716CB3"/>
    <w:rsid w:val="00716DF3"/>
    <w:rsid w:val="00716FBE"/>
    <w:rsid w:val="00717E52"/>
    <w:rsid w:val="007203E9"/>
    <w:rsid w:val="00720D43"/>
    <w:rsid w:val="00723FE4"/>
    <w:rsid w:val="00724555"/>
    <w:rsid w:val="00724E9D"/>
    <w:rsid w:val="007252A5"/>
    <w:rsid w:val="0072561B"/>
    <w:rsid w:val="0072584B"/>
    <w:rsid w:val="00725D61"/>
    <w:rsid w:val="00726C77"/>
    <w:rsid w:val="00727A98"/>
    <w:rsid w:val="00727B40"/>
    <w:rsid w:val="00730DEF"/>
    <w:rsid w:val="00731140"/>
    <w:rsid w:val="007328C2"/>
    <w:rsid w:val="00732B36"/>
    <w:rsid w:val="007337CC"/>
    <w:rsid w:val="00735728"/>
    <w:rsid w:val="00736FD9"/>
    <w:rsid w:val="007373D3"/>
    <w:rsid w:val="00737A0A"/>
    <w:rsid w:val="00737E7E"/>
    <w:rsid w:val="00740E0A"/>
    <w:rsid w:val="007410CF"/>
    <w:rsid w:val="00743536"/>
    <w:rsid w:val="00743680"/>
    <w:rsid w:val="0074374A"/>
    <w:rsid w:val="00743A0D"/>
    <w:rsid w:val="00743CD5"/>
    <w:rsid w:val="0074525F"/>
    <w:rsid w:val="0074534E"/>
    <w:rsid w:val="007459B3"/>
    <w:rsid w:val="0074706A"/>
    <w:rsid w:val="00747929"/>
    <w:rsid w:val="00747BE9"/>
    <w:rsid w:val="007509A3"/>
    <w:rsid w:val="00752E42"/>
    <w:rsid w:val="007535C2"/>
    <w:rsid w:val="00753FC7"/>
    <w:rsid w:val="0075444B"/>
    <w:rsid w:val="00754FFC"/>
    <w:rsid w:val="00756366"/>
    <w:rsid w:val="00760166"/>
    <w:rsid w:val="007626DA"/>
    <w:rsid w:val="00762BB2"/>
    <w:rsid w:val="00763A6A"/>
    <w:rsid w:val="00763E53"/>
    <w:rsid w:val="007645B3"/>
    <w:rsid w:val="007650F5"/>
    <w:rsid w:val="00765680"/>
    <w:rsid w:val="00765AAC"/>
    <w:rsid w:val="007660E1"/>
    <w:rsid w:val="00766442"/>
    <w:rsid w:val="00766905"/>
    <w:rsid w:val="00767186"/>
    <w:rsid w:val="00767C41"/>
    <w:rsid w:val="00771694"/>
    <w:rsid w:val="00771758"/>
    <w:rsid w:val="00772941"/>
    <w:rsid w:val="007729DB"/>
    <w:rsid w:val="00772EE3"/>
    <w:rsid w:val="0077305F"/>
    <w:rsid w:val="00773754"/>
    <w:rsid w:val="00773A85"/>
    <w:rsid w:val="00773E94"/>
    <w:rsid w:val="007754B5"/>
    <w:rsid w:val="00775563"/>
    <w:rsid w:val="007759EA"/>
    <w:rsid w:val="00776D89"/>
    <w:rsid w:val="0077707B"/>
    <w:rsid w:val="00777540"/>
    <w:rsid w:val="007807CD"/>
    <w:rsid w:val="007808CD"/>
    <w:rsid w:val="00781895"/>
    <w:rsid w:val="0078372F"/>
    <w:rsid w:val="007854C1"/>
    <w:rsid w:val="00786AEB"/>
    <w:rsid w:val="0078726F"/>
    <w:rsid w:val="0079068A"/>
    <w:rsid w:val="00790714"/>
    <w:rsid w:val="00790757"/>
    <w:rsid w:val="007908D6"/>
    <w:rsid w:val="00791797"/>
    <w:rsid w:val="0079179D"/>
    <w:rsid w:val="00792B36"/>
    <w:rsid w:val="007939BC"/>
    <w:rsid w:val="00796848"/>
    <w:rsid w:val="00796A3B"/>
    <w:rsid w:val="0079752F"/>
    <w:rsid w:val="00797F33"/>
    <w:rsid w:val="007A1722"/>
    <w:rsid w:val="007A210F"/>
    <w:rsid w:val="007A3282"/>
    <w:rsid w:val="007A368E"/>
    <w:rsid w:val="007A3DD8"/>
    <w:rsid w:val="007A41B7"/>
    <w:rsid w:val="007A547F"/>
    <w:rsid w:val="007A6742"/>
    <w:rsid w:val="007A69F0"/>
    <w:rsid w:val="007A75E1"/>
    <w:rsid w:val="007A7CE8"/>
    <w:rsid w:val="007B0293"/>
    <w:rsid w:val="007B06BE"/>
    <w:rsid w:val="007B08A2"/>
    <w:rsid w:val="007B3382"/>
    <w:rsid w:val="007B34BD"/>
    <w:rsid w:val="007B3EC9"/>
    <w:rsid w:val="007B4935"/>
    <w:rsid w:val="007B4B86"/>
    <w:rsid w:val="007B642D"/>
    <w:rsid w:val="007B6A8D"/>
    <w:rsid w:val="007B7025"/>
    <w:rsid w:val="007B76C4"/>
    <w:rsid w:val="007C089A"/>
    <w:rsid w:val="007C199A"/>
    <w:rsid w:val="007C20E6"/>
    <w:rsid w:val="007C281D"/>
    <w:rsid w:val="007C337A"/>
    <w:rsid w:val="007C48F8"/>
    <w:rsid w:val="007C4B15"/>
    <w:rsid w:val="007C57D8"/>
    <w:rsid w:val="007C61D1"/>
    <w:rsid w:val="007C6F56"/>
    <w:rsid w:val="007D19AB"/>
    <w:rsid w:val="007D1A9C"/>
    <w:rsid w:val="007D2880"/>
    <w:rsid w:val="007D34E5"/>
    <w:rsid w:val="007D3894"/>
    <w:rsid w:val="007D3964"/>
    <w:rsid w:val="007D4677"/>
    <w:rsid w:val="007D467E"/>
    <w:rsid w:val="007D47A4"/>
    <w:rsid w:val="007D491B"/>
    <w:rsid w:val="007D7C78"/>
    <w:rsid w:val="007E0D38"/>
    <w:rsid w:val="007E1388"/>
    <w:rsid w:val="007E19B0"/>
    <w:rsid w:val="007E3033"/>
    <w:rsid w:val="007E4850"/>
    <w:rsid w:val="007E5013"/>
    <w:rsid w:val="007E5597"/>
    <w:rsid w:val="007E6491"/>
    <w:rsid w:val="007E6B8B"/>
    <w:rsid w:val="007E757C"/>
    <w:rsid w:val="007E7AAD"/>
    <w:rsid w:val="007F1D02"/>
    <w:rsid w:val="007F33A1"/>
    <w:rsid w:val="007F34A1"/>
    <w:rsid w:val="007F3E3C"/>
    <w:rsid w:val="007F52DF"/>
    <w:rsid w:val="007F5FF8"/>
    <w:rsid w:val="007F6B79"/>
    <w:rsid w:val="007F7144"/>
    <w:rsid w:val="008001BF"/>
    <w:rsid w:val="0080079E"/>
    <w:rsid w:val="008019F1"/>
    <w:rsid w:val="00801DE0"/>
    <w:rsid w:val="008025E5"/>
    <w:rsid w:val="00802CE6"/>
    <w:rsid w:val="008032CD"/>
    <w:rsid w:val="008052BB"/>
    <w:rsid w:val="00806F09"/>
    <w:rsid w:val="00807166"/>
    <w:rsid w:val="00807DA5"/>
    <w:rsid w:val="00810B5B"/>
    <w:rsid w:val="00811FD5"/>
    <w:rsid w:val="00812350"/>
    <w:rsid w:val="0081309E"/>
    <w:rsid w:val="00814CB7"/>
    <w:rsid w:val="00816075"/>
    <w:rsid w:val="008169A7"/>
    <w:rsid w:val="00816E74"/>
    <w:rsid w:val="008172A5"/>
    <w:rsid w:val="00822172"/>
    <w:rsid w:val="008224E1"/>
    <w:rsid w:val="00824711"/>
    <w:rsid w:val="008258D3"/>
    <w:rsid w:val="008259D4"/>
    <w:rsid w:val="00830138"/>
    <w:rsid w:val="00834C8E"/>
    <w:rsid w:val="0083560F"/>
    <w:rsid w:val="00835FC5"/>
    <w:rsid w:val="00836D51"/>
    <w:rsid w:val="00836FAA"/>
    <w:rsid w:val="00842CF0"/>
    <w:rsid w:val="00844F61"/>
    <w:rsid w:val="0084692A"/>
    <w:rsid w:val="00846A52"/>
    <w:rsid w:val="00850210"/>
    <w:rsid w:val="0085260F"/>
    <w:rsid w:val="0085338B"/>
    <w:rsid w:val="008542CA"/>
    <w:rsid w:val="00855F45"/>
    <w:rsid w:val="0085621C"/>
    <w:rsid w:val="00856D3C"/>
    <w:rsid w:val="008572C2"/>
    <w:rsid w:val="0086037D"/>
    <w:rsid w:val="00860C20"/>
    <w:rsid w:val="00860E40"/>
    <w:rsid w:val="0086136A"/>
    <w:rsid w:val="00861F9D"/>
    <w:rsid w:val="0086228E"/>
    <w:rsid w:val="00862D38"/>
    <w:rsid w:val="00862E1F"/>
    <w:rsid w:val="0086590F"/>
    <w:rsid w:val="00866A7E"/>
    <w:rsid w:val="00866E70"/>
    <w:rsid w:val="00866FDE"/>
    <w:rsid w:val="00867797"/>
    <w:rsid w:val="00867B85"/>
    <w:rsid w:val="00871DF3"/>
    <w:rsid w:val="00872696"/>
    <w:rsid w:val="00873983"/>
    <w:rsid w:val="00873E50"/>
    <w:rsid w:val="0087484E"/>
    <w:rsid w:val="008749E1"/>
    <w:rsid w:val="00875F2C"/>
    <w:rsid w:val="00875FC0"/>
    <w:rsid w:val="008762EE"/>
    <w:rsid w:val="0087658C"/>
    <w:rsid w:val="00876EFD"/>
    <w:rsid w:val="008770A2"/>
    <w:rsid w:val="00880BF6"/>
    <w:rsid w:val="00880E65"/>
    <w:rsid w:val="00882E49"/>
    <w:rsid w:val="00882FF6"/>
    <w:rsid w:val="008843EF"/>
    <w:rsid w:val="008849C8"/>
    <w:rsid w:val="008850E9"/>
    <w:rsid w:val="008853B0"/>
    <w:rsid w:val="00887D64"/>
    <w:rsid w:val="008908B4"/>
    <w:rsid w:val="008909C2"/>
    <w:rsid w:val="008927D4"/>
    <w:rsid w:val="00892FF9"/>
    <w:rsid w:val="00893326"/>
    <w:rsid w:val="00893512"/>
    <w:rsid w:val="00893A84"/>
    <w:rsid w:val="00893BCA"/>
    <w:rsid w:val="00893F35"/>
    <w:rsid w:val="00893FBD"/>
    <w:rsid w:val="0089574D"/>
    <w:rsid w:val="0089638A"/>
    <w:rsid w:val="00896CFD"/>
    <w:rsid w:val="00896EEF"/>
    <w:rsid w:val="00897079"/>
    <w:rsid w:val="008A28E1"/>
    <w:rsid w:val="008A34DC"/>
    <w:rsid w:val="008A3FDC"/>
    <w:rsid w:val="008A43C4"/>
    <w:rsid w:val="008A497D"/>
    <w:rsid w:val="008A4E08"/>
    <w:rsid w:val="008A639B"/>
    <w:rsid w:val="008A6430"/>
    <w:rsid w:val="008A6881"/>
    <w:rsid w:val="008B0346"/>
    <w:rsid w:val="008B0A41"/>
    <w:rsid w:val="008B2080"/>
    <w:rsid w:val="008B44C6"/>
    <w:rsid w:val="008B73FA"/>
    <w:rsid w:val="008C0689"/>
    <w:rsid w:val="008C099D"/>
    <w:rsid w:val="008C0ED3"/>
    <w:rsid w:val="008C1304"/>
    <w:rsid w:val="008C2B98"/>
    <w:rsid w:val="008C3AF3"/>
    <w:rsid w:val="008C4116"/>
    <w:rsid w:val="008C44D7"/>
    <w:rsid w:val="008C474C"/>
    <w:rsid w:val="008C4AF8"/>
    <w:rsid w:val="008C510E"/>
    <w:rsid w:val="008C54EA"/>
    <w:rsid w:val="008C5E94"/>
    <w:rsid w:val="008C70B0"/>
    <w:rsid w:val="008C7460"/>
    <w:rsid w:val="008C7633"/>
    <w:rsid w:val="008C7853"/>
    <w:rsid w:val="008D06F4"/>
    <w:rsid w:val="008D0D4A"/>
    <w:rsid w:val="008D1451"/>
    <w:rsid w:val="008D3142"/>
    <w:rsid w:val="008D35A2"/>
    <w:rsid w:val="008D46C8"/>
    <w:rsid w:val="008D475E"/>
    <w:rsid w:val="008D4B84"/>
    <w:rsid w:val="008D4FBF"/>
    <w:rsid w:val="008D64C6"/>
    <w:rsid w:val="008D701B"/>
    <w:rsid w:val="008D7912"/>
    <w:rsid w:val="008E1526"/>
    <w:rsid w:val="008E2886"/>
    <w:rsid w:val="008E3879"/>
    <w:rsid w:val="008E3B04"/>
    <w:rsid w:val="008E3D30"/>
    <w:rsid w:val="008E4853"/>
    <w:rsid w:val="008E5138"/>
    <w:rsid w:val="008E52AE"/>
    <w:rsid w:val="008E53E0"/>
    <w:rsid w:val="008E5A0E"/>
    <w:rsid w:val="008E65C8"/>
    <w:rsid w:val="008E769F"/>
    <w:rsid w:val="008E7DE2"/>
    <w:rsid w:val="008F071F"/>
    <w:rsid w:val="008F1412"/>
    <w:rsid w:val="008F1432"/>
    <w:rsid w:val="008F1D55"/>
    <w:rsid w:val="008F23E8"/>
    <w:rsid w:val="008F2C35"/>
    <w:rsid w:val="008F4E4A"/>
    <w:rsid w:val="008F5616"/>
    <w:rsid w:val="008F6EA9"/>
    <w:rsid w:val="008F74E6"/>
    <w:rsid w:val="008F76F7"/>
    <w:rsid w:val="00900EA0"/>
    <w:rsid w:val="009027B2"/>
    <w:rsid w:val="009028C9"/>
    <w:rsid w:val="0090301A"/>
    <w:rsid w:val="0090344A"/>
    <w:rsid w:val="009037F9"/>
    <w:rsid w:val="009059D7"/>
    <w:rsid w:val="00907F21"/>
    <w:rsid w:val="009102A2"/>
    <w:rsid w:val="009109E4"/>
    <w:rsid w:val="00911C2F"/>
    <w:rsid w:val="00912151"/>
    <w:rsid w:val="0091317F"/>
    <w:rsid w:val="00913472"/>
    <w:rsid w:val="0091658B"/>
    <w:rsid w:val="009179C9"/>
    <w:rsid w:val="00920513"/>
    <w:rsid w:val="00920F0A"/>
    <w:rsid w:val="0092249F"/>
    <w:rsid w:val="00922C2C"/>
    <w:rsid w:val="00923280"/>
    <w:rsid w:val="00923EDC"/>
    <w:rsid w:val="00923F11"/>
    <w:rsid w:val="00925022"/>
    <w:rsid w:val="00925454"/>
    <w:rsid w:val="009254F8"/>
    <w:rsid w:val="009258D9"/>
    <w:rsid w:val="00925ACC"/>
    <w:rsid w:val="00925D6C"/>
    <w:rsid w:val="00927CED"/>
    <w:rsid w:val="00927E6F"/>
    <w:rsid w:val="009313E6"/>
    <w:rsid w:val="00931AC7"/>
    <w:rsid w:val="00932DEC"/>
    <w:rsid w:val="00935088"/>
    <w:rsid w:val="009363FF"/>
    <w:rsid w:val="00936600"/>
    <w:rsid w:val="00936D37"/>
    <w:rsid w:val="009378FC"/>
    <w:rsid w:val="00937FB9"/>
    <w:rsid w:val="00941F50"/>
    <w:rsid w:val="00944B8C"/>
    <w:rsid w:val="00944CA3"/>
    <w:rsid w:val="00945BD9"/>
    <w:rsid w:val="00946D7D"/>
    <w:rsid w:val="00946DBE"/>
    <w:rsid w:val="009470E0"/>
    <w:rsid w:val="00947A3A"/>
    <w:rsid w:val="00947CD9"/>
    <w:rsid w:val="009503AC"/>
    <w:rsid w:val="0095132D"/>
    <w:rsid w:val="00951F2B"/>
    <w:rsid w:val="009536E6"/>
    <w:rsid w:val="009538EF"/>
    <w:rsid w:val="00953C2C"/>
    <w:rsid w:val="00953CB4"/>
    <w:rsid w:val="00953F60"/>
    <w:rsid w:val="00954258"/>
    <w:rsid w:val="009550BC"/>
    <w:rsid w:val="00955C0E"/>
    <w:rsid w:val="00956951"/>
    <w:rsid w:val="00956ACC"/>
    <w:rsid w:val="00957FD4"/>
    <w:rsid w:val="009602C4"/>
    <w:rsid w:val="00961A25"/>
    <w:rsid w:val="00961F6D"/>
    <w:rsid w:val="009623F4"/>
    <w:rsid w:val="0096456D"/>
    <w:rsid w:val="00965315"/>
    <w:rsid w:val="00966386"/>
    <w:rsid w:val="0096668D"/>
    <w:rsid w:val="00966768"/>
    <w:rsid w:val="009668FA"/>
    <w:rsid w:val="0096741A"/>
    <w:rsid w:val="0097068A"/>
    <w:rsid w:val="00970E38"/>
    <w:rsid w:val="00971A22"/>
    <w:rsid w:val="00971D65"/>
    <w:rsid w:val="0097257E"/>
    <w:rsid w:val="00972C07"/>
    <w:rsid w:val="00973D50"/>
    <w:rsid w:val="00976440"/>
    <w:rsid w:val="0097675D"/>
    <w:rsid w:val="009767C5"/>
    <w:rsid w:val="0097740C"/>
    <w:rsid w:val="009777FF"/>
    <w:rsid w:val="00980992"/>
    <w:rsid w:val="00980A8F"/>
    <w:rsid w:val="00980ABB"/>
    <w:rsid w:val="00981725"/>
    <w:rsid w:val="00981765"/>
    <w:rsid w:val="00983B23"/>
    <w:rsid w:val="00983EEF"/>
    <w:rsid w:val="009840ED"/>
    <w:rsid w:val="009842D1"/>
    <w:rsid w:val="00984E63"/>
    <w:rsid w:val="009850BC"/>
    <w:rsid w:val="009865D3"/>
    <w:rsid w:val="00986A57"/>
    <w:rsid w:val="009905AC"/>
    <w:rsid w:val="009914B7"/>
    <w:rsid w:val="00991A63"/>
    <w:rsid w:val="00991CE7"/>
    <w:rsid w:val="00992ABE"/>
    <w:rsid w:val="00992FC7"/>
    <w:rsid w:val="00994B4A"/>
    <w:rsid w:val="00995EC2"/>
    <w:rsid w:val="0099670F"/>
    <w:rsid w:val="00996FB2"/>
    <w:rsid w:val="00997A5B"/>
    <w:rsid w:val="009A059E"/>
    <w:rsid w:val="009A0899"/>
    <w:rsid w:val="009A2656"/>
    <w:rsid w:val="009A351B"/>
    <w:rsid w:val="009A3FDD"/>
    <w:rsid w:val="009A6031"/>
    <w:rsid w:val="009A6963"/>
    <w:rsid w:val="009A6C95"/>
    <w:rsid w:val="009B037F"/>
    <w:rsid w:val="009B0444"/>
    <w:rsid w:val="009B229C"/>
    <w:rsid w:val="009B259F"/>
    <w:rsid w:val="009B2679"/>
    <w:rsid w:val="009B52C1"/>
    <w:rsid w:val="009B59CA"/>
    <w:rsid w:val="009B67E7"/>
    <w:rsid w:val="009B7318"/>
    <w:rsid w:val="009C0F32"/>
    <w:rsid w:val="009C11AB"/>
    <w:rsid w:val="009C2F82"/>
    <w:rsid w:val="009C321E"/>
    <w:rsid w:val="009C3FEA"/>
    <w:rsid w:val="009C47EB"/>
    <w:rsid w:val="009C5E21"/>
    <w:rsid w:val="009C6150"/>
    <w:rsid w:val="009C61B9"/>
    <w:rsid w:val="009C61D1"/>
    <w:rsid w:val="009C6311"/>
    <w:rsid w:val="009C6BF2"/>
    <w:rsid w:val="009C708C"/>
    <w:rsid w:val="009C717B"/>
    <w:rsid w:val="009D0470"/>
    <w:rsid w:val="009D0802"/>
    <w:rsid w:val="009D14A2"/>
    <w:rsid w:val="009D20E5"/>
    <w:rsid w:val="009D31EF"/>
    <w:rsid w:val="009D4635"/>
    <w:rsid w:val="009D5626"/>
    <w:rsid w:val="009D63FE"/>
    <w:rsid w:val="009D73F0"/>
    <w:rsid w:val="009E16AA"/>
    <w:rsid w:val="009E3E24"/>
    <w:rsid w:val="009E4086"/>
    <w:rsid w:val="009E4632"/>
    <w:rsid w:val="009E538D"/>
    <w:rsid w:val="009E5533"/>
    <w:rsid w:val="009E6D94"/>
    <w:rsid w:val="009E6E43"/>
    <w:rsid w:val="009E73CB"/>
    <w:rsid w:val="009F1856"/>
    <w:rsid w:val="009F2175"/>
    <w:rsid w:val="009F2919"/>
    <w:rsid w:val="009F2A98"/>
    <w:rsid w:val="009F45FB"/>
    <w:rsid w:val="009F5004"/>
    <w:rsid w:val="009F6D57"/>
    <w:rsid w:val="009F6DE1"/>
    <w:rsid w:val="009F7BFF"/>
    <w:rsid w:val="009F7C1D"/>
    <w:rsid w:val="009F7FF6"/>
    <w:rsid w:val="00A00383"/>
    <w:rsid w:val="00A011FE"/>
    <w:rsid w:val="00A019DD"/>
    <w:rsid w:val="00A03660"/>
    <w:rsid w:val="00A036CB"/>
    <w:rsid w:val="00A04194"/>
    <w:rsid w:val="00A041A8"/>
    <w:rsid w:val="00A04B88"/>
    <w:rsid w:val="00A04BA4"/>
    <w:rsid w:val="00A04BB2"/>
    <w:rsid w:val="00A05249"/>
    <w:rsid w:val="00A05632"/>
    <w:rsid w:val="00A0651B"/>
    <w:rsid w:val="00A066C7"/>
    <w:rsid w:val="00A070EB"/>
    <w:rsid w:val="00A07492"/>
    <w:rsid w:val="00A10E1C"/>
    <w:rsid w:val="00A1147B"/>
    <w:rsid w:val="00A119C5"/>
    <w:rsid w:val="00A12878"/>
    <w:rsid w:val="00A1353F"/>
    <w:rsid w:val="00A14660"/>
    <w:rsid w:val="00A146F0"/>
    <w:rsid w:val="00A15658"/>
    <w:rsid w:val="00A15AC7"/>
    <w:rsid w:val="00A16034"/>
    <w:rsid w:val="00A17EE4"/>
    <w:rsid w:val="00A20F3F"/>
    <w:rsid w:val="00A21EB9"/>
    <w:rsid w:val="00A23607"/>
    <w:rsid w:val="00A2423C"/>
    <w:rsid w:val="00A250E8"/>
    <w:rsid w:val="00A253BF"/>
    <w:rsid w:val="00A2589E"/>
    <w:rsid w:val="00A26DA7"/>
    <w:rsid w:val="00A2712C"/>
    <w:rsid w:val="00A278FB"/>
    <w:rsid w:val="00A2797D"/>
    <w:rsid w:val="00A279D9"/>
    <w:rsid w:val="00A3026A"/>
    <w:rsid w:val="00A304F9"/>
    <w:rsid w:val="00A311FF"/>
    <w:rsid w:val="00A31A2E"/>
    <w:rsid w:val="00A32A9B"/>
    <w:rsid w:val="00A33041"/>
    <w:rsid w:val="00A33047"/>
    <w:rsid w:val="00A335A9"/>
    <w:rsid w:val="00A36F94"/>
    <w:rsid w:val="00A40C9E"/>
    <w:rsid w:val="00A40D0C"/>
    <w:rsid w:val="00A416BB"/>
    <w:rsid w:val="00A428A2"/>
    <w:rsid w:val="00A435C8"/>
    <w:rsid w:val="00A43B77"/>
    <w:rsid w:val="00A44195"/>
    <w:rsid w:val="00A441BC"/>
    <w:rsid w:val="00A45825"/>
    <w:rsid w:val="00A45F13"/>
    <w:rsid w:val="00A46A29"/>
    <w:rsid w:val="00A46D76"/>
    <w:rsid w:val="00A477DB"/>
    <w:rsid w:val="00A503F8"/>
    <w:rsid w:val="00A50676"/>
    <w:rsid w:val="00A509FE"/>
    <w:rsid w:val="00A51142"/>
    <w:rsid w:val="00A5416B"/>
    <w:rsid w:val="00A552A2"/>
    <w:rsid w:val="00A56339"/>
    <w:rsid w:val="00A56B1F"/>
    <w:rsid w:val="00A60B4E"/>
    <w:rsid w:val="00A61866"/>
    <w:rsid w:val="00A61944"/>
    <w:rsid w:val="00A61C40"/>
    <w:rsid w:val="00A61DFF"/>
    <w:rsid w:val="00A63BE8"/>
    <w:rsid w:val="00A63EFE"/>
    <w:rsid w:val="00A65005"/>
    <w:rsid w:val="00A66199"/>
    <w:rsid w:val="00A6734F"/>
    <w:rsid w:val="00A67527"/>
    <w:rsid w:val="00A70F04"/>
    <w:rsid w:val="00A71A45"/>
    <w:rsid w:val="00A73D8C"/>
    <w:rsid w:val="00A748EE"/>
    <w:rsid w:val="00A7499C"/>
    <w:rsid w:val="00A75566"/>
    <w:rsid w:val="00A76415"/>
    <w:rsid w:val="00A76C62"/>
    <w:rsid w:val="00A7718D"/>
    <w:rsid w:val="00A775C6"/>
    <w:rsid w:val="00A8022E"/>
    <w:rsid w:val="00A807E4"/>
    <w:rsid w:val="00A80CB6"/>
    <w:rsid w:val="00A810B9"/>
    <w:rsid w:val="00A81715"/>
    <w:rsid w:val="00A81BC0"/>
    <w:rsid w:val="00A82BCE"/>
    <w:rsid w:val="00A8321F"/>
    <w:rsid w:val="00A839E9"/>
    <w:rsid w:val="00A8482E"/>
    <w:rsid w:val="00A84BA5"/>
    <w:rsid w:val="00A84D91"/>
    <w:rsid w:val="00A876DA"/>
    <w:rsid w:val="00A87C09"/>
    <w:rsid w:val="00A908E0"/>
    <w:rsid w:val="00A9195A"/>
    <w:rsid w:val="00A919E8"/>
    <w:rsid w:val="00A923CC"/>
    <w:rsid w:val="00A9260A"/>
    <w:rsid w:val="00A93AAA"/>
    <w:rsid w:val="00A940F7"/>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53DD"/>
    <w:rsid w:val="00AA73C5"/>
    <w:rsid w:val="00AA7959"/>
    <w:rsid w:val="00AA7ED4"/>
    <w:rsid w:val="00AB0767"/>
    <w:rsid w:val="00AB09B4"/>
    <w:rsid w:val="00AB1250"/>
    <w:rsid w:val="00AB1CB7"/>
    <w:rsid w:val="00AB2558"/>
    <w:rsid w:val="00AB37EC"/>
    <w:rsid w:val="00AB3B97"/>
    <w:rsid w:val="00AB4076"/>
    <w:rsid w:val="00AB4123"/>
    <w:rsid w:val="00AB419D"/>
    <w:rsid w:val="00AB4C35"/>
    <w:rsid w:val="00AB6A37"/>
    <w:rsid w:val="00AC1405"/>
    <w:rsid w:val="00AC2E05"/>
    <w:rsid w:val="00AC3C70"/>
    <w:rsid w:val="00AC3CC1"/>
    <w:rsid w:val="00AC4798"/>
    <w:rsid w:val="00AC4893"/>
    <w:rsid w:val="00AC5D62"/>
    <w:rsid w:val="00AC5E53"/>
    <w:rsid w:val="00AC62C9"/>
    <w:rsid w:val="00AC739B"/>
    <w:rsid w:val="00AC7507"/>
    <w:rsid w:val="00AC7A4B"/>
    <w:rsid w:val="00AD07D5"/>
    <w:rsid w:val="00AD0CFD"/>
    <w:rsid w:val="00AD21F1"/>
    <w:rsid w:val="00AD2BD3"/>
    <w:rsid w:val="00AD4091"/>
    <w:rsid w:val="00AD4270"/>
    <w:rsid w:val="00AD4816"/>
    <w:rsid w:val="00AD4B0A"/>
    <w:rsid w:val="00AD5806"/>
    <w:rsid w:val="00AD59F8"/>
    <w:rsid w:val="00AD6654"/>
    <w:rsid w:val="00AD74D3"/>
    <w:rsid w:val="00AD7F47"/>
    <w:rsid w:val="00AE08E4"/>
    <w:rsid w:val="00AE09F5"/>
    <w:rsid w:val="00AE2B57"/>
    <w:rsid w:val="00AE2CDE"/>
    <w:rsid w:val="00AE31DE"/>
    <w:rsid w:val="00AE368A"/>
    <w:rsid w:val="00AE3859"/>
    <w:rsid w:val="00AE3AF5"/>
    <w:rsid w:val="00AE3BBF"/>
    <w:rsid w:val="00AE3E9C"/>
    <w:rsid w:val="00AE4369"/>
    <w:rsid w:val="00AE542A"/>
    <w:rsid w:val="00AE5D47"/>
    <w:rsid w:val="00AE655D"/>
    <w:rsid w:val="00AE6916"/>
    <w:rsid w:val="00AE6B86"/>
    <w:rsid w:val="00AE77FE"/>
    <w:rsid w:val="00AF0203"/>
    <w:rsid w:val="00AF1DA1"/>
    <w:rsid w:val="00AF3C86"/>
    <w:rsid w:val="00AF429D"/>
    <w:rsid w:val="00AF4495"/>
    <w:rsid w:val="00AF49AD"/>
    <w:rsid w:val="00AF5E83"/>
    <w:rsid w:val="00AF6E0E"/>
    <w:rsid w:val="00AF6E7B"/>
    <w:rsid w:val="00AF76D7"/>
    <w:rsid w:val="00B009FE"/>
    <w:rsid w:val="00B02599"/>
    <w:rsid w:val="00B0376B"/>
    <w:rsid w:val="00B03BE9"/>
    <w:rsid w:val="00B051CF"/>
    <w:rsid w:val="00B0571A"/>
    <w:rsid w:val="00B0623F"/>
    <w:rsid w:val="00B063C8"/>
    <w:rsid w:val="00B06A94"/>
    <w:rsid w:val="00B070CA"/>
    <w:rsid w:val="00B07847"/>
    <w:rsid w:val="00B07E01"/>
    <w:rsid w:val="00B10576"/>
    <w:rsid w:val="00B105D9"/>
    <w:rsid w:val="00B10BD7"/>
    <w:rsid w:val="00B10F1F"/>
    <w:rsid w:val="00B17BFE"/>
    <w:rsid w:val="00B201C9"/>
    <w:rsid w:val="00B20394"/>
    <w:rsid w:val="00B222DF"/>
    <w:rsid w:val="00B24512"/>
    <w:rsid w:val="00B2488B"/>
    <w:rsid w:val="00B24994"/>
    <w:rsid w:val="00B24E57"/>
    <w:rsid w:val="00B25431"/>
    <w:rsid w:val="00B25DF5"/>
    <w:rsid w:val="00B25E7E"/>
    <w:rsid w:val="00B26AF6"/>
    <w:rsid w:val="00B301EA"/>
    <w:rsid w:val="00B30577"/>
    <w:rsid w:val="00B3086C"/>
    <w:rsid w:val="00B31285"/>
    <w:rsid w:val="00B31421"/>
    <w:rsid w:val="00B315D8"/>
    <w:rsid w:val="00B31AB6"/>
    <w:rsid w:val="00B31D98"/>
    <w:rsid w:val="00B32E32"/>
    <w:rsid w:val="00B33800"/>
    <w:rsid w:val="00B34073"/>
    <w:rsid w:val="00B34C7A"/>
    <w:rsid w:val="00B360B9"/>
    <w:rsid w:val="00B360D0"/>
    <w:rsid w:val="00B36911"/>
    <w:rsid w:val="00B40964"/>
    <w:rsid w:val="00B41378"/>
    <w:rsid w:val="00B430D1"/>
    <w:rsid w:val="00B433B7"/>
    <w:rsid w:val="00B4453B"/>
    <w:rsid w:val="00B44CB4"/>
    <w:rsid w:val="00B44EAE"/>
    <w:rsid w:val="00B51132"/>
    <w:rsid w:val="00B512BF"/>
    <w:rsid w:val="00B51F26"/>
    <w:rsid w:val="00B52507"/>
    <w:rsid w:val="00B52521"/>
    <w:rsid w:val="00B52842"/>
    <w:rsid w:val="00B52B39"/>
    <w:rsid w:val="00B52EAB"/>
    <w:rsid w:val="00B537F2"/>
    <w:rsid w:val="00B54274"/>
    <w:rsid w:val="00B544C6"/>
    <w:rsid w:val="00B54E8A"/>
    <w:rsid w:val="00B55107"/>
    <w:rsid w:val="00B5537F"/>
    <w:rsid w:val="00B56A70"/>
    <w:rsid w:val="00B57127"/>
    <w:rsid w:val="00B5737E"/>
    <w:rsid w:val="00B57A56"/>
    <w:rsid w:val="00B604F9"/>
    <w:rsid w:val="00B60E0C"/>
    <w:rsid w:val="00B618D8"/>
    <w:rsid w:val="00B61CD1"/>
    <w:rsid w:val="00B62AF1"/>
    <w:rsid w:val="00B62CC3"/>
    <w:rsid w:val="00B644D5"/>
    <w:rsid w:val="00B64EC4"/>
    <w:rsid w:val="00B656EB"/>
    <w:rsid w:val="00B6570A"/>
    <w:rsid w:val="00B657CA"/>
    <w:rsid w:val="00B658E2"/>
    <w:rsid w:val="00B66555"/>
    <w:rsid w:val="00B67C1F"/>
    <w:rsid w:val="00B700C4"/>
    <w:rsid w:val="00B72940"/>
    <w:rsid w:val="00B72FDA"/>
    <w:rsid w:val="00B736B9"/>
    <w:rsid w:val="00B7428A"/>
    <w:rsid w:val="00B75347"/>
    <w:rsid w:val="00B7579E"/>
    <w:rsid w:val="00B75835"/>
    <w:rsid w:val="00B75C50"/>
    <w:rsid w:val="00B75CB4"/>
    <w:rsid w:val="00B76139"/>
    <w:rsid w:val="00B76F3C"/>
    <w:rsid w:val="00B77711"/>
    <w:rsid w:val="00B77B4D"/>
    <w:rsid w:val="00B77F0E"/>
    <w:rsid w:val="00B81F07"/>
    <w:rsid w:val="00B826D8"/>
    <w:rsid w:val="00B83C91"/>
    <w:rsid w:val="00B841E0"/>
    <w:rsid w:val="00B85266"/>
    <w:rsid w:val="00B8555E"/>
    <w:rsid w:val="00B85B4F"/>
    <w:rsid w:val="00B8618F"/>
    <w:rsid w:val="00B86304"/>
    <w:rsid w:val="00B86843"/>
    <w:rsid w:val="00B87E89"/>
    <w:rsid w:val="00B87ECD"/>
    <w:rsid w:val="00B91FC8"/>
    <w:rsid w:val="00B922CD"/>
    <w:rsid w:val="00B924DB"/>
    <w:rsid w:val="00B9306B"/>
    <w:rsid w:val="00B932C9"/>
    <w:rsid w:val="00B93972"/>
    <w:rsid w:val="00B957AC"/>
    <w:rsid w:val="00B95AB8"/>
    <w:rsid w:val="00B97065"/>
    <w:rsid w:val="00BA0050"/>
    <w:rsid w:val="00BA1673"/>
    <w:rsid w:val="00BA20AE"/>
    <w:rsid w:val="00BA34BC"/>
    <w:rsid w:val="00BA38EB"/>
    <w:rsid w:val="00BA551D"/>
    <w:rsid w:val="00BA581D"/>
    <w:rsid w:val="00BA73C0"/>
    <w:rsid w:val="00BB0240"/>
    <w:rsid w:val="00BB04C9"/>
    <w:rsid w:val="00BB0CB6"/>
    <w:rsid w:val="00BB15BF"/>
    <w:rsid w:val="00BB161D"/>
    <w:rsid w:val="00BB2692"/>
    <w:rsid w:val="00BB2CDC"/>
    <w:rsid w:val="00BB3106"/>
    <w:rsid w:val="00BB3DF5"/>
    <w:rsid w:val="00BB43BC"/>
    <w:rsid w:val="00BB4C92"/>
    <w:rsid w:val="00BB5DCA"/>
    <w:rsid w:val="00BB5E04"/>
    <w:rsid w:val="00BB63CE"/>
    <w:rsid w:val="00BB7696"/>
    <w:rsid w:val="00BC02DC"/>
    <w:rsid w:val="00BC1327"/>
    <w:rsid w:val="00BC15BD"/>
    <w:rsid w:val="00BC1EFB"/>
    <w:rsid w:val="00BC25A0"/>
    <w:rsid w:val="00BC2B8C"/>
    <w:rsid w:val="00BC2F1E"/>
    <w:rsid w:val="00BC449A"/>
    <w:rsid w:val="00BC45D2"/>
    <w:rsid w:val="00BC4BB5"/>
    <w:rsid w:val="00BC56FC"/>
    <w:rsid w:val="00BC62D4"/>
    <w:rsid w:val="00BC73A3"/>
    <w:rsid w:val="00BC74AD"/>
    <w:rsid w:val="00BC75BB"/>
    <w:rsid w:val="00BC7AD1"/>
    <w:rsid w:val="00BD0612"/>
    <w:rsid w:val="00BD3238"/>
    <w:rsid w:val="00BD44FE"/>
    <w:rsid w:val="00BD4573"/>
    <w:rsid w:val="00BD58F1"/>
    <w:rsid w:val="00BD5F95"/>
    <w:rsid w:val="00BD6F0F"/>
    <w:rsid w:val="00BD76BF"/>
    <w:rsid w:val="00BE0007"/>
    <w:rsid w:val="00BE02E0"/>
    <w:rsid w:val="00BE02EF"/>
    <w:rsid w:val="00BE0597"/>
    <w:rsid w:val="00BE3160"/>
    <w:rsid w:val="00BE3319"/>
    <w:rsid w:val="00BE3AA2"/>
    <w:rsid w:val="00BE459F"/>
    <w:rsid w:val="00BE5AEF"/>
    <w:rsid w:val="00BE6954"/>
    <w:rsid w:val="00BE702E"/>
    <w:rsid w:val="00BF0BAD"/>
    <w:rsid w:val="00BF3252"/>
    <w:rsid w:val="00BF5DDA"/>
    <w:rsid w:val="00BF60E2"/>
    <w:rsid w:val="00BF620C"/>
    <w:rsid w:val="00BF77E6"/>
    <w:rsid w:val="00C005E4"/>
    <w:rsid w:val="00C01215"/>
    <w:rsid w:val="00C02284"/>
    <w:rsid w:val="00C02B98"/>
    <w:rsid w:val="00C02CE8"/>
    <w:rsid w:val="00C02E41"/>
    <w:rsid w:val="00C035A3"/>
    <w:rsid w:val="00C03F4B"/>
    <w:rsid w:val="00C047CE"/>
    <w:rsid w:val="00C04862"/>
    <w:rsid w:val="00C04A96"/>
    <w:rsid w:val="00C0524A"/>
    <w:rsid w:val="00C05DC1"/>
    <w:rsid w:val="00C06B3B"/>
    <w:rsid w:val="00C06DC6"/>
    <w:rsid w:val="00C07A2F"/>
    <w:rsid w:val="00C116E0"/>
    <w:rsid w:val="00C11733"/>
    <w:rsid w:val="00C11AD6"/>
    <w:rsid w:val="00C123C5"/>
    <w:rsid w:val="00C12CB2"/>
    <w:rsid w:val="00C1366F"/>
    <w:rsid w:val="00C13F92"/>
    <w:rsid w:val="00C14721"/>
    <w:rsid w:val="00C16982"/>
    <w:rsid w:val="00C21984"/>
    <w:rsid w:val="00C21D54"/>
    <w:rsid w:val="00C22A2D"/>
    <w:rsid w:val="00C235A0"/>
    <w:rsid w:val="00C23F5F"/>
    <w:rsid w:val="00C24033"/>
    <w:rsid w:val="00C24108"/>
    <w:rsid w:val="00C27A77"/>
    <w:rsid w:val="00C30FA8"/>
    <w:rsid w:val="00C314DD"/>
    <w:rsid w:val="00C31623"/>
    <w:rsid w:val="00C31D99"/>
    <w:rsid w:val="00C32BFC"/>
    <w:rsid w:val="00C34400"/>
    <w:rsid w:val="00C355D8"/>
    <w:rsid w:val="00C35950"/>
    <w:rsid w:val="00C3611A"/>
    <w:rsid w:val="00C36699"/>
    <w:rsid w:val="00C368C3"/>
    <w:rsid w:val="00C37F8E"/>
    <w:rsid w:val="00C4256A"/>
    <w:rsid w:val="00C42606"/>
    <w:rsid w:val="00C42CC8"/>
    <w:rsid w:val="00C42D9F"/>
    <w:rsid w:val="00C43A8F"/>
    <w:rsid w:val="00C44220"/>
    <w:rsid w:val="00C444FA"/>
    <w:rsid w:val="00C4581D"/>
    <w:rsid w:val="00C4597D"/>
    <w:rsid w:val="00C45F6C"/>
    <w:rsid w:val="00C46C58"/>
    <w:rsid w:val="00C46DA0"/>
    <w:rsid w:val="00C46DB3"/>
    <w:rsid w:val="00C472ED"/>
    <w:rsid w:val="00C5098C"/>
    <w:rsid w:val="00C50E98"/>
    <w:rsid w:val="00C537E9"/>
    <w:rsid w:val="00C561A5"/>
    <w:rsid w:val="00C56F2C"/>
    <w:rsid w:val="00C5705D"/>
    <w:rsid w:val="00C57FD0"/>
    <w:rsid w:val="00C6029A"/>
    <w:rsid w:val="00C6033A"/>
    <w:rsid w:val="00C61083"/>
    <w:rsid w:val="00C61A59"/>
    <w:rsid w:val="00C62741"/>
    <w:rsid w:val="00C62A3D"/>
    <w:rsid w:val="00C637BD"/>
    <w:rsid w:val="00C63CA4"/>
    <w:rsid w:val="00C64AAC"/>
    <w:rsid w:val="00C64C06"/>
    <w:rsid w:val="00C64F99"/>
    <w:rsid w:val="00C65979"/>
    <w:rsid w:val="00C662D2"/>
    <w:rsid w:val="00C66758"/>
    <w:rsid w:val="00C676FD"/>
    <w:rsid w:val="00C70276"/>
    <w:rsid w:val="00C718C7"/>
    <w:rsid w:val="00C7250B"/>
    <w:rsid w:val="00C733AC"/>
    <w:rsid w:val="00C73DA6"/>
    <w:rsid w:val="00C748FD"/>
    <w:rsid w:val="00C75F30"/>
    <w:rsid w:val="00C76F34"/>
    <w:rsid w:val="00C818AD"/>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1F44"/>
    <w:rsid w:val="00CA3433"/>
    <w:rsid w:val="00CA351E"/>
    <w:rsid w:val="00CA3691"/>
    <w:rsid w:val="00CA4EF5"/>
    <w:rsid w:val="00CA5B04"/>
    <w:rsid w:val="00CA641E"/>
    <w:rsid w:val="00CB0A40"/>
    <w:rsid w:val="00CB1DA7"/>
    <w:rsid w:val="00CB344B"/>
    <w:rsid w:val="00CB5873"/>
    <w:rsid w:val="00CB5E7B"/>
    <w:rsid w:val="00CB6819"/>
    <w:rsid w:val="00CB6C7D"/>
    <w:rsid w:val="00CB7E10"/>
    <w:rsid w:val="00CC22C6"/>
    <w:rsid w:val="00CC2802"/>
    <w:rsid w:val="00CC3BB9"/>
    <w:rsid w:val="00CC5847"/>
    <w:rsid w:val="00CC6AAF"/>
    <w:rsid w:val="00CD081E"/>
    <w:rsid w:val="00CD0EF5"/>
    <w:rsid w:val="00CD1348"/>
    <w:rsid w:val="00CD189A"/>
    <w:rsid w:val="00CD1CDC"/>
    <w:rsid w:val="00CD222D"/>
    <w:rsid w:val="00CD284B"/>
    <w:rsid w:val="00CD2D41"/>
    <w:rsid w:val="00CD34CD"/>
    <w:rsid w:val="00CD39FC"/>
    <w:rsid w:val="00CD5D39"/>
    <w:rsid w:val="00CD6B9C"/>
    <w:rsid w:val="00CD6D1A"/>
    <w:rsid w:val="00CE0E71"/>
    <w:rsid w:val="00CE11C3"/>
    <w:rsid w:val="00CE1AF7"/>
    <w:rsid w:val="00CE26C7"/>
    <w:rsid w:val="00CE366C"/>
    <w:rsid w:val="00CE5250"/>
    <w:rsid w:val="00CE66CD"/>
    <w:rsid w:val="00CE68B2"/>
    <w:rsid w:val="00CE7C62"/>
    <w:rsid w:val="00CF13B3"/>
    <w:rsid w:val="00CF1958"/>
    <w:rsid w:val="00CF21FE"/>
    <w:rsid w:val="00CF2611"/>
    <w:rsid w:val="00CF2793"/>
    <w:rsid w:val="00CF3404"/>
    <w:rsid w:val="00CF47A0"/>
    <w:rsid w:val="00CF6A56"/>
    <w:rsid w:val="00D00799"/>
    <w:rsid w:val="00D02EF2"/>
    <w:rsid w:val="00D038A8"/>
    <w:rsid w:val="00D06875"/>
    <w:rsid w:val="00D06A6A"/>
    <w:rsid w:val="00D06FF9"/>
    <w:rsid w:val="00D11105"/>
    <w:rsid w:val="00D128DE"/>
    <w:rsid w:val="00D12BC1"/>
    <w:rsid w:val="00D13578"/>
    <w:rsid w:val="00D1523D"/>
    <w:rsid w:val="00D1656E"/>
    <w:rsid w:val="00D17445"/>
    <w:rsid w:val="00D17A04"/>
    <w:rsid w:val="00D20309"/>
    <w:rsid w:val="00D20B69"/>
    <w:rsid w:val="00D21127"/>
    <w:rsid w:val="00D2252E"/>
    <w:rsid w:val="00D233DB"/>
    <w:rsid w:val="00D23872"/>
    <w:rsid w:val="00D23EE9"/>
    <w:rsid w:val="00D253CA"/>
    <w:rsid w:val="00D25660"/>
    <w:rsid w:val="00D261C8"/>
    <w:rsid w:val="00D26271"/>
    <w:rsid w:val="00D30519"/>
    <w:rsid w:val="00D30B83"/>
    <w:rsid w:val="00D311A7"/>
    <w:rsid w:val="00D31617"/>
    <w:rsid w:val="00D31719"/>
    <w:rsid w:val="00D31ABC"/>
    <w:rsid w:val="00D33C55"/>
    <w:rsid w:val="00D36607"/>
    <w:rsid w:val="00D37B9E"/>
    <w:rsid w:val="00D40D87"/>
    <w:rsid w:val="00D432B7"/>
    <w:rsid w:val="00D43562"/>
    <w:rsid w:val="00D439B2"/>
    <w:rsid w:val="00D43F8B"/>
    <w:rsid w:val="00D44275"/>
    <w:rsid w:val="00D45CB4"/>
    <w:rsid w:val="00D4602A"/>
    <w:rsid w:val="00D4637C"/>
    <w:rsid w:val="00D46FC9"/>
    <w:rsid w:val="00D524CC"/>
    <w:rsid w:val="00D52D77"/>
    <w:rsid w:val="00D53132"/>
    <w:rsid w:val="00D54B0E"/>
    <w:rsid w:val="00D54F74"/>
    <w:rsid w:val="00D560EF"/>
    <w:rsid w:val="00D56142"/>
    <w:rsid w:val="00D56CD9"/>
    <w:rsid w:val="00D608DA"/>
    <w:rsid w:val="00D60987"/>
    <w:rsid w:val="00D6122A"/>
    <w:rsid w:val="00D615CD"/>
    <w:rsid w:val="00D62196"/>
    <w:rsid w:val="00D62721"/>
    <w:rsid w:val="00D62868"/>
    <w:rsid w:val="00D6380F"/>
    <w:rsid w:val="00D642F4"/>
    <w:rsid w:val="00D65E09"/>
    <w:rsid w:val="00D65F49"/>
    <w:rsid w:val="00D70622"/>
    <w:rsid w:val="00D70939"/>
    <w:rsid w:val="00D709A3"/>
    <w:rsid w:val="00D70AD6"/>
    <w:rsid w:val="00D70C7F"/>
    <w:rsid w:val="00D7163F"/>
    <w:rsid w:val="00D71BC9"/>
    <w:rsid w:val="00D724F1"/>
    <w:rsid w:val="00D72F92"/>
    <w:rsid w:val="00D73133"/>
    <w:rsid w:val="00D73847"/>
    <w:rsid w:val="00D73B20"/>
    <w:rsid w:val="00D7406C"/>
    <w:rsid w:val="00D74243"/>
    <w:rsid w:val="00D75802"/>
    <w:rsid w:val="00D773A6"/>
    <w:rsid w:val="00D77797"/>
    <w:rsid w:val="00D80DF0"/>
    <w:rsid w:val="00D81371"/>
    <w:rsid w:val="00D827F6"/>
    <w:rsid w:val="00D83EA4"/>
    <w:rsid w:val="00D8411F"/>
    <w:rsid w:val="00D844E1"/>
    <w:rsid w:val="00D855ED"/>
    <w:rsid w:val="00D86891"/>
    <w:rsid w:val="00D874AA"/>
    <w:rsid w:val="00D87C60"/>
    <w:rsid w:val="00D90DAC"/>
    <w:rsid w:val="00D91571"/>
    <w:rsid w:val="00D91DB2"/>
    <w:rsid w:val="00D921CE"/>
    <w:rsid w:val="00D92FF1"/>
    <w:rsid w:val="00D931C7"/>
    <w:rsid w:val="00D9352C"/>
    <w:rsid w:val="00D93B9D"/>
    <w:rsid w:val="00D93C8B"/>
    <w:rsid w:val="00D94A8C"/>
    <w:rsid w:val="00D95B6A"/>
    <w:rsid w:val="00D960E5"/>
    <w:rsid w:val="00D96514"/>
    <w:rsid w:val="00D96D3B"/>
    <w:rsid w:val="00D97E4F"/>
    <w:rsid w:val="00DA0819"/>
    <w:rsid w:val="00DA28DA"/>
    <w:rsid w:val="00DA35BD"/>
    <w:rsid w:val="00DA3A24"/>
    <w:rsid w:val="00DA48BD"/>
    <w:rsid w:val="00DA4FB4"/>
    <w:rsid w:val="00DA7D06"/>
    <w:rsid w:val="00DA7E9C"/>
    <w:rsid w:val="00DB032F"/>
    <w:rsid w:val="00DB0593"/>
    <w:rsid w:val="00DB15A0"/>
    <w:rsid w:val="00DB27AC"/>
    <w:rsid w:val="00DB3047"/>
    <w:rsid w:val="00DB3AAA"/>
    <w:rsid w:val="00DB3E69"/>
    <w:rsid w:val="00DB3F79"/>
    <w:rsid w:val="00DB4733"/>
    <w:rsid w:val="00DB4886"/>
    <w:rsid w:val="00DB49B6"/>
    <w:rsid w:val="00DB4A18"/>
    <w:rsid w:val="00DB55DA"/>
    <w:rsid w:val="00DB60C3"/>
    <w:rsid w:val="00DB6A47"/>
    <w:rsid w:val="00DB7490"/>
    <w:rsid w:val="00DB798E"/>
    <w:rsid w:val="00DC2E8F"/>
    <w:rsid w:val="00DC3D3A"/>
    <w:rsid w:val="00DC4924"/>
    <w:rsid w:val="00DC4FE2"/>
    <w:rsid w:val="00DC5938"/>
    <w:rsid w:val="00DC5B96"/>
    <w:rsid w:val="00DC67D9"/>
    <w:rsid w:val="00DC6AB9"/>
    <w:rsid w:val="00DC7574"/>
    <w:rsid w:val="00DC7C6B"/>
    <w:rsid w:val="00DD0E8E"/>
    <w:rsid w:val="00DD139C"/>
    <w:rsid w:val="00DD15F7"/>
    <w:rsid w:val="00DD16B0"/>
    <w:rsid w:val="00DD1F5F"/>
    <w:rsid w:val="00DD31F0"/>
    <w:rsid w:val="00DD3461"/>
    <w:rsid w:val="00DD47B9"/>
    <w:rsid w:val="00DD4CEC"/>
    <w:rsid w:val="00DD6343"/>
    <w:rsid w:val="00DD63E8"/>
    <w:rsid w:val="00DD6770"/>
    <w:rsid w:val="00DD6C65"/>
    <w:rsid w:val="00DE0149"/>
    <w:rsid w:val="00DE2067"/>
    <w:rsid w:val="00DE28C9"/>
    <w:rsid w:val="00DE306B"/>
    <w:rsid w:val="00DE498C"/>
    <w:rsid w:val="00DE5170"/>
    <w:rsid w:val="00DE541D"/>
    <w:rsid w:val="00DE5A75"/>
    <w:rsid w:val="00DE649D"/>
    <w:rsid w:val="00DE716C"/>
    <w:rsid w:val="00DF02AB"/>
    <w:rsid w:val="00DF08EF"/>
    <w:rsid w:val="00DF1387"/>
    <w:rsid w:val="00DF14FA"/>
    <w:rsid w:val="00DF186C"/>
    <w:rsid w:val="00DF1FF6"/>
    <w:rsid w:val="00DF200A"/>
    <w:rsid w:val="00DF4E69"/>
    <w:rsid w:val="00DF5118"/>
    <w:rsid w:val="00DF76ED"/>
    <w:rsid w:val="00E01CE0"/>
    <w:rsid w:val="00E01F86"/>
    <w:rsid w:val="00E023F1"/>
    <w:rsid w:val="00E027FA"/>
    <w:rsid w:val="00E02F2A"/>
    <w:rsid w:val="00E047BC"/>
    <w:rsid w:val="00E051C8"/>
    <w:rsid w:val="00E058D4"/>
    <w:rsid w:val="00E05D03"/>
    <w:rsid w:val="00E05F25"/>
    <w:rsid w:val="00E05F79"/>
    <w:rsid w:val="00E06025"/>
    <w:rsid w:val="00E06324"/>
    <w:rsid w:val="00E068C7"/>
    <w:rsid w:val="00E1076E"/>
    <w:rsid w:val="00E10825"/>
    <w:rsid w:val="00E10D4B"/>
    <w:rsid w:val="00E12972"/>
    <w:rsid w:val="00E13454"/>
    <w:rsid w:val="00E15357"/>
    <w:rsid w:val="00E153F8"/>
    <w:rsid w:val="00E15AFF"/>
    <w:rsid w:val="00E15F1B"/>
    <w:rsid w:val="00E166D5"/>
    <w:rsid w:val="00E16883"/>
    <w:rsid w:val="00E16A2A"/>
    <w:rsid w:val="00E16A68"/>
    <w:rsid w:val="00E17C2E"/>
    <w:rsid w:val="00E22209"/>
    <w:rsid w:val="00E2233C"/>
    <w:rsid w:val="00E22884"/>
    <w:rsid w:val="00E22CDB"/>
    <w:rsid w:val="00E22CFD"/>
    <w:rsid w:val="00E246BE"/>
    <w:rsid w:val="00E24844"/>
    <w:rsid w:val="00E24A2E"/>
    <w:rsid w:val="00E24CA9"/>
    <w:rsid w:val="00E24CF3"/>
    <w:rsid w:val="00E261CA"/>
    <w:rsid w:val="00E26820"/>
    <w:rsid w:val="00E306A6"/>
    <w:rsid w:val="00E30776"/>
    <w:rsid w:val="00E30BA5"/>
    <w:rsid w:val="00E340FF"/>
    <w:rsid w:val="00E3445A"/>
    <w:rsid w:val="00E35208"/>
    <w:rsid w:val="00E3522D"/>
    <w:rsid w:val="00E35D25"/>
    <w:rsid w:val="00E35D4A"/>
    <w:rsid w:val="00E36DC1"/>
    <w:rsid w:val="00E37A43"/>
    <w:rsid w:val="00E40ED9"/>
    <w:rsid w:val="00E42325"/>
    <w:rsid w:val="00E43B36"/>
    <w:rsid w:val="00E44189"/>
    <w:rsid w:val="00E44D48"/>
    <w:rsid w:val="00E44DA7"/>
    <w:rsid w:val="00E45BEE"/>
    <w:rsid w:val="00E4648C"/>
    <w:rsid w:val="00E46A2B"/>
    <w:rsid w:val="00E46C63"/>
    <w:rsid w:val="00E46F83"/>
    <w:rsid w:val="00E4708D"/>
    <w:rsid w:val="00E47790"/>
    <w:rsid w:val="00E509DC"/>
    <w:rsid w:val="00E50D68"/>
    <w:rsid w:val="00E52927"/>
    <w:rsid w:val="00E52957"/>
    <w:rsid w:val="00E540AC"/>
    <w:rsid w:val="00E55158"/>
    <w:rsid w:val="00E55AE0"/>
    <w:rsid w:val="00E56046"/>
    <w:rsid w:val="00E60CE1"/>
    <w:rsid w:val="00E61CFA"/>
    <w:rsid w:val="00E635BB"/>
    <w:rsid w:val="00E639CA"/>
    <w:rsid w:val="00E63D4C"/>
    <w:rsid w:val="00E640A7"/>
    <w:rsid w:val="00E64CA0"/>
    <w:rsid w:val="00E65AD1"/>
    <w:rsid w:val="00E663E4"/>
    <w:rsid w:val="00E70410"/>
    <w:rsid w:val="00E707EA"/>
    <w:rsid w:val="00E70F67"/>
    <w:rsid w:val="00E73E6D"/>
    <w:rsid w:val="00E74934"/>
    <w:rsid w:val="00E75DFB"/>
    <w:rsid w:val="00E761AC"/>
    <w:rsid w:val="00E800E5"/>
    <w:rsid w:val="00E83FA4"/>
    <w:rsid w:val="00E8593D"/>
    <w:rsid w:val="00E85DDF"/>
    <w:rsid w:val="00E90021"/>
    <w:rsid w:val="00E90B90"/>
    <w:rsid w:val="00E91082"/>
    <w:rsid w:val="00E9197D"/>
    <w:rsid w:val="00E91CB1"/>
    <w:rsid w:val="00E93A00"/>
    <w:rsid w:val="00E95952"/>
    <w:rsid w:val="00E96379"/>
    <w:rsid w:val="00E96422"/>
    <w:rsid w:val="00E97957"/>
    <w:rsid w:val="00EA2B1F"/>
    <w:rsid w:val="00EA3726"/>
    <w:rsid w:val="00EA4047"/>
    <w:rsid w:val="00EA49AA"/>
    <w:rsid w:val="00EA49D8"/>
    <w:rsid w:val="00EA4D5C"/>
    <w:rsid w:val="00EA5DC3"/>
    <w:rsid w:val="00EA7BB0"/>
    <w:rsid w:val="00EA7F66"/>
    <w:rsid w:val="00EB06DC"/>
    <w:rsid w:val="00EB0DBC"/>
    <w:rsid w:val="00EB2952"/>
    <w:rsid w:val="00EB3EC7"/>
    <w:rsid w:val="00EB46FC"/>
    <w:rsid w:val="00EB4A11"/>
    <w:rsid w:val="00EB5B17"/>
    <w:rsid w:val="00EB5F39"/>
    <w:rsid w:val="00EB6C42"/>
    <w:rsid w:val="00EB6DC3"/>
    <w:rsid w:val="00EB732A"/>
    <w:rsid w:val="00EC08CA"/>
    <w:rsid w:val="00EC1992"/>
    <w:rsid w:val="00EC24E4"/>
    <w:rsid w:val="00EC318B"/>
    <w:rsid w:val="00EC39A5"/>
    <w:rsid w:val="00EC456A"/>
    <w:rsid w:val="00EC5A90"/>
    <w:rsid w:val="00EC6429"/>
    <w:rsid w:val="00EC6456"/>
    <w:rsid w:val="00EC735A"/>
    <w:rsid w:val="00ED0902"/>
    <w:rsid w:val="00ED2163"/>
    <w:rsid w:val="00ED2F5B"/>
    <w:rsid w:val="00ED327A"/>
    <w:rsid w:val="00ED40A3"/>
    <w:rsid w:val="00ED427C"/>
    <w:rsid w:val="00ED6511"/>
    <w:rsid w:val="00ED67B4"/>
    <w:rsid w:val="00ED69A1"/>
    <w:rsid w:val="00ED6B55"/>
    <w:rsid w:val="00ED7EE7"/>
    <w:rsid w:val="00EE014C"/>
    <w:rsid w:val="00EE03B3"/>
    <w:rsid w:val="00EE082F"/>
    <w:rsid w:val="00EE09FD"/>
    <w:rsid w:val="00EE0B57"/>
    <w:rsid w:val="00EE184D"/>
    <w:rsid w:val="00EE68B1"/>
    <w:rsid w:val="00EE6DBE"/>
    <w:rsid w:val="00EF063C"/>
    <w:rsid w:val="00EF0904"/>
    <w:rsid w:val="00EF1EE0"/>
    <w:rsid w:val="00EF2468"/>
    <w:rsid w:val="00EF37D0"/>
    <w:rsid w:val="00EF4776"/>
    <w:rsid w:val="00EF48F6"/>
    <w:rsid w:val="00EF492A"/>
    <w:rsid w:val="00EF508C"/>
    <w:rsid w:val="00EF53ED"/>
    <w:rsid w:val="00F0083D"/>
    <w:rsid w:val="00F0108C"/>
    <w:rsid w:val="00F01A62"/>
    <w:rsid w:val="00F02D7E"/>
    <w:rsid w:val="00F033EC"/>
    <w:rsid w:val="00F03E93"/>
    <w:rsid w:val="00F044AE"/>
    <w:rsid w:val="00F06706"/>
    <w:rsid w:val="00F06BC0"/>
    <w:rsid w:val="00F07CAE"/>
    <w:rsid w:val="00F07DBC"/>
    <w:rsid w:val="00F10DE0"/>
    <w:rsid w:val="00F11CA0"/>
    <w:rsid w:val="00F12142"/>
    <w:rsid w:val="00F121B4"/>
    <w:rsid w:val="00F1303D"/>
    <w:rsid w:val="00F13CC9"/>
    <w:rsid w:val="00F13EFC"/>
    <w:rsid w:val="00F15885"/>
    <w:rsid w:val="00F15FE9"/>
    <w:rsid w:val="00F166A4"/>
    <w:rsid w:val="00F178E3"/>
    <w:rsid w:val="00F20882"/>
    <w:rsid w:val="00F20ADE"/>
    <w:rsid w:val="00F20F94"/>
    <w:rsid w:val="00F2111F"/>
    <w:rsid w:val="00F21E58"/>
    <w:rsid w:val="00F2331D"/>
    <w:rsid w:val="00F23AF8"/>
    <w:rsid w:val="00F23C1F"/>
    <w:rsid w:val="00F247DF"/>
    <w:rsid w:val="00F24960"/>
    <w:rsid w:val="00F26FC2"/>
    <w:rsid w:val="00F279C6"/>
    <w:rsid w:val="00F31316"/>
    <w:rsid w:val="00F3206A"/>
    <w:rsid w:val="00F368B9"/>
    <w:rsid w:val="00F40005"/>
    <w:rsid w:val="00F40051"/>
    <w:rsid w:val="00F4140E"/>
    <w:rsid w:val="00F4208A"/>
    <w:rsid w:val="00F4267D"/>
    <w:rsid w:val="00F43649"/>
    <w:rsid w:val="00F43854"/>
    <w:rsid w:val="00F43924"/>
    <w:rsid w:val="00F43A4B"/>
    <w:rsid w:val="00F50D66"/>
    <w:rsid w:val="00F5265E"/>
    <w:rsid w:val="00F526B2"/>
    <w:rsid w:val="00F52711"/>
    <w:rsid w:val="00F529A6"/>
    <w:rsid w:val="00F539C0"/>
    <w:rsid w:val="00F53B6C"/>
    <w:rsid w:val="00F547C1"/>
    <w:rsid w:val="00F55299"/>
    <w:rsid w:val="00F5554F"/>
    <w:rsid w:val="00F5730C"/>
    <w:rsid w:val="00F6185C"/>
    <w:rsid w:val="00F61B94"/>
    <w:rsid w:val="00F621D7"/>
    <w:rsid w:val="00F62410"/>
    <w:rsid w:val="00F62772"/>
    <w:rsid w:val="00F638B2"/>
    <w:rsid w:val="00F63ABB"/>
    <w:rsid w:val="00F63B8D"/>
    <w:rsid w:val="00F63D53"/>
    <w:rsid w:val="00F6441C"/>
    <w:rsid w:val="00F645B6"/>
    <w:rsid w:val="00F64735"/>
    <w:rsid w:val="00F64FF8"/>
    <w:rsid w:val="00F653BE"/>
    <w:rsid w:val="00F6588F"/>
    <w:rsid w:val="00F65F16"/>
    <w:rsid w:val="00F66F30"/>
    <w:rsid w:val="00F705AB"/>
    <w:rsid w:val="00F7097C"/>
    <w:rsid w:val="00F7111F"/>
    <w:rsid w:val="00F71FB6"/>
    <w:rsid w:val="00F73768"/>
    <w:rsid w:val="00F7573D"/>
    <w:rsid w:val="00F75C26"/>
    <w:rsid w:val="00F75EE3"/>
    <w:rsid w:val="00F76277"/>
    <w:rsid w:val="00F766CE"/>
    <w:rsid w:val="00F77172"/>
    <w:rsid w:val="00F80C09"/>
    <w:rsid w:val="00F81DB5"/>
    <w:rsid w:val="00F82FF6"/>
    <w:rsid w:val="00F843A0"/>
    <w:rsid w:val="00F8454B"/>
    <w:rsid w:val="00F84AE3"/>
    <w:rsid w:val="00F85406"/>
    <w:rsid w:val="00F85790"/>
    <w:rsid w:val="00F875FF"/>
    <w:rsid w:val="00F87A20"/>
    <w:rsid w:val="00F90C48"/>
    <w:rsid w:val="00F91EAD"/>
    <w:rsid w:val="00F924D8"/>
    <w:rsid w:val="00F93A02"/>
    <w:rsid w:val="00F9473F"/>
    <w:rsid w:val="00F951A6"/>
    <w:rsid w:val="00F9523F"/>
    <w:rsid w:val="00F95D54"/>
    <w:rsid w:val="00F95D9D"/>
    <w:rsid w:val="00FA16E2"/>
    <w:rsid w:val="00FA1EB5"/>
    <w:rsid w:val="00FA312C"/>
    <w:rsid w:val="00FA3ACF"/>
    <w:rsid w:val="00FA3ECE"/>
    <w:rsid w:val="00FA3EF1"/>
    <w:rsid w:val="00FA456E"/>
    <w:rsid w:val="00FA4747"/>
    <w:rsid w:val="00FA5E6A"/>
    <w:rsid w:val="00FB0643"/>
    <w:rsid w:val="00FB21C8"/>
    <w:rsid w:val="00FB49D3"/>
    <w:rsid w:val="00FB4D8E"/>
    <w:rsid w:val="00FB5335"/>
    <w:rsid w:val="00FB5C88"/>
    <w:rsid w:val="00FB78A9"/>
    <w:rsid w:val="00FC083D"/>
    <w:rsid w:val="00FC22A4"/>
    <w:rsid w:val="00FC233D"/>
    <w:rsid w:val="00FC245F"/>
    <w:rsid w:val="00FC3238"/>
    <w:rsid w:val="00FC3974"/>
    <w:rsid w:val="00FC4C13"/>
    <w:rsid w:val="00FC4DDB"/>
    <w:rsid w:val="00FC56A7"/>
    <w:rsid w:val="00FC683C"/>
    <w:rsid w:val="00FC68E4"/>
    <w:rsid w:val="00FC7693"/>
    <w:rsid w:val="00FD0032"/>
    <w:rsid w:val="00FD0EC4"/>
    <w:rsid w:val="00FD2E24"/>
    <w:rsid w:val="00FD4552"/>
    <w:rsid w:val="00FD45F7"/>
    <w:rsid w:val="00FD4E29"/>
    <w:rsid w:val="00FD578F"/>
    <w:rsid w:val="00FD5DCE"/>
    <w:rsid w:val="00FD6099"/>
    <w:rsid w:val="00FD7A43"/>
    <w:rsid w:val="00FD7F9D"/>
    <w:rsid w:val="00FE38B9"/>
    <w:rsid w:val="00FE3EE8"/>
    <w:rsid w:val="00FE41B8"/>
    <w:rsid w:val="00FE447C"/>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42C96-7FFD-420E-A49C-34357A1D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paragraph" w:customStyle="1" w:styleId="naislab">
    <w:name w:val="naislab"/>
    <w:basedOn w:val="Normal"/>
    <w:rsid w:val="006D1E3D"/>
    <w:pPr>
      <w:spacing w:before="84" w:after="84"/>
      <w:jc w:val="right"/>
    </w:pPr>
    <w:rPr>
      <w:rFonts w:eastAsia="Times New Roman"/>
    </w:rPr>
  </w:style>
  <w:style w:type="paragraph" w:customStyle="1" w:styleId="tabula">
    <w:name w:val="tabula"/>
    <w:basedOn w:val="Caption"/>
    <w:link w:val="tabulaChar"/>
    <w:qFormat/>
    <w:rsid w:val="00AB0767"/>
    <w:pPr>
      <w:keepNext/>
      <w:spacing w:before="120" w:after="120"/>
      <w:jc w:val="both"/>
    </w:pPr>
    <w:rPr>
      <w:rFonts w:eastAsia="Times New Roman"/>
      <w:lang w:eastAsia="en-US"/>
    </w:rPr>
  </w:style>
  <w:style w:type="character" w:customStyle="1" w:styleId="tabulaChar">
    <w:name w:val="tabula Char"/>
    <w:link w:val="tabula"/>
    <w:rsid w:val="00AB0767"/>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AB0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4434710">
      <w:bodyDiv w:val="1"/>
      <w:marLeft w:val="0"/>
      <w:marRight w:val="0"/>
      <w:marTop w:val="0"/>
      <w:marBottom w:val="0"/>
      <w:divBdr>
        <w:top w:val="none" w:sz="0" w:space="0" w:color="auto"/>
        <w:left w:val="none" w:sz="0" w:space="0" w:color="auto"/>
        <w:bottom w:val="none" w:sz="0" w:space="0" w:color="auto"/>
        <w:right w:val="none" w:sz="0" w:space="0" w:color="auto"/>
      </w:divBdr>
    </w:div>
    <w:div w:id="45213412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60079136">
      <w:bodyDiv w:val="1"/>
      <w:marLeft w:val="0"/>
      <w:marRight w:val="0"/>
      <w:marTop w:val="0"/>
      <w:marBottom w:val="0"/>
      <w:divBdr>
        <w:top w:val="none" w:sz="0" w:space="0" w:color="auto"/>
        <w:left w:val="none" w:sz="0" w:space="0" w:color="auto"/>
        <w:bottom w:val="none" w:sz="0" w:space="0" w:color="auto"/>
        <w:right w:val="none" w:sz="0" w:space="0" w:color="auto"/>
      </w:divBdr>
    </w:div>
    <w:div w:id="748236382">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sChild>
        <w:div w:id="441613188">
          <w:marLeft w:val="0"/>
          <w:marRight w:val="0"/>
          <w:marTop w:val="0"/>
          <w:marBottom w:val="0"/>
          <w:divBdr>
            <w:top w:val="none" w:sz="0" w:space="0" w:color="auto"/>
            <w:left w:val="none" w:sz="0" w:space="0" w:color="auto"/>
            <w:bottom w:val="none" w:sz="0" w:space="0" w:color="auto"/>
            <w:right w:val="none" w:sz="0" w:space="0" w:color="auto"/>
          </w:divBdr>
        </w:div>
        <w:div w:id="1033768875">
          <w:marLeft w:val="0"/>
          <w:marRight w:val="0"/>
          <w:marTop w:val="0"/>
          <w:marBottom w:val="0"/>
          <w:divBdr>
            <w:top w:val="none" w:sz="0" w:space="0" w:color="auto"/>
            <w:left w:val="none" w:sz="0" w:space="0" w:color="auto"/>
            <w:bottom w:val="none" w:sz="0" w:space="0" w:color="auto"/>
            <w:right w:val="none" w:sz="0" w:space="0" w:color="auto"/>
          </w:divBdr>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36350644">
      <w:bodyDiv w:val="1"/>
      <w:marLeft w:val="0"/>
      <w:marRight w:val="0"/>
      <w:marTop w:val="0"/>
      <w:marBottom w:val="0"/>
      <w:divBdr>
        <w:top w:val="none" w:sz="0" w:space="0" w:color="auto"/>
        <w:left w:val="none" w:sz="0" w:space="0" w:color="auto"/>
        <w:bottom w:val="none" w:sz="0" w:space="0" w:color="auto"/>
        <w:right w:val="none" w:sz="0" w:space="0" w:color="auto"/>
      </w:divBdr>
    </w:div>
    <w:div w:id="1059934993">
      <w:bodyDiv w:val="1"/>
      <w:marLeft w:val="0"/>
      <w:marRight w:val="0"/>
      <w:marTop w:val="0"/>
      <w:marBottom w:val="0"/>
      <w:divBdr>
        <w:top w:val="none" w:sz="0" w:space="0" w:color="auto"/>
        <w:left w:val="none" w:sz="0" w:space="0" w:color="auto"/>
        <w:bottom w:val="none" w:sz="0" w:space="0" w:color="auto"/>
        <w:right w:val="none" w:sz="0" w:space="0" w:color="auto"/>
      </w:divBdr>
    </w:div>
    <w:div w:id="1077899187">
      <w:bodyDiv w:val="1"/>
      <w:marLeft w:val="0"/>
      <w:marRight w:val="0"/>
      <w:marTop w:val="0"/>
      <w:marBottom w:val="0"/>
      <w:divBdr>
        <w:top w:val="none" w:sz="0" w:space="0" w:color="auto"/>
        <w:left w:val="none" w:sz="0" w:space="0" w:color="auto"/>
        <w:bottom w:val="none" w:sz="0" w:space="0" w:color="auto"/>
        <w:right w:val="none" w:sz="0" w:space="0" w:color="auto"/>
      </w:divBdr>
      <w:divsChild>
        <w:div w:id="499850674">
          <w:marLeft w:val="0"/>
          <w:marRight w:val="0"/>
          <w:marTop w:val="0"/>
          <w:marBottom w:val="0"/>
          <w:divBdr>
            <w:top w:val="none" w:sz="0" w:space="0" w:color="auto"/>
            <w:left w:val="none" w:sz="0" w:space="0" w:color="auto"/>
            <w:bottom w:val="none" w:sz="0" w:space="0" w:color="auto"/>
            <w:right w:val="none" w:sz="0" w:space="0" w:color="auto"/>
          </w:divBdr>
        </w:div>
        <w:div w:id="502399337">
          <w:marLeft w:val="0"/>
          <w:marRight w:val="0"/>
          <w:marTop w:val="0"/>
          <w:marBottom w:val="0"/>
          <w:divBdr>
            <w:top w:val="none" w:sz="0" w:space="0" w:color="auto"/>
            <w:left w:val="none" w:sz="0" w:space="0" w:color="auto"/>
            <w:bottom w:val="none" w:sz="0" w:space="0" w:color="auto"/>
            <w:right w:val="none" w:sz="0" w:space="0" w:color="auto"/>
          </w:divBdr>
        </w:div>
      </w:divsChild>
    </w:div>
    <w:div w:id="1080256452">
      <w:bodyDiv w:val="1"/>
      <w:marLeft w:val="0"/>
      <w:marRight w:val="0"/>
      <w:marTop w:val="0"/>
      <w:marBottom w:val="0"/>
      <w:divBdr>
        <w:top w:val="none" w:sz="0" w:space="0" w:color="auto"/>
        <w:left w:val="none" w:sz="0" w:space="0" w:color="auto"/>
        <w:bottom w:val="none" w:sz="0" w:space="0" w:color="auto"/>
        <w:right w:val="none" w:sz="0" w:space="0" w:color="auto"/>
      </w:divBdr>
    </w:div>
    <w:div w:id="1081104033">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57066363">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24683283">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B1316-1B2F-436B-80D1-A64A032E37F1}">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BE5C1CF7-7D8A-437F-85B8-7D037D0D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15540</Words>
  <Characters>8859</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2016.gada 10.maija noteikumos Nr.293 “Darbības programmas "Izaugsme un nodarbinātība" 1.2.1.specifiskā atbalsta mērķa "Palielināt privātā sektora investīcijas P&amp;A" 1.2.1.4.pasākuma "Atbalsts jaunu produktu ieviešanai ražošanā" </vt:lpstr>
      <vt:lpstr>Grozījums Ministru kabineta 2016.gada 10.maija noteikumos Nr.293 “Darbības programmas "Izaugsme un nodarbinātība" 1.2.1.specifiskā atbalsta mērķa "Palielināt privātā sektora investīcijas P&amp;A" 1.2.1.4.pasākuma "Atbalsts jaunu produktu ieviešanai ražošanā" </vt:lpstr>
    </vt:vector>
  </TitlesOfParts>
  <Company>EM</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EMAnot_28092017_groz692.docx</dc:title>
  <dc:subject>MK noteikumu projekta anotācija</dc:subject>
  <dc:creator>Reinis Lasmanis</dc:creator>
  <cp:keywords/>
  <dc:description>Liga.Micule@em.gov.lv, 67013093</dc:description>
  <cp:lastModifiedBy>Jānis Siliņš</cp:lastModifiedBy>
  <cp:revision>4</cp:revision>
  <cp:lastPrinted>2017-03-27T05:25:00Z</cp:lastPrinted>
  <dcterms:created xsi:type="dcterms:W3CDTF">2017-10-12T13:49:00Z</dcterms:created>
  <dcterms:modified xsi:type="dcterms:W3CDTF">2017-10-12T13:56:00Z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