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09" w:rsidRPr="004A7F57" w:rsidRDefault="00A83B09" w:rsidP="004A7F57">
      <w:pPr>
        <w:jc w:val="center"/>
        <w:rPr>
          <w:b/>
          <w:color w:val="000000"/>
        </w:rPr>
      </w:pPr>
      <w:bookmarkStart w:id="0" w:name="OLE_LINK1"/>
      <w:bookmarkStart w:id="1" w:name="OLE_LINK2"/>
      <w:bookmarkStart w:id="2" w:name="OLE_LINK10"/>
      <w:bookmarkStart w:id="3" w:name="OLE_LINK11"/>
      <w:r w:rsidRPr="004024C2">
        <w:rPr>
          <w:b/>
          <w:color w:val="000000"/>
        </w:rPr>
        <w:t xml:space="preserve">Ministru kabineta </w:t>
      </w:r>
      <w:r w:rsidR="00821724">
        <w:rPr>
          <w:b/>
          <w:color w:val="000000"/>
        </w:rPr>
        <w:t>rīkojuma</w:t>
      </w:r>
      <w:r w:rsidRPr="004024C2">
        <w:rPr>
          <w:b/>
          <w:color w:val="000000"/>
        </w:rPr>
        <w:t xml:space="preserve"> projekta </w:t>
      </w:r>
      <w:bookmarkEnd w:id="0"/>
      <w:bookmarkEnd w:id="1"/>
      <w:r w:rsidRPr="004A7F57">
        <w:rPr>
          <w:b/>
          <w:color w:val="000000"/>
        </w:rPr>
        <w:t>“</w:t>
      </w:r>
      <w:r w:rsidR="004A7F57" w:rsidRPr="004A7F57">
        <w:rPr>
          <w:b/>
          <w:color w:val="000000"/>
        </w:rPr>
        <w:t>Par garantētās maksas par koģenerācijas elektrostacijā uzstādīto elektrisk</w:t>
      </w:r>
      <w:r w:rsidR="00C74463">
        <w:rPr>
          <w:b/>
          <w:color w:val="000000"/>
        </w:rPr>
        <w:t>o jaudu saistību samazināšanu akciju sabiedrībai</w:t>
      </w:r>
      <w:r w:rsidR="004A7F57" w:rsidRPr="004A7F57">
        <w:rPr>
          <w:b/>
          <w:color w:val="000000"/>
        </w:rPr>
        <w:t xml:space="preserve"> “Latvenergo”</w:t>
      </w:r>
      <w:r w:rsidRPr="004A7F57">
        <w:rPr>
          <w:b/>
          <w:color w:val="000000"/>
        </w:rPr>
        <w:t>” 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86"/>
        <w:gridCol w:w="6037"/>
      </w:tblGrid>
      <w:tr w:rsidR="001C1A2E" w:rsidRPr="002763E8" w:rsidTr="00AC1F53">
        <w:tc>
          <w:tcPr>
            <w:tcW w:w="9444" w:type="dxa"/>
            <w:gridSpan w:val="3"/>
            <w:vAlign w:val="center"/>
          </w:tcPr>
          <w:bookmarkEnd w:id="2"/>
          <w:bookmarkEnd w:id="3"/>
          <w:p w:rsidR="001C1A2E" w:rsidRPr="006E2F36" w:rsidRDefault="001C1A2E" w:rsidP="008667DC">
            <w:pPr>
              <w:pStyle w:val="naisnod"/>
              <w:spacing w:before="0" w:beforeAutospacing="0" w:after="0" w:afterAutospacing="0"/>
              <w:jc w:val="center"/>
              <w:rPr>
                <w:b/>
                <w:color w:val="000000" w:themeColor="text1"/>
              </w:rPr>
            </w:pPr>
            <w:r w:rsidRPr="006E2F36">
              <w:rPr>
                <w:b/>
                <w:color w:val="000000" w:themeColor="text1"/>
              </w:rPr>
              <w:t>I. Tiesību akta projekta izstrādes nepieciešamība</w:t>
            </w:r>
          </w:p>
        </w:tc>
      </w:tr>
      <w:tr w:rsidR="001C1A2E" w:rsidRPr="002763E8" w:rsidTr="00A84686">
        <w:trPr>
          <w:trHeight w:val="1408"/>
        </w:trPr>
        <w:tc>
          <w:tcPr>
            <w:tcW w:w="421" w:type="dxa"/>
          </w:tcPr>
          <w:p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1.</w:t>
            </w:r>
          </w:p>
        </w:tc>
        <w:tc>
          <w:tcPr>
            <w:tcW w:w="2986" w:type="dxa"/>
          </w:tcPr>
          <w:p w:rsidR="002D552E" w:rsidRPr="00916495" w:rsidRDefault="001C1A2E" w:rsidP="00916495">
            <w:pPr>
              <w:pStyle w:val="naiskr"/>
              <w:spacing w:before="0" w:beforeAutospacing="0" w:after="0" w:afterAutospacing="0"/>
              <w:ind w:hanging="10"/>
              <w:rPr>
                <w:color w:val="000000" w:themeColor="text1"/>
              </w:rPr>
            </w:pPr>
            <w:r w:rsidRPr="0016387A">
              <w:rPr>
                <w:color w:val="000000" w:themeColor="text1"/>
              </w:rPr>
              <w:t>Pamatojums</w:t>
            </w:r>
          </w:p>
          <w:p w:rsidR="001C1A2E" w:rsidRPr="002D552E" w:rsidRDefault="001C1A2E" w:rsidP="002D552E">
            <w:pPr>
              <w:jc w:val="center"/>
            </w:pPr>
          </w:p>
        </w:tc>
        <w:tc>
          <w:tcPr>
            <w:tcW w:w="6037" w:type="dxa"/>
          </w:tcPr>
          <w:p w:rsidR="00641F7D" w:rsidRPr="00016593" w:rsidRDefault="00651CF3" w:rsidP="0047451B">
            <w:pPr>
              <w:spacing w:before="120"/>
              <w:jc w:val="both"/>
            </w:pPr>
            <w:r w:rsidRPr="00016593">
              <w:t>Ministru kabineta 2009. g</w:t>
            </w:r>
            <w:r w:rsidR="00A21180" w:rsidRPr="00016593">
              <w:t>ada 10. marta noteikumu Nr. 221 </w:t>
            </w:r>
            <w:r w:rsidRPr="00016593">
              <w:t>“Noteikumi par elektroenerģijas ražošanu un cenu noteikšanu, ražojot elektroenerģiju koģenerācijā”</w:t>
            </w:r>
            <w:r w:rsidR="00026E2B" w:rsidRPr="00016593">
              <w:t xml:space="preserve"> </w:t>
            </w:r>
            <w:r w:rsidR="00534F97">
              <w:t>(turpmāk – Ministru kabineta</w:t>
            </w:r>
            <w:r w:rsidR="0023476D" w:rsidRPr="00016593">
              <w:t xml:space="preserve"> noteikumi Nr. 221) </w:t>
            </w:r>
            <w:r w:rsidR="00026E2B" w:rsidRPr="00016593">
              <w:t>56.</w:t>
            </w:r>
            <w:r w:rsidR="00026E2B" w:rsidRPr="00016593">
              <w:rPr>
                <w:vertAlign w:val="superscript"/>
              </w:rPr>
              <w:t>26</w:t>
            </w:r>
            <w:r w:rsidR="00026E2B" w:rsidRPr="00016593">
              <w:t xml:space="preserve"> punkts.</w:t>
            </w:r>
          </w:p>
        </w:tc>
      </w:tr>
      <w:tr w:rsidR="001C1A2E" w:rsidRPr="00BF1167" w:rsidTr="001E1CB2">
        <w:trPr>
          <w:trHeight w:val="984"/>
        </w:trPr>
        <w:tc>
          <w:tcPr>
            <w:tcW w:w="421" w:type="dxa"/>
          </w:tcPr>
          <w:p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2.</w:t>
            </w:r>
          </w:p>
        </w:tc>
        <w:tc>
          <w:tcPr>
            <w:tcW w:w="2986" w:type="dxa"/>
          </w:tcPr>
          <w:p w:rsidR="001C1A2E" w:rsidRPr="002763E8" w:rsidRDefault="001C1A2E" w:rsidP="008667DC">
            <w:pPr>
              <w:pStyle w:val="naiskr"/>
              <w:tabs>
                <w:tab w:val="left" w:pos="170"/>
              </w:tabs>
              <w:spacing w:before="0" w:beforeAutospacing="0" w:after="0" w:afterAutospacing="0"/>
              <w:rPr>
                <w:color w:val="000000" w:themeColor="text1"/>
              </w:rPr>
            </w:pPr>
            <w:r w:rsidRPr="00226CE3">
              <w:rPr>
                <w:color w:val="000000" w:themeColor="text1"/>
              </w:rPr>
              <w:t>Pašreizējā situācija un problēmas, kuru risināšanai tiesību akta projekts izstrādāts, tiesiskā regulējuma mērķis un būtība</w:t>
            </w:r>
          </w:p>
        </w:tc>
        <w:tc>
          <w:tcPr>
            <w:tcW w:w="6037" w:type="dxa"/>
          </w:tcPr>
          <w:p w:rsidR="008E2CF2" w:rsidRDefault="004B64D9" w:rsidP="002E7D75">
            <w:pPr>
              <w:spacing w:before="120"/>
              <w:jc w:val="both"/>
            </w:pPr>
            <w:r>
              <w:t>L</w:t>
            </w:r>
            <w:r w:rsidR="00AB4B34" w:rsidRPr="00016593">
              <w:t xml:space="preserve">ai risinātu </w:t>
            </w:r>
            <w:r w:rsidR="00C85480">
              <w:t>elektroenerģijas obligātā iepirkuma (turpmāk – OIK) izmaksu problemātiku</w:t>
            </w:r>
            <w:r w:rsidR="00AB4B34" w:rsidRPr="00016593">
              <w:t xml:space="preserve"> un mazinātu OIK finansēšanai </w:t>
            </w:r>
            <w:r w:rsidR="00660DC8" w:rsidRPr="00016593">
              <w:t xml:space="preserve">ilgtermiņā </w:t>
            </w:r>
            <w:r w:rsidR="00AB4B34" w:rsidRPr="00016593">
              <w:t xml:space="preserve">nepieciešamo valsts budžeta līdzekļu apjomu, </w:t>
            </w:r>
            <w:r w:rsidR="00C85480">
              <w:t xml:space="preserve">ar </w:t>
            </w:r>
            <w:r w:rsidR="00501C5E">
              <w:t xml:space="preserve"> Ministru kabineta </w:t>
            </w:r>
            <w:r w:rsidR="00C85480">
              <w:t>2017. gada 22. septembra rīkojumu Nr. </w:t>
            </w:r>
            <w:r w:rsidR="005F7493">
              <w:t>530 “</w:t>
            </w:r>
            <w:r w:rsidR="002E7D75">
              <w:t>Par konceptuālo ziņojumu “</w:t>
            </w:r>
            <w:r w:rsidR="005F7493">
              <w:t>Kompleksi pasākumi ele</w:t>
            </w:r>
            <w:r w:rsidR="002E7D75">
              <w:t xml:space="preserve">ktroenerģijas tirgus attīstībai”” (turpmāk – Ministru kabineta rīkojums Nr. 530) </w:t>
            </w:r>
            <w:r w:rsidR="00D82D85">
              <w:t>ir pieņemts konceptuāls lēmums par valsts garantētās maksas saistību samazināšanu par koģenerācijas elektrostaci</w:t>
            </w:r>
            <w:r w:rsidR="009C616E">
              <w:t>jās uzstādīto elektrisko jaudu.</w:t>
            </w:r>
          </w:p>
          <w:p w:rsidR="00CB08A3" w:rsidRDefault="00D82D85" w:rsidP="00CB08A3">
            <w:pPr>
              <w:spacing w:before="120"/>
              <w:jc w:val="both"/>
            </w:pPr>
            <w:r>
              <w:t xml:space="preserve">Uz tā pamata 2017. gada 3. oktobrī tika pieņemti </w:t>
            </w:r>
            <w:r w:rsidR="00534F97">
              <w:t>Ministru kabineta</w:t>
            </w:r>
            <w:r w:rsidR="00534F97" w:rsidRPr="00016593">
              <w:t xml:space="preserve"> n</w:t>
            </w:r>
            <w:r w:rsidR="00534F97">
              <w:t>oteikumi</w:t>
            </w:r>
            <w:r w:rsidR="0033462E" w:rsidRPr="00016593">
              <w:t xml:space="preserve"> Nr. 6</w:t>
            </w:r>
            <w:r w:rsidR="00590F77" w:rsidRPr="00016593">
              <w:t>0</w:t>
            </w:r>
            <w:r w:rsidR="00D52948">
              <w:t>8</w:t>
            </w:r>
            <w:r w:rsidR="00590F77" w:rsidRPr="00016593">
              <w:t> </w:t>
            </w:r>
            <w:r w:rsidR="0033462E" w:rsidRPr="00016593">
              <w:t>“</w:t>
            </w:r>
            <w:r w:rsidR="007B1D2D" w:rsidRPr="00016593">
              <w:t>Grozījumi Ministru kabineta 2009. gada 10. marta noteikumos Nr. 221 “Noteikumi par elektroenerģijas ražošanu un cenu noteikšanu, ražojot elektroenerģiju koģenerācijā””</w:t>
            </w:r>
            <w:r w:rsidR="00534F97">
              <w:t xml:space="preserve"> (turpmāk – Ministru kabineta noteikumi Nr. 60</w:t>
            </w:r>
            <w:r w:rsidR="00D52948">
              <w:t>8</w:t>
            </w:r>
            <w:r w:rsidR="00534F97">
              <w:t>)</w:t>
            </w:r>
            <w:r w:rsidR="00FA7A2A" w:rsidRPr="00016593">
              <w:t xml:space="preserve">, </w:t>
            </w:r>
            <w:r w:rsidR="004F3CEE">
              <w:t xml:space="preserve">ar ko tika noteikta kārtība </w:t>
            </w:r>
            <w:r w:rsidR="00CB08A3">
              <w:t>kādā komersanti var pieteikties valsts garantētās maksas saistību samazināšanai p</w:t>
            </w:r>
            <w:r w:rsidR="005B22FA">
              <w:t>ar koģenerācijas elektrostacijā</w:t>
            </w:r>
            <w:r w:rsidR="00CB08A3">
              <w:t xml:space="preserve"> uzstādīto elektrisko jaudu, saņemot vi</w:t>
            </w:r>
            <w:r w:rsidR="005B22FA">
              <w:t>enreizēju diskontētu maksājumu.</w:t>
            </w:r>
          </w:p>
          <w:p w:rsidR="00502159" w:rsidRPr="00016593" w:rsidRDefault="00E24C88" w:rsidP="00502159">
            <w:pPr>
              <w:spacing w:before="120"/>
              <w:jc w:val="both"/>
              <w:rPr>
                <w:bCs/>
              </w:rPr>
            </w:pPr>
            <w:r>
              <w:t>P</w:t>
            </w:r>
            <w:r w:rsidR="0023476D" w:rsidRPr="00016593">
              <w:t xml:space="preserve">amatojoties uz </w:t>
            </w:r>
            <w:r w:rsidR="00534F97">
              <w:t>Ministru kabineta</w:t>
            </w:r>
            <w:r w:rsidR="00534F97" w:rsidRPr="00016593">
              <w:t xml:space="preserve"> n</w:t>
            </w:r>
            <w:r w:rsidR="0023476D" w:rsidRPr="00016593">
              <w:t xml:space="preserve">oteikumu </w:t>
            </w:r>
            <w:r w:rsidR="008075FA" w:rsidRPr="00016593">
              <w:t>Nr. 221 56.</w:t>
            </w:r>
            <w:r w:rsidR="008075FA" w:rsidRPr="00016593">
              <w:rPr>
                <w:vertAlign w:val="superscript"/>
              </w:rPr>
              <w:t>26</w:t>
            </w:r>
            <w:r w:rsidR="00BB0AEE" w:rsidRPr="00016593">
              <w:t> </w:t>
            </w:r>
            <w:r w:rsidR="008075FA" w:rsidRPr="00016593">
              <w:t>punktu,</w:t>
            </w:r>
            <w:r w:rsidR="00FD7DE5" w:rsidRPr="00016593">
              <w:t xml:space="preserve"> </w:t>
            </w:r>
            <w:r w:rsidR="00D61AED" w:rsidRPr="00016593">
              <w:t xml:space="preserve">turpmāk sniegts </w:t>
            </w:r>
            <w:r w:rsidR="000B62B2">
              <w:t>vērtējums par akciju sabiedrības</w:t>
            </w:r>
            <w:r w:rsidR="00E34666" w:rsidRPr="00016593">
              <w:t xml:space="preserve"> “Latvenergo” (nodokļu maksātāja reģistrācijas numurs LV40003032949, juridiskā adrese – Pulkveža brieža iela 12, Rīga, LV-1230) atbilstību </w:t>
            </w:r>
            <w:r w:rsidR="00534F97">
              <w:t>Ministru kabineta</w:t>
            </w:r>
            <w:r w:rsidR="00534F97" w:rsidRPr="00016593">
              <w:t xml:space="preserve"> n</w:t>
            </w:r>
            <w:r w:rsidR="00D61AED" w:rsidRPr="00016593">
              <w:t>oteikumu</w:t>
            </w:r>
            <w:r w:rsidR="00E34666" w:rsidRPr="00016593">
              <w:t xml:space="preserve"> Nr. 221 </w:t>
            </w:r>
            <w:r w:rsidR="00E34666" w:rsidRPr="00016593">
              <w:rPr>
                <w:bCs/>
              </w:rPr>
              <w:t>IV</w:t>
            </w:r>
            <w:r w:rsidR="00E34666" w:rsidRPr="00016593">
              <w:rPr>
                <w:bCs/>
                <w:vertAlign w:val="superscript"/>
              </w:rPr>
              <w:t>2</w:t>
            </w:r>
            <w:r w:rsidR="00E34666" w:rsidRPr="00016593">
              <w:rPr>
                <w:bCs/>
              </w:rPr>
              <w:t>. nodaļas “Nosacījumi garantētās maksas par koģenerācijas elektrostacijā uzstādīto elektrisko jaudu saistību samazināšanai, saņemot vienreizēju diskontētu maksājumu” (turpmāk – IV</w:t>
            </w:r>
            <w:r w:rsidR="00E34666" w:rsidRPr="00016593">
              <w:rPr>
                <w:bCs/>
                <w:vertAlign w:val="superscript"/>
              </w:rPr>
              <w:t>2</w:t>
            </w:r>
            <w:r w:rsidR="00E34666" w:rsidRPr="00016593">
              <w:rPr>
                <w:bCs/>
              </w:rPr>
              <w:t>. nodaļa) prasībām.</w:t>
            </w:r>
          </w:p>
          <w:p w:rsidR="00E34666" w:rsidRPr="00016593" w:rsidRDefault="00502159" w:rsidP="00502159">
            <w:pPr>
              <w:spacing w:before="120"/>
              <w:jc w:val="both"/>
              <w:rPr>
                <w:bCs/>
              </w:rPr>
            </w:pPr>
            <w:r w:rsidRPr="00016593">
              <w:rPr>
                <w:bCs/>
              </w:rPr>
              <w:t xml:space="preserve">Ņemot vērā  </w:t>
            </w:r>
            <w:r w:rsidR="00534F97">
              <w:t>Ministru kabineta</w:t>
            </w:r>
            <w:r w:rsidR="00534F97" w:rsidRPr="00016593">
              <w:t xml:space="preserve"> n</w:t>
            </w:r>
            <w:r w:rsidRPr="00016593">
              <w:rPr>
                <w:bCs/>
              </w:rPr>
              <w:t>oteikumu Nr. 221 IV</w:t>
            </w:r>
            <w:r w:rsidRPr="00016593">
              <w:rPr>
                <w:bCs/>
                <w:vertAlign w:val="superscript"/>
              </w:rPr>
              <w:t>2</w:t>
            </w:r>
            <w:r w:rsidRPr="00016593">
              <w:rPr>
                <w:bCs/>
              </w:rPr>
              <w:t xml:space="preserve">. nodaļas nosacījumus, vērtējums sniegts par to vai </w:t>
            </w:r>
            <w:r w:rsidR="000B62B2">
              <w:rPr>
                <w:bCs/>
              </w:rPr>
              <w:t>akciju sabiedrības</w:t>
            </w:r>
            <w:r w:rsidR="00E34666" w:rsidRPr="00016593">
              <w:rPr>
                <w:bCs/>
              </w:rPr>
              <w:t xml:space="preserve"> “Latvenergo” </w:t>
            </w:r>
            <w:r w:rsidRPr="00016593">
              <w:rPr>
                <w:bCs/>
              </w:rPr>
              <w:t>gadījumā izpildās</w:t>
            </w:r>
            <w:r w:rsidR="00E34666" w:rsidRPr="00016593">
              <w:rPr>
                <w:bCs/>
              </w:rPr>
              <w:t xml:space="preserve"> šādi </w:t>
            </w:r>
            <w:r w:rsidR="00534F97">
              <w:t>Ministru kabineta</w:t>
            </w:r>
            <w:r w:rsidR="00534F97" w:rsidRPr="00016593">
              <w:t xml:space="preserve"> n</w:t>
            </w:r>
            <w:r w:rsidR="00E34666" w:rsidRPr="00016593">
              <w:rPr>
                <w:bCs/>
              </w:rPr>
              <w:t>oteikumos Nr. 221 noteiktie kritēriji:</w:t>
            </w:r>
          </w:p>
          <w:p w:rsidR="00E34666" w:rsidRPr="00016593" w:rsidRDefault="00E34666" w:rsidP="008B2AFF">
            <w:pPr>
              <w:spacing w:before="240"/>
              <w:jc w:val="both"/>
              <w:rPr>
                <w:b/>
                <w:bCs/>
                <w:i/>
                <w:u w:val="single"/>
              </w:rPr>
            </w:pPr>
            <w:r w:rsidRPr="00016593">
              <w:rPr>
                <w:b/>
                <w:bCs/>
                <w:i/>
                <w:u w:val="single"/>
              </w:rPr>
              <w:t>1) Pieteikuma iesniegšanas termiņš</w:t>
            </w:r>
          </w:p>
          <w:p w:rsidR="00E34666" w:rsidRPr="00016593" w:rsidRDefault="00E34666" w:rsidP="008B2AFF">
            <w:pPr>
              <w:spacing w:before="120"/>
              <w:jc w:val="both"/>
              <w:rPr>
                <w:bCs/>
                <w:i/>
              </w:rPr>
            </w:pPr>
            <w:r w:rsidRPr="00016593">
              <w:rPr>
                <w:i/>
              </w:rPr>
              <w:t xml:space="preserve">Saskaņā ar </w:t>
            </w:r>
            <w:r w:rsidR="00534F97" w:rsidRPr="00534F97">
              <w:rPr>
                <w:i/>
              </w:rPr>
              <w:t>Ministru kabineta n</w:t>
            </w:r>
            <w:r w:rsidRPr="00016593">
              <w:rPr>
                <w:i/>
              </w:rPr>
              <w:t>oteikumu Nr. 221 89. punktu komersantam, kas vēlas</w:t>
            </w:r>
            <w:r w:rsidRPr="00016593">
              <w:t xml:space="preserve"> </w:t>
            </w:r>
            <w:r w:rsidRPr="00016593">
              <w:rPr>
                <w:i/>
              </w:rPr>
              <w:t xml:space="preserve">saņemt vienreizēju maksājumu, kas sastāv no diskontētām trim ceturtdaļām no atlikušajā atbalsta periodā saņemamās garantētās maksas par koģenerācijas elektrostacijā uzstādīto elektrisko jaudu,  ir tiesības </w:t>
            </w:r>
            <w:r w:rsidRPr="00016593">
              <w:rPr>
                <w:i/>
              </w:rPr>
              <w:lastRenderedPageBreak/>
              <w:t>56.</w:t>
            </w:r>
            <w:r w:rsidRPr="00016593">
              <w:rPr>
                <w:i/>
                <w:vertAlign w:val="superscript"/>
              </w:rPr>
              <w:t>24</w:t>
            </w:r>
            <w:r w:rsidRPr="00016593">
              <w:rPr>
                <w:i/>
              </w:rPr>
              <w:t xml:space="preserve">  punktā minēto pieteikumu Ekonomikas ministrijā iesniegt viena mēneša laikā no </w:t>
            </w:r>
            <w:r w:rsidR="00534F97" w:rsidRPr="00534F97">
              <w:rPr>
                <w:i/>
              </w:rPr>
              <w:t>Ministru kabineta n</w:t>
            </w:r>
            <w:r w:rsidRPr="00534F97">
              <w:rPr>
                <w:i/>
              </w:rPr>
              <w:t>oteikumu</w:t>
            </w:r>
            <w:r w:rsidRPr="00016593">
              <w:rPr>
                <w:i/>
              </w:rPr>
              <w:t xml:space="preserve"> </w:t>
            </w:r>
            <w:r w:rsidRPr="00016593">
              <w:rPr>
                <w:bCs/>
                <w:i/>
              </w:rPr>
              <w:t>Nr. 221 IV</w:t>
            </w:r>
            <w:r w:rsidRPr="00016593">
              <w:rPr>
                <w:bCs/>
                <w:i/>
                <w:vertAlign w:val="superscript"/>
              </w:rPr>
              <w:t>2</w:t>
            </w:r>
            <w:r w:rsidRPr="00016593">
              <w:rPr>
                <w:bCs/>
                <w:i/>
              </w:rPr>
              <w:t>. nodaļas spēkā stāšanās dienas.</w:t>
            </w:r>
          </w:p>
          <w:p w:rsidR="00E34666" w:rsidRPr="00016593" w:rsidRDefault="00534F97" w:rsidP="008B2AFF">
            <w:pPr>
              <w:spacing w:before="120"/>
              <w:jc w:val="both"/>
              <w:rPr>
                <w:bCs/>
              </w:rPr>
            </w:pPr>
            <w:r>
              <w:rPr>
                <w:bCs/>
              </w:rPr>
              <w:t>Ministru kabineta noteikumi Nr. 60</w:t>
            </w:r>
            <w:r w:rsidR="00D52948">
              <w:rPr>
                <w:bCs/>
              </w:rPr>
              <w:t>8</w:t>
            </w:r>
            <w:r w:rsidR="00E34666" w:rsidRPr="00016593">
              <w:rPr>
                <w:bCs/>
              </w:rPr>
              <w:t xml:space="preserve"> </w:t>
            </w:r>
            <w:r w:rsidR="00A84686">
              <w:rPr>
                <w:bCs/>
              </w:rPr>
              <w:t xml:space="preserve">stājās </w:t>
            </w:r>
            <w:r w:rsidR="00E34666" w:rsidRPr="00016593">
              <w:rPr>
                <w:bCs/>
              </w:rPr>
              <w:t>spēkā 2017. gada 14. oktobrī.</w:t>
            </w:r>
          </w:p>
          <w:p w:rsidR="0046414A" w:rsidRPr="00016593" w:rsidRDefault="00E34666" w:rsidP="008B2AFF">
            <w:pPr>
              <w:spacing w:before="120"/>
              <w:jc w:val="both"/>
            </w:pPr>
            <w:r w:rsidRPr="00016593">
              <w:t xml:space="preserve">Saskaņā ar </w:t>
            </w:r>
            <w:r w:rsidR="00501C5E">
              <w:t>Ministru kabineta</w:t>
            </w:r>
            <w:r w:rsidR="00501C5E" w:rsidRPr="00016593">
              <w:t xml:space="preserve"> n</w:t>
            </w:r>
            <w:r w:rsidRPr="00016593">
              <w:t>oteikumu Nr. 221 56.</w:t>
            </w:r>
            <w:r w:rsidRPr="00016593">
              <w:rPr>
                <w:vertAlign w:val="superscript"/>
              </w:rPr>
              <w:t>22</w:t>
            </w:r>
            <w:r w:rsidRPr="00016593">
              <w:t xml:space="preserve"> punktu un pamatojoties uz 2017. gada 17. oktobra valdes lēmumu, 2017. gada 19. oktobrī </w:t>
            </w:r>
            <w:r w:rsidR="000B62B2">
              <w:rPr>
                <w:bCs/>
              </w:rPr>
              <w:t xml:space="preserve"> akciju sabiedrība</w:t>
            </w:r>
            <w:r w:rsidR="000B62B2" w:rsidRPr="00016593">
              <w:rPr>
                <w:bCs/>
              </w:rPr>
              <w:t xml:space="preserve"> </w:t>
            </w:r>
            <w:r w:rsidRPr="00016593">
              <w:t xml:space="preserve">“Latvenergo” ir iesniegusi Ekonomikas </w:t>
            </w:r>
            <w:r w:rsidRPr="00016593">
              <w:rPr>
                <w:bCs/>
              </w:rPr>
              <w:t>ministrijā</w:t>
            </w:r>
            <w:r w:rsidRPr="00016593">
              <w:t xml:space="preserve"> pieteikumu (vēstule Nr. 01VD00-11/3562) vienreizējam maksājumam, kas sastāv no diskontētām trim ceturtdaļām no atlikušajā atbalsta periodā saņemamās garantētās maksas par koģenerācijas elektrostacijās Rīgas TEC-1 (adrese – Viskaļu iela 16, Rīga) un Rīgas TEC-2 (adrese – Granīta iela 31, Acone, Salaspils pagasts, Salaspils novads) uzstādīto elektrisko jaudu (turpmāk – vienreizējs maksājums).</w:t>
            </w:r>
          </w:p>
          <w:p w:rsidR="00E34666" w:rsidRPr="00016593" w:rsidRDefault="00E34666" w:rsidP="008B2AFF">
            <w:pPr>
              <w:spacing w:before="120"/>
              <w:jc w:val="both"/>
            </w:pPr>
            <w:r w:rsidRPr="00016593">
              <w:t xml:space="preserve">Secināms, ka pieteikums iesniegts </w:t>
            </w:r>
            <w:r w:rsidR="00501C5E">
              <w:t>Ministru kabineta</w:t>
            </w:r>
            <w:r w:rsidR="00501C5E" w:rsidRPr="00016593">
              <w:t xml:space="preserve"> n</w:t>
            </w:r>
            <w:r w:rsidRPr="00016593">
              <w:t xml:space="preserve">oteikumu </w:t>
            </w:r>
            <w:r w:rsidR="001F5AB1" w:rsidRPr="00016593">
              <w:t>Nr. 221</w:t>
            </w:r>
            <w:r w:rsidRPr="00016593">
              <w:t xml:space="preserve"> 89.punktā noteiktajā termiņā.</w:t>
            </w:r>
          </w:p>
          <w:p w:rsidR="00E34666" w:rsidRPr="00016593" w:rsidRDefault="00E34666" w:rsidP="008B2AFF">
            <w:pPr>
              <w:spacing w:before="240"/>
              <w:jc w:val="both"/>
              <w:rPr>
                <w:b/>
                <w:bCs/>
                <w:i/>
                <w:u w:val="single"/>
              </w:rPr>
            </w:pPr>
            <w:r w:rsidRPr="00016593">
              <w:rPr>
                <w:b/>
                <w:bCs/>
                <w:i/>
                <w:u w:val="single"/>
              </w:rPr>
              <w:t xml:space="preserve">2) Uzstādītā elektriskā jauda un garantētās maksas apmērs </w:t>
            </w:r>
          </w:p>
          <w:p w:rsidR="00E34666" w:rsidRPr="00016593" w:rsidRDefault="00E34666" w:rsidP="006E5E85">
            <w:pPr>
              <w:spacing w:before="120"/>
              <w:jc w:val="both"/>
              <w:rPr>
                <w:bCs/>
                <w:i/>
              </w:rPr>
            </w:pPr>
            <w:r w:rsidRPr="00016593">
              <w:rPr>
                <w:bCs/>
                <w:i/>
              </w:rPr>
              <w:t xml:space="preserve">Saskaņā ar </w:t>
            </w:r>
            <w:r w:rsidR="00501C5E" w:rsidRPr="00501C5E">
              <w:rPr>
                <w:i/>
              </w:rPr>
              <w:t>Ministru kabineta n</w:t>
            </w:r>
            <w:r w:rsidRPr="00501C5E">
              <w:rPr>
                <w:bCs/>
                <w:i/>
              </w:rPr>
              <w:t>oteikumu Nr. 221 56.</w:t>
            </w:r>
            <w:r w:rsidRPr="00501C5E">
              <w:rPr>
                <w:bCs/>
                <w:i/>
                <w:vertAlign w:val="superscript"/>
              </w:rPr>
              <w:t>22</w:t>
            </w:r>
            <w:r w:rsidRPr="00501C5E">
              <w:rPr>
                <w:bCs/>
                <w:i/>
              </w:rPr>
              <w:t> 1. punktu vienreizējam maksājumam</w:t>
            </w:r>
            <w:r w:rsidRPr="00016593">
              <w:rPr>
                <w:bCs/>
                <w:i/>
              </w:rPr>
              <w:t xml:space="preserve"> var </w:t>
            </w:r>
            <w:r w:rsidRPr="00016593">
              <w:t>pieteikties</w:t>
            </w:r>
            <w:r w:rsidRPr="00016593">
              <w:rPr>
                <w:bCs/>
                <w:i/>
              </w:rPr>
              <w:t xml:space="preserve"> komersants, kurš saskaņā ar </w:t>
            </w:r>
            <w:hyperlink r:id="rId8" w:tgtFrame="_blank" w:history="1">
              <w:r w:rsidRPr="00016593">
                <w:rPr>
                  <w:bCs/>
                  <w:i/>
                </w:rPr>
                <w:t>Elektroenerģijas tirgus likuma</w:t>
              </w:r>
            </w:hyperlink>
            <w:r w:rsidRPr="00016593">
              <w:rPr>
                <w:bCs/>
                <w:i/>
              </w:rPr>
              <w:t xml:space="preserve"> 28.</w:t>
            </w:r>
            <w:r w:rsidRPr="00016593">
              <w:rPr>
                <w:bCs/>
                <w:i/>
                <w:vertAlign w:val="superscript"/>
              </w:rPr>
              <w:t>1</w:t>
            </w:r>
            <w:r w:rsidRPr="00016593">
              <w:rPr>
                <w:bCs/>
                <w:i/>
              </w:rPr>
              <w:t xml:space="preserve"> pantu saņem garantēto maksu par koģenerācijas elektrostacijā uzstādīto elektrisko jaudu, un tā koģenerācijas elektrostacijā uzstādītā elektriskā jauda ir lielāka par 100 MW.</w:t>
            </w:r>
          </w:p>
          <w:p w:rsidR="00F13809" w:rsidRDefault="00E34666" w:rsidP="006E5E85">
            <w:pPr>
              <w:pStyle w:val="NoSpacing"/>
              <w:spacing w:before="120" w:after="120"/>
              <w:jc w:val="both"/>
              <w:rPr>
                <w:szCs w:val="24"/>
                <w:lang w:val="lv-LV"/>
              </w:rPr>
            </w:pPr>
            <w:r w:rsidRPr="00016593">
              <w:rPr>
                <w:szCs w:val="24"/>
                <w:lang w:val="lv-LV"/>
              </w:rPr>
              <w:t>Saskaņā ar Elektroenerģijas tirgus likuma 28.</w:t>
            </w:r>
            <w:r w:rsidRPr="00016593">
              <w:rPr>
                <w:szCs w:val="24"/>
                <w:vertAlign w:val="superscript"/>
                <w:lang w:val="lv-LV"/>
              </w:rPr>
              <w:t>1</w:t>
            </w:r>
            <w:r w:rsidRPr="00016593">
              <w:rPr>
                <w:szCs w:val="24"/>
                <w:lang w:val="lv-LV"/>
              </w:rPr>
              <w:t xml:space="preserve"> panta 2</w:t>
            </w:r>
            <w:r w:rsidRPr="00016593">
              <w:rPr>
                <w:szCs w:val="24"/>
                <w:vertAlign w:val="superscript"/>
                <w:lang w:val="lv-LV"/>
              </w:rPr>
              <w:t>1</w:t>
            </w:r>
            <w:r w:rsidRPr="00016593">
              <w:rPr>
                <w:szCs w:val="24"/>
                <w:lang w:val="lv-LV"/>
              </w:rPr>
              <w:t>. daļu ražotājs, kas elektroenerģiju ražo koģenerācijas stacijā, kuras uzstādītā elektriskā jauda ir lielāka par četriem megavatiem, un kas līdz 2013.</w:t>
            </w:r>
            <w:r w:rsidR="00573C38" w:rsidRPr="00016593">
              <w:rPr>
                <w:szCs w:val="24"/>
                <w:lang w:val="lv-LV"/>
              </w:rPr>
              <w:t> </w:t>
            </w:r>
            <w:r w:rsidRPr="00016593">
              <w:rPr>
                <w:szCs w:val="24"/>
                <w:lang w:val="lv-LV"/>
              </w:rPr>
              <w:t>gada 31.</w:t>
            </w:r>
            <w:r w:rsidR="00573C38" w:rsidRPr="00016593">
              <w:rPr>
                <w:szCs w:val="24"/>
                <w:lang w:val="lv-LV"/>
              </w:rPr>
              <w:t> </w:t>
            </w:r>
            <w:r w:rsidRPr="00016593">
              <w:rPr>
                <w:szCs w:val="24"/>
                <w:lang w:val="lv-LV"/>
              </w:rPr>
              <w:t>decembrim ir izmantojis šā likuma 28.</w:t>
            </w:r>
            <w:r w:rsidR="00573C38" w:rsidRPr="00016593">
              <w:rPr>
                <w:szCs w:val="24"/>
                <w:lang w:val="lv-LV"/>
              </w:rPr>
              <w:t> </w:t>
            </w:r>
            <w:r w:rsidRPr="00016593">
              <w:rPr>
                <w:szCs w:val="24"/>
                <w:lang w:val="lv-LV"/>
              </w:rPr>
              <w:t>pantā noteiktajā kārtībā iegūtās tiesības pārdot saražoto elektroenerģiju obligātā iepirkuma ietvaros, no 2014.</w:t>
            </w:r>
            <w:r w:rsidR="00573C38" w:rsidRPr="00016593">
              <w:rPr>
                <w:szCs w:val="24"/>
                <w:lang w:val="lv-LV"/>
              </w:rPr>
              <w:t> </w:t>
            </w:r>
            <w:r w:rsidRPr="00016593">
              <w:rPr>
                <w:szCs w:val="24"/>
                <w:lang w:val="lv-LV"/>
              </w:rPr>
              <w:t>gada 1.</w:t>
            </w:r>
            <w:r w:rsidR="00573C38" w:rsidRPr="00016593">
              <w:rPr>
                <w:szCs w:val="24"/>
                <w:lang w:val="lv-LV"/>
              </w:rPr>
              <w:t> </w:t>
            </w:r>
            <w:r w:rsidRPr="00016593">
              <w:rPr>
                <w:szCs w:val="24"/>
                <w:lang w:val="lv-LV"/>
              </w:rPr>
              <w:t>janvāra saņem garantēto maksu par koģenerācijas stacijā uzstādīto elektrisko jaudu atbilstoši tiem pašiem nosacījumiem par darbības režīmu, termiņiem un jaudas komponentes aprēķinu, kādi uz koģenerācijas staciju attiecās līdz 2013.</w:t>
            </w:r>
            <w:r w:rsidR="00573C38" w:rsidRPr="00016593">
              <w:rPr>
                <w:szCs w:val="24"/>
                <w:lang w:val="lv-LV"/>
              </w:rPr>
              <w:t> </w:t>
            </w:r>
            <w:r w:rsidRPr="00016593">
              <w:rPr>
                <w:szCs w:val="24"/>
                <w:lang w:val="lv-LV"/>
              </w:rPr>
              <w:t>gada 31.</w:t>
            </w:r>
            <w:r w:rsidR="00573C38" w:rsidRPr="00016593">
              <w:rPr>
                <w:szCs w:val="24"/>
                <w:lang w:val="lv-LV"/>
              </w:rPr>
              <w:t> </w:t>
            </w:r>
            <w:r w:rsidRPr="00016593">
              <w:rPr>
                <w:szCs w:val="24"/>
                <w:lang w:val="lv-LV"/>
              </w:rPr>
              <w:t>decembrim.</w:t>
            </w:r>
          </w:p>
          <w:p w:rsidR="00DE17E2" w:rsidRDefault="00F13809" w:rsidP="006E5E85">
            <w:pPr>
              <w:pStyle w:val="NoSpacing"/>
              <w:spacing w:before="120" w:after="120"/>
              <w:jc w:val="both"/>
              <w:rPr>
                <w:szCs w:val="24"/>
                <w:lang w:val="lv-LV"/>
              </w:rPr>
            </w:pPr>
            <w:r>
              <w:rPr>
                <w:szCs w:val="24"/>
                <w:lang w:val="lv-LV"/>
              </w:rPr>
              <w:t>S</w:t>
            </w:r>
            <w:r w:rsidR="00E34666" w:rsidRPr="00016593">
              <w:rPr>
                <w:szCs w:val="24"/>
                <w:lang w:val="lv-LV"/>
              </w:rPr>
              <w:t>askaņā ar Elektroenerģijas tirgus likuma 28.</w:t>
            </w:r>
            <w:r w:rsidR="006E5E85" w:rsidRPr="00016593">
              <w:rPr>
                <w:szCs w:val="24"/>
                <w:lang w:val="lv-LV"/>
              </w:rPr>
              <w:t> </w:t>
            </w:r>
            <w:r w:rsidR="00E34666" w:rsidRPr="00016593">
              <w:rPr>
                <w:szCs w:val="24"/>
                <w:lang w:val="lv-LV"/>
              </w:rPr>
              <w:t xml:space="preserve">pantu </w:t>
            </w:r>
            <w:r>
              <w:rPr>
                <w:bCs/>
                <w:lang w:val="lv-LV"/>
              </w:rPr>
              <w:t xml:space="preserve"> a</w:t>
            </w:r>
            <w:r w:rsidRPr="000B62B2">
              <w:rPr>
                <w:bCs/>
                <w:lang w:val="lv-LV"/>
              </w:rPr>
              <w:t>kciju sabiedrība</w:t>
            </w:r>
            <w:r>
              <w:rPr>
                <w:bCs/>
                <w:lang w:val="lv-LV"/>
              </w:rPr>
              <w:t>i</w:t>
            </w:r>
            <w:r w:rsidRPr="000B62B2">
              <w:rPr>
                <w:bCs/>
                <w:lang w:val="lv-LV"/>
              </w:rPr>
              <w:t xml:space="preserve"> </w:t>
            </w:r>
            <w:r w:rsidRPr="00016593">
              <w:rPr>
                <w:szCs w:val="24"/>
                <w:lang w:val="lv-LV"/>
              </w:rPr>
              <w:t xml:space="preserve">“Latvenergo” </w:t>
            </w:r>
            <w:r w:rsidR="00E34666" w:rsidRPr="00016593">
              <w:rPr>
                <w:szCs w:val="24"/>
                <w:lang w:val="lv-LV"/>
              </w:rPr>
              <w:t>tiesības pārdot saražoto elektroenerģiju obligātā iepirkuma ietvaros</w:t>
            </w:r>
            <w:r w:rsidR="00F119D9">
              <w:rPr>
                <w:szCs w:val="24"/>
                <w:lang w:val="lv-LV"/>
              </w:rPr>
              <w:t xml:space="preserve"> attiecībā uz</w:t>
            </w:r>
            <w:r w:rsidR="00DE17E2">
              <w:rPr>
                <w:szCs w:val="24"/>
                <w:lang w:val="lv-LV"/>
              </w:rPr>
              <w:t>:</w:t>
            </w:r>
          </w:p>
          <w:p w:rsidR="00DE17E2" w:rsidRDefault="00F119D9" w:rsidP="006E5E85">
            <w:pPr>
              <w:pStyle w:val="NoSpacing"/>
              <w:spacing w:before="120" w:after="120"/>
              <w:jc w:val="both"/>
              <w:rPr>
                <w:szCs w:val="24"/>
                <w:lang w:val="lv-LV"/>
              </w:rPr>
            </w:pPr>
            <w:r>
              <w:rPr>
                <w:szCs w:val="24"/>
                <w:lang w:val="lv-LV"/>
              </w:rPr>
              <w:t>1) </w:t>
            </w:r>
            <w:r w:rsidR="00E34666" w:rsidRPr="00016593">
              <w:rPr>
                <w:szCs w:val="24"/>
                <w:lang w:val="lv-LV"/>
              </w:rPr>
              <w:t>Rīgas TEC-1 ir piešķirtas ar Ekonomikas ministrijas 2007. gada 28. maija lēmumu Nr. 8400-09-68</w:t>
            </w:r>
            <w:r w:rsidR="001A35F8">
              <w:rPr>
                <w:szCs w:val="24"/>
                <w:lang w:val="lv-LV"/>
              </w:rPr>
              <w:t xml:space="preserve"> </w:t>
            </w:r>
            <w:r w:rsidR="001A35F8" w:rsidRPr="00F63064">
              <w:rPr>
                <w:i/>
                <w:szCs w:val="24"/>
                <w:lang w:val="lv-LV"/>
              </w:rPr>
              <w:t>“</w:t>
            </w:r>
            <w:r w:rsidR="001A35F8" w:rsidRPr="001A35F8">
              <w:rPr>
                <w:i/>
                <w:lang w:val="lv-LV"/>
              </w:rPr>
              <w:t>Par tiesību piešķiršanu pārdot koģenerācijas procesā saražoto elektroenerģij</w:t>
            </w:r>
            <w:r w:rsidR="001A35F8">
              <w:rPr>
                <w:i/>
                <w:lang w:val="lv-LV"/>
              </w:rPr>
              <w:t>u obligātā iepirkuma ietvaros (</w:t>
            </w:r>
            <w:r w:rsidR="00F25BD0">
              <w:rPr>
                <w:i/>
                <w:lang w:val="lv-LV"/>
              </w:rPr>
              <w:t>AS “Latvenergo”</w:t>
            </w:r>
            <w:r w:rsidR="001A35F8" w:rsidRPr="001A35F8">
              <w:rPr>
                <w:i/>
                <w:lang w:val="lv-LV"/>
              </w:rPr>
              <w:t>)</w:t>
            </w:r>
            <w:r w:rsidR="001A35F8" w:rsidRPr="004B6DB7">
              <w:rPr>
                <w:i/>
                <w:lang w:val="lv-LV"/>
              </w:rPr>
              <w:t>”</w:t>
            </w:r>
            <w:r w:rsidR="00DE17E2" w:rsidRPr="004B6DB7">
              <w:rPr>
                <w:i/>
                <w:szCs w:val="24"/>
                <w:lang w:val="lv-LV"/>
              </w:rPr>
              <w:t>;</w:t>
            </w:r>
          </w:p>
          <w:p w:rsidR="00DE17E2" w:rsidRDefault="00DE17E2" w:rsidP="00F63064">
            <w:pPr>
              <w:jc w:val="both"/>
            </w:pPr>
            <w:r>
              <w:lastRenderedPageBreak/>
              <w:t>2)</w:t>
            </w:r>
            <w:r w:rsidR="00F119D9">
              <w:t> </w:t>
            </w:r>
            <w:r w:rsidR="00E34666" w:rsidRPr="00016593">
              <w:t>Rīgas TEC-2 ar Ekonomikas ministrijas 2010. gada 13. septembra lēmumu Nr. 1-6.1-396</w:t>
            </w:r>
            <w:r w:rsidR="00F63064">
              <w:t xml:space="preserve"> </w:t>
            </w:r>
            <w:r w:rsidR="00F63064" w:rsidRPr="00F63064">
              <w:rPr>
                <w:i/>
              </w:rPr>
              <w:t>“Par tiesību piešķiršanu pārdot koģenerācijas procesā saražoto elektroenerģiju obligātā iepirkuma ietvaros ( AS</w:t>
            </w:r>
            <w:r w:rsidR="00F63064">
              <w:rPr>
                <w:i/>
              </w:rPr>
              <w:t> </w:t>
            </w:r>
            <w:r w:rsidR="00F25BD0">
              <w:rPr>
                <w:i/>
              </w:rPr>
              <w:t>“</w:t>
            </w:r>
            <w:r w:rsidR="00F63064" w:rsidRPr="00F63064">
              <w:rPr>
                <w:i/>
              </w:rPr>
              <w:t>Latvenergo</w:t>
            </w:r>
            <w:r w:rsidR="00F25BD0">
              <w:rPr>
                <w:i/>
              </w:rPr>
              <w:t>”</w:t>
            </w:r>
            <w:r w:rsidR="00F63064" w:rsidRPr="00F63064">
              <w:rPr>
                <w:i/>
              </w:rPr>
              <w:t>)”</w:t>
            </w:r>
            <w:r w:rsidR="00F63064" w:rsidRPr="00CC574A">
              <w:rPr>
                <w:i/>
              </w:rPr>
              <w:t>.</w:t>
            </w:r>
            <w:r w:rsidR="00E34666" w:rsidRPr="00CC574A">
              <w:rPr>
                <w:i/>
              </w:rPr>
              <w:t xml:space="preserve"> </w:t>
            </w:r>
          </w:p>
          <w:p w:rsidR="00E34666" w:rsidRPr="00016593" w:rsidRDefault="00E34666" w:rsidP="006E5E85">
            <w:pPr>
              <w:pStyle w:val="NoSpacing"/>
              <w:spacing w:before="120" w:after="120"/>
              <w:jc w:val="both"/>
              <w:rPr>
                <w:szCs w:val="24"/>
                <w:lang w:val="lv-LV"/>
              </w:rPr>
            </w:pPr>
            <w:r w:rsidRPr="00016593">
              <w:rPr>
                <w:szCs w:val="24"/>
                <w:lang w:val="lv-LV"/>
              </w:rPr>
              <w:t>Ar minētajiem lēmumiem piešķirtās elektroenerģijas obligātā iepirkuma tiesības par Rīgas TEC-1 sāktas izmantot 2007.</w:t>
            </w:r>
            <w:r w:rsidR="001F5C89" w:rsidRPr="00016593">
              <w:rPr>
                <w:szCs w:val="24"/>
                <w:lang w:val="lv-LV"/>
              </w:rPr>
              <w:t> </w:t>
            </w:r>
            <w:r w:rsidRPr="00016593">
              <w:rPr>
                <w:szCs w:val="24"/>
                <w:lang w:val="lv-LV"/>
              </w:rPr>
              <w:t>gada 28.</w:t>
            </w:r>
            <w:r w:rsidR="001F5C89" w:rsidRPr="00016593">
              <w:rPr>
                <w:szCs w:val="24"/>
                <w:lang w:val="lv-LV"/>
              </w:rPr>
              <w:t> </w:t>
            </w:r>
            <w:r w:rsidRPr="00016593">
              <w:rPr>
                <w:szCs w:val="24"/>
                <w:lang w:val="lv-LV"/>
              </w:rPr>
              <w:t xml:space="preserve">maijā, </w:t>
            </w:r>
            <w:r w:rsidRPr="00433B2F">
              <w:rPr>
                <w:szCs w:val="24"/>
                <w:lang w:val="lv-LV"/>
              </w:rPr>
              <w:t>savukārt par Rīgas TEC-2 2013.</w:t>
            </w:r>
            <w:r w:rsidR="001F5C89" w:rsidRPr="00433B2F">
              <w:rPr>
                <w:szCs w:val="24"/>
                <w:lang w:val="lv-LV"/>
              </w:rPr>
              <w:t> </w:t>
            </w:r>
            <w:r w:rsidRPr="00433B2F">
              <w:rPr>
                <w:szCs w:val="24"/>
                <w:lang w:val="lv-LV"/>
              </w:rPr>
              <w:t>gada 24.</w:t>
            </w:r>
            <w:r w:rsidR="001F5C89" w:rsidRPr="00433B2F">
              <w:rPr>
                <w:szCs w:val="24"/>
                <w:lang w:val="lv-LV"/>
              </w:rPr>
              <w:t> </w:t>
            </w:r>
            <w:r w:rsidRPr="00433B2F">
              <w:rPr>
                <w:szCs w:val="24"/>
                <w:lang w:val="lv-LV"/>
              </w:rPr>
              <w:t xml:space="preserve">septembrī. Līdz ar to šīs koģenerācijas elektrostacijas </w:t>
            </w:r>
            <w:r w:rsidRPr="00433B2F">
              <w:rPr>
                <w:bCs/>
                <w:szCs w:val="24"/>
                <w:lang w:val="lv-LV"/>
              </w:rPr>
              <w:t xml:space="preserve">saskaņā ar </w:t>
            </w:r>
            <w:hyperlink r:id="rId9" w:tgtFrame="_blank" w:history="1">
              <w:r w:rsidRPr="00433B2F">
                <w:rPr>
                  <w:bCs/>
                  <w:szCs w:val="24"/>
                  <w:lang w:val="lv-LV"/>
                </w:rPr>
                <w:t>Elektroenerģijas tirgus likuma</w:t>
              </w:r>
            </w:hyperlink>
            <w:r w:rsidRPr="00433B2F">
              <w:rPr>
                <w:bCs/>
                <w:szCs w:val="24"/>
                <w:lang w:val="lv-LV"/>
              </w:rPr>
              <w:t xml:space="preserve"> 28.</w:t>
            </w:r>
            <w:r w:rsidRPr="00433B2F">
              <w:rPr>
                <w:bCs/>
                <w:szCs w:val="24"/>
                <w:vertAlign w:val="superscript"/>
                <w:lang w:val="lv-LV"/>
              </w:rPr>
              <w:t>1</w:t>
            </w:r>
            <w:r w:rsidRPr="00433B2F">
              <w:rPr>
                <w:bCs/>
                <w:szCs w:val="24"/>
                <w:lang w:val="lv-LV"/>
              </w:rPr>
              <w:t xml:space="preserve"> pantu no</w:t>
            </w:r>
            <w:r w:rsidRPr="00016593">
              <w:rPr>
                <w:bCs/>
                <w:szCs w:val="24"/>
                <w:lang w:val="lv-LV"/>
              </w:rPr>
              <w:t xml:space="preserve"> 2014.</w:t>
            </w:r>
            <w:r w:rsidR="001F5C89" w:rsidRPr="00016593">
              <w:rPr>
                <w:bCs/>
                <w:szCs w:val="24"/>
                <w:lang w:val="lv-LV"/>
              </w:rPr>
              <w:t> </w:t>
            </w:r>
            <w:r w:rsidRPr="00016593">
              <w:rPr>
                <w:bCs/>
                <w:szCs w:val="24"/>
                <w:lang w:val="lv-LV"/>
              </w:rPr>
              <w:t>gada 1.</w:t>
            </w:r>
            <w:r w:rsidR="001F5C89" w:rsidRPr="00016593">
              <w:rPr>
                <w:bCs/>
                <w:szCs w:val="24"/>
                <w:lang w:val="lv-LV"/>
              </w:rPr>
              <w:t> </w:t>
            </w:r>
            <w:r w:rsidRPr="00016593">
              <w:rPr>
                <w:bCs/>
                <w:szCs w:val="24"/>
                <w:lang w:val="lv-LV"/>
              </w:rPr>
              <w:t>janvāra saņem garantēto maksu par koģenerācijas stacijā uzstādīto elektrisko jaudu atbilstoši tiem pašiem nosacījumiem par darbības režīmu, termiņiem un jaudas komponentes aprēķinu, kādi uz koģenerācijas staciju attiecās līdz 2013.</w:t>
            </w:r>
            <w:r w:rsidR="001F5C89" w:rsidRPr="00016593">
              <w:rPr>
                <w:bCs/>
                <w:szCs w:val="24"/>
                <w:lang w:val="lv-LV"/>
              </w:rPr>
              <w:t> </w:t>
            </w:r>
            <w:r w:rsidRPr="00016593">
              <w:rPr>
                <w:bCs/>
                <w:szCs w:val="24"/>
                <w:lang w:val="lv-LV"/>
              </w:rPr>
              <w:t>gada 31.</w:t>
            </w:r>
            <w:r w:rsidR="001F5C89" w:rsidRPr="00016593">
              <w:rPr>
                <w:bCs/>
                <w:szCs w:val="24"/>
                <w:lang w:val="lv-LV"/>
              </w:rPr>
              <w:t> </w:t>
            </w:r>
            <w:r w:rsidRPr="00016593">
              <w:rPr>
                <w:bCs/>
                <w:szCs w:val="24"/>
                <w:lang w:val="lv-LV"/>
              </w:rPr>
              <w:t>decembrim.</w:t>
            </w:r>
          </w:p>
          <w:p w:rsidR="00E34666" w:rsidRDefault="00E34666" w:rsidP="006E5E85">
            <w:pPr>
              <w:pStyle w:val="NoSpacing"/>
              <w:spacing w:before="120" w:after="120"/>
              <w:jc w:val="both"/>
              <w:rPr>
                <w:szCs w:val="24"/>
                <w:lang w:val="lv-LV"/>
              </w:rPr>
            </w:pPr>
            <w:r w:rsidRPr="00016593">
              <w:rPr>
                <w:szCs w:val="24"/>
                <w:lang w:val="lv-LV"/>
              </w:rPr>
              <w:t xml:space="preserve">Ikgadējo garantēto maksu par koģenerācijas stacijā uzstādīto jaudu aprēķina saskaņā ar </w:t>
            </w:r>
            <w:r w:rsidR="00501C5E" w:rsidRPr="00501C5E">
              <w:rPr>
                <w:lang w:val="lv-LV"/>
              </w:rPr>
              <w:t>Ministru kabineta n</w:t>
            </w:r>
            <w:r w:rsidRPr="00016593">
              <w:rPr>
                <w:szCs w:val="24"/>
                <w:lang w:val="lv-LV"/>
              </w:rPr>
              <w:t>oteikumu Nr.</w:t>
            </w:r>
            <w:r w:rsidR="007C6B3C" w:rsidRPr="00016593">
              <w:rPr>
                <w:szCs w:val="24"/>
                <w:lang w:val="lv-LV"/>
              </w:rPr>
              <w:t> </w:t>
            </w:r>
            <w:r w:rsidRPr="00016593">
              <w:rPr>
                <w:szCs w:val="24"/>
                <w:lang w:val="lv-LV"/>
              </w:rPr>
              <w:t>221 52.</w:t>
            </w:r>
            <w:r w:rsidR="007C6B3C" w:rsidRPr="00016593">
              <w:rPr>
                <w:szCs w:val="24"/>
                <w:lang w:val="lv-LV"/>
              </w:rPr>
              <w:t> </w:t>
            </w:r>
            <w:r w:rsidRPr="00016593">
              <w:rPr>
                <w:szCs w:val="24"/>
                <w:lang w:val="lv-LV"/>
              </w:rPr>
              <w:t xml:space="preserve">punktā </w:t>
            </w:r>
            <w:r w:rsidRPr="00016593">
              <w:rPr>
                <w:bCs/>
                <w:szCs w:val="24"/>
                <w:lang w:val="lv-LV"/>
              </w:rPr>
              <w:t>minētajām</w:t>
            </w:r>
            <w:r w:rsidRPr="00016593">
              <w:rPr>
                <w:szCs w:val="24"/>
                <w:lang w:val="lv-LV"/>
              </w:rPr>
              <w:t xml:space="preserve"> formulām. </w:t>
            </w:r>
            <w:r w:rsidR="00EC686D">
              <w:rPr>
                <w:szCs w:val="24"/>
                <w:lang w:val="lv-LV"/>
              </w:rPr>
              <w:t xml:space="preserve">Saskaņā ar akciju sabiedrības “Latvenergo” </w:t>
            </w:r>
            <w:r w:rsidR="00BC359F">
              <w:rPr>
                <w:szCs w:val="24"/>
                <w:lang w:val="lv-LV"/>
              </w:rPr>
              <w:t>Ekonomikas ministrijā iesniegto koģenerācijas elektrostaciju gada pārskatos norādīto informāciju</w:t>
            </w:r>
            <w:r w:rsidRPr="00016593">
              <w:rPr>
                <w:szCs w:val="24"/>
                <w:lang w:val="lv-LV"/>
              </w:rPr>
              <w:t xml:space="preserve"> Rīgas TEC-1 uzstādītā elektriskā jauda ir 144</w:t>
            </w:r>
            <w:r w:rsidR="00CA6505">
              <w:rPr>
                <w:szCs w:val="24"/>
                <w:lang w:val="lv-LV"/>
              </w:rPr>
              <w:t>,00</w:t>
            </w:r>
            <w:r w:rsidRPr="00016593">
              <w:rPr>
                <w:szCs w:val="24"/>
                <w:lang w:val="lv-LV"/>
              </w:rPr>
              <w:t xml:space="preserve"> MW, bet Rīgas TEC-2 tā ir 832,3</w:t>
            </w:r>
            <w:r w:rsidR="00CA6505">
              <w:rPr>
                <w:szCs w:val="24"/>
                <w:lang w:val="lv-LV"/>
              </w:rPr>
              <w:t>0</w:t>
            </w:r>
            <w:r w:rsidRPr="00016593">
              <w:rPr>
                <w:szCs w:val="24"/>
                <w:lang w:val="lv-LV"/>
              </w:rPr>
              <w:t xml:space="preserve"> MW</w:t>
            </w:r>
            <w:r w:rsidR="00E03719">
              <w:rPr>
                <w:szCs w:val="24"/>
                <w:lang w:val="lv-LV"/>
              </w:rPr>
              <w:t xml:space="preserve">. Tādējādi, </w:t>
            </w:r>
            <w:r w:rsidR="00EA58E4">
              <w:rPr>
                <w:szCs w:val="24"/>
                <w:lang w:val="lv-LV"/>
              </w:rPr>
              <w:t xml:space="preserve">ikgadējo jaudas maksājumu Rīgas TEC-1 un Rīgas TEC-2 aprēķina, ņemot vērā </w:t>
            </w:r>
            <w:r w:rsidR="00501C5E" w:rsidRPr="00501C5E">
              <w:rPr>
                <w:lang w:val="lv-LV"/>
              </w:rPr>
              <w:t>Ministru kabineta n</w:t>
            </w:r>
            <w:r w:rsidRPr="00016593">
              <w:rPr>
                <w:szCs w:val="24"/>
                <w:lang w:val="lv-LV"/>
              </w:rPr>
              <w:t xml:space="preserve">oteikumu </w:t>
            </w:r>
            <w:r w:rsidR="001F5AB1" w:rsidRPr="00016593">
              <w:rPr>
                <w:szCs w:val="24"/>
                <w:lang w:val="lv-LV"/>
              </w:rPr>
              <w:t>Nr. 221</w:t>
            </w:r>
            <w:r w:rsidRPr="00016593">
              <w:rPr>
                <w:szCs w:val="24"/>
                <w:lang w:val="lv-LV"/>
              </w:rPr>
              <w:t xml:space="preserve"> 52.2.3.</w:t>
            </w:r>
            <w:r w:rsidR="007C6B3C" w:rsidRPr="00016593">
              <w:rPr>
                <w:szCs w:val="24"/>
                <w:lang w:val="lv-LV"/>
              </w:rPr>
              <w:t> </w:t>
            </w:r>
            <w:r w:rsidRPr="00016593">
              <w:rPr>
                <w:szCs w:val="24"/>
                <w:lang w:val="lv-LV"/>
              </w:rPr>
              <w:t xml:space="preserve">apakšpunktā </w:t>
            </w:r>
            <w:r w:rsidR="00EA58E4">
              <w:rPr>
                <w:szCs w:val="24"/>
                <w:lang w:val="lv-LV"/>
              </w:rPr>
              <w:t>iekļauto</w:t>
            </w:r>
            <w:r w:rsidRPr="00016593">
              <w:rPr>
                <w:szCs w:val="24"/>
                <w:lang w:val="lv-LV"/>
              </w:rPr>
              <w:t xml:space="preserve"> formulu</w:t>
            </w:r>
            <w:r w:rsidR="00EA58E4">
              <w:rPr>
                <w:szCs w:val="24"/>
                <w:lang w:val="lv-LV"/>
              </w:rPr>
              <w:t>.</w:t>
            </w:r>
          </w:p>
          <w:p w:rsidR="00D66A1E" w:rsidRPr="00015F28" w:rsidRDefault="00D66A1E" w:rsidP="00D66A1E">
            <w:pPr>
              <w:jc w:val="center"/>
            </w:pPr>
            <w:r w:rsidRPr="00015F28">
              <w:rPr>
                <w:i/>
                <w:iCs/>
              </w:rPr>
              <w:t>J = 102 304 </w:t>
            </w:r>
            <w:r w:rsidRPr="00015F28">
              <w:t>× </w:t>
            </w:r>
            <w:r w:rsidRPr="00015F28">
              <w:rPr>
                <w:i/>
                <w:iCs/>
              </w:rPr>
              <w:t>s</w:t>
            </w:r>
            <w:r w:rsidRPr="00015F28">
              <w:t>, kur</w:t>
            </w:r>
          </w:p>
          <w:p w:rsidR="00D66A1E" w:rsidRPr="00015F28" w:rsidRDefault="00D66A1E" w:rsidP="00D66A1E">
            <w:pPr>
              <w:pStyle w:val="tv213"/>
            </w:pPr>
            <w:r w:rsidRPr="00015F28">
              <w:rPr>
                <w:i/>
                <w:iCs/>
              </w:rPr>
              <w:t>J</w:t>
            </w:r>
            <w:r w:rsidRPr="00015F28">
              <w:t> – jaudas komponente par vienu uzstādīto elektrisko megavatu gadā (EUR/MW gadā);</w:t>
            </w:r>
          </w:p>
          <w:p w:rsidR="00D66A1E" w:rsidRDefault="00D66A1E" w:rsidP="00D66A1E">
            <w:pPr>
              <w:pStyle w:val="tv213"/>
            </w:pPr>
            <w:r w:rsidRPr="00015F28">
              <w:rPr>
                <w:i/>
                <w:iCs/>
              </w:rPr>
              <w:t>s</w:t>
            </w:r>
            <w:r w:rsidRPr="00015F28">
              <w:t> – cenas diferencēšanas koeficients pārkompensācijas novēršanai;</w:t>
            </w:r>
            <w:r>
              <w:t> </w:t>
            </w:r>
          </w:p>
          <w:p w:rsidR="00452E77" w:rsidRDefault="00452E77" w:rsidP="00452E77">
            <w:pPr>
              <w:pStyle w:val="NoSpacing"/>
              <w:spacing w:before="120" w:after="120"/>
              <w:jc w:val="both"/>
              <w:rPr>
                <w:szCs w:val="24"/>
                <w:lang w:val="lv-LV"/>
              </w:rPr>
            </w:pPr>
            <w:r w:rsidRPr="00452E77">
              <w:rPr>
                <w:szCs w:val="24"/>
                <w:lang w:val="lv-LV"/>
              </w:rPr>
              <w:t>Tā kā Rīgas TEC-1 un Rīgas TEC-2 kopējo kapitālieguldījumu iekšējās peļņas norma nepārsniedz 9,00%, tad netiek piemērots cenas diferencēšanas koeficients.</w:t>
            </w:r>
          </w:p>
          <w:p w:rsidR="009F3DB5" w:rsidRPr="009F3DB5" w:rsidRDefault="0075309F" w:rsidP="00543056">
            <w:pPr>
              <w:pStyle w:val="NoSpacing"/>
              <w:spacing w:before="120" w:after="120"/>
              <w:ind w:left="134"/>
              <w:jc w:val="both"/>
              <w:rPr>
                <w:szCs w:val="24"/>
                <w:lang w:val="lv-LV"/>
              </w:rPr>
            </w:pPr>
            <m:oMathPara>
              <m:oMathParaPr>
                <m:jc m:val="left"/>
              </m:oMathParaPr>
              <m:oMath>
                <m:sSub>
                  <m:sSubPr>
                    <m:ctrlPr>
                      <w:rPr>
                        <w:rFonts w:ascii="Cambria Math" w:eastAsia="Cambria Math" w:hAnsi="Cambria Math"/>
                        <w:i/>
                        <w:smallCaps/>
                        <w:szCs w:val="24"/>
                      </w:rPr>
                    </m:ctrlPr>
                  </m:sSubPr>
                  <m:e>
                    <m:r>
                      <w:rPr>
                        <w:rFonts w:ascii="Cambria Math" w:eastAsia="Cambria Math" w:hAnsi="Cambria Math"/>
                        <w:smallCaps/>
                        <w:szCs w:val="24"/>
                      </w:rPr>
                      <m:t>J</m:t>
                    </m:r>
                  </m:e>
                  <m:sub>
                    <m:r>
                      <w:rPr>
                        <w:rFonts w:ascii="Cambria Math" w:eastAsia="Cambria Math" w:hAnsi="Cambria Math"/>
                        <w:smallCaps/>
                        <w:szCs w:val="24"/>
                      </w:rPr>
                      <m:t>RTEC1</m:t>
                    </m:r>
                  </m:sub>
                </m:sSub>
                <m:r>
                  <w:rPr>
                    <w:rFonts w:ascii="Cambria Math" w:eastAsia="Cambria Math" w:hAnsi="Cambria Math"/>
                    <w:szCs w:val="24"/>
                  </w:rPr>
                  <m:t xml:space="preserve">=102 304 </m:t>
                </m:r>
                <m:r>
                  <m:rPr>
                    <m:sty m:val="p"/>
                  </m:rPr>
                  <w:rPr>
                    <w:rFonts w:ascii="Cambria Math" w:hAnsi="Cambria Math"/>
                    <w:szCs w:val="24"/>
                  </w:rPr>
                  <m:t xml:space="preserve">x 144,00 </m:t>
                </m:r>
                <m:r>
                  <w:rPr>
                    <w:rFonts w:ascii="Cambria Math" w:hAnsi="Cambria Math"/>
                    <w:szCs w:val="24"/>
                  </w:rPr>
                  <m:t>=14 731 776,00 EUR</m:t>
                </m:r>
                <m:r>
                  <m:rPr>
                    <m:sty m:val="p"/>
                  </m:rPr>
                  <w:rPr>
                    <w:rFonts w:ascii="Cambria Math" w:hAnsi="Cambria Math"/>
                    <w:szCs w:val="24"/>
                  </w:rPr>
                  <w:br/>
                </m:r>
              </m:oMath>
            </m:oMathPara>
          </w:p>
          <w:p w:rsidR="009F3DB5" w:rsidRPr="009F3DB5" w:rsidRDefault="0075309F" w:rsidP="00543056">
            <w:pPr>
              <w:pStyle w:val="NoSpacing"/>
              <w:spacing w:before="120" w:after="120"/>
              <w:ind w:left="134"/>
              <w:jc w:val="both"/>
              <w:rPr>
                <w:szCs w:val="24"/>
                <w:lang w:val="lv-LV"/>
              </w:rPr>
            </w:pPr>
            <m:oMathPara>
              <m:oMathParaPr>
                <m:jc m:val="left"/>
              </m:oMathParaPr>
              <m:oMath>
                <m:sSub>
                  <m:sSubPr>
                    <m:ctrlPr>
                      <w:rPr>
                        <w:rFonts w:ascii="Cambria Math" w:eastAsia="Cambria Math" w:hAnsi="Cambria Math"/>
                        <w:i/>
                        <w:smallCaps/>
                        <w:szCs w:val="24"/>
                      </w:rPr>
                    </m:ctrlPr>
                  </m:sSubPr>
                  <m:e>
                    <m:r>
                      <w:rPr>
                        <w:rFonts w:ascii="Cambria Math" w:eastAsia="Cambria Math" w:hAnsi="Cambria Math"/>
                        <w:smallCaps/>
                        <w:szCs w:val="24"/>
                      </w:rPr>
                      <m:t>J</m:t>
                    </m:r>
                  </m:e>
                  <m:sub>
                    <m:r>
                      <w:rPr>
                        <w:rFonts w:ascii="Cambria Math" w:eastAsia="Cambria Math" w:hAnsi="Cambria Math"/>
                        <w:smallCaps/>
                        <w:szCs w:val="24"/>
                      </w:rPr>
                      <m:t>RTEC2</m:t>
                    </m:r>
                  </m:sub>
                </m:sSub>
                <m:r>
                  <w:rPr>
                    <w:rFonts w:ascii="Cambria Math" w:eastAsia="Cambria Math" w:hAnsi="Cambria Math"/>
                    <w:szCs w:val="24"/>
                  </w:rPr>
                  <m:t xml:space="preserve">=102 304 </m:t>
                </m:r>
                <m:r>
                  <m:rPr>
                    <m:sty m:val="p"/>
                  </m:rPr>
                  <w:rPr>
                    <w:rFonts w:ascii="Cambria Math" w:hAnsi="Cambria Math"/>
                    <w:szCs w:val="24"/>
                  </w:rPr>
                  <m:t>x 832,30</m:t>
                </m:r>
                <m:r>
                  <w:rPr>
                    <w:rFonts w:ascii="Cambria Math" w:hAnsi="Cambria Math"/>
                    <w:szCs w:val="24"/>
                  </w:rPr>
                  <m:t>=85 147 619,20 EUR</m:t>
                </m:r>
                <m:r>
                  <m:rPr>
                    <m:sty m:val="p"/>
                  </m:rPr>
                  <w:rPr>
                    <w:szCs w:val="24"/>
                  </w:rPr>
                  <w:br/>
                </m:r>
              </m:oMath>
            </m:oMathPara>
          </w:p>
          <w:p w:rsidR="0043766E" w:rsidRDefault="0043766E" w:rsidP="0043766E">
            <w:pPr>
              <w:pStyle w:val="NoSpacing"/>
              <w:spacing w:before="120" w:after="120"/>
              <w:jc w:val="both"/>
            </w:pPr>
            <w:r>
              <w:rPr>
                <w:szCs w:val="24"/>
                <w:lang w:val="lv-LV"/>
              </w:rPr>
              <w:t>No aprēķina redzams, ka maksājums Rīgas TEC-1 ir 14 73</w:t>
            </w:r>
            <w:r w:rsidRPr="00016593">
              <w:rPr>
                <w:szCs w:val="24"/>
                <w:lang w:val="lv-LV"/>
              </w:rPr>
              <w:t xml:space="preserve">1 776,00 EUR, savukārt Rīgas TEC-2 </w:t>
            </w:r>
            <w:r>
              <w:rPr>
                <w:szCs w:val="24"/>
                <w:lang w:val="lv-LV"/>
              </w:rPr>
              <w:t>tas ir 85 147 619,20 </w:t>
            </w:r>
            <w:r w:rsidRPr="00016593">
              <w:rPr>
                <w:szCs w:val="24"/>
                <w:lang w:val="lv-LV"/>
              </w:rPr>
              <w:t>EUR.</w:t>
            </w:r>
          </w:p>
          <w:p w:rsidR="00E34666" w:rsidRPr="00016593" w:rsidRDefault="00E34666" w:rsidP="006E5E85">
            <w:pPr>
              <w:pStyle w:val="NoSpacing"/>
              <w:spacing w:before="120" w:after="120"/>
              <w:jc w:val="both"/>
              <w:rPr>
                <w:szCs w:val="24"/>
                <w:lang w:val="lv-LV"/>
              </w:rPr>
            </w:pPr>
            <w:r w:rsidRPr="00016593">
              <w:rPr>
                <w:szCs w:val="24"/>
                <w:lang w:val="lv-LV"/>
              </w:rPr>
              <w:t xml:space="preserve">Saskaņā ar </w:t>
            </w:r>
            <w:r w:rsidR="00501C5E">
              <w:t>Ministru kabineta</w:t>
            </w:r>
            <w:r w:rsidR="00501C5E" w:rsidRPr="00016593">
              <w:t xml:space="preserve"> n</w:t>
            </w:r>
            <w:r w:rsidRPr="00016593">
              <w:rPr>
                <w:szCs w:val="24"/>
                <w:lang w:val="lv-LV"/>
              </w:rPr>
              <w:t xml:space="preserve">oteikumu </w:t>
            </w:r>
            <w:r w:rsidR="001F5AB1" w:rsidRPr="00016593">
              <w:rPr>
                <w:szCs w:val="24"/>
                <w:lang w:val="lv-LV"/>
              </w:rPr>
              <w:t>Nr. 221</w:t>
            </w:r>
            <w:r w:rsidRPr="00016593">
              <w:rPr>
                <w:szCs w:val="24"/>
                <w:lang w:val="lv-LV"/>
              </w:rPr>
              <w:t xml:space="preserve"> 52.</w:t>
            </w:r>
            <w:r w:rsidRPr="00016593">
              <w:rPr>
                <w:szCs w:val="24"/>
                <w:vertAlign w:val="superscript"/>
                <w:lang w:val="lv-LV"/>
              </w:rPr>
              <w:t xml:space="preserve">1 </w:t>
            </w:r>
            <w:r w:rsidRPr="00016593">
              <w:rPr>
                <w:szCs w:val="24"/>
                <w:lang w:val="lv-LV"/>
              </w:rPr>
              <w:t>punktu Rīgas TEC-1 garantētās maksas saņemšanas periods ir līdz 2020. gada 30. oktobrim,</w:t>
            </w:r>
            <w:r w:rsidR="001D1CFF">
              <w:rPr>
                <w:szCs w:val="24"/>
                <w:lang w:val="lv-LV"/>
              </w:rPr>
              <w:t xml:space="preserve"> ņemot vērā </w:t>
            </w:r>
            <w:r w:rsidR="009C781E">
              <w:rPr>
                <w:szCs w:val="24"/>
                <w:lang w:val="lv-LV"/>
              </w:rPr>
              <w:t xml:space="preserve"> Rīgas pilsētas būvvaldes </w:t>
            </w:r>
            <w:r w:rsidR="00AD5E92">
              <w:rPr>
                <w:szCs w:val="24"/>
                <w:lang w:val="lv-LV"/>
              </w:rPr>
              <w:t xml:space="preserve">komisijas </w:t>
            </w:r>
            <w:r w:rsidR="001D1CFF">
              <w:rPr>
                <w:szCs w:val="24"/>
                <w:lang w:val="lv-LV"/>
              </w:rPr>
              <w:t>2005. gada 31. oktobr</w:t>
            </w:r>
            <w:r w:rsidR="00B256FC">
              <w:rPr>
                <w:szCs w:val="24"/>
                <w:lang w:val="lv-LV"/>
              </w:rPr>
              <w:t xml:space="preserve">a aktu </w:t>
            </w:r>
            <w:r w:rsidR="00430E78">
              <w:rPr>
                <w:szCs w:val="24"/>
                <w:lang w:val="lv-LV"/>
              </w:rPr>
              <w:t xml:space="preserve">(kods 05001670100) </w:t>
            </w:r>
            <w:r w:rsidR="00B256FC">
              <w:rPr>
                <w:szCs w:val="24"/>
                <w:lang w:val="lv-LV"/>
              </w:rPr>
              <w:t xml:space="preserve">par rekonstruētās </w:t>
            </w:r>
            <w:r w:rsidR="000746F1">
              <w:rPr>
                <w:szCs w:val="24"/>
                <w:lang w:val="lv-LV"/>
              </w:rPr>
              <w:t>TEC-1 koģenerācijas elektro</w:t>
            </w:r>
            <w:r w:rsidR="00B256FC">
              <w:rPr>
                <w:szCs w:val="24"/>
                <w:lang w:val="lv-LV"/>
              </w:rPr>
              <w:t>stacijas nodošanu ekspluatācijā.</w:t>
            </w:r>
            <w:r w:rsidRPr="00016593">
              <w:rPr>
                <w:szCs w:val="24"/>
                <w:lang w:val="lv-LV"/>
              </w:rPr>
              <w:t xml:space="preserve"> </w:t>
            </w:r>
            <w:r w:rsidR="00B256FC">
              <w:rPr>
                <w:szCs w:val="24"/>
                <w:lang w:val="lv-LV"/>
              </w:rPr>
              <w:t>S</w:t>
            </w:r>
            <w:r w:rsidRPr="00016593">
              <w:rPr>
                <w:szCs w:val="24"/>
                <w:lang w:val="lv-LV"/>
              </w:rPr>
              <w:t xml:space="preserve">avukārt Rīgas TEC-2 garantētās maksas </w:t>
            </w:r>
            <w:r w:rsidRPr="00016593">
              <w:rPr>
                <w:szCs w:val="24"/>
                <w:lang w:val="lv-LV"/>
              </w:rPr>
              <w:lastRenderedPageBreak/>
              <w:t>saņemšanas periods  ir līdz 2028. gada 23. septembrim</w:t>
            </w:r>
            <w:r w:rsidR="00B256FC">
              <w:rPr>
                <w:szCs w:val="24"/>
                <w:lang w:val="lv-LV"/>
              </w:rPr>
              <w:t xml:space="preserve">, ņemot vērā </w:t>
            </w:r>
            <w:r w:rsidR="002C0852">
              <w:rPr>
                <w:szCs w:val="24"/>
                <w:lang w:val="lv-LV"/>
              </w:rPr>
              <w:t xml:space="preserve">sistēmas operatora </w:t>
            </w:r>
            <w:r w:rsidR="009C781E">
              <w:rPr>
                <w:szCs w:val="24"/>
                <w:lang w:val="lv-LV"/>
              </w:rPr>
              <w:t xml:space="preserve">2013. gada 24. septembra </w:t>
            </w:r>
            <w:r w:rsidR="002C0852">
              <w:rPr>
                <w:szCs w:val="24"/>
                <w:lang w:val="lv-LV"/>
              </w:rPr>
              <w:t xml:space="preserve">atļauju </w:t>
            </w:r>
            <w:r w:rsidR="00400A22">
              <w:rPr>
                <w:szCs w:val="24"/>
                <w:lang w:val="lv-LV"/>
              </w:rPr>
              <w:t xml:space="preserve"> </w:t>
            </w:r>
            <w:r w:rsidR="00E702BF">
              <w:rPr>
                <w:szCs w:val="24"/>
                <w:lang w:val="lv-LV"/>
              </w:rPr>
              <w:t>(Nr. K2-2013) </w:t>
            </w:r>
            <w:r w:rsidR="00400A22">
              <w:rPr>
                <w:szCs w:val="24"/>
                <w:lang w:val="lv-LV"/>
              </w:rPr>
              <w:t xml:space="preserve">sistēmai </w:t>
            </w:r>
            <w:r w:rsidR="002C0852">
              <w:rPr>
                <w:szCs w:val="24"/>
                <w:lang w:val="lv-LV"/>
              </w:rPr>
              <w:t xml:space="preserve">pieslēgt </w:t>
            </w:r>
            <w:r w:rsidR="000746F1">
              <w:rPr>
                <w:szCs w:val="24"/>
                <w:lang w:val="lv-LV"/>
              </w:rPr>
              <w:t xml:space="preserve">TEC-2 </w:t>
            </w:r>
            <w:r w:rsidR="00BC354A">
              <w:rPr>
                <w:szCs w:val="24"/>
                <w:lang w:val="lv-LV"/>
              </w:rPr>
              <w:t>koģenerācijas elektrostaciju</w:t>
            </w:r>
            <w:r w:rsidRPr="00016593">
              <w:rPr>
                <w:szCs w:val="24"/>
                <w:lang w:val="lv-LV"/>
              </w:rPr>
              <w:t>.</w:t>
            </w:r>
          </w:p>
          <w:p w:rsidR="00E34666" w:rsidRPr="00016593" w:rsidRDefault="00E34666" w:rsidP="006E5E85">
            <w:pPr>
              <w:pStyle w:val="NoSpacing"/>
              <w:spacing w:before="120" w:after="120"/>
              <w:jc w:val="both"/>
              <w:rPr>
                <w:szCs w:val="24"/>
                <w:lang w:val="lv-LV"/>
              </w:rPr>
            </w:pPr>
            <w:r w:rsidRPr="00016593">
              <w:rPr>
                <w:szCs w:val="24"/>
                <w:lang w:val="lv-LV"/>
              </w:rPr>
              <w:t xml:space="preserve">Secināms, ka </w:t>
            </w:r>
            <w:r w:rsidR="000B62B2" w:rsidRPr="000B62B2">
              <w:rPr>
                <w:bCs/>
                <w:lang w:val="lv-LV"/>
              </w:rPr>
              <w:t xml:space="preserve"> akciju sabiedrība</w:t>
            </w:r>
            <w:r w:rsidRPr="00016593">
              <w:rPr>
                <w:szCs w:val="24"/>
                <w:lang w:val="lv-LV"/>
              </w:rPr>
              <w:t xml:space="preserve"> “Latvenergo” un tās koģenerācijas stacijas Rīgas TEC-1 un Rīgas TEC-2 atbilst </w:t>
            </w:r>
            <w:r w:rsidR="00501C5E" w:rsidRPr="00501C5E">
              <w:rPr>
                <w:lang w:val="lv-LV"/>
              </w:rPr>
              <w:t>Ministru kabineta n</w:t>
            </w:r>
            <w:r w:rsidRPr="00016593">
              <w:rPr>
                <w:szCs w:val="24"/>
                <w:lang w:val="lv-LV"/>
              </w:rPr>
              <w:t xml:space="preserve">oteikumu </w:t>
            </w:r>
            <w:r w:rsidR="001F5AB1" w:rsidRPr="00016593">
              <w:rPr>
                <w:szCs w:val="24"/>
                <w:lang w:val="lv-LV"/>
              </w:rPr>
              <w:t>Nr. 221</w:t>
            </w:r>
            <w:r w:rsidRPr="00016593">
              <w:rPr>
                <w:szCs w:val="24"/>
                <w:lang w:val="lv-LV"/>
              </w:rPr>
              <w:t xml:space="preserve"> 56.</w:t>
            </w:r>
            <w:r w:rsidRPr="00016593">
              <w:rPr>
                <w:szCs w:val="24"/>
                <w:vertAlign w:val="superscript"/>
                <w:lang w:val="lv-LV"/>
              </w:rPr>
              <w:t>22</w:t>
            </w:r>
            <w:r w:rsidRPr="00016593">
              <w:rPr>
                <w:szCs w:val="24"/>
                <w:lang w:val="lv-LV"/>
              </w:rPr>
              <w:t xml:space="preserve"> 1.punkta prasībām.</w:t>
            </w:r>
          </w:p>
          <w:p w:rsidR="00E34666" w:rsidRPr="00016593" w:rsidRDefault="00E34666" w:rsidP="008B2AFF">
            <w:pPr>
              <w:spacing w:before="240"/>
              <w:jc w:val="both"/>
              <w:rPr>
                <w:b/>
                <w:bCs/>
                <w:i/>
                <w:u w:val="single"/>
              </w:rPr>
            </w:pPr>
            <w:r w:rsidRPr="00016593">
              <w:rPr>
                <w:b/>
                <w:bCs/>
                <w:i/>
                <w:u w:val="single"/>
              </w:rPr>
              <w:t>3) Kopējā kapitālieguldījumu iekšējās peļņas norma</w:t>
            </w:r>
          </w:p>
          <w:p w:rsidR="00E34666" w:rsidRPr="00AF3B66" w:rsidRDefault="00E34666" w:rsidP="00BD2231">
            <w:pPr>
              <w:pStyle w:val="NoSpacing"/>
              <w:spacing w:before="120" w:after="120"/>
              <w:jc w:val="both"/>
              <w:rPr>
                <w:bCs/>
                <w:i/>
                <w:szCs w:val="24"/>
                <w:lang w:val="lv-LV"/>
              </w:rPr>
            </w:pPr>
            <w:r w:rsidRPr="00AF3B66">
              <w:rPr>
                <w:bCs/>
                <w:i/>
                <w:szCs w:val="24"/>
                <w:lang w:val="lv-LV"/>
              </w:rPr>
              <w:t xml:space="preserve">Saskaņā ar </w:t>
            </w:r>
            <w:r w:rsidR="00501C5E" w:rsidRPr="00501C5E">
              <w:rPr>
                <w:i/>
                <w:lang w:val="lv-LV"/>
              </w:rPr>
              <w:t>Ministru kabineta n</w:t>
            </w:r>
            <w:r w:rsidRPr="00501C5E">
              <w:rPr>
                <w:bCs/>
                <w:i/>
                <w:szCs w:val="24"/>
                <w:lang w:val="lv-LV"/>
              </w:rPr>
              <w:t>oteikumu Nr. 221 56.</w:t>
            </w:r>
            <w:r w:rsidRPr="00501C5E">
              <w:rPr>
                <w:bCs/>
                <w:i/>
                <w:szCs w:val="24"/>
                <w:vertAlign w:val="superscript"/>
                <w:lang w:val="lv-LV"/>
              </w:rPr>
              <w:t>22</w:t>
            </w:r>
            <w:r w:rsidRPr="00501C5E">
              <w:rPr>
                <w:bCs/>
                <w:i/>
                <w:szCs w:val="24"/>
                <w:lang w:val="lv-LV"/>
              </w:rPr>
              <w:t> 2. punktu, lai varētu pretendēt</w:t>
            </w:r>
            <w:r w:rsidRPr="00AF3B66">
              <w:rPr>
                <w:bCs/>
                <w:i/>
                <w:szCs w:val="24"/>
                <w:lang w:val="lv-LV"/>
              </w:rPr>
              <w:t xml:space="preserve"> uz vienreizējo maksājumu, koģenerācijas </w:t>
            </w:r>
            <w:r w:rsidRPr="00016593">
              <w:rPr>
                <w:szCs w:val="24"/>
                <w:lang w:val="lv-LV"/>
              </w:rPr>
              <w:t>elektrostacijas</w:t>
            </w:r>
            <w:r w:rsidRPr="00AF3B66">
              <w:rPr>
                <w:bCs/>
                <w:i/>
                <w:szCs w:val="24"/>
                <w:lang w:val="lv-LV"/>
              </w:rPr>
              <w:t xml:space="preserve"> kopējā kapitālieguldījumu iekšējās peļņas norma, kas tiek aprēķināta, ievērojot </w:t>
            </w:r>
            <w:r w:rsidR="00501C5E" w:rsidRPr="00501C5E">
              <w:rPr>
                <w:bCs/>
                <w:i/>
                <w:szCs w:val="24"/>
                <w:lang w:val="lv-LV"/>
              </w:rPr>
              <w:t>Ministru kabineta n</w:t>
            </w:r>
            <w:r w:rsidRPr="00AF3B66">
              <w:rPr>
                <w:bCs/>
                <w:i/>
                <w:szCs w:val="24"/>
                <w:lang w:val="lv-LV"/>
              </w:rPr>
              <w:t>oteikumu Nr. 221 IV</w:t>
            </w:r>
            <w:r w:rsidRPr="00AF3B66">
              <w:rPr>
                <w:bCs/>
                <w:i/>
                <w:szCs w:val="24"/>
                <w:vertAlign w:val="superscript"/>
                <w:lang w:val="lv-LV"/>
              </w:rPr>
              <w:t>1</w:t>
            </w:r>
            <w:r w:rsidRPr="00AF3B66">
              <w:rPr>
                <w:bCs/>
                <w:i/>
                <w:szCs w:val="24"/>
                <w:lang w:val="lv-LV"/>
              </w:rPr>
              <w:t>. nodaļas nosacījumus, nepārsniedz 9%.</w:t>
            </w:r>
          </w:p>
          <w:p w:rsidR="00E34666" w:rsidRPr="00AF3B66" w:rsidRDefault="00E34666" w:rsidP="00BD2231">
            <w:pPr>
              <w:pStyle w:val="NoSpacing"/>
              <w:spacing w:before="120" w:after="120"/>
              <w:jc w:val="both"/>
              <w:rPr>
                <w:bCs/>
                <w:i/>
                <w:szCs w:val="24"/>
                <w:lang w:val="lv-LV"/>
              </w:rPr>
            </w:pPr>
            <w:r w:rsidRPr="00AF3B66">
              <w:rPr>
                <w:bCs/>
                <w:i/>
                <w:szCs w:val="24"/>
                <w:lang w:val="lv-LV"/>
              </w:rPr>
              <w:t xml:space="preserve">Saskaņā </w:t>
            </w:r>
            <w:r w:rsidR="00501C5E" w:rsidRPr="00501C5E">
              <w:rPr>
                <w:bCs/>
                <w:i/>
                <w:szCs w:val="24"/>
                <w:lang w:val="lv-LV"/>
              </w:rPr>
              <w:t>Ministru kabineta n</w:t>
            </w:r>
            <w:r w:rsidRPr="00AF3B66">
              <w:rPr>
                <w:bCs/>
                <w:i/>
                <w:szCs w:val="24"/>
                <w:lang w:val="lv-LV"/>
              </w:rPr>
              <w:t>oteikumu Nr. 221 56.</w:t>
            </w:r>
            <w:r w:rsidRPr="00AF3B66">
              <w:rPr>
                <w:bCs/>
                <w:i/>
                <w:szCs w:val="24"/>
                <w:vertAlign w:val="superscript"/>
                <w:lang w:val="lv-LV"/>
              </w:rPr>
              <w:t>24</w:t>
            </w:r>
            <w:r w:rsidRPr="00AF3B66">
              <w:rPr>
                <w:bCs/>
                <w:i/>
                <w:szCs w:val="24"/>
                <w:lang w:val="lv-LV"/>
              </w:rPr>
              <w:t xml:space="preserve"> 1. punktu komersantam, kurš piesakās vienreizējam maksājumam, vienlaikus ar pieteikumu Ekonomikas ministrijā ir jāiesniedz zvērināta revidenta apstiprināts </w:t>
            </w:r>
            <w:r w:rsidRPr="00016593">
              <w:rPr>
                <w:szCs w:val="24"/>
                <w:lang w:val="lv-LV"/>
              </w:rPr>
              <w:t>aprēķins</w:t>
            </w:r>
            <w:r w:rsidRPr="00AF3B66">
              <w:rPr>
                <w:bCs/>
                <w:i/>
                <w:szCs w:val="24"/>
                <w:lang w:val="lv-LV"/>
              </w:rPr>
              <w:t xml:space="preserve"> par koģenerācijas elektrostacijas kopējo kapitālieguldījumu iekšējo peļņas normu visam atbalsta periodam vai apliecinājums, ka tas tiks iesniegts ne vēlāk kā vienu nedēļu pirms tam, kad ir iestājies viens mēnesis no komersanta pieteikuma iesniegšanas Ekonomikas ministrijā saskaņā ar </w:t>
            </w:r>
            <w:r w:rsidR="00501C5E" w:rsidRPr="00501C5E">
              <w:rPr>
                <w:bCs/>
                <w:i/>
                <w:szCs w:val="24"/>
                <w:lang w:val="lv-LV"/>
              </w:rPr>
              <w:t>Ministru kabineta n</w:t>
            </w:r>
            <w:r w:rsidRPr="00AF3B66">
              <w:rPr>
                <w:bCs/>
                <w:i/>
                <w:szCs w:val="24"/>
                <w:lang w:val="lv-LV"/>
              </w:rPr>
              <w:t>oteikumu Nr. 221 89. punktu.</w:t>
            </w:r>
          </w:p>
          <w:p w:rsidR="00E34666" w:rsidRPr="00016593" w:rsidRDefault="007C6B3C" w:rsidP="00BD2231">
            <w:pPr>
              <w:pStyle w:val="NoSpacing"/>
              <w:spacing w:before="120" w:after="120"/>
              <w:jc w:val="both"/>
              <w:rPr>
                <w:szCs w:val="24"/>
                <w:lang w:val="lv-LV"/>
              </w:rPr>
            </w:pPr>
            <w:r w:rsidRPr="00016593">
              <w:rPr>
                <w:szCs w:val="24"/>
                <w:lang w:val="lv-LV"/>
              </w:rPr>
              <w:t>Savā 2017. gada 19. </w:t>
            </w:r>
            <w:r w:rsidR="00E34666" w:rsidRPr="00016593">
              <w:rPr>
                <w:szCs w:val="24"/>
                <w:lang w:val="lv-LV"/>
              </w:rPr>
              <w:t xml:space="preserve">oktobra pieteikumā </w:t>
            </w:r>
            <w:r w:rsidR="000B62B2" w:rsidRPr="000B62B2">
              <w:rPr>
                <w:bCs/>
                <w:lang w:val="lv-LV"/>
              </w:rPr>
              <w:t xml:space="preserve"> akciju sabiedrība </w:t>
            </w:r>
            <w:r w:rsidR="00E34666" w:rsidRPr="00016593">
              <w:rPr>
                <w:szCs w:val="24"/>
                <w:lang w:val="lv-LV"/>
              </w:rPr>
              <w:t xml:space="preserve"> “Latvenergo” apliecina, ka </w:t>
            </w:r>
            <w:r w:rsidR="00E34666" w:rsidRPr="00016593">
              <w:rPr>
                <w:color w:val="000000"/>
                <w:szCs w:val="24"/>
                <w:lang w:val="lv-LV"/>
              </w:rPr>
              <w:t xml:space="preserve">zvērināta revidenta apstiprināts aprēķins par </w:t>
            </w:r>
            <w:r w:rsidR="00E34666" w:rsidRPr="00016593">
              <w:rPr>
                <w:szCs w:val="24"/>
                <w:lang w:val="lv-LV"/>
              </w:rPr>
              <w:t>koģenerācijas</w:t>
            </w:r>
            <w:r w:rsidR="00E34666" w:rsidRPr="00016593">
              <w:rPr>
                <w:color w:val="000000"/>
                <w:szCs w:val="24"/>
                <w:lang w:val="lv-LV"/>
              </w:rPr>
              <w:t xml:space="preserve"> elektrostaciju kopējo kapitālieguldījumu iekšējo peļņas normu tiks iesniegts </w:t>
            </w:r>
            <w:r w:rsidR="00501C5E" w:rsidRPr="00501C5E">
              <w:rPr>
                <w:lang w:val="lv-LV"/>
              </w:rPr>
              <w:t>Ministru kabineta n</w:t>
            </w:r>
            <w:r w:rsidR="00E34666" w:rsidRPr="00016593">
              <w:rPr>
                <w:color w:val="000000"/>
                <w:szCs w:val="24"/>
                <w:lang w:val="lv-LV"/>
              </w:rPr>
              <w:t>oteikumu Nr. 221 56.</w:t>
            </w:r>
            <w:r w:rsidR="00E34666" w:rsidRPr="00016593">
              <w:rPr>
                <w:color w:val="000000"/>
                <w:szCs w:val="24"/>
                <w:vertAlign w:val="superscript"/>
                <w:lang w:val="lv-LV"/>
              </w:rPr>
              <w:t>24</w:t>
            </w:r>
            <w:r w:rsidR="00E34666" w:rsidRPr="00016593">
              <w:rPr>
                <w:color w:val="000000"/>
                <w:szCs w:val="24"/>
                <w:lang w:val="lv-LV"/>
              </w:rPr>
              <w:t xml:space="preserve"> punktā noteiktajā termiņā</w:t>
            </w:r>
            <w:r w:rsidR="00E34666" w:rsidRPr="00016593">
              <w:rPr>
                <w:szCs w:val="24"/>
                <w:lang w:val="lv-LV"/>
              </w:rPr>
              <w:t>.</w:t>
            </w:r>
          </w:p>
          <w:p w:rsidR="00E34666" w:rsidRPr="00016593" w:rsidRDefault="00E34666" w:rsidP="00BD2231">
            <w:pPr>
              <w:pStyle w:val="NoSpacing"/>
              <w:spacing w:before="120" w:after="120"/>
              <w:jc w:val="both"/>
              <w:rPr>
                <w:szCs w:val="24"/>
                <w:lang w:val="lv-LV"/>
              </w:rPr>
            </w:pPr>
            <w:r w:rsidRPr="00016593">
              <w:rPr>
                <w:szCs w:val="24"/>
                <w:lang w:val="lv-LV"/>
              </w:rPr>
              <w:t xml:space="preserve">2017. gada 30. oktobrī </w:t>
            </w:r>
            <w:r w:rsidR="000B62B2" w:rsidRPr="000B62B2">
              <w:rPr>
                <w:bCs/>
                <w:lang w:val="lv-LV"/>
              </w:rPr>
              <w:t xml:space="preserve"> akciju sabiedrība</w:t>
            </w:r>
            <w:r w:rsidRPr="00016593">
              <w:rPr>
                <w:szCs w:val="24"/>
                <w:lang w:val="lv-LV"/>
              </w:rPr>
              <w:t xml:space="preserve"> “Latvenergo” ir iesniegusi Ekonomikas ministrijā neatkarīgu revidentu SIA “PricewaterhouseCoopers” ziņojumus par Rīgas TEC-1 un Rīgas TEC-2 </w:t>
            </w:r>
            <w:r w:rsidRPr="00016593">
              <w:rPr>
                <w:color w:val="000000"/>
                <w:szCs w:val="24"/>
                <w:lang w:val="lv-LV"/>
              </w:rPr>
              <w:t xml:space="preserve">kopējo kapitālieguldījumu </w:t>
            </w:r>
            <w:r w:rsidRPr="00016593">
              <w:rPr>
                <w:szCs w:val="24"/>
                <w:lang w:val="lv-LV"/>
              </w:rPr>
              <w:t xml:space="preserve">iekšējās peļņas normas aprēķinu (turpmāk – neatkarīgu revidentu izvērtējums), kas veikti ņemot vērā </w:t>
            </w:r>
            <w:r w:rsidR="00501C5E" w:rsidRPr="00501C5E">
              <w:rPr>
                <w:lang w:val="lv-LV"/>
              </w:rPr>
              <w:t>Ministru kabineta n</w:t>
            </w:r>
            <w:r w:rsidRPr="00016593">
              <w:rPr>
                <w:szCs w:val="24"/>
                <w:lang w:val="lv-LV"/>
              </w:rPr>
              <w:t>oteikumu Nr. 221 56.</w:t>
            </w:r>
            <w:r w:rsidRPr="00016593">
              <w:rPr>
                <w:szCs w:val="24"/>
                <w:vertAlign w:val="superscript"/>
                <w:lang w:val="lv-LV"/>
              </w:rPr>
              <w:t>22 </w:t>
            </w:r>
            <w:r w:rsidRPr="00016593">
              <w:rPr>
                <w:szCs w:val="24"/>
                <w:lang w:val="lv-LV"/>
              </w:rPr>
              <w:t>2. punktu.</w:t>
            </w:r>
          </w:p>
          <w:p w:rsidR="00E34666" w:rsidRPr="00016593" w:rsidRDefault="00E34666" w:rsidP="00BD2231">
            <w:pPr>
              <w:pStyle w:val="NoSpacing"/>
              <w:spacing w:before="120" w:after="120"/>
              <w:jc w:val="both"/>
              <w:rPr>
                <w:szCs w:val="24"/>
                <w:lang w:val="lv-LV"/>
              </w:rPr>
            </w:pPr>
            <w:r w:rsidRPr="00016593">
              <w:rPr>
                <w:color w:val="000000"/>
                <w:szCs w:val="24"/>
                <w:lang w:val="lv-LV"/>
              </w:rPr>
              <w:t xml:space="preserve">Saskaņā ar neatkarīgu revidentu izvērtējumu Rīgas TEC-1 un Rīgas TEC-2 kopējo kapitālieguldījumu </w:t>
            </w:r>
            <w:r w:rsidRPr="00016593">
              <w:rPr>
                <w:szCs w:val="24"/>
                <w:lang w:val="lv-LV"/>
              </w:rPr>
              <w:t xml:space="preserve">iekšējās peļņas norma, kas aprēķināta ievērojot </w:t>
            </w:r>
            <w:r w:rsidR="00501C5E" w:rsidRPr="00501C5E">
              <w:rPr>
                <w:lang w:val="lv-LV"/>
              </w:rPr>
              <w:t>Ministru kabineta n</w:t>
            </w:r>
            <w:r w:rsidRPr="00016593">
              <w:rPr>
                <w:szCs w:val="24"/>
                <w:lang w:val="lv-LV"/>
              </w:rPr>
              <w:t>oteikumu Nr. 221 IV</w:t>
            </w:r>
            <w:r w:rsidRPr="00016593">
              <w:rPr>
                <w:szCs w:val="24"/>
                <w:vertAlign w:val="superscript"/>
                <w:lang w:val="lv-LV"/>
              </w:rPr>
              <w:t>1</w:t>
            </w:r>
            <w:r w:rsidRPr="00016593">
              <w:rPr>
                <w:szCs w:val="24"/>
                <w:lang w:val="lv-LV"/>
              </w:rPr>
              <w:t xml:space="preserve">. nodaļas nosacījumus, nepārsniedz </w:t>
            </w:r>
            <w:r w:rsidR="00501C5E" w:rsidRPr="00501C5E">
              <w:rPr>
                <w:lang w:val="lv-LV"/>
              </w:rPr>
              <w:t>Ministru kabineta n</w:t>
            </w:r>
            <w:r w:rsidRPr="00016593">
              <w:rPr>
                <w:szCs w:val="24"/>
                <w:lang w:val="lv-LV"/>
              </w:rPr>
              <w:t>oteikumu Nr. 221 56.</w:t>
            </w:r>
            <w:r w:rsidRPr="00016593">
              <w:rPr>
                <w:szCs w:val="24"/>
                <w:vertAlign w:val="superscript"/>
                <w:lang w:val="lv-LV"/>
              </w:rPr>
              <w:t>22 </w:t>
            </w:r>
            <w:r w:rsidRPr="00016593">
              <w:rPr>
                <w:szCs w:val="24"/>
                <w:lang w:val="lv-LV"/>
              </w:rPr>
              <w:t>2. punktā noteikto 9,00% robežu, jo Rīgas TEC-1 visā atbalsta periodā tā sastāda 8,85%, bet Rīgas TEC-2 – 5,21%.</w:t>
            </w:r>
          </w:p>
          <w:p w:rsidR="00E34666" w:rsidRPr="00016593" w:rsidRDefault="00E34666" w:rsidP="00BD2231">
            <w:pPr>
              <w:pStyle w:val="NoSpacing"/>
              <w:spacing w:before="120" w:after="120"/>
              <w:jc w:val="both"/>
              <w:rPr>
                <w:szCs w:val="24"/>
                <w:lang w:val="lv-LV"/>
              </w:rPr>
            </w:pPr>
            <w:r w:rsidRPr="00016593">
              <w:rPr>
                <w:szCs w:val="24"/>
                <w:lang w:val="lv-LV"/>
              </w:rPr>
              <w:t xml:space="preserve">Secināms, ka </w:t>
            </w:r>
            <w:r w:rsidR="000B62B2" w:rsidRPr="000B62B2">
              <w:rPr>
                <w:bCs/>
                <w:lang w:val="lv-LV"/>
              </w:rPr>
              <w:t xml:space="preserve"> akciju sabiedrība</w:t>
            </w:r>
            <w:r w:rsidRPr="00016593">
              <w:rPr>
                <w:szCs w:val="24"/>
                <w:lang w:val="lv-LV"/>
              </w:rPr>
              <w:t xml:space="preserve"> “Latvenergo” un tās koģenerācijas stacijas Rīgas TEC-1 un Rīgas TEC-2 atbilst </w:t>
            </w:r>
            <w:r w:rsidR="00501C5E" w:rsidRPr="00501C5E">
              <w:rPr>
                <w:lang w:val="lv-LV"/>
              </w:rPr>
              <w:lastRenderedPageBreak/>
              <w:t>Ministru kabineta n</w:t>
            </w:r>
            <w:r w:rsidRPr="00016593">
              <w:rPr>
                <w:szCs w:val="24"/>
                <w:lang w:val="lv-LV"/>
              </w:rPr>
              <w:t xml:space="preserve">oteikumu </w:t>
            </w:r>
            <w:r w:rsidR="001F5AB1" w:rsidRPr="00016593">
              <w:rPr>
                <w:szCs w:val="24"/>
                <w:lang w:val="lv-LV"/>
              </w:rPr>
              <w:t>Nr. 221</w:t>
            </w:r>
            <w:r w:rsidRPr="00016593">
              <w:rPr>
                <w:szCs w:val="24"/>
                <w:lang w:val="lv-LV"/>
              </w:rPr>
              <w:t xml:space="preserve"> 56.</w:t>
            </w:r>
            <w:r w:rsidRPr="00016593">
              <w:rPr>
                <w:szCs w:val="24"/>
                <w:vertAlign w:val="superscript"/>
                <w:lang w:val="lv-LV"/>
              </w:rPr>
              <w:t>22</w:t>
            </w:r>
            <w:r w:rsidRPr="00016593">
              <w:rPr>
                <w:szCs w:val="24"/>
                <w:lang w:val="lv-LV"/>
              </w:rPr>
              <w:t xml:space="preserve"> 2. un 56.</w:t>
            </w:r>
            <w:r w:rsidRPr="00016593">
              <w:rPr>
                <w:szCs w:val="24"/>
                <w:vertAlign w:val="superscript"/>
                <w:lang w:val="lv-LV"/>
              </w:rPr>
              <w:t>24</w:t>
            </w:r>
            <w:r w:rsidRPr="00016593">
              <w:rPr>
                <w:szCs w:val="24"/>
                <w:lang w:val="lv-LV"/>
              </w:rPr>
              <w:t xml:space="preserve"> 1.punkta prasībām.</w:t>
            </w:r>
          </w:p>
          <w:p w:rsidR="00E34666" w:rsidRPr="00016593" w:rsidRDefault="00E34666" w:rsidP="008B2AFF">
            <w:pPr>
              <w:spacing w:before="240"/>
              <w:jc w:val="both"/>
              <w:rPr>
                <w:b/>
                <w:bCs/>
                <w:i/>
                <w:u w:val="single"/>
              </w:rPr>
            </w:pPr>
            <w:r w:rsidRPr="00016593">
              <w:rPr>
                <w:b/>
                <w:bCs/>
                <w:i/>
                <w:u w:val="single"/>
              </w:rPr>
              <w:t>4) Apliecinājums turpināt darbību saskaņā ar vēsturiskā atbalsta nosacījumiem</w:t>
            </w:r>
          </w:p>
          <w:p w:rsidR="00E34666" w:rsidRPr="00AF3B66" w:rsidRDefault="00E34666" w:rsidP="00BD2231">
            <w:pPr>
              <w:pStyle w:val="NoSpacing"/>
              <w:spacing w:before="120" w:after="120"/>
              <w:jc w:val="both"/>
              <w:rPr>
                <w:bCs/>
                <w:i/>
                <w:szCs w:val="24"/>
                <w:lang w:val="lv-LV"/>
              </w:rPr>
            </w:pPr>
            <w:r w:rsidRPr="00501C5E">
              <w:rPr>
                <w:bCs/>
                <w:i/>
                <w:szCs w:val="24"/>
                <w:lang w:val="lv-LV"/>
              </w:rPr>
              <w:t xml:space="preserve">Saskaņā </w:t>
            </w:r>
            <w:r w:rsidR="00501C5E" w:rsidRPr="00501C5E">
              <w:rPr>
                <w:i/>
                <w:lang w:val="lv-LV"/>
              </w:rPr>
              <w:t>Ministru kabineta n</w:t>
            </w:r>
            <w:r w:rsidRPr="00501C5E">
              <w:rPr>
                <w:bCs/>
                <w:i/>
                <w:szCs w:val="24"/>
                <w:lang w:val="lv-LV"/>
              </w:rPr>
              <w:t>oteikumu</w:t>
            </w:r>
            <w:r w:rsidRPr="00AF3B66">
              <w:rPr>
                <w:bCs/>
                <w:i/>
                <w:szCs w:val="24"/>
                <w:lang w:val="lv-LV"/>
              </w:rPr>
              <w:t xml:space="preserve"> Nr. 221 56.</w:t>
            </w:r>
            <w:r w:rsidRPr="00AF3B66">
              <w:rPr>
                <w:bCs/>
                <w:i/>
                <w:szCs w:val="24"/>
                <w:vertAlign w:val="superscript"/>
                <w:lang w:val="lv-LV"/>
              </w:rPr>
              <w:t>24</w:t>
            </w:r>
            <w:r w:rsidRPr="00AF3B66">
              <w:rPr>
                <w:bCs/>
                <w:i/>
                <w:szCs w:val="24"/>
                <w:lang w:val="lv-LV"/>
              </w:rPr>
              <w:t xml:space="preserve"> 2. punktu komersantam, </w:t>
            </w:r>
            <w:r w:rsidRPr="00016593">
              <w:rPr>
                <w:color w:val="000000"/>
                <w:szCs w:val="24"/>
                <w:lang w:val="lv-LV"/>
              </w:rPr>
              <w:t>kurš</w:t>
            </w:r>
            <w:r w:rsidRPr="00AF3B66">
              <w:rPr>
                <w:bCs/>
                <w:i/>
                <w:szCs w:val="24"/>
                <w:lang w:val="lv-LV"/>
              </w:rPr>
              <w:t xml:space="preserve"> piesakās vienreizējam maksājumam, ir rakstveidā jāapliecina, ka tas turpinās darbību visā atlikušajā atbalsta periodā atbilstoši nosacījumiem, kas uz to attiecās līdz pieteikuma iesniegšanas dienai;</w:t>
            </w:r>
          </w:p>
          <w:p w:rsidR="00E34666" w:rsidRPr="00016593" w:rsidRDefault="00E34666" w:rsidP="00BD2231">
            <w:pPr>
              <w:pStyle w:val="NoSpacing"/>
              <w:spacing w:before="120" w:after="120"/>
              <w:jc w:val="both"/>
              <w:rPr>
                <w:szCs w:val="24"/>
                <w:lang w:val="lv-LV"/>
              </w:rPr>
            </w:pPr>
            <w:r w:rsidRPr="00016593">
              <w:rPr>
                <w:szCs w:val="24"/>
                <w:lang w:val="lv-LV"/>
              </w:rPr>
              <w:t>Savā 201</w:t>
            </w:r>
            <w:r w:rsidR="000B62B2">
              <w:rPr>
                <w:szCs w:val="24"/>
                <w:lang w:val="lv-LV"/>
              </w:rPr>
              <w:t xml:space="preserve">7. gada 19. oktobra pieteikumā </w:t>
            </w:r>
            <w:r w:rsidR="000B62B2" w:rsidRPr="000B62B2">
              <w:rPr>
                <w:bCs/>
                <w:lang w:val="lv-LV"/>
              </w:rPr>
              <w:t xml:space="preserve"> akciju sabiedr</w:t>
            </w:r>
            <w:r w:rsidR="000B62B2">
              <w:rPr>
                <w:bCs/>
                <w:lang w:val="lv-LV"/>
              </w:rPr>
              <w:t>ība</w:t>
            </w:r>
            <w:r w:rsidRPr="00016593">
              <w:rPr>
                <w:szCs w:val="24"/>
                <w:lang w:val="lv-LV"/>
              </w:rPr>
              <w:t xml:space="preserve"> “Latvenergo” </w:t>
            </w:r>
            <w:r w:rsidRPr="00016593">
              <w:rPr>
                <w:color w:val="000000"/>
                <w:szCs w:val="24"/>
                <w:lang w:val="lv-LV"/>
              </w:rPr>
              <w:t xml:space="preserve">sniedz </w:t>
            </w:r>
            <w:r w:rsidRPr="00016593">
              <w:rPr>
                <w:szCs w:val="24"/>
                <w:lang w:val="lv-LV"/>
              </w:rPr>
              <w:t>apliecinājumu</w:t>
            </w:r>
            <w:r w:rsidRPr="00016593">
              <w:rPr>
                <w:color w:val="000000"/>
                <w:szCs w:val="24"/>
                <w:lang w:val="lv-LV"/>
              </w:rPr>
              <w:t xml:space="preserve"> tam, ka pēc vienreizējā maksājuma saņemšanas Rīgas TEC-1 un Rīgas TEC-2 visā atlikušajā atbalsta periodā turpinās darbību atbilstoši </w:t>
            </w:r>
            <w:r w:rsidRPr="00016593">
              <w:rPr>
                <w:szCs w:val="24"/>
                <w:lang w:val="lv-LV"/>
              </w:rPr>
              <w:t>nosacījumiem, kas uz šīm elektrostacijām attiecās līdz pieteikuma iesniegšanas dienai.</w:t>
            </w:r>
          </w:p>
          <w:p w:rsidR="00580242" w:rsidRPr="00016593" w:rsidRDefault="00580242" w:rsidP="00580242">
            <w:pPr>
              <w:pStyle w:val="NoSpacing"/>
              <w:spacing w:before="120" w:after="120"/>
              <w:jc w:val="both"/>
              <w:rPr>
                <w:szCs w:val="24"/>
                <w:lang w:val="lv-LV"/>
              </w:rPr>
            </w:pPr>
            <w:r w:rsidRPr="00016593">
              <w:rPr>
                <w:szCs w:val="24"/>
                <w:lang w:val="lv-LV"/>
              </w:rPr>
              <w:t xml:space="preserve">Secināms, ka </w:t>
            </w:r>
            <w:r w:rsidR="000B62B2" w:rsidRPr="000B62B2">
              <w:rPr>
                <w:bCs/>
                <w:lang w:val="lv-LV"/>
              </w:rPr>
              <w:t xml:space="preserve"> akciju sabiedrības </w:t>
            </w:r>
            <w:r w:rsidRPr="00016593">
              <w:rPr>
                <w:szCs w:val="24"/>
                <w:lang w:val="lv-LV"/>
              </w:rPr>
              <w:t xml:space="preserve">“Latvenergo” un tās </w:t>
            </w:r>
            <w:r w:rsidRPr="00016593">
              <w:rPr>
                <w:color w:val="000000"/>
                <w:szCs w:val="24"/>
                <w:lang w:val="lv-LV"/>
              </w:rPr>
              <w:t>koģenerācijas</w:t>
            </w:r>
            <w:r w:rsidRPr="00016593">
              <w:rPr>
                <w:szCs w:val="24"/>
                <w:lang w:val="lv-LV"/>
              </w:rPr>
              <w:t xml:space="preserve"> stacijas Rīgas TEC-1 un Rīgas TEC-2 atbilst </w:t>
            </w:r>
            <w:r w:rsidR="00501C5E" w:rsidRPr="00501C5E">
              <w:rPr>
                <w:lang w:val="lv-LV"/>
              </w:rPr>
              <w:t>Ministru kabineta n</w:t>
            </w:r>
            <w:r w:rsidRPr="00016593">
              <w:rPr>
                <w:szCs w:val="24"/>
                <w:lang w:val="lv-LV"/>
              </w:rPr>
              <w:t>oteikumu Nr.</w:t>
            </w:r>
            <w:r w:rsidR="005D5B15" w:rsidRPr="00016593">
              <w:rPr>
                <w:szCs w:val="24"/>
                <w:lang w:val="lv-LV"/>
              </w:rPr>
              <w:t> </w:t>
            </w:r>
            <w:r w:rsidRPr="00016593">
              <w:rPr>
                <w:szCs w:val="24"/>
                <w:lang w:val="lv-LV"/>
              </w:rPr>
              <w:t>221 56.</w:t>
            </w:r>
            <w:r w:rsidRPr="00016593">
              <w:rPr>
                <w:szCs w:val="24"/>
                <w:vertAlign w:val="superscript"/>
                <w:lang w:val="lv-LV"/>
              </w:rPr>
              <w:t>24</w:t>
            </w:r>
            <w:r w:rsidRPr="00016593">
              <w:rPr>
                <w:szCs w:val="24"/>
                <w:lang w:val="lv-LV"/>
              </w:rPr>
              <w:t xml:space="preserve"> 2.</w:t>
            </w:r>
            <w:r w:rsidR="005D5B15" w:rsidRPr="00016593">
              <w:rPr>
                <w:szCs w:val="24"/>
                <w:lang w:val="lv-LV"/>
              </w:rPr>
              <w:t> </w:t>
            </w:r>
            <w:r w:rsidRPr="00016593">
              <w:rPr>
                <w:szCs w:val="24"/>
                <w:lang w:val="lv-LV"/>
              </w:rPr>
              <w:t>punkta prasībām.</w:t>
            </w:r>
          </w:p>
          <w:p w:rsidR="00580242" w:rsidRPr="00016593" w:rsidRDefault="003A6AAA" w:rsidP="00BD2231">
            <w:pPr>
              <w:pStyle w:val="NoSpacing"/>
              <w:spacing w:before="120" w:after="120"/>
              <w:jc w:val="both"/>
              <w:rPr>
                <w:b/>
                <w:i/>
                <w:szCs w:val="24"/>
                <w:u w:val="single"/>
                <w:lang w:val="lv-LV"/>
              </w:rPr>
            </w:pPr>
            <w:r w:rsidRPr="00016593">
              <w:rPr>
                <w:b/>
                <w:i/>
                <w:szCs w:val="24"/>
                <w:u w:val="single"/>
                <w:lang w:val="lv-LV"/>
              </w:rPr>
              <w:t>Vienreizējā maksājuma aprēķins</w:t>
            </w:r>
          </w:p>
          <w:p w:rsidR="00877689" w:rsidRPr="00016593" w:rsidRDefault="001F5AB1" w:rsidP="00BD2231">
            <w:pPr>
              <w:pStyle w:val="NoSpacing"/>
              <w:spacing w:before="120" w:after="120"/>
              <w:jc w:val="both"/>
              <w:rPr>
                <w:szCs w:val="24"/>
                <w:lang w:val="lv-LV"/>
              </w:rPr>
            </w:pPr>
            <w:r w:rsidRPr="00016593">
              <w:rPr>
                <w:szCs w:val="24"/>
                <w:lang w:val="lv-LV"/>
              </w:rPr>
              <w:t>Saskaņā ar augstāk minēto</w:t>
            </w:r>
            <w:r w:rsidR="000334AD" w:rsidRPr="00016593">
              <w:rPr>
                <w:szCs w:val="24"/>
                <w:lang w:val="lv-LV"/>
              </w:rPr>
              <w:t xml:space="preserve"> </w:t>
            </w:r>
            <w:r w:rsidR="00AD6A52">
              <w:rPr>
                <w:szCs w:val="24"/>
                <w:lang w:val="lv-LV"/>
              </w:rPr>
              <w:t xml:space="preserve">(pie 3. kritērija) </w:t>
            </w:r>
            <w:r w:rsidR="000334AD" w:rsidRPr="00016593">
              <w:rPr>
                <w:szCs w:val="24"/>
                <w:lang w:val="lv-LV"/>
              </w:rPr>
              <w:t>ikgadējais jaudas</w:t>
            </w:r>
            <w:r w:rsidR="00455836">
              <w:rPr>
                <w:szCs w:val="24"/>
                <w:lang w:val="lv-LV"/>
              </w:rPr>
              <w:t xml:space="preserve"> maksājums  Rīgas TEC-1 ir 14 73</w:t>
            </w:r>
            <w:r w:rsidR="000334AD" w:rsidRPr="00016593">
              <w:rPr>
                <w:szCs w:val="24"/>
                <w:lang w:val="lv-LV"/>
              </w:rPr>
              <w:t xml:space="preserve">1 776,00 EUR, </w:t>
            </w:r>
            <w:r w:rsidR="00F65844">
              <w:rPr>
                <w:szCs w:val="24"/>
                <w:lang w:val="lv-LV"/>
              </w:rPr>
              <w:t>bet</w:t>
            </w:r>
            <w:r w:rsidR="000334AD" w:rsidRPr="00016593">
              <w:rPr>
                <w:szCs w:val="24"/>
                <w:lang w:val="lv-LV"/>
              </w:rPr>
              <w:t xml:space="preserve"> Rīgas TEC-2 </w:t>
            </w:r>
            <w:r w:rsidR="00AD6A52">
              <w:rPr>
                <w:szCs w:val="24"/>
                <w:lang w:val="lv-LV"/>
              </w:rPr>
              <w:t xml:space="preserve">tas veido </w:t>
            </w:r>
            <w:r w:rsidR="000334AD" w:rsidRPr="00016593">
              <w:rPr>
                <w:szCs w:val="24"/>
                <w:lang w:val="lv-LV"/>
              </w:rPr>
              <w:t>85 147 619,20 EUR.</w:t>
            </w:r>
            <w:r w:rsidR="00877689" w:rsidRPr="00016593">
              <w:rPr>
                <w:szCs w:val="24"/>
                <w:lang w:val="lv-LV"/>
              </w:rPr>
              <w:t xml:space="preserve"> </w:t>
            </w:r>
          </w:p>
          <w:p w:rsidR="00AD6A52" w:rsidRDefault="00F34DDD" w:rsidP="00BD2231">
            <w:pPr>
              <w:pStyle w:val="NoSpacing"/>
              <w:spacing w:before="120" w:after="120"/>
              <w:jc w:val="both"/>
              <w:rPr>
                <w:szCs w:val="24"/>
                <w:lang w:val="lv-LV"/>
              </w:rPr>
            </w:pPr>
            <w:r w:rsidRPr="00016593">
              <w:rPr>
                <w:szCs w:val="24"/>
                <w:lang w:val="lv-LV"/>
              </w:rPr>
              <w:t>Pamatojoties uz</w:t>
            </w:r>
            <w:r w:rsidR="00877689" w:rsidRPr="00016593">
              <w:rPr>
                <w:szCs w:val="24"/>
                <w:lang w:val="lv-LV"/>
              </w:rPr>
              <w:t xml:space="preserve"> </w:t>
            </w:r>
            <w:r w:rsidR="00AD6A52">
              <w:rPr>
                <w:szCs w:val="24"/>
                <w:lang w:val="lv-LV"/>
              </w:rPr>
              <w:t>to</w:t>
            </w:r>
            <w:r w:rsidRPr="00016593">
              <w:rPr>
                <w:szCs w:val="24"/>
                <w:lang w:val="lv-LV"/>
              </w:rPr>
              <w:t xml:space="preserve"> un </w:t>
            </w:r>
            <w:r w:rsidR="00501C5E" w:rsidRPr="00501C5E">
              <w:rPr>
                <w:lang w:val="lv-LV"/>
              </w:rPr>
              <w:t>Ministru kabineta n</w:t>
            </w:r>
            <w:r w:rsidR="00877689" w:rsidRPr="00016593">
              <w:rPr>
                <w:szCs w:val="24"/>
                <w:lang w:val="lv-LV"/>
              </w:rPr>
              <w:t>oteikumu Nr. 221 56.</w:t>
            </w:r>
            <w:r w:rsidR="00877689" w:rsidRPr="00016593">
              <w:rPr>
                <w:szCs w:val="24"/>
                <w:vertAlign w:val="superscript"/>
                <w:lang w:val="lv-LV"/>
              </w:rPr>
              <w:t>25</w:t>
            </w:r>
            <w:r w:rsidR="00877689" w:rsidRPr="00016593">
              <w:rPr>
                <w:szCs w:val="24"/>
                <w:lang w:val="lv-LV"/>
              </w:rPr>
              <w:t xml:space="preserve"> punktā minēto formulu, tiek </w:t>
            </w:r>
            <w:r w:rsidR="005517D5" w:rsidRPr="00016593">
              <w:rPr>
                <w:szCs w:val="24"/>
                <w:lang w:val="lv-LV"/>
              </w:rPr>
              <w:t>aprēķināts</w:t>
            </w:r>
            <w:r w:rsidR="00877689" w:rsidRPr="00016593">
              <w:rPr>
                <w:szCs w:val="24"/>
                <w:lang w:val="lv-LV"/>
              </w:rPr>
              <w:t xml:space="preserve"> </w:t>
            </w:r>
            <w:r w:rsidR="00F3125A" w:rsidRPr="00016593">
              <w:rPr>
                <w:szCs w:val="24"/>
                <w:lang w:val="lv-LV"/>
              </w:rPr>
              <w:t xml:space="preserve">vienreizējais maksājums </w:t>
            </w:r>
            <w:r w:rsidR="000B62B2" w:rsidRPr="000B62B2">
              <w:rPr>
                <w:bCs/>
                <w:lang w:val="lv-LV"/>
              </w:rPr>
              <w:t xml:space="preserve"> akciju sabiedrība</w:t>
            </w:r>
            <w:r w:rsidR="005F272B">
              <w:rPr>
                <w:bCs/>
                <w:lang w:val="lv-LV"/>
              </w:rPr>
              <w:t>i</w:t>
            </w:r>
            <w:r w:rsidR="006128CE">
              <w:rPr>
                <w:szCs w:val="24"/>
                <w:lang w:val="lv-LV"/>
              </w:rPr>
              <w:t> </w:t>
            </w:r>
            <w:r w:rsidR="005517D5" w:rsidRPr="00016593">
              <w:rPr>
                <w:szCs w:val="24"/>
                <w:lang w:val="lv-LV"/>
              </w:rPr>
              <w:t>“Latvenergo”</w:t>
            </w:r>
            <w:r w:rsidR="00016593" w:rsidRPr="00016593">
              <w:rPr>
                <w:szCs w:val="24"/>
                <w:lang w:val="lv-LV"/>
              </w:rPr>
              <w:t xml:space="preserve"> par Rīgas TEC-1 un Rīgas TEC-2. </w:t>
            </w:r>
          </w:p>
          <w:p w:rsidR="00042089" w:rsidRDefault="00016593" w:rsidP="00BD2231">
            <w:pPr>
              <w:pStyle w:val="NoSpacing"/>
              <w:spacing w:before="120" w:after="120"/>
              <w:jc w:val="both"/>
              <w:rPr>
                <w:szCs w:val="24"/>
                <w:lang w:val="lv-LV"/>
              </w:rPr>
            </w:pPr>
            <w:r w:rsidRPr="00016593">
              <w:rPr>
                <w:szCs w:val="24"/>
                <w:lang w:val="lv-LV"/>
              </w:rPr>
              <w:t>No 56.</w:t>
            </w:r>
            <w:r w:rsidRPr="00016593">
              <w:rPr>
                <w:szCs w:val="24"/>
                <w:vertAlign w:val="superscript"/>
                <w:lang w:val="lv-LV"/>
              </w:rPr>
              <w:t>25</w:t>
            </w:r>
            <w:r w:rsidRPr="00016593">
              <w:rPr>
                <w:szCs w:val="24"/>
                <w:lang w:val="lv-LV"/>
              </w:rPr>
              <w:t xml:space="preserve"> punktā minētās formulas izriet, ka </w:t>
            </w:r>
            <w:r w:rsidR="00AD6A52">
              <w:rPr>
                <w:szCs w:val="24"/>
                <w:lang w:val="lv-LV"/>
              </w:rPr>
              <w:t xml:space="preserve">vienreizējo maksājumu veido trīs ceturtdaļas no ikgadējās jaudas komponentes apmēra, kas </w:t>
            </w:r>
            <w:r w:rsidR="00EA4D80">
              <w:rPr>
                <w:szCs w:val="24"/>
                <w:lang w:val="lv-LV"/>
              </w:rPr>
              <w:t>diskontēta ar diskonta faktoru 0,09 jeb 9%</w:t>
            </w:r>
            <w:r w:rsidR="00F9021F">
              <w:rPr>
                <w:szCs w:val="24"/>
                <w:lang w:val="lv-LV"/>
              </w:rPr>
              <w:t>, visam atlikušajam atbalsta periodam.</w:t>
            </w:r>
          </w:p>
          <w:p w:rsidR="00E1581D" w:rsidRDefault="00042089" w:rsidP="00042089">
            <w:pPr>
              <w:pStyle w:val="NoSpacing"/>
              <w:spacing w:before="120" w:after="120"/>
              <w:jc w:val="both"/>
              <w:rPr>
                <w:szCs w:val="24"/>
                <w:lang w:val="lv-LV"/>
              </w:rPr>
            </w:pPr>
            <w:r>
              <w:rPr>
                <w:szCs w:val="24"/>
                <w:lang w:val="lv-LV"/>
              </w:rPr>
              <w:t xml:space="preserve">Tā kā Rīgas TEC-1 un Rīgas TEC-2 gadījumā pēdējais atbalsta saņemšanas gads ir nepilns, tad šis apstāklis tiek ņemts vērā nosakot aprēķinā izmantojamo jaudas maksājuma lielumu pēdējam gadam (proporcionāli atbalstāmo dienu skaitam pēdējā gadā). </w:t>
            </w:r>
          </w:p>
          <w:p w:rsidR="001B6B18" w:rsidRPr="00C838CC" w:rsidRDefault="0075309F" w:rsidP="00C838CC">
            <w:pPr>
              <w:pStyle w:val="NoSpacing"/>
              <w:spacing w:before="120" w:after="120"/>
              <w:ind w:left="482"/>
              <w:jc w:val="both"/>
              <w:rPr>
                <w:szCs w:val="24"/>
                <w:lang w:val="lv-LV"/>
              </w:rPr>
            </w:pPr>
            <m:oMathPara>
              <m:oMathParaPr>
                <m:jc m:val="left"/>
              </m:oMathParaPr>
              <m:oMath>
                <m:sSub>
                  <m:sSubPr>
                    <m:ctrlPr>
                      <w:rPr>
                        <w:rFonts w:ascii="Cambria Math" w:eastAsia="Cambria Math" w:hAnsi="Cambria Math"/>
                        <w:i/>
                        <w:smallCaps/>
                        <w:szCs w:val="24"/>
                      </w:rPr>
                    </m:ctrlPr>
                  </m:sSubPr>
                  <m:e>
                    <m:r>
                      <w:rPr>
                        <w:rFonts w:ascii="Cambria Math" w:eastAsia="Cambria Math" w:hAnsi="Cambria Math"/>
                        <w:smallCaps/>
                        <w:szCs w:val="24"/>
                      </w:rPr>
                      <m:t>M</m:t>
                    </m:r>
                  </m:e>
                  <m:sub>
                    <m:r>
                      <w:rPr>
                        <w:rFonts w:ascii="Cambria Math" w:eastAsia="Cambria Math" w:hAnsi="Cambria Math"/>
                        <w:smallCaps/>
                        <w:szCs w:val="24"/>
                      </w:rPr>
                      <m:t>RTEC1</m:t>
                    </m:r>
                  </m:sub>
                </m:sSub>
                <m:r>
                  <w:rPr>
                    <w:rFonts w:ascii="Cambria Math" w:eastAsia="Cambria Math" w:hAnsi="Cambria Math"/>
                    <w:szCs w:val="24"/>
                  </w:rPr>
                  <m:t>=(</m:t>
                </m:r>
                <m:nary>
                  <m:naryPr>
                    <m:chr m:val="∑"/>
                    <m:grow m:val="1"/>
                    <m:ctrlPr>
                      <w:rPr>
                        <w:rFonts w:ascii="Cambria Math" w:hAnsi="Cambria Math"/>
                        <w:szCs w:val="24"/>
                      </w:rPr>
                    </m:ctrlPr>
                  </m:naryPr>
                  <m:sub>
                    <m:r>
                      <w:rPr>
                        <w:rFonts w:ascii="Cambria Math" w:eastAsia="Cambria Math" w:hAnsi="Cambria Math"/>
                        <w:szCs w:val="24"/>
                      </w:rPr>
                      <m:t>i=1</m:t>
                    </m:r>
                  </m:sub>
                  <m:sup>
                    <m:r>
                      <w:rPr>
                        <w:rFonts w:ascii="Cambria Math" w:eastAsia="Cambria Math" w:hAnsi="Cambria Math"/>
                        <w:szCs w:val="24"/>
                      </w:rPr>
                      <m:t>2</m:t>
                    </m:r>
                  </m:sup>
                  <m:e>
                    <m:r>
                      <m:rPr>
                        <m:sty m:val="p"/>
                      </m:rPr>
                      <w:rPr>
                        <w:rFonts w:ascii="Cambria Math" w:hAnsi="Cambria Math"/>
                        <w:szCs w:val="24"/>
                        <w:lang w:val="lv-LV"/>
                      </w:rPr>
                      <m:t xml:space="preserve">14 731 776,00 </m:t>
                    </m:r>
                    <m:r>
                      <w:rPr>
                        <w:rFonts w:ascii="Cambria Math" w:hAnsi="Cambria Math"/>
                        <w:szCs w:val="24"/>
                      </w:rPr>
                      <m:t>×</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m:rPr>
                        <m:sty m:val="p"/>
                      </m:rPr>
                      <w:rPr>
                        <w:rFonts w:ascii="Cambria Math" w:hAnsi="Cambria Math"/>
                        <w:szCs w:val="24"/>
                      </w:rPr>
                      <m:t>×</m:t>
                    </m:r>
                    <m:f>
                      <m:fPr>
                        <m:ctrlPr>
                          <w:rPr>
                            <w:rFonts w:ascii="Cambria Math" w:hAnsi="Cambria Math"/>
                            <w:szCs w:val="24"/>
                          </w:rPr>
                        </m:ctrlPr>
                      </m:fPr>
                      <m:num>
                        <m:r>
                          <w:rPr>
                            <w:rFonts w:ascii="Cambria Math" w:hAnsi="Cambria Math"/>
                            <w:szCs w:val="24"/>
                          </w:rPr>
                          <m:t>1</m:t>
                        </m:r>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1+0,09</m:t>
                                </m:r>
                              </m:e>
                            </m:d>
                          </m:e>
                          <m:sup>
                            <m:r>
                              <w:rPr>
                                <w:rFonts w:ascii="Cambria Math" w:hAnsi="Cambria Math"/>
                                <w:szCs w:val="24"/>
                              </w:rPr>
                              <m:t>i</m:t>
                            </m:r>
                          </m:sup>
                        </m:sSup>
                      </m:den>
                    </m:f>
                    <m:r>
                      <w:rPr>
                        <w:rFonts w:ascii="Cambria Math" w:hAnsi="Cambria Math"/>
                        <w:szCs w:val="24"/>
                      </w:rPr>
                      <m:t>)</m:t>
                    </m:r>
                  </m:e>
                </m:nary>
                <m:r>
                  <w:rPr>
                    <w:rFonts w:ascii="Cambria Math" w:hAnsi="Cambria Math"/>
                    <w:szCs w:val="24"/>
                  </w:rPr>
                  <m:t xml:space="preserve">+ </m:t>
                </m:r>
                <m:r>
                  <m:rPr>
                    <m:sty m:val="p"/>
                  </m:rPr>
                  <w:rPr>
                    <w:rFonts w:ascii="Cambria Math" w:hAnsi="Cambria Math"/>
                    <w:szCs w:val="24"/>
                  </w:rPr>
                  <w:br/>
                </m:r>
              </m:oMath>
              <m:oMath>
                <m:r>
                  <m:rPr>
                    <m:sty m:val="p"/>
                  </m:rPr>
                  <w:rPr>
                    <w:rFonts w:ascii="Cambria Math" w:hAnsi="Cambria Math"/>
                    <w:szCs w:val="24"/>
                  </w:rPr>
                  <w:br/>
                </m:r>
              </m:oMath>
              <m:oMath>
                <m:r>
                  <m:rPr>
                    <m:sty m:val="p"/>
                  </m:rPr>
                  <w:rPr>
                    <w:rFonts w:ascii="Cambria Math" w:hAnsi="Cambria Math"/>
                    <w:szCs w:val="24"/>
                    <w:lang w:val="lv-LV"/>
                  </w:rPr>
                  <m:t xml:space="preserve">14 731 776,00 </m:t>
                </m:r>
                <m:r>
                  <m:rPr>
                    <m:sty m:val="p"/>
                  </m:rPr>
                  <w:rPr>
                    <w:rFonts w:ascii="Cambria Math" w:hAnsi="Cambria Math"/>
                    <w:szCs w:val="24"/>
                  </w:rPr>
                  <m:t>×</m:t>
                </m:r>
                <m:f>
                  <m:fPr>
                    <m:ctrlPr>
                      <w:rPr>
                        <w:rFonts w:ascii="Cambria Math" w:hAnsi="Cambria Math"/>
                        <w:i/>
                        <w:szCs w:val="24"/>
                      </w:rPr>
                    </m:ctrlPr>
                  </m:fPr>
                  <m:num>
                    <m:r>
                      <w:rPr>
                        <w:rFonts w:ascii="Cambria Math" w:hAnsi="Cambria Math"/>
                        <w:szCs w:val="24"/>
                      </w:rPr>
                      <m:t>304</m:t>
                    </m:r>
                  </m:num>
                  <m:den>
                    <m:r>
                      <w:rPr>
                        <w:rFonts w:ascii="Cambria Math" w:hAnsi="Cambria Math"/>
                        <w:szCs w:val="24"/>
                      </w:rPr>
                      <m:t>366</m:t>
                    </m:r>
                  </m:den>
                </m:f>
                <m:r>
                  <m:rPr>
                    <m:sty m:val="p"/>
                  </m:rPr>
                  <w:rPr>
                    <w:rFonts w:ascii="Cambria Math" w:hAnsi="Cambria Math"/>
                    <w:szCs w:val="24"/>
                    <w:lang w:val="lv-LV"/>
                  </w:rPr>
                  <m:t xml:space="preserve"> </m:t>
                </m:r>
                <m:r>
                  <m:rPr>
                    <m:sty m:val="p"/>
                  </m:rPr>
                  <w:rPr>
                    <w:rFonts w:ascii="Cambria Math" w:hAnsi="Cambria Math"/>
                    <w:szCs w:val="24"/>
                  </w:rPr>
                  <m:t>×</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m:rPr>
                    <m:sty m:val="p"/>
                  </m:rPr>
                  <w:rPr>
                    <w:rFonts w:ascii="Cambria Math" w:hAnsi="Cambria Math"/>
                    <w:szCs w:val="24"/>
                  </w:rPr>
                  <m:t>×</m:t>
                </m:r>
                <m:f>
                  <m:fPr>
                    <m:ctrlPr>
                      <w:rPr>
                        <w:rFonts w:ascii="Cambria Math" w:hAnsi="Cambria Math"/>
                        <w:szCs w:val="24"/>
                      </w:rPr>
                    </m:ctrlPr>
                  </m:fPr>
                  <m:num>
                    <m:r>
                      <w:rPr>
                        <w:rFonts w:ascii="Cambria Math" w:hAnsi="Cambria Math"/>
                        <w:szCs w:val="24"/>
                      </w:rPr>
                      <m:t>1</m:t>
                    </m:r>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1+0,09</m:t>
                            </m:r>
                          </m:e>
                        </m:d>
                      </m:e>
                      <m:sup>
                        <m:r>
                          <w:rPr>
                            <w:rFonts w:ascii="Cambria Math" w:hAnsi="Cambria Math"/>
                            <w:szCs w:val="24"/>
                          </w:rPr>
                          <m:t>3</m:t>
                        </m:r>
                      </m:sup>
                    </m:sSup>
                  </m:den>
                </m:f>
                <m:r>
                  <m:rPr>
                    <m:sty m:val="p"/>
                  </m:rPr>
                  <w:rPr>
                    <w:rFonts w:ascii="Cambria Math" w:hAnsi="Cambria Math"/>
                    <w:szCs w:val="24"/>
                  </w:rPr>
                  <w:br/>
                </m:r>
              </m:oMath>
              <m:oMath>
                <m:r>
                  <m:rPr>
                    <m:sty m:val="p"/>
                  </m:rPr>
                  <w:rPr>
                    <w:rFonts w:ascii="Cambria Math" w:hAnsi="Cambria Math"/>
                    <w:szCs w:val="24"/>
                  </w:rPr>
                  <w:br/>
                </m:r>
              </m:oMath>
              <m:oMath>
                <m:r>
                  <w:rPr>
                    <w:rFonts w:ascii="Cambria Math" w:hAnsi="Cambria Math"/>
                    <w:szCs w:val="24"/>
                  </w:rPr>
                  <m:t xml:space="preserve">= </m:t>
                </m:r>
                <m:r>
                  <m:rPr>
                    <m:sty m:val="p"/>
                  </m:rPr>
                  <w:rPr>
                    <w:rFonts w:ascii="Cambria Math" w:hAnsi="Cambria Math"/>
                    <w:szCs w:val="24"/>
                    <w:lang w:val="lv-LV"/>
                  </w:rPr>
                  <m:t>26 522 584,52 EUR</m:t>
                </m:r>
                <m:r>
                  <w:rPr>
                    <w:rFonts w:ascii="Cambria Math" w:hAnsi="Cambria Math"/>
                    <w:szCs w:val="24"/>
                  </w:rPr>
                  <m:t xml:space="preserve"> </m:t>
                </m:r>
              </m:oMath>
            </m:oMathPara>
          </w:p>
          <w:p w:rsidR="00C1675A" w:rsidRDefault="0075309F" w:rsidP="00C838CC">
            <w:pPr>
              <w:pStyle w:val="NoSpacing"/>
              <w:spacing w:before="120" w:after="120"/>
              <w:ind w:left="559"/>
              <w:jc w:val="both"/>
              <w:rPr>
                <w:szCs w:val="24"/>
              </w:rPr>
            </w:pPr>
            <m:oMathPara>
              <m:oMathParaPr>
                <m:jc m:val="left"/>
              </m:oMathParaPr>
              <m:oMath>
                <m:sSub>
                  <m:sSubPr>
                    <m:ctrlPr>
                      <w:rPr>
                        <w:rFonts w:ascii="Cambria Math" w:eastAsia="Cambria Math" w:hAnsi="Cambria Math" w:cs="Cambria Math"/>
                        <w:i/>
                        <w:smallCaps/>
                        <w:szCs w:val="24"/>
                      </w:rPr>
                    </m:ctrlPr>
                  </m:sSubPr>
                  <m:e>
                    <m:r>
                      <w:rPr>
                        <w:rFonts w:ascii="Cambria Math" w:eastAsia="Cambria Math" w:hAnsi="Cambria Math" w:cs="Cambria Math"/>
                        <w:smallCaps/>
                        <w:szCs w:val="24"/>
                      </w:rPr>
                      <m:t>M</m:t>
                    </m:r>
                  </m:e>
                  <m:sub>
                    <m:r>
                      <w:rPr>
                        <w:rFonts w:ascii="Cambria Math" w:eastAsia="Cambria Math" w:hAnsi="Cambria Math" w:cs="Cambria Math"/>
                        <w:smallCaps/>
                        <w:szCs w:val="24"/>
                      </w:rPr>
                      <m:t>RTEC2</m:t>
                    </m:r>
                  </m:sub>
                </m:sSub>
                <m:r>
                  <w:rPr>
                    <w:rFonts w:ascii="Cambria Math" w:eastAsia="Cambria Math" w:hAnsi="Cambria Math" w:cs="Cambria Math"/>
                    <w:szCs w:val="24"/>
                  </w:rPr>
                  <m:t>=(</m:t>
                </m:r>
                <m:nary>
                  <m:naryPr>
                    <m:chr m:val="∑"/>
                    <m:grow m:val="1"/>
                    <m:ctrlPr>
                      <w:rPr>
                        <w:rFonts w:ascii="Cambria Math" w:hAnsi="Cambria Math"/>
                        <w:szCs w:val="24"/>
                      </w:rPr>
                    </m:ctrlPr>
                  </m:naryPr>
                  <m:sub>
                    <m:r>
                      <w:rPr>
                        <w:rFonts w:ascii="Cambria Math" w:eastAsia="Cambria Math" w:hAnsi="Cambria Math" w:cs="Cambria Math"/>
                        <w:szCs w:val="24"/>
                      </w:rPr>
                      <m:t>i=1</m:t>
                    </m:r>
                  </m:sub>
                  <m:sup>
                    <m:r>
                      <w:rPr>
                        <w:rFonts w:ascii="Cambria Math" w:hAnsi="Cambria Math"/>
                        <w:szCs w:val="24"/>
                      </w:rPr>
                      <m:t>10</m:t>
                    </m:r>
                  </m:sup>
                  <m:e>
                    <m:r>
                      <m:rPr>
                        <m:sty m:val="p"/>
                      </m:rPr>
                      <w:rPr>
                        <w:rFonts w:ascii="Cambria Math" w:hAnsi="Cambria Math"/>
                        <w:szCs w:val="24"/>
                        <w:lang w:val="lv-LV"/>
                      </w:rPr>
                      <m:t xml:space="preserve">85 147 619,20 </m:t>
                    </m:r>
                    <m:r>
                      <w:rPr>
                        <w:rFonts w:ascii="Cambria Math" w:hAnsi="Cambria Math"/>
                        <w:szCs w:val="24"/>
                      </w:rPr>
                      <m:t>×</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m:rPr>
                        <m:sty m:val="p"/>
                      </m:rPr>
                      <w:rPr>
                        <w:rFonts w:ascii="Cambria Math" w:hAnsi="Cambria Math"/>
                        <w:szCs w:val="24"/>
                      </w:rPr>
                      <m:t>×</m:t>
                    </m:r>
                    <m:f>
                      <m:fPr>
                        <m:ctrlPr>
                          <w:rPr>
                            <w:rFonts w:ascii="Cambria Math" w:hAnsi="Cambria Math"/>
                            <w:szCs w:val="24"/>
                          </w:rPr>
                        </m:ctrlPr>
                      </m:fPr>
                      <m:num>
                        <m:r>
                          <w:rPr>
                            <w:rFonts w:ascii="Cambria Math" w:hAnsi="Cambria Math"/>
                            <w:szCs w:val="24"/>
                          </w:rPr>
                          <m:t>1</m:t>
                        </m:r>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1+0,09</m:t>
                                </m:r>
                              </m:e>
                            </m:d>
                          </m:e>
                          <m:sup>
                            <m:r>
                              <w:rPr>
                                <w:rFonts w:ascii="Cambria Math" w:hAnsi="Cambria Math"/>
                                <w:szCs w:val="24"/>
                              </w:rPr>
                              <m:t>i</m:t>
                            </m:r>
                          </m:sup>
                        </m:sSup>
                      </m:den>
                    </m:f>
                    <m:r>
                      <w:rPr>
                        <w:rFonts w:ascii="Cambria Math" w:hAnsi="Cambria Math"/>
                        <w:szCs w:val="24"/>
                      </w:rPr>
                      <m:t>)</m:t>
                    </m:r>
                  </m:e>
                </m:nary>
                <m:r>
                  <m:rPr>
                    <m:sty m:val="p"/>
                  </m:rPr>
                  <w:rPr>
                    <w:rFonts w:ascii="Cambria Math" w:hAnsi="Cambria Math"/>
                    <w:szCs w:val="24"/>
                  </w:rPr>
                  <w:br/>
                </m:r>
              </m:oMath>
              <m:oMath>
                <m:r>
                  <m:rPr>
                    <m:sty m:val="p"/>
                  </m:rPr>
                  <w:rPr>
                    <w:rFonts w:ascii="Cambria Math" w:hAnsi="Cambria Math"/>
                    <w:szCs w:val="24"/>
                  </w:rPr>
                  <w:br/>
                </m:r>
              </m:oMath>
            </m:oMathPara>
          </w:p>
          <w:p w:rsidR="00E21E69" w:rsidRPr="00C838CC" w:rsidRDefault="00701C35" w:rsidP="00C838CC">
            <w:pPr>
              <w:pStyle w:val="NoSpacing"/>
              <w:spacing w:before="120" w:after="120"/>
              <w:ind w:left="559"/>
              <w:jc w:val="both"/>
              <w:rPr>
                <w:szCs w:val="24"/>
                <w:lang w:val="lv-LV"/>
              </w:rPr>
            </w:pPr>
            <m:oMathPara>
              <m:oMath>
                <m:r>
                  <w:rPr>
                    <w:rFonts w:ascii="Cambria Math" w:hAnsi="Cambria Math"/>
                    <w:szCs w:val="24"/>
                  </w:rPr>
                  <m:t xml:space="preserve">+ </m:t>
                </m:r>
                <m:r>
                  <m:rPr>
                    <m:sty m:val="p"/>
                  </m:rPr>
                  <w:rPr>
                    <w:rFonts w:ascii="Cambria Math" w:hAnsi="Cambria Math"/>
                    <w:szCs w:val="24"/>
                    <w:lang w:val="lv-LV"/>
                  </w:rPr>
                  <m:t xml:space="preserve">85 147 619,20 </m:t>
                </m:r>
                <m:r>
                  <m:rPr>
                    <m:sty m:val="p"/>
                  </m:rPr>
                  <w:rPr>
                    <w:rFonts w:ascii="Cambria Math" w:hAnsi="Cambria Math"/>
                    <w:szCs w:val="24"/>
                  </w:rPr>
                  <m:t>×</m:t>
                </m:r>
                <m:f>
                  <m:fPr>
                    <m:ctrlPr>
                      <w:rPr>
                        <w:rFonts w:ascii="Cambria Math" w:hAnsi="Cambria Math"/>
                        <w:i/>
                        <w:szCs w:val="24"/>
                      </w:rPr>
                    </m:ctrlPr>
                  </m:fPr>
                  <m:num>
                    <m:r>
                      <w:rPr>
                        <w:rFonts w:ascii="Cambria Math" w:hAnsi="Cambria Math"/>
                        <w:szCs w:val="24"/>
                      </w:rPr>
                      <m:t>267</m:t>
                    </m:r>
                  </m:num>
                  <m:den>
                    <m:r>
                      <w:rPr>
                        <w:rFonts w:ascii="Cambria Math" w:hAnsi="Cambria Math"/>
                        <w:szCs w:val="24"/>
                      </w:rPr>
                      <m:t>366</m:t>
                    </m:r>
                  </m:den>
                </m:f>
                <m:r>
                  <m:rPr>
                    <m:sty m:val="p"/>
                  </m:rPr>
                  <w:rPr>
                    <w:rFonts w:ascii="Cambria Math" w:hAnsi="Cambria Math"/>
                    <w:szCs w:val="24"/>
                    <w:lang w:val="lv-LV"/>
                  </w:rPr>
                  <m:t xml:space="preserve"> </m:t>
                </m:r>
                <m:r>
                  <m:rPr>
                    <m:sty m:val="p"/>
                  </m:rPr>
                  <w:rPr>
                    <w:rFonts w:ascii="Cambria Math" w:hAnsi="Cambria Math"/>
                    <w:szCs w:val="24"/>
                  </w:rPr>
                  <m:t>×</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m:rPr>
                    <m:sty m:val="p"/>
                  </m:rPr>
                  <w:rPr>
                    <w:rFonts w:ascii="Cambria Math" w:hAnsi="Cambria Math"/>
                    <w:szCs w:val="24"/>
                  </w:rPr>
                  <m:t>×</m:t>
                </m:r>
                <m:f>
                  <m:fPr>
                    <m:ctrlPr>
                      <w:rPr>
                        <w:rFonts w:ascii="Cambria Math" w:hAnsi="Cambria Math"/>
                        <w:szCs w:val="24"/>
                      </w:rPr>
                    </m:ctrlPr>
                  </m:fPr>
                  <m:num>
                    <m:r>
                      <w:rPr>
                        <w:rFonts w:ascii="Cambria Math" w:hAnsi="Cambria Math"/>
                        <w:szCs w:val="24"/>
                      </w:rPr>
                      <m:t>1</m:t>
                    </m:r>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1+0,09</m:t>
                            </m:r>
                          </m:e>
                        </m:d>
                      </m:e>
                      <m:sup>
                        <m:r>
                          <w:rPr>
                            <w:rFonts w:ascii="Cambria Math" w:hAnsi="Cambria Math"/>
                            <w:szCs w:val="24"/>
                          </w:rPr>
                          <m:t>11</m:t>
                        </m:r>
                      </m:sup>
                    </m:sSup>
                  </m:den>
                </m:f>
                <m:r>
                  <m:rPr>
                    <m:sty m:val="p"/>
                  </m:rPr>
                  <w:rPr>
                    <w:rFonts w:ascii="Cambria Math" w:hAnsi="Cambria Math"/>
                    <w:szCs w:val="24"/>
                  </w:rPr>
                  <w:br/>
                </m:r>
              </m:oMath>
              <m:oMath>
                <m:r>
                  <m:rPr>
                    <m:sty m:val="p"/>
                  </m:rPr>
                  <w:rPr>
                    <w:rFonts w:ascii="Cambria Math" w:hAnsi="Cambria Math"/>
                    <w:szCs w:val="24"/>
                  </w:rPr>
                  <w:br/>
                </m:r>
              </m:oMath>
              <m:oMath>
                <m:r>
                  <w:rPr>
                    <w:rFonts w:ascii="Cambria Math" w:hAnsi="Cambria Math"/>
                    <w:szCs w:val="24"/>
                  </w:rPr>
                  <m:t xml:space="preserve">= </m:t>
                </m:r>
                <m:r>
                  <m:rPr>
                    <m:sty m:val="p"/>
                  </m:rPr>
                  <w:rPr>
                    <w:rFonts w:ascii="Cambria Math" w:hAnsi="Cambria Math"/>
                    <w:szCs w:val="24"/>
                    <w:lang w:val="lv-LV"/>
                  </w:rPr>
                  <m:t>427 890 165,38 EUR</m:t>
                </m:r>
                <m:r>
                  <m:rPr>
                    <m:sty m:val="p"/>
                  </m:rPr>
                  <w:rPr>
                    <w:szCs w:val="24"/>
                    <w:lang w:val="lv-LV"/>
                  </w:rPr>
                  <w:br/>
                </m:r>
              </m:oMath>
            </m:oMathPara>
          </w:p>
          <w:p w:rsidR="001C0282" w:rsidRPr="001C0282" w:rsidRDefault="0075309F" w:rsidP="001C0282">
            <w:pPr>
              <w:pStyle w:val="NoSpacing"/>
              <w:spacing w:before="120" w:after="120"/>
              <w:ind w:left="559"/>
              <w:jc w:val="center"/>
              <w:rPr>
                <w:szCs w:val="24"/>
                <w:lang w:val="lv-LV"/>
              </w:rPr>
            </w:pPr>
            <m:oMathPara>
              <m:oMathParaPr>
                <m:jc m:val="left"/>
              </m:oMathParaPr>
              <m:oMath>
                <m:sSub>
                  <m:sSubPr>
                    <m:ctrlPr>
                      <w:rPr>
                        <w:rFonts w:ascii="Cambria Math" w:eastAsia="Cambria Math" w:hAnsi="Cambria Math" w:cs="Cambria Math"/>
                        <w:i/>
                        <w:smallCaps/>
                        <w:szCs w:val="24"/>
                      </w:rPr>
                    </m:ctrlPr>
                  </m:sSubPr>
                  <m:e>
                    <m:r>
                      <w:rPr>
                        <w:rFonts w:ascii="Cambria Math" w:eastAsia="Cambria Math" w:hAnsi="Cambria Math" w:cs="Cambria Math"/>
                        <w:smallCaps/>
                        <w:szCs w:val="24"/>
                        <w:lang w:val="lv-LV"/>
                      </w:rPr>
                      <m:t>M</m:t>
                    </m:r>
                  </m:e>
                  <m:sub>
                    <m:r>
                      <w:rPr>
                        <w:rFonts w:ascii="Cambria Math" w:eastAsia="Cambria Math" w:hAnsi="Cambria Math" w:cs="Cambria Math"/>
                        <w:smallCaps/>
                        <w:szCs w:val="24"/>
                        <w:lang w:val="lv-LV"/>
                      </w:rPr>
                      <m:t>LE</m:t>
                    </m:r>
                  </m:sub>
                </m:sSub>
                <m:r>
                  <w:rPr>
                    <w:rFonts w:ascii="Cambria Math" w:eastAsia="Cambria Math" w:hAnsi="Cambria Math" w:cs="Cambria Math"/>
                    <w:szCs w:val="24"/>
                    <w:lang w:val="lv-LV"/>
                  </w:rPr>
                  <m:t>=</m:t>
                </m:r>
                <m:r>
                  <m:rPr>
                    <m:sty m:val="p"/>
                  </m:rPr>
                  <w:rPr>
                    <w:rFonts w:ascii="Cambria Math" w:hAnsi="Cambria Math"/>
                    <w:szCs w:val="24"/>
                    <w:lang w:val="lv-LV"/>
                  </w:rPr>
                  <m:t>26 522 584,52+427 890 165,38</m:t>
                </m:r>
                <m:r>
                  <m:rPr>
                    <m:sty m:val="p"/>
                  </m:rPr>
                  <w:rPr>
                    <w:rFonts w:ascii="Cambria Math" w:hAnsi="Cambria Math"/>
                    <w:szCs w:val="24"/>
                    <w:lang w:val="lv-LV"/>
                  </w:rPr>
                  <w:br/>
                </m:r>
              </m:oMath>
            </m:oMathPara>
          </w:p>
          <w:p w:rsidR="001C0282" w:rsidRDefault="001C0282" w:rsidP="001C0282">
            <w:pPr>
              <w:pStyle w:val="NoSpacing"/>
              <w:spacing w:before="120" w:after="120"/>
              <w:ind w:left="559"/>
              <w:jc w:val="both"/>
              <w:rPr>
                <w:szCs w:val="24"/>
                <w:lang w:val="lv-LV"/>
              </w:rPr>
            </w:pPr>
            <m:oMathPara>
              <m:oMathParaPr>
                <m:jc m:val="left"/>
              </m:oMathParaPr>
              <m:oMath>
                <m:r>
                  <w:rPr>
                    <w:rFonts w:ascii="Cambria Math" w:hAnsi="Cambria Math"/>
                    <w:szCs w:val="24"/>
                  </w:rPr>
                  <m:t xml:space="preserve">= </m:t>
                </m:r>
                <m:r>
                  <m:rPr>
                    <m:sty m:val="p"/>
                  </m:rPr>
                  <w:rPr>
                    <w:rFonts w:ascii="Cambria Math" w:hAnsi="Cambria Math"/>
                    <w:szCs w:val="24"/>
                    <w:lang w:val="lv-LV"/>
                  </w:rPr>
                  <m:t>454 412 749,90 EUR</m:t>
                </m:r>
                <m:r>
                  <m:rPr>
                    <m:sty m:val="p"/>
                  </m:rPr>
                  <w:rPr>
                    <w:rFonts w:ascii="Cambria Math" w:hAnsi="Cambria Math"/>
                    <w:szCs w:val="24"/>
                    <w:lang w:val="lv-LV"/>
                  </w:rPr>
                  <w:br/>
                </m:r>
              </m:oMath>
            </m:oMathPara>
          </w:p>
          <w:p w:rsidR="00B17BD0" w:rsidRDefault="00042089" w:rsidP="001C0282">
            <w:pPr>
              <w:pStyle w:val="NoSpacing"/>
              <w:spacing w:before="120" w:after="120"/>
              <w:jc w:val="both"/>
              <w:rPr>
                <w:szCs w:val="24"/>
                <w:lang w:val="lv-LV"/>
              </w:rPr>
            </w:pPr>
            <w:r>
              <w:rPr>
                <w:szCs w:val="24"/>
                <w:lang w:val="lv-LV"/>
              </w:rPr>
              <w:t xml:space="preserve">No aprēķina redzams, ka </w:t>
            </w:r>
            <w:r w:rsidR="00C627E2">
              <w:rPr>
                <w:szCs w:val="24"/>
                <w:lang w:val="lv-LV"/>
              </w:rPr>
              <w:t xml:space="preserve">vienreizējā maksājuma apmērs </w:t>
            </w:r>
            <w:r w:rsidR="005F272B" w:rsidRPr="005F272B">
              <w:rPr>
                <w:bCs/>
                <w:lang w:val="lv-LV"/>
              </w:rPr>
              <w:t xml:space="preserve">akciju </w:t>
            </w:r>
            <w:r w:rsidR="005F272B" w:rsidRPr="001C0282">
              <w:rPr>
                <w:szCs w:val="24"/>
                <w:lang w:val="lv-LV"/>
              </w:rPr>
              <w:t>sabiedrībai</w:t>
            </w:r>
            <w:r w:rsidR="00DA4464">
              <w:rPr>
                <w:szCs w:val="24"/>
                <w:lang w:val="lv-LV"/>
              </w:rPr>
              <w:t> </w:t>
            </w:r>
            <w:r w:rsidR="00C627E2">
              <w:rPr>
                <w:szCs w:val="24"/>
                <w:lang w:val="lv-LV"/>
              </w:rPr>
              <w:t xml:space="preserve">“Latvenergo” par Rīgas TEC-1 </w:t>
            </w:r>
            <w:r w:rsidR="00DA4464">
              <w:rPr>
                <w:szCs w:val="24"/>
                <w:lang w:val="lv-LV"/>
              </w:rPr>
              <w:t>sastāda</w:t>
            </w:r>
            <w:r w:rsidR="00656437">
              <w:rPr>
                <w:szCs w:val="24"/>
                <w:lang w:val="lv-LV"/>
              </w:rPr>
              <w:t xml:space="preserve"> 26 522 </w:t>
            </w:r>
            <w:r w:rsidR="00DA4464" w:rsidRPr="00DA4464">
              <w:rPr>
                <w:szCs w:val="24"/>
                <w:lang w:val="lv-LV"/>
              </w:rPr>
              <w:t>584,52</w:t>
            </w:r>
            <w:r w:rsidR="00E21E69">
              <w:rPr>
                <w:szCs w:val="24"/>
                <w:lang w:val="lv-LV"/>
              </w:rPr>
              <w:t> </w:t>
            </w:r>
            <w:r w:rsidR="00DA4464">
              <w:rPr>
                <w:szCs w:val="24"/>
                <w:lang w:val="lv-LV"/>
              </w:rPr>
              <w:t>EUR un par Rīgas TEC-2</w:t>
            </w:r>
            <w:r w:rsidR="001C0282">
              <w:rPr>
                <w:szCs w:val="24"/>
                <w:lang w:val="lv-LV"/>
              </w:rPr>
              <w:t xml:space="preserve"> </w:t>
            </w:r>
            <w:r w:rsidR="00DA4464" w:rsidRPr="00DA4464">
              <w:rPr>
                <w:szCs w:val="24"/>
                <w:lang w:val="lv-LV"/>
              </w:rPr>
              <w:t>427</w:t>
            </w:r>
            <w:r w:rsidR="00E21E69">
              <w:rPr>
                <w:szCs w:val="24"/>
                <w:lang w:val="lv-LV"/>
              </w:rPr>
              <w:t> 890 </w:t>
            </w:r>
            <w:r w:rsidR="00DA4464" w:rsidRPr="00DA4464">
              <w:rPr>
                <w:szCs w:val="24"/>
                <w:lang w:val="lv-LV"/>
              </w:rPr>
              <w:t>165,38</w:t>
            </w:r>
            <w:r w:rsidR="00656437">
              <w:rPr>
                <w:szCs w:val="24"/>
                <w:lang w:val="lv-LV"/>
              </w:rPr>
              <w:t> </w:t>
            </w:r>
            <w:r w:rsidR="00A22258">
              <w:rPr>
                <w:szCs w:val="24"/>
                <w:lang w:val="lv-LV"/>
              </w:rPr>
              <w:t xml:space="preserve">EUR, kopā veidojot </w:t>
            </w:r>
            <w:r w:rsidR="00A22258" w:rsidRPr="005F272B">
              <w:rPr>
                <w:lang w:val="lv-LV"/>
              </w:rPr>
              <w:t xml:space="preserve"> </w:t>
            </w:r>
            <w:r w:rsidR="004A5529">
              <w:rPr>
                <w:szCs w:val="24"/>
                <w:lang w:val="lv-LV"/>
              </w:rPr>
              <w:t>454 412 </w:t>
            </w:r>
            <w:r w:rsidR="00A22258" w:rsidRPr="00A22258">
              <w:rPr>
                <w:szCs w:val="24"/>
                <w:lang w:val="lv-LV"/>
              </w:rPr>
              <w:t xml:space="preserve">749,90 </w:t>
            </w:r>
            <w:r w:rsidR="004A5529">
              <w:rPr>
                <w:szCs w:val="24"/>
                <w:lang w:val="lv-LV"/>
              </w:rPr>
              <w:t>EUR.</w:t>
            </w:r>
          </w:p>
          <w:p w:rsidR="00042089" w:rsidRDefault="00042089" w:rsidP="00042089">
            <w:pPr>
              <w:pStyle w:val="NoSpacing"/>
              <w:spacing w:before="120" w:after="120"/>
              <w:jc w:val="both"/>
              <w:rPr>
                <w:szCs w:val="24"/>
                <w:lang w:val="lv-LV"/>
              </w:rPr>
            </w:pPr>
            <w:r>
              <w:rPr>
                <w:szCs w:val="24"/>
                <w:lang w:val="lv-LV"/>
              </w:rPr>
              <w:t xml:space="preserve">Ņemot vērā, ka </w:t>
            </w:r>
            <w:r w:rsidR="0026093B">
              <w:rPr>
                <w:szCs w:val="24"/>
                <w:lang w:val="lv-LV"/>
              </w:rPr>
              <w:t xml:space="preserve">vienreizējo maksājumu akciju sabiedrības “Latvenergo” vajadzībām </w:t>
            </w:r>
            <w:r w:rsidR="0026093B" w:rsidRPr="00281F70">
              <w:rPr>
                <w:szCs w:val="24"/>
                <w:lang w:val="lv-LV"/>
              </w:rPr>
              <w:t xml:space="preserve">plānots īstenot, veicot </w:t>
            </w:r>
            <w:r w:rsidR="00772665" w:rsidRPr="00281F70">
              <w:rPr>
                <w:szCs w:val="24"/>
                <w:lang w:val="lv-LV"/>
              </w:rPr>
              <w:t xml:space="preserve">akciju sabiedrības </w:t>
            </w:r>
            <w:r w:rsidR="00CC26BC" w:rsidRPr="00281F70">
              <w:rPr>
                <w:szCs w:val="24"/>
                <w:lang w:val="lv-LV"/>
              </w:rPr>
              <w:t xml:space="preserve">“Latvenergo” </w:t>
            </w:r>
            <w:r w:rsidR="0026093B" w:rsidRPr="00281F70">
              <w:rPr>
                <w:szCs w:val="24"/>
                <w:lang w:val="lv-LV"/>
              </w:rPr>
              <w:t>pamatkapitāla</w:t>
            </w:r>
            <w:r w:rsidR="0026093B">
              <w:rPr>
                <w:szCs w:val="24"/>
                <w:lang w:val="lv-LV"/>
              </w:rPr>
              <w:t xml:space="preserve"> samazināšanu un to, ka uzņēmuma vienas akcijas nominālvērtība ir 1,00 EUR, vienreizējā maksājuma vērtība tiek noapaļota līdz 454 412 749,0</w:t>
            </w:r>
            <w:r w:rsidR="0026093B" w:rsidRPr="00A22258">
              <w:rPr>
                <w:szCs w:val="24"/>
                <w:lang w:val="lv-LV"/>
              </w:rPr>
              <w:t xml:space="preserve">0 </w:t>
            </w:r>
            <w:r w:rsidR="0026093B">
              <w:rPr>
                <w:szCs w:val="24"/>
                <w:lang w:val="lv-LV"/>
              </w:rPr>
              <w:t>EUR</w:t>
            </w:r>
            <w:r w:rsidR="005875AE">
              <w:rPr>
                <w:szCs w:val="24"/>
                <w:lang w:val="lv-LV"/>
              </w:rPr>
              <w:t>.</w:t>
            </w:r>
            <w:r w:rsidR="0026093B">
              <w:rPr>
                <w:szCs w:val="24"/>
                <w:lang w:val="lv-LV"/>
              </w:rPr>
              <w:t xml:space="preserve"> </w:t>
            </w:r>
          </w:p>
          <w:p w:rsidR="00182595" w:rsidRDefault="00DA3E68" w:rsidP="00BD2231">
            <w:pPr>
              <w:pStyle w:val="NoSpacing"/>
              <w:spacing w:before="120" w:after="120"/>
              <w:jc w:val="both"/>
              <w:rPr>
                <w:lang w:val="lv-LV"/>
              </w:rPr>
            </w:pPr>
            <w:r>
              <w:rPr>
                <w:szCs w:val="24"/>
                <w:lang w:val="lv-LV"/>
              </w:rPr>
              <w:t xml:space="preserve">Pamatojoties uz </w:t>
            </w:r>
            <w:r w:rsidR="00501C5E" w:rsidRPr="00501C5E">
              <w:rPr>
                <w:lang w:val="lv-LV"/>
              </w:rPr>
              <w:t>Ministru kabineta n</w:t>
            </w:r>
            <w:r>
              <w:rPr>
                <w:szCs w:val="24"/>
                <w:lang w:val="lv-LV"/>
              </w:rPr>
              <w:t>oteikumu Nr. 221 56.</w:t>
            </w:r>
            <w:r w:rsidRPr="00DA3E68">
              <w:rPr>
                <w:szCs w:val="24"/>
                <w:vertAlign w:val="superscript"/>
                <w:lang w:val="lv-LV"/>
              </w:rPr>
              <w:t>23</w:t>
            </w:r>
            <w:r>
              <w:rPr>
                <w:szCs w:val="24"/>
                <w:lang w:val="lv-LV"/>
              </w:rPr>
              <w:t xml:space="preserve"> punktu, </w:t>
            </w:r>
            <w:r w:rsidR="00182595">
              <w:rPr>
                <w:szCs w:val="24"/>
                <w:lang w:val="lv-LV"/>
              </w:rPr>
              <w:t>kas nosaka, ka v</w:t>
            </w:r>
            <w:r w:rsidR="00182595" w:rsidRPr="00182595">
              <w:rPr>
                <w:lang w:val="lv-LV"/>
              </w:rPr>
              <w:t xml:space="preserve">ienreizējo maksājumu veido divas daļas, par kuru apmēru lemj </w:t>
            </w:r>
            <w:r w:rsidR="00501C5E">
              <w:rPr>
                <w:lang w:val="lv-LV"/>
              </w:rPr>
              <w:t>Ministru kabinets</w:t>
            </w:r>
            <w:r w:rsidR="00182595">
              <w:rPr>
                <w:lang w:val="lv-LV"/>
              </w:rPr>
              <w:t xml:space="preserve"> (pirmā daļa nepārsniedz vienu trešdaļu no kopējā apmēra un ir attiecināma kā kompensācija izmaksas gadā</w:t>
            </w:r>
            <w:r w:rsidR="00F547D9">
              <w:rPr>
                <w:lang w:val="lv-LV"/>
              </w:rPr>
              <w:t>, bet otrā daļa tiek attiecināta kā avansa maksājums proporcionāli saistību izpildei līdz atbalsta perioda beigām</w:t>
            </w:r>
            <w:r w:rsidR="00182595">
              <w:rPr>
                <w:lang w:val="lv-LV"/>
              </w:rPr>
              <w:t xml:space="preserve">) un </w:t>
            </w:r>
            <w:r w:rsidR="00501C5E">
              <w:rPr>
                <w:lang w:val="lv-LV"/>
              </w:rPr>
              <w:t>Ministru kabineta</w:t>
            </w:r>
            <w:r w:rsidR="00182595">
              <w:rPr>
                <w:lang w:val="lv-LV"/>
              </w:rPr>
              <w:t xml:space="preserve"> rīkojuma Nr. 530 10.2. punktu, </w:t>
            </w:r>
            <w:r w:rsidR="00997B7A">
              <w:rPr>
                <w:lang w:val="lv-LV"/>
              </w:rPr>
              <w:t xml:space="preserve">vienreizējais maksājums </w:t>
            </w:r>
            <w:r w:rsidR="005F272B" w:rsidRPr="005F272B">
              <w:rPr>
                <w:bCs/>
                <w:lang w:val="lv-LV"/>
              </w:rPr>
              <w:t xml:space="preserve"> akciju sabiedrībai</w:t>
            </w:r>
            <w:r w:rsidR="00997B7A">
              <w:rPr>
                <w:lang w:val="lv-LV"/>
              </w:rPr>
              <w:t xml:space="preserve"> “Latvenergo” attiecināms divās daļās – pirmā daļa, kas attiecināma 2017. gadā, sastāda 140 000 00,00 EUR un otrā daļa, kas attiecināma kā avansa maksājums atlikušajā a</w:t>
            </w:r>
            <w:r w:rsidR="00153410">
              <w:rPr>
                <w:lang w:val="lv-LV"/>
              </w:rPr>
              <w:t>tbalsta periodā ir 314 412 749,0</w:t>
            </w:r>
            <w:r w:rsidR="00997B7A">
              <w:rPr>
                <w:lang w:val="lv-LV"/>
              </w:rPr>
              <w:t>0 EUR.</w:t>
            </w:r>
          </w:p>
          <w:p w:rsidR="005D5B15" w:rsidRPr="00016593" w:rsidRDefault="005D5B15" w:rsidP="005D5B15">
            <w:pPr>
              <w:pStyle w:val="NoSpacing"/>
              <w:spacing w:before="240" w:after="120"/>
              <w:jc w:val="both"/>
              <w:rPr>
                <w:b/>
                <w:i/>
                <w:szCs w:val="24"/>
                <w:u w:val="single"/>
                <w:lang w:val="lv-LV"/>
              </w:rPr>
            </w:pPr>
            <w:r w:rsidRPr="00016593">
              <w:rPr>
                <w:b/>
                <w:i/>
                <w:szCs w:val="24"/>
                <w:u w:val="single"/>
                <w:lang w:val="lv-LV"/>
              </w:rPr>
              <w:t>Secinājums</w:t>
            </w:r>
            <w:r w:rsidR="006E432A">
              <w:rPr>
                <w:b/>
                <w:i/>
                <w:szCs w:val="24"/>
                <w:u w:val="single"/>
                <w:lang w:val="lv-LV"/>
              </w:rPr>
              <w:t xml:space="preserve"> un priekšlikums </w:t>
            </w:r>
            <w:r w:rsidR="00501C5E">
              <w:rPr>
                <w:b/>
                <w:i/>
                <w:szCs w:val="24"/>
                <w:u w:val="single"/>
                <w:lang w:val="lv-LV"/>
              </w:rPr>
              <w:t>Ministru kabineta</w:t>
            </w:r>
            <w:r w:rsidR="006E432A">
              <w:rPr>
                <w:b/>
                <w:i/>
                <w:szCs w:val="24"/>
                <w:u w:val="single"/>
                <w:lang w:val="lv-LV"/>
              </w:rPr>
              <w:t xml:space="preserve"> lēmuma pieņemšanai</w:t>
            </w:r>
          </w:p>
          <w:p w:rsidR="005D5B15" w:rsidRPr="00016593" w:rsidRDefault="005D5B15" w:rsidP="00E00FAB">
            <w:pPr>
              <w:pStyle w:val="NoSpacing"/>
              <w:spacing w:before="120" w:after="120"/>
              <w:jc w:val="both"/>
              <w:rPr>
                <w:bCs/>
                <w:szCs w:val="24"/>
                <w:lang w:val="lv-LV"/>
              </w:rPr>
            </w:pPr>
            <w:r w:rsidRPr="00016593">
              <w:rPr>
                <w:szCs w:val="24"/>
                <w:lang w:val="lv-LV"/>
              </w:rPr>
              <w:t xml:space="preserve">Izvērtējot </w:t>
            </w:r>
            <w:r w:rsidR="005F272B" w:rsidRPr="005F272B">
              <w:rPr>
                <w:bCs/>
                <w:lang w:val="lv-LV"/>
              </w:rPr>
              <w:t xml:space="preserve"> akciju sabiedrības</w:t>
            </w:r>
            <w:r w:rsidRPr="00016593">
              <w:rPr>
                <w:szCs w:val="24"/>
                <w:lang w:val="lv-LV"/>
              </w:rPr>
              <w:t xml:space="preserve"> “Latvenergo” atbilstību </w:t>
            </w:r>
            <w:r w:rsidR="00501C5E" w:rsidRPr="00501C5E">
              <w:rPr>
                <w:lang w:val="lv-LV"/>
              </w:rPr>
              <w:t>Ministru kabineta n</w:t>
            </w:r>
            <w:r w:rsidRPr="00016593">
              <w:rPr>
                <w:szCs w:val="24"/>
                <w:lang w:val="lv-LV"/>
              </w:rPr>
              <w:t>oteikumu Nr. 221 </w:t>
            </w:r>
            <w:r w:rsidRPr="00016593">
              <w:rPr>
                <w:bCs/>
                <w:szCs w:val="24"/>
                <w:lang w:val="lv-LV"/>
              </w:rPr>
              <w:t>IV</w:t>
            </w:r>
            <w:r w:rsidRPr="00016593">
              <w:rPr>
                <w:bCs/>
                <w:szCs w:val="24"/>
                <w:vertAlign w:val="superscript"/>
                <w:lang w:val="lv-LV"/>
              </w:rPr>
              <w:t>2</w:t>
            </w:r>
            <w:r w:rsidRPr="00016593">
              <w:rPr>
                <w:bCs/>
                <w:szCs w:val="24"/>
                <w:lang w:val="lv-LV"/>
              </w:rPr>
              <w:t xml:space="preserve">. nodaļas nosacījumiem, secināms, ka attiecībā uz Rīgas TEC-1 un Rīgas TEC-2 izpildās </w:t>
            </w:r>
            <w:r w:rsidR="00501C5E" w:rsidRPr="00501C5E">
              <w:rPr>
                <w:lang w:val="lv-LV"/>
              </w:rPr>
              <w:t>Ministru kabineta n</w:t>
            </w:r>
            <w:r w:rsidRPr="00016593">
              <w:rPr>
                <w:bCs/>
                <w:szCs w:val="24"/>
                <w:lang w:val="lv-LV"/>
              </w:rPr>
              <w:t xml:space="preserve">oteikumos Nr. 221 noteiktie kritēriji, kas jāievēro, lai </w:t>
            </w:r>
            <w:r w:rsidR="00501C5E">
              <w:rPr>
                <w:bCs/>
                <w:szCs w:val="24"/>
                <w:lang w:val="lv-LV"/>
              </w:rPr>
              <w:t>Ministru kabinets</w:t>
            </w:r>
            <w:r w:rsidRPr="00016593">
              <w:rPr>
                <w:bCs/>
                <w:szCs w:val="24"/>
                <w:lang w:val="lv-LV"/>
              </w:rPr>
              <w:t xml:space="preserve"> varētu lemt par valsts garantētās </w:t>
            </w:r>
            <w:r w:rsidRPr="00016593">
              <w:rPr>
                <w:bCs/>
                <w:szCs w:val="24"/>
                <w:lang w:val="lv-LV"/>
              </w:rPr>
              <w:lastRenderedPageBreak/>
              <w:t>maksas par uzstādīto elektrisko jaudu saistību samazināšanu, veicot vienreizēju diskontētu maksājumu.</w:t>
            </w:r>
          </w:p>
          <w:p w:rsidR="005D5B15" w:rsidRPr="00016593" w:rsidRDefault="005D5B15" w:rsidP="00E00FAB">
            <w:pPr>
              <w:pStyle w:val="NoSpacing"/>
              <w:spacing w:before="120" w:after="120"/>
              <w:jc w:val="both"/>
              <w:rPr>
                <w:bCs/>
                <w:szCs w:val="24"/>
                <w:lang w:val="lv-LV"/>
              </w:rPr>
            </w:pPr>
            <w:r w:rsidRPr="00016593">
              <w:rPr>
                <w:bCs/>
                <w:szCs w:val="24"/>
                <w:lang w:val="lv-LV"/>
              </w:rPr>
              <w:t xml:space="preserve">Ņemot </w:t>
            </w:r>
            <w:r w:rsidRPr="00E00FAB">
              <w:rPr>
                <w:bCs/>
                <w:lang w:val="lv-LV"/>
              </w:rPr>
              <w:t>vērā</w:t>
            </w:r>
            <w:r w:rsidRPr="00016593">
              <w:rPr>
                <w:bCs/>
                <w:szCs w:val="24"/>
                <w:lang w:val="lv-LV"/>
              </w:rPr>
              <w:t xml:space="preserve">, ka </w:t>
            </w:r>
            <w:r w:rsidR="005F272B" w:rsidRPr="005F272B">
              <w:rPr>
                <w:bCs/>
                <w:lang w:val="lv-LV"/>
              </w:rPr>
              <w:t xml:space="preserve"> akciju sabiedrība</w:t>
            </w:r>
            <w:r w:rsidRPr="00016593">
              <w:rPr>
                <w:bCs/>
                <w:szCs w:val="24"/>
                <w:lang w:val="lv-LV"/>
              </w:rPr>
              <w:t xml:space="preserve"> “Latvenergo” 2017.</w:t>
            </w:r>
            <w:r w:rsidR="002D541C">
              <w:rPr>
                <w:bCs/>
                <w:szCs w:val="24"/>
                <w:lang w:val="lv-LV"/>
              </w:rPr>
              <w:t> </w:t>
            </w:r>
            <w:r w:rsidRPr="00016593">
              <w:rPr>
                <w:bCs/>
                <w:szCs w:val="24"/>
                <w:lang w:val="lv-LV"/>
              </w:rPr>
              <w:t>gada 19.</w:t>
            </w:r>
            <w:r w:rsidR="002D541C">
              <w:rPr>
                <w:bCs/>
                <w:szCs w:val="24"/>
                <w:lang w:val="lv-LV"/>
              </w:rPr>
              <w:t> </w:t>
            </w:r>
            <w:r w:rsidRPr="00016593">
              <w:rPr>
                <w:bCs/>
                <w:szCs w:val="24"/>
                <w:lang w:val="lv-LV"/>
              </w:rPr>
              <w:t xml:space="preserve">oktobra pieteikums vienreizējam maksājumam atbilst </w:t>
            </w:r>
            <w:r w:rsidR="00501C5E" w:rsidRPr="00501C5E">
              <w:rPr>
                <w:lang w:val="lv-LV"/>
              </w:rPr>
              <w:t>Ministru kabineta n</w:t>
            </w:r>
            <w:r w:rsidRPr="00016593">
              <w:rPr>
                <w:bCs/>
                <w:szCs w:val="24"/>
                <w:lang w:val="lv-LV"/>
              </w:rPr>
              <w:t xml:space="preserve">oteikumu </w:t>
            </w:r>
            <w:r w:rsidR="001F5AB1" w:rsidRPr="00016593">
              <w:rPr>
                <w:bCs/>
                <w:szCs w:val="24"/>
                <w:lang w:val="lv-LV"/>
              </w:rPr>
              <w:t>Nr. 221</w:t>
            </w:r>
            <w:r w:rsidRPr="00016593">
              <w:rPr>
                <w:bCs/>
                <w:szCs w:val="24"/>
                <w:lang w:val="lv-LV"/>
              </w:rPr>
              <w:t xml:space="preserve"> 56.</w:t>
            </w:r>
            <w:r w:rsidRPr="00016593">
              <w:rPr>
                <w:bCs/>
                <w:szCs w:val="24"/>
                <w:vertAlign w:val="superscript"/>
                <w:lang w:val="lv-LV"/>
              </w:rPr>
              <w:t>22</w:t>
            </w:r>
            <w:r w:rsidRPr="00016593">
              <w:rPr>
                <w:bCs/>
                <w:szCs w:val="24"/>
                <w:lang w:val="lv-LV"/>
              </w:rPr>
              <w:t xml:space="preserve"> un 56.</w:t>
            </w:r>
            <w:r w:rsidRPr="00016593">
              <w:rPr>
                <w:bCs/>
                <w:szCs w:val="24"/>
                <w:vertAlign w:val="superscript"/>
                <w:lang w:val="lv-LV"/>
              </w:rPr>
              <w:t>24</w:t>
            </w:r>
            <w:r w:rsidRPr="00016593">
              <w:rPr>
                <w:bCs/>
                <w:szCs w:val="24"/>
                <w:lang w:val="lv-LV"/>
              </w:rPr>
              <w:t xml:space="preserve"> minētajām prasībām, Ekonomikas ministrija ir sagatavojusi </w:t>
            </w:r>
            <w:r w:rsidR="00501C5E">
              <w:rPr>
                <w:bCs/>
                <w:szCs w:val="24"/>
                <w:lang w:val="lv-LV"/>
              </w:rPr>
              <w:t>Ministru kabineta</w:t>
            </w:r>
            <w:r w:rsidRPr="00016593">
              <w:rPr>
                <w:bCs/>
                <w:szCs w:val="24"/>
                <w:lang w:val="lv-LV"/>
              </w:rPr>
              <w:t xml:space="preserve"> rīkojuma projektu “</w:t>
            </w:r>
            <w:r w:rsidRPr="00016593">
              <w:rPr>
                <w:szCs w:val="24"/>
                <w:lang w:val="lv-LV"/>
              </w:rPr>
              <w:t xml:space="preserve">Par garantētās maksas par </w:t>
            </w:r>
            <w:r w:rsidRPr="00016593">
              <w:rPr>
                <w:bCs/>
                <w:szCs w:val="24"/>
                <w:lang w:val="lv-LV"/>
              </w:rPr>
              <w:t>koģenerācijas</w:t>
            </w:r>
            <w:r w:rsidRPr="00016593">
              <w:rPr>
                <w:szCs w:val="24"/>
                <w:lang w:val="lv-LV"/>
              </w:rPr>
              <w:t xml:space="preserve"> elektrostacijā uzstādīto elektrisko jaudu saistību samazināšanu </w:t>
            </w:r>
            <w:r w:rsidR="005F272B" w:rsidRPr="005F272B">
              <w:rPr>
                <w:bCs/>
                <w:lang w:val="lv-LV"/>
              </w:rPr>
              <w:t xml:space="preserve"> akciju sabiedrībai </w:t>
            </w:r>
            <w:r w:rsidRPr="00016593">
              <w:rPr>
                <w:szCs w:val="24"/>
                <w:lang w:val="lv-LV"/>
              </w:rPr>
              <w:t>“Latvenergo””</w:t>
            </w:r>
            <w:r w:rsidR="00D77425">
              <w:rPr>
                <w:szCs w:val="24"/>
                <w:lang w:val="lv-LV"/>
              </w:rPr>
              <w:t xml:space="preserve"> un </w:t>
            </w:r>
            <w:r w:rsidR="00501C5E">
              <w:rPr>
                <w:szCs w:val="24"/>
                <w:lang w:val="lv-LV"/>
              </w:rPr>
              <w:t>Ministru kabineta</w:t>
            </w:r>
            <w:r w:rsidR="00D77425">
              <w:rPr>
                <w:szCs w:val="24"/>
                <w:lang w:val="lv-LV"/>
              </w:rPr>
              <w:t xml:space="preserve"> sēdes protokollēmuma projektu</w:t>
            </w:r>
            <w:r w:rsidRPr="00016593">
              <w:rPr>
                <w:szCs w:val="24"/>
                <w:lang w:val="lv-LV"/>
              </w:rPr>
              <w:t>.</w:t>
            </w:r>
          </w:p>
          <w:p w:rsidR="005D5B15" w:rsidRDefault="00501C5E" w:rsidP="00E00FAB">
            <w:pPr>
              <w:pStyle w:val="NoSpacing"/>
              <w:spacing w:before="120" w:after="120"/>
              <w:jc w:val="both"/>
              <w:rPr>
                <w:szCs w:val="24"/>
                <w:lang w:val="lv-LV"/>
              </w:rPr>
            </w:pPr>
            <w:r>
              <w:rPr>
                <w:szCs w:val="24"/>
                <w:lang w:val="lv-LV"/>
              </w:rPr>
              <w:t>Ministru kabineta</w:t>
            </w:r>
            <w:r w:rsidR="007E107C">
              <w:rPr>
                <w:szCs w:val="24"/>
                <w:lang w:val="lv-LV"/>
              </w:rPr>
              <w:t xml:space="preserve"> rīkojuma projektā</w:t>
            </w:r>
            <w:r w:rsidR="00D77425">
              <w:rPr>
                <w:szCs w:val="24"/>
                <w:lang w:val="lv-LV"/>
              </w:rPr>
              <w:t xml:space="preserve"> </w:t>
            </w:r>
            <w:r w:rsidR="004762EF">
              <w:rPr>
                <w:szCs w:val="24"/>
                <w:lang w:val="lv-LV"/>
              </w:rPr>
              <w:t xml:space="preserve">tiek konstatēts, ka </w:t>
            </w:r>
            <w:r w:rsidR="005F272B" w:rsidRPr="005F272B">
              <w:rPr>
                <w:bCs/>
                <w:lang w:val="lv-LV"/>
              </w:rPr>
              <w:t xml:space="preserve"> akciju sabiedrība </w:t>
            </w:r>
            <w:r w:rsidR="004762EF">
              <w:rPr>
                <w:szCs w:val="24"/>
                <w:lang w:val="lv-LV"/>
              </w:rPr>
              <w:t xml:space="preserve">“Latvenergo” izpilda </w:t>
            </w:r>
            <w:r w:rsidRPr="00501C5E">
              <w:rPr>
                <w:lang w:val="lv-LV"/>
              </w:rPr>
              <w:t>Ministru kabineta n</w:t>
            </w:r>
            <w:r w:rsidR="004762EF">
              <w:rPr>
                <w:szCs w:val="24"/>
                <w:lang w:val="lv-LV"/>
              </w:rPr>
              <w:t>oteikumos Nr. 221 noteiktos kritērijus valsts garantētās maksas saistību samazināšanai par koģenerācijas elektrostacijā uzstādīto elektrisko jaudu, saņemot vienreizēju maksājumu</w:t>
            </w:r>
            <w:r w:rsidR="007E107C">
              <w:rPr>
                <w:szCs w:val="24"/>
                <w:lang w:val="lv-LV"/>
              </w:rPr>
              <w:t xml:space="preserve">, un tiek piedāvāts </w:t>
            </w:r>
            <w:r>
              <w:rPr>
                <w:szCs w:val="24"/>
                <w:lang w:val="lv-LV"/>
              </w:rPr>
              <w:t>Ministru kabinetam</w:t>
            </w:r>
            <w:r w:rsidR="007E107C">
              <w:rPr>
                <w:szCs w:val="24"/>
                <w:lang w:val="lv-LV"/>
              </w:rPr>
              <w:t xml:space="preserve"> pieņemt lēmumu par vienreizēju maksājumu </w:t>
            </w:r>
            <w:r w:rsidR="005F272B" w:rsidRPr="005F272B">
              <w:rPr>
                <w:bCs/>
                <w:lang w:val="lv-LV"/>
              </w:rPr>
              <w:t xml:space="preserve"> akciju sabiedrībai</w:t>
            </w:r>
            <w:r w:rsidR="007E107C">
              <w:rPr>
                <w:szCs w:val="24"/>
                <w:lang w:val="lv-LV"/>
              </w:rPr>
              <w:t xml:space="preserve"> “Latvenergo” </w:t>
            </w:r>
            <w:r w:rsidR="00671BF1">
              <w:rPr>
                <w:szCs w:val="24"/>
                <w:lang w:val="lv-LV"/>
              </w:rPr>
              <w:t>454 412 749,0</w:t>
            </w:r>
            <w:r w:rsidR="007E107C" w:rsidRPr="007E107C">
              <w:rPr>
                <w:szCs w:val="24"/>
                <w:lang w:val="lv-LV"/>
              </w:rPr>
              <w:t>0 EUR apmērā</w:t>
            </w:r>
            <w:r w:rsidR="007E107C">
              <w:rPr>
                <w:szCs w:val="24"/>
                <w:lang w:val="lv-LV"/>
              </w:rPr>
              <w:t xml:space="preserve">, </w:t>
            </w:r>
            <w:r w:rsidR="007E107C" w:rsidRPr="007E107C">
              <w:rPr>
                <w:szCs w:val="24"/>
                <w:lang w:val="lv-LV"/>
              </w:rPr>
              <w:t>kas sastāv no</w:t>
            </w:r>
            <w:r w:rsidR="00671BF1">
              <w:rPr>
                <w:szCs w:val="24"/>
                <w:lang w:val="lv-LV"/>
              </w:rPr>
              <w:t xml:space="preserve"> Rīgas TEC-1 daļas 26 522 584,00</w:t>
            </w:r>
            <w:r w:rsidR="007E107C" w:rsidRPr="007E107C">
              <w:rPr>
                <w:szCs w:val="24"/>
                <w:lang w:val="lv-LV"/>
              </w:rPr>
              <w:t xml:space="preserve"> EUR apmērā un Rīgas TEC-2 daļas 427 890</w:t>
            </w:r>
            <w:r w:rsidR="00671BF1">
              <w:rPr>
                <w:szCs w:val="24"/>
                <w:lang w:val="lv-LV"/>
              </w:rPr>
              <w:t> 165,00</w:t>
            </w:r>
            <w:r w:rsidR="007E107C" w:rsidRPr="007E107C">
              <w:rPr>
                <w:szCs w:val="24"/>
                <w:lang w:val="lv-LV"/>
              </w:rPr>
              <w:t xml:space="preserve"> EUR apmērā</w:t>
            </w:r>
            <w:r w:rsidR="007E107C">
              <w:rPr>
                <w:szCs w:val="24"/>
                <w:lang w:val="lv-LV"/>
              </w:rPr>
              <w:t>.</w:t>
            </w:r>
          </w:p>
          <w:p w:rsidR="007E107C" w:rsidRDefault="007E107C" w:rsidP="007E107C">
            <w:pPr>
              <w:pStyle w:val="NoSpacing"/>
              <w:spacing w:before="120" w:after="120"/>
              <w:jc w:val="both"/>
              <w:rPr>
                <w:szCs w:val="24"/>
                <w:lang w:val="lv-LV"/>
              </w:rPr>
            </w:pPr>
            <w:r>
              <w:rPr>
                <w:szCs w:val="24"/>
                <w:lang w:val="lv-LV"/>
              </w:rPr>
              <w:t xml:space="preserve">Turklāt, </w:t>
            </w:r>
            <w:r w:rsidRPr="008D7967">
              <w:rPr>
                <w:szCs w:val="24"/>
                <w:lang w:val="lv-LV"/>
              </w:rPr>
              <w:t xml:space="preserve">vienreizējais maksājums sadalāms divās daļās, nosakot, ka 140 000 000,00 EUR atzīstami kā vispārējās valdības </w:t>
            </w:r>
            <w:r w:rsidR="008D7967" w:rsidRPr="008D7967">
              <w:rPr>
                <w:szCs w:val="24"/>
                <w:lang w:val="lv-LV"/>
              </w:rPr>
              <w:t xml:space="preserve"> izdevumi </w:t>
            </w:r>
            <w:r w:rsidR="008D7967">
              <w:rPr>
                <w:szCs w:val="24"/>
                <w:lang w:val="lv-LV"/>
              </w:rPr>
              <w:t>2017. gadā</w:t>
            </w:r>
            <w:r w:rsidR="00671BF1">
              <w:rPr>
                <w:szCs w:val="24"/>
                <w:lang w:val="lv-LV"/>
              </w:rPr>
              <w:t>, bet 314 412 749,0</w:t>
            </w:r>
            <w:r w:rsidRPr="008D7967">
              <w:rPr>
                <w:szCs w:val="24"/>
                <w:lang w:val="lv-LV"/>
              </w:rPr>
              <w:t>0 EUR atzīstami kā avansa maksājums proporcionāli akciju sabiedrības “Latvenergo” saistību izpildei līdz atbalsta perioda beigām 2028. gadā</w:t>
            </w:r>
            <w:r w:rsidR="00A75499">
              <w:rPr>
                <w:szCs w:val="24"/>
                <w:lang w:val="lv-LV"/>
              </w:rPr>
              <w:t>.</w:t>
            </w:r>
          </w:p>
          <w:p w:rsidR="00A75499" w:rsidRDefault="00A75499" w:rsidP="007E107C">
            <w:pPr>
              <w:pStyle w:val="NoSpacing"/>
              <w:spacing w:before="120" w:after="120"/>
              <w:jc w:val="both"/>
              <w:rPr>
                <w:szCs w:val="24"/>
                <w:lang w:val="lv-LV"/>
              </w:rPr>
            </w:pPr>
            <w:r>
              <w:rPr>
                <w:szCs w:val="24"/>
                <w:lang w:val="lv-LV"/>
              </w:rPr>
              <w:t xml:space="preserve">Saskaņā ar </w:t>
            </w:r>
            <w:r w:rsidR="00501C5E">
              <w:rPr>
                <w:szCs w:val="24"/>
                <w:lang w:val="lv-LV"/>
              </w:rPr>
              <w:t>Ministru kabineta</w:t>
            </w:r>
            <w:r>
              <w:rPr>
                <w:szCs w:val="24"/>
                <w:lang w:val="lv-LV"/>
              </w:rPr>
              <w:t xml:space="preserve"> rīkojuma Nr. 530 10.3. punktu </w:t>
            </w:r>
            <w:r w:rsidR="00501C5E">
              <w:rPr>
                <w:szCs w:val="24"/>
                <w:lang w:val="lv-LV"/>
              </w:rPr>
              <w:t>Ministru kabineta</w:t>
            </w:r>
            <w:r w:rsidR="002835FA">
              <w:rPr>
                <w:szCs w:val="24"/>
                <w:lang w:val="lv-LV"/>
              </w:rPr>
              <w:t xml:space="preserve"> rīkojuma projektā paredzēts, ka vienreizējais maksājums tiek </w:t>
            </w:r>
            <w:r w:rsidR="00196145">
              <w:rPr>
                <w:szCs w:val="24"/>
                <w:lang w:val="lv-LV"/>
              </w:rPr>
              <w:t xml:space="preserve">īstenots </w:t>
            </w:r>
            <w:r w:rsidR="002835FA">
              <w:rPr>
                <w:szCs w:val="24"/>
                <w:lang w:val="lv-LV"/>
              </w:rPr>
              <w:t xml:space="preserve">no </w:t>
            </w:r>
            <w:r w:rsidR="005F272B" w:rsidRPr="005F272B">
              <w:rPr>
                <w:bCs/>
                <w:lang w:val="lv-LV"/>
              </w:rPr>
              <w:t xml:space="preserve"> akciju sabiedrības</w:t>
            </w:r>
            <w:r w:rsidR="002835FA">
              <w:rPr>
                <w:szCs w:val="24"/>
                <w:lang w:val="lv-LV"/>
              </w:rPr>
              <w:t xml:space="preserve"> “Latvenergo” pamatkapitāla samazināšanas tam nepieciešamā apmēr</w:t>
            </w:r>
            <w:r w:rsidR="00E24984">
              <w:rPr>
                <w:szCs w:val="24"/>
                <w:lang w:val="lv-LV"/>
              </w:rPr>
              <w:t>ā.</w:t>
            </w:r>
          </w:p>
          <w:p w:rsidR="00DB2464" w:rsidRPr="00E02E1C" w:rsidRDefault="00DB2464" w:rsidP="00DB2464">
            <w:pPr>
              <w:pStyle w:val="NoSpacing"/>
              <w:spacing w:before="120" w:after="120"/>
              <w:jc w:val="both"/>
              <w:rPr>
                <w:szCs w:val="24"/>
                <w:lang w:val="lv-LV"/>
              </w:rPr>
            </w:pPr>
            <w:r w:rsidRPr="00E02E1C">
              <w:rPr>
                <w:szCs w:val="24"/>
                <w:lang w:val="lv-LV"/>
              </w:rPr>
              <w:t xml:space="preserve">Šo rīkojumu </w:t>
            </w:r>
            <w:r w:rsidR="0089057D" w:rsidRPr="00E02E1C">
              <w:rPr>
                <w:szCs w:val="24"/>
                <w:lang w:val="lv-LV"/>
              </w:rPr>
              <w:t xml:space="preserve">saskaņā ar </w:t>
            </w:r>
            <w:r w:rsidR="003B6E8E" w:rsidRPr="00E02E1C">
              <w:rPr>
                <w:szCs w:val="24"/>
                <w:lang w:val="lv-LV"/>
              </w:rPr>
              <w:t xml:space="preserve">Administratīvā procesa likuma </w:t>
            </w:r>
            <w:r w:rsidR="00E02E1C" w:rsidRPr="00E02E1C">
              <w:rPr>
                <w:szCs w:val="24"/>
                <w:lang w:val="lv-LV"/>
              </w:rPr>
              <w:t xml:space="preserve"> likuma 76. panta otro daļu, 188. panta otro daļu un 189. panta pirmo daļu var</w:t>
            </w:r>
            <w:r w:rsidR="00BD0519">
              <w:rPr>
                <w:szCs w:val="24"/>
                <w:lang w:val="lv-LV"/>
              </w:rPr>
              <w:t xml:space="preserve"> pārsūdzēt</w:t>
            </w:r>
            <w:r w:rsidR="00E02E1C" w:rsidRPr="00E02E1C">
              <w:rPr>
                <w:szCs w:val="24"/>
                <w:lang w:val="lv-LV"/>
              </w:rPr>
              <w:t xml:space="preserve"> </w:t>
            </w:r>
            <w:r w:rsidR="003B6E8E" w:rsidRPr="00E02E1C">
              <w:rPr>
                <w:szCs w:val="24"/>
                <w:lang w:val="lv-LV"/>
              </w:rPr>
              <w:t xml:space="preserve"> Administratīvajā rajona tiesā viena mēneša laikā no šī rīkojuma spēkā stāšanās dienas</w:t>
            </w:r>
            <w:r w:rsidRPr="00E02E1C">
              <w:rPr>
                <w:szCs w:val="24"/>
                <w:lang w:val="lv-LV"/>
              </w:rPr>
              <w:t>.</w:t>
            </w:r>
          </w:p>
          <w:p w:rsidR="003250CB" w:rsidRDefault="00DB2464" w:rsidP="007E107C">
            <w:pPr>
              <w:pStyle w:val="NoSpacing"/>
              <w:spacing w:before="120" w:after="120"/>
              <w:jc w:val="both"/>
              <w:rPr>
                <w:szCs w:val="24"/>
                <w:lang w:val="lv-LV"/>
              </w:rPr>
            </w:pPr>
            <w:r w:rsidRPr="00E03EC0">
              <w:rPr>
                <w:szCs w:val="24"/>
                <w:lang w:val="lv-LV"/>
              </w:rPr>
              <w:t>Lai novērstu iespējamo elektroenerģijas kopējās cenas pieauguma risku</w:t>
            </w:r>
            <w:r w:rsidR="00DE013C" w:rsidRPr="00E03EC0">
              <w:rPr>
                <w:szCs w:val="24"/>
                <w:lang w:val="lv-LV"/>
              </w:rPr>
              <w:t>, kas saist</w:t>
            </w:r>
            <w:r w:rsidR="00702C3E" w:rsidRPr="00E03EC0">
              <w:rPr>
                <w:szCs w:val="24"/>
                <w:lang w:val="lv-LV"/>
              </w:rPr>
              <w:t>īts</w:t>
            </w:r>
            <w:r w:rsidR="00DE013C" w:rsidRPr="00E03EC0">
              <w:rPr>
                <w:szCs w:val="24"/>
                <w:lang w:val="lv-LV"/>
              </w:rPr>
              <w:t xml:space="preserve"> ar OIK vidējās vērtības pieaugumu</w:t>
            </w:r>
            <w:r w:rsidR="00702C3E" w:rsidRPr="00E03EC0">
              <w:rPr>
                <w:lang w:val="lv-LV"/>
              </w:rPr>
              <w:t xml:space="preserve"> virs 26,79 EUR/MWh</w:t>
            </w:r>
            <w:r w:rsidR="00DE013C" w:rsidRPr="00E03EC0">
              <w:rPr>
                <w:lang w:val="lv-LV"/>
              </w:rPr>
              <w:t>,</w:t>
            </w:r>
            <w:r w:rsidRPr="00E03EC0">
              <w:rPr>
                <w:lang w:val="lv-LV"/>
              </w:rPr>
              <w:t xml:space="preserve"> un tās negatīvo ietekmi uz Latvijas tautsaimniecības attīstību</w:t>
            </w:r>
            <w:r w:rsidR="00DE013C" w:rsidRPr="00E03EC0">
              <w:rPr>
                <w:lang w:val="lv-LV"/>
              </w:rPr>
              <w:t xml:space="preserve"> un mājsaimniecību maksātspēju</w:t>
            </w:r>
            <w:r w:rsidRPr="00E03EC0">
              <w:rPr>
                <w:lang w:val="lv-LV"/>
              </w:rPr>
              <w:t xml:space="preserve">, </w:t>
            </w:r>
            <w:r w:rsidR="00DE013C" w:rsidRPr="00E03EC0">
              <w:rPr>
                <w:lang w:val="lv-LV"/>
              </w:rPr>
              <w:t xml:space="preserve">kā arī nodrošinātu </w:t>
            </w:r>
            <w:r w:rsidR="007A4011" w:rsidRPr="00E03EC0">
              <w:rPr>
                <w:lang w:val="lv-LV"/>
              </w:rPr>
              <w:t xml:space="preserve">ikgadējā </w:t>
            </w:r>
            <w:r w:rsidR="00DE013C" w:rsidRPr="00E03EC0">
              <w:rPr>
                <w:lang w:val="lv-LV"/>
              </w:rPr>
              <w:t xml:space="preserve">valsts budžeta līdzekļu ekonomiju </w:t>
            </w:r>
            <w:r w:rsidR="002B192A" w:rsidRPr="00E03EC0">
              <w:rPr>
                <w:lang w:val="lv-LV"/>
              </w:rPr>
              <w:t xml:space="preserve">sākot </w:t>
            </w:r>
            <w:r w:rsidR="00DE013C" w:rsidRPr="00E03EC0">
              <w:rPr>
                <w:lang w:val="lv-LV"/>
              </w:rPr>
              <w:t>ar 2018. gadu</w:t>
            </w:r>
            <w:r w:rsidR="002B192A" w:rsidRPr="00E03EC0">
              <w:rPr>
                <w:lang w:val="lv-LV"/>
              </w:rPr>
              <w:t xml:space="preserve"> vairāk nekā </w:t>
            </w:r>
            <w:r w:rsidR="003C6188" w:rsidRPr="00E03EC0">
              <w:rPr>
                <w:lang w:val="lv-LV"/>
              </w:rPr>
              <w:t>7</w:t>
            </w:r>
            <w:r w:rsidR="002B192A" w:rsidRPr="00E03EC0">
              <w:rPr>
                <w:lang w:val="lv-LV"/>
              </w:rPr>
              <w:t>0 milj.</w:t>
            </w:r>
            <w:r w:rsidR="00504EEB" w:rsidRPr="00E03EC0">
              <w:rPr>
                <w:lang w:val="lv-LV"/>
              </w:rPr>
              <w:t> </w:t>
            </w:r>
            <w:r w:rsidR="002B192A" w:rsidRPr="00E03EC0">
              <w:rPr>
                <w:lang w:val="lv-LV"/>
              </w:rPr>
              <w:t>EUR apmērā</w:t>
            </w:r>
            <w:r w:rsidR="00DE013C" w:rsidRPr="00E03EC0">
              <w:rPr>
                <w:lang w:val="lv-LV"/>
              </w:rPr>
              <w:t>,</w:t>
            </w:r>
            <w:r w:rsidR="002B192A" w:rsidRPr="00E03EC0">
              <w:rPr>
                <w:lang w:val="lv-LV"/>
              </w:rPr>
              <w:t xml:space="preserve"> </w:t>
            </w:r>
            <w:r w:rsidRPr="00E03EC0">
              <w:rPr>
                <w:lang w:val="lv-LV"/>
              </w:rPr>
              <w:t xml:space="preserve">saskaņā ar </w:t>
            </w:r>
            <w:r w:rsidRPr="00E03EC0">
              <w:rPr>
                <w:szCs w:val="24"/>
                <w:lang w:val="lv-LV"/>
              </w:rPr>
              <w:t>Ministr</w:t>
            </w:r>
            <w:r w:rsidR="002B192A" w:rsidRPr="00E03EC0">
              <w:rPr>
                <w:szCs w:val="24"/>
                <w:lang w:val="lv-LV"/>
              </w:rPr>
              <w:t>u kabineta rīkojuma Nr. 530 10. </w:t>
            </w:r>
            <w:r w:rsidRPr="00E03EC0">
              <w:rPr>
                <w:szCs w:val="24"/>
                <w:lang w:val="lv-LV"/>
              </w:rPr>
              <w:t>punktā noteikto vienreizējā valsts garantētās maksas par koģenerācijas elektrostacijā uzstādīto elektrisko jaudu saistību samazināšana īstenojama 2017. gadā</w:t>
            </w:r>
            <w:r w:rsidR="00504EEB" w:rsidRPr="00E03EC0">
              <w:rPr>
                <w:szCs w:val="24"/>
                <w:lang w:val="lv-LV"/>
              </w:rPr>
              <w:t>,</w:t>
            </w:r>
            <w:r w:rsidR="00E03EC0" w:rsidRPr="00E03EC0">
              <w:rPr>
                <w:szCs w:val="24"/>
                <w:lang w:val="lv-LV"/>
              </w:rPr>
              <w:t xml:space="preserve"> un</w:t>
            </w:r>
            <w:r w:rsidR="00504EEB" w:rsidRPr="00E03EC0">
              <w:rPr>
                <w:szCs w:val="24"/>
                <w:lang w:val="lv-LV"/>
              </w:rPr>
              <w:t xml:space="preserve"> ir nosakāms, ka saskaņā ar Administratīvā procesa likuma 185. panta ceturtās daļas 3. punktu pieteikuma iesniegšana</w:t>
            </w:r>
            <w:r w:rsidR="00504EEB" w:rsidRPr="00F93E24">
              <w:rPr>
                <w:szCs w:val="24"/>
                <w:lang w:val="lv-LV"/>
              </w:rPr>
              <w:t xml:space="preserve"> tiesā par administratīvā akta atcelšanu, atzīšanu par spēku </w:t>
            </w:r>
            <w:r w:rsidR="00504EEB" w:rsidRPr="00F93E24">
              <w:rPr>
                <w:szCs w:val="24"/>
                <w:lang w:val="lv-LV"/>
              </w:rPr>
              <w:lastRenderedPageBreak/>
              <w:t>zaudējušu vai spēkā neesošu neaptur administratīvā akta darbību</w:t>
            </w:r>
            <w:r w:rsidRPr="00F93E24">
              <w:rPr>
                <w:szCs w:val="24"/>
                <w:lang w:val="lv-LV"/>
              </w:rPr>
              <w:t>.</w:t>
            </w:r>
          </w:p>
          <w:p w:rsidR="00E24984" w:rsidRDefault="00B50E81" w:rsidP="007E107C">
            <w:pPr>
              <w:pStyle w:val="NoSpacing"/>
              <w:spacing w:before="120" w:after="120"/>
              <w:jc w:val="both"/>
              <w:rPr>
                <w:szCs w:val="24"/>
                <w:lang w:val="lv-LV"/>
              </w:rPr>
            </w:pPr>
            <w:r w:rsidRPr="007731CE">
              <w:rPr>
                <w:szCs w:val="24"/>
                <w:lang w:val="lv-LV"/>
              </w:rPr>
              <w:t xml:space="preserve">Lai </w:t>
            </w:r>
            <w:r w:rsidR="00087C9A" w:rsidRPr="007731CE">
              <w:rPr>
                <w:szCs w:val="24"/>
                <w:lang w:val="lv-LV"/>
              </w:rPr>
              <w:t>īstenotu Ministru kabineta rīkojum</w:t>
            </w:r>
            <w:r w:rsidR="007731CE" w:rsidRPr="007731CE">
              <w:rPr>
                <w:szCs w:val="24"/>
                <w:lang w:val="lv-LV"/>
              </w:rPr>
              <w:t>a</w:t>
            </w:r>
            <w:r w:rsidR="00087C9A" w:rsidRPr="007731CE">
              <w:rPr>
                <w:szCs w:val="24"/>
                <w:lang w:val="lv-LV"/>
              </w:rPr>
              <w:t xml:space="preserve"> Nr. 530 </w:t>
            </w:r>
            <w:r w:rsidR="007731CE" w:rsidRPr="007731CE">
              <w:rPr>
                <w:szCs w:val="24"/>
                <w:lang w:val="lv-LV"/>
              </w:rPr>
              <w:t xml:space="preserve">10.3. punktā </w:t>
            </w:r>
            <w:r w:rsidR="00087C9A" w:rsidRPr="007731CE">
              <w:rPr>
                <w:szCs w:val="24"/>
                <w:lang w:val="lv-LV"/>
              </w:rPr>
              <w:t>noteikto</w:t>
            </w:r>
            <w:r w:rsidRPr="007731CE">
              <w:rPr>
                <w:szCs w:val="24"/>
                <w:lang w:val="lv-LV"/>
              </w:rPr>
              <w:t>,</w:t>
            </w:r>
            <w:r w:rsidR="00E24984">
              <w:rPr>
                <w:szCs w:val="24"/>
                <w:lang w:val="lv-LV"/>
              </w:rPr>
              <w:t xml:space="preserve"> </w:t>
            </w:r>
            <w:r w:rsidR="00501C5E">
              <w:rPr>
                <w:szCs w:val="24"/>
                <w:lang w:val="lv-LV"/>
              </w:rPr>
              <w:t>Ministru kabineta</w:t>
            </w:r>
            <w:r>
              <w:rPr>
                <w:szCs w:val="24"/>
                <w:lang w:val="lv-LV"/>
              </w:rPr>
              <w:t xml:space="preserve"> sēdes protokollēmumā paredzēts Ekonomikas ministrijai kā </w:t>
            </w:r>
            <w:r w:rsidR="005F272B" w:rsidRPr="005F272B">
              <w:rPr>
                <w:bCs/>
                <w:lang w:val="lv-LV"/>
              </w:rPr>
              <w:t xml:space="preserve"> akciju sabiedrības</w:t>
            </w:r>
            <w:r>
              <w:rPr>
                <w:szCs w:val="24"/>
                <w:lang w:val="lv-LV"/>
              </w:rPr>
              <w:t xml:space="preserve"> “Latvenergo” kapitāldaļu turētājai divu nedēļu laikā sasaukt akcionāru sapulci, lai lemtu par </w:t>
            </w:r>
            <w:r w:rsidR="005F272B" w:rsidRPr="005F272B">
              <w:rPr>
                <w:bCs/>
                <w:lang w:val="lv-LV"/>
              </w:rPr>
              <w:t xml:space="preserve"> akciju sabiedrības</w:t>
            </w:r>
            <w:r>
              <w:rPr>
                <w:szCs w:val="24"/>
                <w:lang w:val="lv-LV"/>
              </w:rPr>
              <w:t xml:space="preserve"> “Latvenergo” pamatkapitāla samazināšanu </w:t>
            </w:r>
            <w:r w:rsidR="00671BF1">
              <w:rPr>
                <w:szCs w:val="24"/>
                <w:lang w:val="lv-LV"/>
              </w:rPr>
              <w:t>454 412 749,0</w:t>
            </w:r>
            <w:r w:rsidRPr="007E107C">
              <w:rPr>
                <w:szCs w:val="24"/>
                <w:lang w:val="lv-LV"/>
              </w:rPr>
              <w:t>0 EUR apmērā</w:t>
            </w:r>
            <w:r>
              <w:rPr>
                <w:szCs w:val="24"/>
                <w:lang w:val="lv-LV"/>
              </w:rPr>
              <w:t>.</w:t>
            </w:r>
          </w:p>
          <w:p w:rsidR="00BD5190" w:rsidRPr="00BD5190" w:rsidRDefault="00BD5190" w:rsidP="00BD1202">
            <w:pPr>
              <w:pStyle w:val="NoSpacing"/>
              <w:spacing w:before="120" w:after="120"/>
              <w:jc w:val="both"/>
              <w:rPr>
                <w:szCs w:val="24"/>
                <w:lang w:val="lv-LV"/>
              </w:rPr>
            </w:pPr>
            <w:r>
              <w:rPr>
                <w:szCs w:val="24"/>
                <w:lang w:val="lv-LV"/>
              </w:rPr>
              <w:t xml:space="preserve">Lai praktiski īstenotu vienreizējo maksājumu, </w:t>
            </w:r>
            <w:r w:rsidR="00501C5E">
              <w:rPr>
                <w:szCs w:val="24"/>
                <w:lang w:val="lv-LV"/>
              </w:rPr>
              <w:t>Ministru kabineta</w:t>
            </w:r>
            <w:r>
              <w:rPr>
                <w:szCs w:val="24"/>
                <w:lang w:val="lv-LV"/>
              </w:rPr>
              <w:t xml:space="preserve"> sēdes protokollēmumā paredzēts a</w:t>
            </w:r>
            <w:r w:rsidRPr="00BD5190">
              <w:rPr>
                <w:szCs w:val="24"/>
                <w:lang w:val="lv-LV"/>
              </w:rPr>
              <w:t xml:space="preserve">tbalstīt </w:t>
            </w:r>
            <w:r w:rsidR="00BD1202">
              <w:rPr>
                <w:szCs w:val="24"/>
                <w:lang w:val="lv-LV"/>
              </w:rPr>
              <w:t>trīspusēja līguma</w:t>
            </w:r>
            <w:r>
              <w:rPr>
                <w:szCs w:val="24"/>
                <w:lang w:val="lv-LV"/>
              </w:rPr>
              <w:t xml:space="preserve"> noslēgšanu</w:t>
            </w:r>
            <w:r w:rsidRPr="00BD5190">
              <w:rPr>
                <w:szCs w:val="24"/>
                <w:lang w:val="lv-LV"/>
              </w:rPr>
              <w:t xml:space="preserve"> starp </w:t>
            </w:r>
            <w:r w:rsidR="005F272B" w:rsidRPr="005F272B">
              <w:rPr>
                <w:bCs/>
                <w:lang w:val="lv-LV"/>
              </w:rPr>
              <w:t xml:space="preserve"> akciju sabiedrību</w:t>
            </w:r>
            <w:r w:rsidRPr="00BD5190">
              <w:rPr>
                <w:szCs w:val="24"/>
                <w:lang w:val="lv-LV"/>
              </w:rPr>
              <w:t xml:space="preserve"> “Latvenergo”, </w:t>
            </w:r>
            <w:r w:rsidR="005F272B">
              <w:rPr>
                <w:szCs w:val="24"/>
                <w:lang w:val="lv-LV"/>
              </w:rPr>
              <w:t>akciju sabiedrību</w:t>
            </w:r>
            <w:r w:rsidRPr="00BD5190">
              <w:rPr>
                <w:szCs w:val="24"/>
                <w:lang w:val="lv-LV"/>
              </w:rPr>
              <w:t xml:space="preserve"> “Enerģijas publiskais tirgotājs” un Ekonomikas ministriju</w:t>
            </w:r>
            <w:r w:rsidR="00BD1202">
              <w:rPr>
                <w:szCs w:val="24"/>
                <w:lang w:val="lv-LV"/>
              </w:rPr>
              <w:t xml:space="preserve"> (</w:t>
            </w:r>
            <w:r w:rsidR="00017E1B">
              <w:rPr>
                <w:szCs w:val="24"/>
                <w:lang w:val="lv-LV"/>
              </w:rPr>
              <w:t xml:space="preserve">šīs anotācijas </w:t>
            </w:r>
            <w:r w:rsidR="00BD1202">
              <w:rPr>
                <w:szCs w:val="24"/>
                <w:lang w:val="lv-LV"/>
              </w:rPr>
              <w:t>pielikum</w:t>
            </w:r>
            <w:r w:rsidR="00017E1B">
              <w:rPr>
                <w:szCs w:val="24"/>
                <w:lang w:val="lv-LV"/>
              </w:rPr>
              <w:t>s</w:t>
            </w:r>
            <w:r w:rsidR="00BD1202">
              <w:rPr>
                <w:szCs w:val="24"/>
                <w:lang w:val="lv-LV"/>
              </w:rPr>
              <w:t>), attiecīgi, pilnvarojot m</w:t>
            </w:r>
            <w:r w:rsidRPr="00BD5190">
              <w:rPr>
                <w:szCs w:val="24"/>
                <w:lang w:val="lv-LV"/>
              </w:rPr>
              <w:t>inistru prezidenta biedru, ekonomikas ministru parakstīt šī protokollēmuma 4. punktā minēto līgumu.</w:t>
            </w:r>
          </w:p>
        </w:tc>
      </w:tr>
      <w:tr w:rsidR="001C1A2E" w:rsidRPr="002763E8" w:rsidTr="001E1CB2">
        <w:trPr>
          <w:trHeight w:val="132"/>
        </w:trPr>
        <w:tc>
          <w:tcPr>
            <w:tcW w:w="421" w:type="dxa"/>
          </w:tcPr>
          <w:p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lastRenderedPageBreak/>
              <w:t>3.</w:t>
            </w:r>
          </w:p>
        </w:tc>
        <w:tc>
          <w:tcPr>
            <w:tcW w:w="2986" w:type="dxa"/>
          </w:tcPr>
          <w:p w:rsidR="001C1A2E" w:rsidRPr="002763E8" w:rsidRDefault="001C1A2E" w:rsidP="008667DC">
            <w:pPr>
              <w:jc w:val="both"/>
              <w:rPr>
                <w:color w:val="000000" w:themeColor="text1"/>
              </w:rPr>
            </w:pPr>
            <w:r w:rsidRPr="002763E8">
              <w:rPr>
                <w:color w:val="000000" w:themeColor="text1"/>
              </w:rPr>
              <w:t>Projekta izstrādē iesaistītās institūcijas</w:t>
            </w:r>
          </w:p>
        </w:tc>
        <w:tc>
          <w:tcPr>
            <w:tcW w:w="6037" w:type="dxa"/>
          </w:tcPr>
          <w:p w:rsidR="001C1A2E" w:rsidRPr="002763E8" w:rsidRDefault="00A644BE" w:rsidP="009279E6">
            <w:pPr>
              <w:spacing w:before="120"/>
              <w:jc w:val="both"/>
              <w:rPr>
                <w:color w:val="000000" w:themeColor="text1"/>
              </w:rPr>
            </w:pPr>
            <w:r w:rsidRPr="00656C16">
              <w:rPr>
                <w:shd w:val="clear" w:color="auto" w:fill="FFFFFF"/>
              </w:rPr>
              <w:t>Projekts šo jomu neskar</w:t>
            </w:r>
            <w:r w:rsidR="00656C16">
              <w:rPr>
                <w:shd w:val="clear" w:color="auto" w:fill="FFFFFF"/>
              </w:rPr>
              <w:t>.</w:t>
            </w:r>
          </w:p>
        </w:tc>
      </w:tr>
      <w:tr w:rsidR="001C1A2E" w:rsidRPr="002763E8" w:rsidTr="001E1CB2">
        <w:tc>
          <w:tcPr>
            <w:tcW w:w="421" w:type="dxa"/>
          </w:tcPr>
          <w:p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4.</w:t>
            </w:r>
          </w:p>
        </w:tc>
        <w:tc>
          <w:tcPr>
            <w:tcW w:w="2986" w:type="dxa"/>
          </w:tcPr>
          <w:p w:rsidR="001C1A2E" w:rsidRPr="002763E8" w:rsidRDefault="001C1A2E" w:rsidP="008667DC">
            <w:pPr>
              <w:pStyle w:val="naiskr"/>
              <w:spacing w:before="0" w:beforeAutospacing="0" w:after="0" w:afterAutospacing="0"/>
              <w:rPr>
                <w:color w:val="000000" w:themeColor="text1"/>
              </w:rPr>
            </w:pPr>
            <w:r w:rsidRPr="002763E8">
              <w:rPr>
                <w:color w:val="000000" w:themeColor="text1"/>
              </w:rPr>
              <w:t>Cita informācija</w:t>
            </w:r>
          </w:p>
        </w:tc>
        <w:tc>
          <w:tcPr>
            <w:tcW w:w="6037" w:type="dxa"/>
          </w:tcPr>
          <w:p w:rsidR="002011C5" w:rsidRDefault="002011C5" w:rsidP="002011C5">
            <w:pPr>
              <w:spacing w:before="60" w:after="60"/>
              <w:jc w:val="both"/>
            </w:pPr>
            <w:r>
              <w:rPr>
                <w:color w:val="000000" w:themeColor="text1"/>
              </w:rPr>
              <w:t xml:space="preserve">Ņemot vērā to, ka valsts garantētās maksas </w:t>
            </w:r>
            <w:r>
              <w:t>saistību samazināšana par koģenerācijas elektrostacijās uzstādīto elektrisko jaudu tiks veikta ar vienreizēju diskontētu maksājumu, izmantojot akciju sabiedrības “Latvenergo” pamatkapitālu, šī risinājuma īstenošanai nav paredzēta valsts budžeta līdzekļu iesaiste.</w:t>
            </w:r>
          </w:p>
          <w:p w:rsidR="002011C5" w:rsidRDefault="002011C5" w:rsidP="002011C5">
            <w:pPr>
              <w:spacing w:before="60" w:after="60"/>
              <w:jc w:val="both"/>
            </w:pPr>
            <w:r>
              <w:t>Tā vietā trīspusējā līguma projekts starp akciju sabiedrību “Latvenergo”, akciju sabiedrību “Enerģijas publiskais tirgotājs” un Ekonomikas ministriju, kas apstiprināms vienkopus ar Ministru kabineta rīkojumu “</w:t>
            </w:r>
            <w:r w:rsidRPr="00016593">
              <w:t xml:space="preserve">Par garantētās maksas par </w:t>
            </w:r>
            <w:r w:rsidRPr="00016593">
              <w:rPr>
                <w:bCs/>
              </w:rPr>
              <w:t>koģenerācijas</w:t>
            </w:r>
            <w:r w:rsidRPr="00016593">
              <w:t xml:space="preserve"> elektrostacijā uzstādīto elektrisko jaudu saistību samazināšanu </w:t>
            </w:r>
            <w:r w:rsidRPr="005F272B">
              <w:rPr>
                <w:bCs/>
              </w:rPr>
              <w:t xml:space="preserve"> akciju sabiedrībai </w:t>
            </w:r>
            <w:r w:rsidRPr="00016593">
              <w:t>“Latvenergo””</w:t>
            </w:r>
            <w:r>
              <w:t xml:space="preserve"> paredz šādus darījuma soļus:</w:t>
            </w:r>
          </w:p>
          <w:p w:rsidR="002011C5" w:rsidRDefault="002011C5" w:rsidP="002011C5">
            <w:pPr>
              <w:spacing w:before="60" w:after="60"/>
              <w:jc w:val="both"/>
            </w:pPr>
            <w:r>
              <w:t>1) akciju sabiedrība “Latvenergo” izraksta rēķinu akciju sabiedrībai “Enerģijas publiskais tirgotājs” 454 412 749,0</w:t>
            </w:r>
            <w:r w:rsidRPr="007E107C">
              <w:t>0 EUR</w:t>
            </w:r>
            <w:r>
              <w:t xml:space="preserve"> apmērā par vienreizējo maksājumu divās daļās. Pirmā daļa 140 000 000,00 EUR apmērā tiek atzīta kā izmaksa izmaksas 2017. gadā, bet otrā daļa 314 412 749,0</w:t>
            </w:r>
            <w:r w:rsidRPr="007E107C">
              <w:t>0 EUR</w:t>
            </w:r>
            <w:r>
              <w:t xml:space="preserve"> apmērā tiek klasificēta kā avansa maksājums un tiek atzīta kā akciju sabiedrības “Latvenergo” ieņēmumi vienmērīgā</w:t>
            </w:r>
            <w:r w:rsidRPr="0068376E">
              <w:t xml:space="preserve"> sadalījumā pa pārskata periodiem līdz akciju sabiedrības “Latvenergo” saistību izpildei atbalsta perioda beigās 2028. gada 23. septembrī</w:t>
            </w:r>
            <w:r>
              <w:t>.</w:t>
            </w:r>
          </w:p>
          <w:p w:rsidR="002011C5" w:rsidRDefault="002011C5" w:rsidP="002011C5">
            <w:pPr>
              <w:spacing w:before="60" w:after="60"/>
              <w:jc w:val="both"/>
            </w:pPr>
            <w:r>
              <w:t>2) risinājuma īstenošanai akciju sabiedrība “Latvenergo” izsniedz aizdevumu akciju sabiedrībai “Enerģijas publiskais tirgotājs”, kas piecu dienu laikā no rēķina saņemšanas veic savstarpējo norēķinu (ieskaitu) par vienreizējo maksājumu.</w:t>
            </w:r>
          </w:p>
          <w:p w:rsidR="002011C5" w:rsidRDefault="002011C5" w:rsidP="002011C5">
            <w:pPr>
              <w:spacing w:before="60" w:after="60"/>
              <w:jc w:val="both"/>
            </w:pPr>
            <w:r>
              <w:t xml:space="preserve">3) akciju sabiedrība “Latvenergo”, pamatojoties uz akcionāru sapulces lēmumu par pamatkapitāla samazināšanu tā rezultātā gūto līdzekļu samaksu valstij veic norēķinoties ar akciju </w:t>
            </w:r>
            <w:r>
              <w:lastRenderedPageBreak/>
              <w:t>sabiedrību “Enerģijas publiskais tirgotājs” piecu dienu laikā pēc samazinātā akciju sabiedrības “Latvenergo” pamatkapitāla ierakstīšanas komercreģistrā.</w:t>
            </w:r>
          </w:p>
          <w:p w:rsidR="002011C5" w:rsidRDefault="002011C5" w:rsidP="002011C5">
            <w:pPr>
              <w:spacing w:before="60" w:after="60"/>
              <w:jc w:val="both"/>
            </w:pPr>
            <w:r>
              <w:t>4) akciju sabiedrība “Enerģijas publiskais tirgotājs” no akciju sabiedrības “Latvenergo” pamatkapitāla samazināšanas gūtos līdzekļus izmanto savu saistību dzēšanai pret akciju sabiedrību “Latvenergo”.</w:t>
            </w:r>
          </w:p>
          <w:p w:rsidR="002011C5" w:rsidRDefault="002011C5" w:rsidP="002011C5">
            <w:pPr>
              <w:spacing w:before="60" w:after="60"/>
              <w:jc w:val="both"/>
            </w:pPr>
            <w:r>
              <w:t>Saskaņā ar trīspusējā līguma projektu pušu savstarpējie prasījumi par naudas līdzekļu samaksu, tas ir, valsts prasījums pret akciju sabiedrību “Latvenergo” par pamatkapitāla samazināšanas rezultātā gūtajiem līdzekļiem, akciju sabiedrības “Enerģijas publiskais tirgotājs” prasījums pret valsti par akciju sabiedrības “Latvenergo” izmaksājamo vienreizējo maksājumu kā arī akciju sabiedrības “Latvenergo” prasījums pret akciju sabiedrību “Enerģijas publiskais tirgotājs” par tai izsniegto aizdevumu, tiek veikti savstarpēja ieskaita kārtībā.</w:t>
            </w:r>
          </w:p>
          <w:p w:rsidR="001C1A2E" w:rsidRDefault="002011C5" w:rsidP="002011C5">
            <w:pPr>
              <w:pStyle w:val="naiskr"/>
              <w:spacing w:before="120" w:beforeAutospacing="0" w:after="0" w:afterAutospacing="0"/>
              <w:jc w:val="both"/>
            </w:pPr>
            <w:r w:rsidRPr="00950685">
              <w:rPr>
                <w:color w:val="000000" w:themeColor="text1"/>
              </w:rPr>
              <w:t xml:space="preserve">Attiecībā uz akciju sabiedrības “Latvenergo” kapitāla samazināšanu būtiski ņemt vērā jau konceptuālā ziņojuma “Kompleksi pasākumi elektroenerģijas tirgus attīstībai”, kas apstiprināts ar </w:t>
            </w:r>
            <w:r>
              <w:rPr>
                <w:color w:val="000000" w:themeColor="text1"/>
              </w:rPr>
              <w:t>Ministru kabineta</w:t>
            </w:r>
            <w:r w:rsidRPr="00950685">
              <w:rPr>
                <w:color w:val="000000" w:themeColor="text1"/>
              </w:rPr>
              <w:t xml:space="preserve"> rīkojumu Nr. 530, ietvaros sniegto informāciju par uzņēmuma kapitāla struktūra un finanšu stāvokli, kur saskaņā ar 2015. gadā akcionāra uzdevumā organizēta neatkarīga starptautiska izvērtējuma rezultātiem tika konstatēts, ka </w:t>
            </w:r>
            <w:r>
              <w:rPr>
                <w:color w:val="000000" w:themeColor="text1"/>
              </w:rPr>
              <w:t>“</w:t>
            </w:r>
            <w:r w:rsidRPr="00950685">
              <w:rPr>
                <w:rFonts w:eastAsia="Calibri"/>
              </w:rPr>
              <w:t>Latvenergo</w:t>
            </w:r>
            <w:r>
              <w:rPr>
                <w:rFonts w:eastAsia="Calibri"/>
              </w:rPr>
              <w:t>”</w:t>
            </w:r>
            <w:r w:rsidRPr="00950685">
              <w:rPr>
                <w:rFonts w:eastAsia="Calibri"/>
              </w:rPr>
              <w:t xml:space="preserve"> koncerns var uzņem</w:t>
            </w:r>
            <w:r>
              <w:rPr>
                <w:rFonts w:eastAsia="Calibri"/>
              </w:rPr>
              <w:t>ties papildus saistības 350-550 </w:t>
            </w:r>
            <w:r w:rsidRPr="00950685">
              <w:rPr>
                <w:rFonts w:eastAsia="Calibri"/>
              </w:rPr>
              <w:t>milj. EUR apmērā, kas var tikt piesaistītas un izmantotas papildu kapitālieguldījumu finansēšanai un/vai pamatkapitāla samazināšanai.</w:t>
            </w:r>
            <w:r>
              <w:rPr>
                <w:rFonts w:eastAsia="Calibri"/>
              </w:rPr>
              <w:t xml:space="preserve"> Līdz ar to, šobrīd nav pamata uzskatīt, ka valsts saistību samazināšana pret akciju sabiedrību “Latvenergo”, samazinot tā pamatkapitālu, varētu radīt kādus būtiskus riskus uzņēmuma tālākai darbībai.</w:t>
            </w:r>
          </w:p>
          <w:p w:rsidR="00D35678" w:rsidRDefault="00FC2D4E" w:rsidP="002011C5">
            <w:pPr>
              <w:pStyle w:val="naiskr"/>
              <w:spacing w:before="120" w:beforeAutospacing="0" w:after="0" w:afterAutospacing="0"/>
              <w:jc w:val="both"/>
              <w:rPr>
                <w:color w:val="000000" w:themeColor="text1"/>
              </w:rPr>
            </w:pPr>
            <w:r>
              <w:rPr>
                <w:color w:val="000000" w:themeColor="text1"/>
              </w:rPr>
              <w:t>Ņemot vērā, ka līdz šim vēl ar Eiropas Komisiju nav saskaņots Rīgas TEC-2 atb</w:t>
            </w:r>
            <w:r w:rsidR="00CC2D63">
              <w:rPr>
                <w:color w:val="000000" w:themeColor="text1"/>
              </w:rPr>
              <w:t>a</w:t>
            </w:r>
            <w:r>
              <w:rPr>
                <w:color w:val="000000" w:themeColor="text1"/>
              </w:rPr>
              <w:t xml:space="preserve">lsts, kā </w:t>
            </w:r>
            <w:r w:rsidR="00CC2D63">
              <w:rPr>
                <w:color w:val="000000" w:themeColor="text1"/>
              </w:rPr>
              <w:t xml:space="preserve">jau </w:t>
            </w:r>
            <w:r>
              <w:rPr>
                <w:color w:val="000000" w:themeColor="text1"/>
              </w:rPr>
              <w:t>tas norādīts arī konceptuālā ziņojumā</w:t>
            </w:r>
            <w:r w:rsidRPr="00950685">
              <w:rPr>
                <w:color w:val="000000" w:themeColor="text1"/>
              </w:rPr>
              <w:t xml:space="preserve"> “Kompleksi pasākumi elektroenerģijas tirgus attīstībai”, </w:t>
            </w:r>
            <w:r w:rsidRPr="00087C9A">
              <w:rPr>
                <w:color w:val="000000" w:themeColor="text1"/>
              </w:rPr>
              <w:t>kas apstiprināts ar Ministru kabineta rīkojumu Nr. 530</w:t>
            </w:r>
            <w:r>
              <w:rPr>
                <w:color w:val="000000" w:themeColor="text1"/>
              </w:rPr>
              <w:t xml:space="preserve">, </w:t>
            </w:r>
            <w:r>
              <w:t xml:space="preserve"> </w:t>
            </w:r>
            <w:r>
              <w:rPr>
                <w:color w:val="000000" w:themeColor="text1"/>
              </w:rPr>
              <w:t>pastāv</w:t>
            </w:r>
            <w:r w:rsidRPr="00FC2D4E">
              <w:rPr>
                <w:color w:val="000000" w:themeColor="text1"/>
              </w:rPr>
              <w:t xml:space="preserve"> vispārēja varbūtība, ka</w:t>
            </w:r>
            <w:r w:rsidR="00CC2D63">
              <w:rPr>
                <w:color w:val="000000" w:themeColor="text1"/>
              </w:rPr>
              <w:t>,</w:t>
            </w:r>
            <w:r w:rsidRPr="00FC2D4E">
              <w:rPr>
                <w:color w:val="000000" w:themeColor="text1"/>
              </w:rPr>
              <w:t xml:space="preserve"> pieņemot nacionāla līmeņa lēmumu, kas skar valsts a</w:t>
            </w:r>
            <w:r>
              <w:rPr>
                <w:color w:val="000000" w:themeColor="text1"/>
              </w:rPr>
              <w:t>tbalsta nosacījumus vēl pirms Eiropas Komisijas</w:t>
            </w:r>
            <w:r w:rsidRPr="00FC2D4E">
              <w:rPr>
                <w:color w:val="000000" w:themeColor="text1"/>
              </w:rPr>
              <w:t xml:space="preserve"> lēmuma saņemšanas, pastāv iespējamība, ka atbalsts varētu tikt atzīts par nesaderīgu ar ES iekšējo tirgu un tādā gadījumā tas būtu atgūstams no atbalsta saņēmējiem kopā ar soda procentiem, kas aprēķināmi no atbalsta saņemšanas brīža</w:t>
            </w:r>
            <w:r>
              <w:rPr>
                <w:color w:val="000000" w:themeColor="text1"/>
              </w:rPr>
              <w:t>.</w:t>
            </w:r>
            <w:r w:rsidR="00007CD2">
              <w:rPr>
                <w:color w:val="000000" w:themeColor="text1"/>
              </w:rPr>
              <w:t xml:space="preserve"> </w:t>
            </w:r>
          </w:p>
          <w:p w:rsidR="00FC2D4E" w:rsidRDefault="00007CD2" w:rsidP="00D35678">
            <w:pPr>
              <w:pStyle w:val="naiskr"/>
              <w:spacing w:before="120" w:beforeAutospacing="0" w:after="0" w:afterAutospacing="0"/>
              <w:jc w:val="both"/>
              <w:rPr>
                <w:color w:val="000000" w:themeColor="text1"/>
              </w:rPr>
            </w:pPr>
            <w:r>
              <w:rPr>
                <w:color w:val="000000" w:themeColor="text1"/>
              </w:rPr>
              <w:t xml:space="preserve">Vienlaikus sarunās ar Eiropas Komisiju tā tika iepazīstināta ar izstrādāto vienreizējā diskontētā maksājuma saņemšanas mehānismu, kas attiecināms gan uz Rīgas TEC-1 un Rīgas TEC-2, un no Eiropas Komisijas puses </w:t>
            </w:r>
            <w:r w:rsidR="00D35678">
              <w:rPr>
                <w:color w:val="000000" w:themeColor="text1"/>
              </w:rPr>
              <w:t>attiecībā uz TEC</w:t>
            </w:r>
            <w:r w:rsidR="00F408A7">
              <w:rPr>
                <w:color w:val="000000" w:themeColor="text1"/>
              </w:rPr>
              <w:t>-</w:t>
            </w:r>
            <w:r w:rsidR="00D35678">
              <w:rPr>
                <w:color w:val="000000" w:themeColor="text1"/>
              </w:rPr>
              <w:t xml:space="preserve">1 </w:t>
            </w:r>
            <w:r>
              <w:rPr>
                <w:color w:val="000000" w:themeColor="text1"/>
              </w:rPr>
              <w:t xml:space="preserve">netika saņemti pirmšķietami iebildumi par izstrādāto mehānismu </w:t>
            </w:r>
            <w:r w:rsidR="00D35678">
              <w:rPr>
                <w:color w:val="000000" w:themeColor="text1"/>
              </w:rPr>
              <w:t xml:space="preserve">, jo tas pamatā atbilst saskaņotās atbalsta lietas  </w:t>
            </w:r>
            <w:r w:rsidR="00D35678">
              <w:rPr>
                <w:color w:val="000000" w:themeColor="text1"/>
              </w:rPr>
              <w:lastRenderedPageBreak/>
              <w:t xml:space="preserve">SA.43149 (2015/NN) – Atbalsts elektroenerģijas ražotājiem – pamatprincipiem. </w:t>
            </w:r>
          </w:p>
          <w:p w:rsidR="00D35678" w:rsidRPr="002763E8" w:rsidRDefault="00F408A7" w:rsidP="00D35678">
            <w:pPr>
              <w:pStyle w:val="naiskr"/>
              <w:spacing w:before="120" w:beforeAutospacing="0" w:after="0" w:afterAutospacing="0"/>
              <w:jc w:val="both"/>
              <w:rPr>
                <w:color w:val="000000" w:themeColor="text1"/>
              </w:rPr>
            </w:pPr>
            <w:r>
              <w:rPr>
                <w:color w:val="000000" w:themeColor="text1"/>
              </w:rPr>
              <w:t xml:space="preserve">Šobrīd izstrādes noslēguma posmā esošo Rīgas </w:t>
            </w:r>
            <w:r w:rsidR="00D35678">
              <w:rPr>
                <w:color w:val="000000" w:themeColor="text1"/>
              </w:rPr>
              <w:t>TEC</w:t>
            </w:r>
            <w:r>
              <w:rPr>
                <w:color w:val="000000" w:themeColor="text1"/>
              </w:rPr>
              <w:t>-</w:t>
            </w:r>
            <w:r w:rsidR="00D35678">
              <w:rPr>
                <w:color w:val="000000" w:themeColor="text1"/>
              </w:rPr>
              <w:t xml:space="preserve">2 </w:t>
            </w:r>
            <w:r>
              <w:rPr>
                <w:color w:val="000000" w:themeColor="text1"/>
              </w:rPr>
              <w:t xml:space="preserve">notifikāciju paredzēts iesniegt Eiropas Komisijā </w:t>
            </w:r>
            <w:r w:rsidR="00D35678">
              <w:rPr>
                <w:color w:val="000000" w:themeColor="text1"/>
              </w:rPr>
              <w:t>līdz</w:t>
            </w:r>
            <w:r>
              <w:rPr>
                <w:color w:val="000000" w:themeColor="text1"/>
              </w:rPr>
              <w:t xml:space="preserve"> 2017. gada 30. novembrim.</w:t>
            </w:r>
          </w:p>
        </w:tc>
      </w:tr>
    </w:tbl>
    <w:p w:rsidR="001C1A2E" w:rsidRPr="002763E8"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6037"/>
      </w:tblGrid>
      <w:tr w:rsidR="0094759F" w:rsidRPr="002763E8" w:rsidTr="005008C6">
        <w:tc>
          <w:tcPr>
            <w:tcW w:w="9584" w:type="dxa"/>
            <w:gridSpan w:val="2"/>
            <w:vAlign w:val="center"/>
          </w:tcPr>
          <w:p w:rsidR="0094759F" w:rsidRPr="002763E8" w:rsidRDefault="0094759F" w:rsidP="008667DC">
            <w:pPr>
              <w:pStyle w:val="naisnod"/>
              <w:spacing w:before="0" w:beforeAutospacing="0" w:after="0" w:afterAutospacing="0"/>
              <w:jc w:val="center"/>
              <w:rPr>
                <w:b/>
                <w:color w:val="000000" w:themeColor="text1"/>
              </w:rPr>
            </w:pPr>
            <w:r w:rsidRPr="002763E8">
              <w:rPr>
                <w:b/>
                <w:color w:val="000000" w:themeColor="text1"/>
              </w:rPr>
              <w:t>II.  Tiesību akta projekta ietekme uz sabiedrību, tautsaimniecības attīstību un administratīvo slogu</w:t>
            </w:r>
          </w:p>
        </w:tc>
      </w:tr>
      <w:tr w:rsidR="0094759F" w:rsidRPr="002763E8" w:rsidTr="005008C6">
        <w:trPr>
          <w:trHeight w:val="281"/>
        </w:trPr>
        <w:tc>
          <w:tcPr>
            <w:tcW w:w="3547" w:type="dxa"/>
          </w:tcPr>
          <w:p w:rsidR="0094759F" w:rsidRPr="002763E8" w:rsidRDefault="0094759F" w:rsidP="008667DC">
            <w:pPr>
              <w:pStyle w:val="naiskr"/>
              <w:spacing w:before="0" w:beforeAutospacing="0" w:after="0" w:afterAutospacing="0"/>
              <w:ind w:hanging="10"/>
              <w:jc w:val="both"/>
              <w:rPr>
                <w:color w:val="000000" w:themeColor="text1"/>
              </w:rPr>
            </w:pPr>
            <w:r w:rsidRPr="002763E8">
              <w:rPr>
                <w:color w:val="000000" w:themeColor="text1"/>
              </w:rPr>
              <w:t>Sabiedrības mērķgrupas, kuras tiesiskais regulējums ietekmē vai varētu ietekmēt</w:t>
            </w:r>
          </w:p>
        </w:tc>
        <w:tc>
          <w:tcPr>
            <w:tcW w:w="6037" w:type="dxa"/>
          </w:tcPr>
          <w:p w:rsidR="00DB1DA9" w:rsidRDefault="007338E2" w:rsidP="003277A6">
            <w:pPr>
              <w:pStyle w:val="Default"/>
              <w:spacing w:after="120"/>
              <w:jc w:val="both"/>
              <w:rPr>
                <w:rFonts w:ascii="Times New Roman" w:hAnsi="Times New Roman"/>
                <w:color w:val="000000" w:themeColor="text1"/>
              </w:rPr>
            </w:pPr>
            <w:r>
              <w:rPr>
                <w:rFonts w:ascii="Times New Roman" w:hAnsi="Times New Roman"/>
                <w:color w:val="000000" w:themeColor="text1"/>
              </w:rPr>
              <w:t>Ministru kabineta rīkojums tiešā veidā attiecas uz a</w:t>
            </w:r>
            <w:r w:rsidR="005F272B">
              <w:rPr>
                <w:rFonts w:ascii="Times New Roman" w:hAnsi="Times New Roman"/>
                <w:color w:val="000000" w:themeColor="text1"/>
              </w:rPr>
              <w:t>kciju sabiedrīb</w:t>
            </w:r>
            <w:r>
              <w:rPr>
                <w:rFonts w:ascii="Times New Roman" w:hAnsi="Times New Roman"/>
                <w:color w:val="000000" w:themeColor="text1"/>
              </w:rPr>
              <w:t>u</w:t>
            </w:r>
            <w:r w:rsidR="00AF3B66">
              <w:rPr>
                <w:rFonts w:ascii="Times New Roman" w:hAnsi="Times New Roman"/>
                <w:color w:val="000000" w:themeColor="text1"/>
              </w:rPr>
              <w:t xml:space="preserve"> “Latvenergo”</w:t>
            </w:r>
            <w:r w:rsidR="0060359C" w:rsidRPr="002763E8">
              <w:rPr>
                <w:rFonts w:ascii="Times New Roman" w:hAnsi="Times New Roman"/>
                <w:color w:val="000000" w:themeColor="text1"/>
              </w:rPr>
              <w:t xml:space="preserve">, kas </w:t>
            </w:r>
            <w:r w:rsidR="00AF3B66">
              <w:rPr>
                <w:rFonts w:ascii="Times New Roman" w:hAnsi="Times New Roman"/>
                <w:color w:val="000000" w:themeColor="text1"/>
              </w:rPr>
              <w:t xml:space="preserve">ir </w:t>
            </w:r>
            <w:r w:rsidR="005F272B">
              <w:rPr>
                <w:rFonts w:ascii="Times New Roman" w:hAnsi="Times New Roman"/>
                <w:color w:val="000000" w:themeColor="text1"/>
              </w:rPr>
              <w:t>izmantoju</w:t>
            </w:r>
            <w:r w:rsidR="00AF3B66">
              <w:rPr>
                <w:rFonts w:ascii="Times New Roman" w:hAnsi="Times New Roman"/>
                <w:color w:val="000000" w:themeColor="text1"/>
              </w:rPr>
              <w:t>s</w:t>
            </w:r>
            <w:r w:rsidR="005F272B">
              <w:rPr>
                <w:rFonts w:ascii="Times New Roman" w:hAnsi="Times New Roman"/>
                <w:color w:val="000000" w:themeColor="text1"/>
              </w:rPr>
              <w:t>i</w:t>
            </w:r>
            <w:r w:rsidR="00EE719C">
              <w:rPr>
                <w:rFonts w:ascii="Times New Roman" w:hAnsi="Times New Roman"/>
                <w:color w:val="000000" w:themeColor="text1"/>
              </w:rPr>
              <w:t xml:space="preserve"> tiesības </w:t>
            </w:r>
            <w:r w:rsidR="00E714C0">
              <w:rPr>
                <w:rFonts w:ascii="Times New Roman" w:hAnsi="Times New Roman"/>
                <w:color w:val="000000" w:themeColor="text1"/>
              </w:rPr>
              <w:t xml:space="preserve">pieteikties </w:t>
            </w:r>
            <w:r w:rsidR="00154E78">
              <w:rPr>
                <w:rFonts w:ascii="Times New Roman" w:hAnsi="Times New Roman"/>
                <w:color w:val="000000" w:themeColor="text1"/>
              </w:rPr>
              <w:t>val</w:t>
            </w:r>
            <w:r w:rsidR="00E714C0">
              <w:rPr>
                <w:rFonts w:ascii="Times New Roman" w:hAnsi="Times New Roman"/>
                <w:color w:val="000000" w:themeColor="text1"/>
              </w:rPr>
              <w:t>sts garantētās maksas par koģenerācijas elektrostacijā uzstādīto elektrisko jaudu saistību samazināšanai, saņemot vienreizēju diskontētu maksājumu.</w:t>
            </w:r>
          </w:p>
          <w:p w:rsidR="00C87F02" w:rsidRPr="002763E8" w:rsidRDefault="007338E2" w:rsidP="00C87F02">
            <w:pPr>
              <w:pStyle w:val="Default"/>
              <w:spacing w:before="120" w:after="120"/>
              <w:jc w:val="both"/>
              <w:rPr>
                <w:rFonts w:ascii="Times New Roman" w:hAnsi="Times New Roman" w:cs="Times New Roman"/>
                <w:bCs/>
                <w:color w:val="000000" w:themeColor="text1"/>
              </w:rPr>
            </w:pPr>
            <w:r>
              <w:rPr>
                <w:rFonts w:ascii="Times New Roman" w:hAnsi="Times New Roman"/>
                <w:color w:val="000000" w:themeColor="text1"/>
              </w:rPr>
              <w:t>Ministru kabineta rīkojums netiešā veidā attiecas uz v</w:t>
            </w:r>
            <w:r w:rsidR="00712ABF">
              <w:rPr>
                <w:rFonts w:ascii="Times New Roman" w:hAnsi="Times New Roman"/>
                <w:color w:val="000000" w:themeColor="text1"/>
              </w:rPr>
              <w:t>isi</w:t>
            </w:r>
            <w:r>
              <w:rPr>
                <w:rFonts w:ascii="Times New Roman" w:hAnsi="Times New Roman"/>
                <w:color w:val="000000" w:themeColor="text1"/>
              </w:rPr>
              <w:t>em</w:t>
            </w:r>
            <w:r w:rsidR="00712ABF">
              <w:rPr>
                <w:rFonts w:ascii="Times New Roman" w:hAnsi="Times New Roman"/>
                <w:color w:val="000000" w:themeColor="text1"/>
              </w:rPr>
              <w:t xml:space="preserve"> e</w:t>
            </w:r>
            <w:r w:rsidR="00C87F02">
              <w:rPr>
                <w:rFonts w:ascii="Times New Roman" w:hAnsi="Times New Roman"/>
                <w:color w:val="000000" w:themeColor="text1"/>
              </w:rPr>
              <w:t>lektroenerģijas galapatērētāji</w:t>
            </w:r>
            <w:r>
              <w:rPr>
                <w:rFonts w:ascii="Times New Roman" w:hAnsi="Times New Roman"/>
                <w:color w:val="000000" w:themeColor="text1"/>
              </w:rPr>
              <w:t>em</w:t>
            </w:r>
            <w:r w:rsidR="00712ABF">
              <w:rPr>
                <w:rFonts w:ascii="Times New Roman" w:hAnsi="Times New Roman"/>
                <w:color w:val="000000" w:themeColor="text1"/>
              </w:rPr>
              <w:t>, ņemot vērā</w:t>
            </w:r>
            <w:r w:rsidR="00EF14DC">
              <w:rPr>
                <w:rFonts w:ascii="Times New Roman" w:hAnsi="Times New Roman"/>
                <w:color w:val="000000" w:themeColor="text1"/>
              </w:rPr>
              <w:t xml:space="preserve"> tā pozitīvo ietekmmi uz</w:t>
            </w:r>
            <w:r w:rsidR="00712ABF">
              <w:rPr>
                <w:rFonts w:ascii="Times New Roman" w:hAnsi="Times New Roman"/>
                <w:color w:val="000000" w:themeColor="text1"/>
              </w:rPr>
              <w:t xml:space="preserve"> OIK izmaksu samazinājumu</w:t>
            </w:r>
            <w:r w:rsidR="00EF14DC">
              <w:rPr>
                <w:rFonts w:ascii="Times New Roman" w:hAnsi="Times New Roman"/>
                <w:color w:val="000000" w:themeColor="text1"/>
              </w:rPr>
              <w:t xml:space="preserve"> un valsts budžeta līdzekļu ekonomiju</w:t>
            </w:r>
            <w:r w:rsidR="00C87F02">
              <w:rPr>
                <w:rFonts w:ascii="Times New Roman" w:hAnsi="Times New Roman"/>
                <w:color w:val="000000" w:themeColor="text1"/>
              </w:rPr>
              <w:t>.</w:t>
            </w:r>
          </w:p>
        </w:tc>
      </w:tr>
      <w:tr w:rsidR="0094759F" w:rsidRPr="002763E8" w:rsidTr="005008C6">
        <w:trPr>
          <w:trHeight w:val="280"/>
        </w:trPr>
        <w:tc>
          <w:tcPr>
            <w:tcW w:w="3547" w:type="dxa"/>
          </w:tcPr>
          <w:p w:rsidR="0094759F" w:rsidRPr="002763E8" w:rsidRDefault="0094759F" w:rsidP="008667DC">
            <w:pPr>
              <w:jc w:val="both"/>
              <w:rPr>
                <w:color w:val="000000" w:themeColor="text1"/>
              </w:rPr>
            </w:pPr>
            <w:r w:rsidRPr="002763E8">
              <w:rPr>
                <w:color w:val="000000" w:themeColor="text1"/>
              </w:rPr>
              <w:t>Tiesiskā regulējuma ietekme uz tautsaimniecību un administratīvo slogu</w:t>
            </w:r>
          </w:p>
        </w:tc>
        <w:tc>
          <w:tcPr>
            <w:tcW w:w="6037" w:type="dxa"/>
          </w:tcPr>
          <w:p w:rsidR="008667DC" w:rsidRDefault="007544E6" w:rsidP="003277A6">
            <w:pPr>
              <w:spacing w:after="120"/>
              <w:jc w:val="both"/>
              <w:rPr>
                <w:color w:val="000000" w:themeColor="text1"/>
              </w:rPr>
            </w:pPr>
            <w:r>
              <w:rPr>
                <w:color w:val="000000" w:themeColor="text1"/>
              </w:rPr>
              <w:t>Ministru kabineta</w:t>
            </w:r>
            <w:r w:rsidR="00AF3B66">
              <w:rPr>
                <w:color w:val="000000" w:themeColor="text1"/>
              </w:rPr>
              <w:t xml:space="preserve"> rīkojuma īstenošanas</w:t>
            </w:r>
            <w:r w:rsidR="00E10361" w:rsidRPr="002763E8">
              <w:rPr>
                <w:color w:val="000000" w:themeColor="text1"/>
              </w:rPr>
              <w:t xml:space="preserve"> rezultātā tiks </w:t>
            </w:r>
            <w:r w:rsidR="00473818">
              <w:rPr>
                <w:color w:val="000000" w:themeColor="text1"/>
              </w:rPr>
              <w:t>samazināts valsts atbalsts</w:t>
            </w:r>
            <w:r w:rsidR="009E12DE">
              <w:rPr>
                <w:color w:val="000000" w:themeColor="text1"/>
              </w:rPr>
              <w:t xml:space="preserve"> elektroenerģijas ražotājiem</w:t>
            </w:r>
            <w:r w:rsidR="00DB320D">
              <w:rPr>
                <w:color w:val="000000" w:themeColor="text1"/>
              </w:rPr>
              <w:t>, kas saņem garantēto maksu par elektrostacijā uzstādīto elektrisko jaudu</w:t>
            </w:r>
            <w:r w:rsidR="00B264E6">
              <w:rPr>
                <w:color w:val="000000" w:themeColor="text1"/>
              </w:rPr>
              <w:t>.</w:t>
            </w:r>
            <w:r w:rsidR="00925943">
              <w:rPr>
                <w:color w:val="000000" w:themeColor="text1"/>
              </w:rPr>
              <w:t xml:space="preserve"> </w:t>
            </w:r>
            <w:r w:rsidR="00B264E6">
              <w:rPr>
                <w:color w:val="000000" w:themeColor="text1"/>
              </w:rPr>
              <w:t>V</w:t>
            </w:r>
            <w:r w:rsidR="00925943">
              <w:rPr>
                <w:color w:val="000000" w:themeColor="text1"/>
              </w:rPr>
              <w:t>ienlaikus</w:t>
            </w:r>
            <w:r w:rsidR="004775F8">
              <w:rPr>
                <w:color w:val="000000" w:themeColor="text1"/>
              </w:rPr>
              <w:t xml:space="preserve">, ņemot vērā vidējās OIK vērtības </w:t>
            </w:r>
            <w:r w:rsidR="0000770B">
              <w:rPr>
                <w:color w:val="000000" w:themeColor="text1"/>
              </w:rPr>
              <w:t xml:space="preserve">prognozēto </w:t>
            </w:r>
            <w:r w:rsidR="004775F8">
              <w:rPr>
                <w:color w:val="000000" w:themeColor="text1"/>
              </w:rPr>
              <w:t>samazināšanos par 1</w:t>
            </w:r>
            <w:r w:rsidR="00B420D8">
              <w:rPr>
                <w:color w:val="000000" w:themeColor="text1"/>
              </w:rPr>
              <w:t>,00</w:t>
            </w:r>
            <w:r w:rsidR="004775F8">
              <w:rPr>
                <w:color w:val="000000" w:themeColor="text1"/>
              </w:rPr>
              <w:t> EUR/MWh 2018. gadā un 2019. gadā</w:t>
            </w:r>
            <w:r w:rsidR="004033C6">
              <w:rPr>
                <w:color w:val="000000" w:themeColor="text1"/>
              </w:rPr>
              <w:t xml:space="preserve"> līdz 25,79 EUR/MWh un </w:t>
            </w:r>
            <w:r w:rsidR="004A0029">
              <w:rPr>
                <w:color w:val="000000" w:themeColor="text1"/>
              </w:rPr>
              <w:t xml:space="preserve">sekojoši vēl par 0,87 EUR/MWh </w:t>
            </w:r>
            <w:r w:rsidR="000451E4">
              <w:rPr>
                <w:color w:val="000000" w:themeColor="text1"/>
              </w:rPr>
              <w:t>līdz 24,92 EUR/MWh 2020. gadā</w:t>
            </w:r>
            <w:r w:rsidR="004775F8">
              <w:rPr>
                <w:color w:val="000000" w:themeColor="text1"/>
              </w:rPr>
              <w:t>,</w:t>
            </w:r>
            <w:r w:rsidR="00925943">
              <w:rPr>
                <w:color w:val="000000" w:themeColor="text1"/>
              </w:rPr>
              <w:t xml:space="preserve"> </w:t>
            </w:r>
            <w:r w:rsidR="00B264E6">
              <w:rPr>
                <w:color w:val="000000" w:themeColor="text1"/>
              </w:rPr>
              <w:t xml:space="preserve">tiks </w:t>
            </w:r>
            <w:r w:rsidR="00925943">
              <w:rPr>
                <w:color w:val="000000" w:themeColor="text1"/>
              </w:rPr>
              <w:t>nodrošin</w:t>
            </w:r>
            <w:r w:rsidR="00B264E6">
              <w:rPr>
                <w:color w:val="000000" w:themeColor="text1"/>
              </w:rPr>
              <w:t>ā</w:t>
            </w:r>
            <w:r w:rsidR="00925943">
              <w:rPr>
                <w:color w:val="000000" w:themeColor="text1"/>
              </w:rPr>
              <w:t>t</w:t>
            </w:r>
            <w:r w:rsidR="00B264E6">
              <w:rPr>
                <w:color w:val="000000" w:themeColor="text1"/>
              </w:rPr>
              <w:t>a</w:t>
            </w:r>
            <w:r w:rsidR="00925943">
              <w:rPr>
                <w:color w:val="000000" w:themeColor="text1"/>
              </w:rPr>
              <w:t xml:space="preserve"> </w:t>
            </w:r>
            <w:r w:rsidR="006D3A70">
              <w:rPr>
                <w:color w:val="000000" w:themeColor="text1"/>
              </w:rPr>
              <w:t>elektroenerģijas galapatēriņa izmaksu pazemināšan</w:t>
            </w:r>
            <w:r w:rsidR="00B264E6">
              <w:rPr>
                <w:color w:val="000000" w:themeColor="text1"/>
              </w:rPr>
              <w:t>ā</w:t>
            </w:r>
            <w:r w:rsidR="006D3A70">
              <w:rPr>
                <w:color w:val="000000" w:themeColor="text1"/>
              </w:rPr>
              <w:t xml:space="preserve">s un </w:t>
            </w:r>
            <w:r w:rsidR="005C4912">
              <w:rPr>
                <w:color w:val="000000" w:themeColor="text1"/>
              </w:rPr>
              <w:t>iespēj</w:t>
            </w:r>
            <w:r w:rsidR="00B264E6">
              <w:rPr>
                <w:color w:val="000000" w:themeColor="text1"/>
              </w:rPr>
              <w:t>a</w:t>
            </w:r>
            <w:r w:rsidR="005C4912">
              <w:rPr>
                <w:color w:val="000000" w:themeColor="text1"/>
              </w:rPr>
              <w:t xml:space="preserve"> </w:t>
            </w:r>
            <w:r w:rsidR="0062563C">
              <w:rPr>
                <w:color w:val="000000" w:themeColor="text1"/>
              </w:rPr>
              <w:t xml:space="preserve">daļu no </w:t>
            </w:r>
            <w:r w:rsidR="005C4912">
              <w:rPr>
                <w:color w:val="000000" w:themeColor="text1"/>
              </w:rPr>
              <w:t>iepriek</w:t>
            </w:r>
            <w:r w:rsidR="0062563C">
              <w:rPr>
                <w:color w:val="000000" w:themeColor="text1"/>
              </w:rPr>
              <w:t>š valsts atbalstam izmantotiem</w:t>
            </w:r>
            <w:r w:rsidR="005C4912">
              <w:rPr>
                <w:color w:val="000000" w:themeColor="text1"/>
              </w:rPr>
              <w:t xml:space="preserve"> budžeta līdzek</w:t>
            </w:r>
            <w:r w:rsidR="00066836">
              <w:rPr>
                <w:color w:val="000000" w:themeColor="text1"/>
              </w:rPr>
              <w:t>ļiem</w:t>
            </w:r>
            <w:r w:rsidR="005C4912">
              <w:rPr>
                <w:color w:val="000000" w:themeColor="text1"/>
              </w:rPr>
              <w:t xml:space="preserve"> novirzīt vispārējām budžeta vajadzībām</w:t>
            </w:r>
            <w:r w:rsidR="009E12DE">
              <w:rPr>
                <w:color w:val="000000" w:themeColor="text1"/>
              </w:rPr>
              <w:t>.</w:t>
            </w:r>
          </w:p>
          <w:p w:rsidR="001D4FCD" w:rsidRPr="002763E8" w:rsidRDefault="001D4FCD" w:rsidP="003277A6">
            <w:pPr>
              <w:spacing w:after="120"/>
              <w:jc w:val="both"/>
              <w:rPr>
                <w:color w:val="000000" w:themeColor="text1"/>
              </w:rPr>
            </w:pPr>
            <w:r>
              <w:rPr>
                <w:color w:val="000000" w:themeColor="text1"/>
              </w:rPr>
              <w:t xml:space="preserve">Paredzams, ka Ministru kabineta rīkojuma pieņemšanas rezultātā sabiedrības grupām un institūcijām </w:t>
            </w:r>
            <w:r w:rsidR="00EF6391">
              <w:rPr>
                <w:color w:val="000000" w:themeColor="text1"/>
              </w:rPr>
              <w:t xml:space="preserve">kopumā </w:t>
            </w:r>
            <w:r>
              <w:rPr>
                <w:color w:val="000000" w:themeColor="text1"/>
              </w:rPr>
              <w:t>administratīvais slogs nemainās, jo ar tā pieņemšanu netiek radītas jaunas papildus darbības.</w:t>
            </w:r>
          </w:p>
        </w:tc>
      </w:tr>
      <w:tr w:rsidR="0094759F" w:rsidRPr="002763E8" w:rsidTr="005008C6">
        <w:trPr>
          <w:trHeight w:val="481"/>
        </w:trPr>
        <w:tc>
          <w:tcPr>
            <w:tcW w:w="3547" w:type="dxa"/>
          </w:tcPr>
          <w:p w:rsidR="0094759F" w:rsidRPr="00BF4E15" w:rsidRDefault="0094759F" w:rsidP="008667DC">
            <w:pPr>
              <w:jc w:val="both"/>
              <w:rPr>
                <w:color w:val="000000" w:themeColor="text1"/>
              </w:rPr>
            </w:pPr>
            <w:r w:rsidRPr="002763E8">
              <w:rPr>
                <w:color w:val="000000" w:themeColor="text1"/>
              </w:rPr>
              <w:t xml:space="preserve">Administratīvo izmaksu monetārs </w:t>
            </w:r>
            <w:r w:rsidRPr="00187D7E">
              <w:rPr>
                <w:color w:val="000000" w:themeColor="text1"/>
              </w:rPr>
              <w:t>novērtējums</w:t>
            </w:r>
          </w:p>
        </w:tc>
        <w:tc>
          <w:tcPr>
            <w:tcW w:w="6037" w:type="dxa"/>
          </w:tcPr>
          <w:p w:rsidR="00F2130A" w:rsidRPr="00187D7E" w:rsidRDefault="004F0D4A" w:rsidP="004068A0">
            <w:pPr>
              <w:spacing w:before="120" w:after="120"/>
              <w:jc w:val="both"/>
              <w:rPr>
                <w:color w:val="000000" w:themeColor="text1"/>
              </w:rPr>
            </w:pPr>
            <w:r w:rsidRPr="00B260D5">
              <w:t>Projekts šo jomu neskar</w:t>
            </w:r>
          </w:p>
        </w:tc>
      </w:tr>
      <w:tr w:rsidR="0094759F" w:rsidRPr="002763E8" w:rsidTr="005008C6">
        <w:trPr>
          <w:trHeight w:val="274"/>
        </w:trPr>
        <w:tc>
          <w:tcPr>
            <w:tcW w:w="3547" w:type="dxa"/>
          </w:tcPr>
          <w:p w:rsidR="0094759F" w:rsidRPr="002763E8" w:rsidRDefault="0094759F" w:rsidP="008667DC">
            <w:pPr>
              <w:jc w:val="both"/>
              <w:rPr>
                <w:color w:val="000000" w:themeColor="text1"/>
              </w:rPr>
            </w:pPr>
            <w:r w:rsidRPr="002763E8">
              <w:rPr>
                <w:color w:val="000000" w:themeColor="text1"/>
              </w:rPr>
              <w:t>Cita informācija</w:t>
            </w:r>
          </w:p>
        </w:tc>
        <w:tc>
          <w:tcPr>
            <w:tcW w:w="6037" w:type="dxa"/>
          </w:tcPr>
          <w:p w:rsidR="0094759F" w:rsidRPr="002763E8" w:rsidRDefault="00F2130A" w:rsidP="007422D8">
            <w:pPr>
              <w:spacing w:before="120"/>
              <w:jc w:val="both"/>
              <w:rPr>
                <w:color w:val="000000" w:themeColor="text1"/>
              </w:rPr>
            </w:pPr>
            <w:r w:rsidRPr="002763E8">
              <w:rPr>
                <w:color w:val="000000" w:themeColor="text1"/>
              </w:rPr>
              <w:t>Nav.</w:t>
            </w:r>
          </w:p>
        </w:tc>
      </w:tr>
    </w:tbl>
    <w:p w:rsidR="001041EC" w:rsidRDefault="001041EC" w:rsidP="008667DC">
      <w:pPr>
        <w:rPr>
          <w:color w:val="000000" w:themeColor="text1"/>
        </w:rPr>
      </w:pPr>
    </w:p>
    <w:tbl>
      <w:tblPr>
        <w:tblW w:w="5235"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0"/>
      </w:tblGrid>
      <w:tr w:rsidR="00E74762" w:rsidRPr="002763E8" w:rsidTr="004744C5">
        <w:trPr>
          <w:trHeight w:val="36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III. Tiesību akta projekta ietekme uz valsts budžetu un pašvaldību budžetiem</w:t>
            </w:r>
          </w:p>
        </w:tc>
      </w:tr>
      <w:tr w:rsidR="008F0454" w:rsidRPr="002763E8" w:rsidTr="004744C5">
        <w:trPr>
          <w:trHeight w:val="36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F0454" w:rsidRPr="002763E8" w:rsidRDefault="008F0454" w:rsidP="000056F9">
            <w:pPr>
              <w:pStyle w:val="tvhtml"/>
              <w:spacing w:before="0" w:beforeAutospacing="0" w:after="0" w:afterAutospacing="0"/>
              <w:jc w:val="center"/>
              <w:rPr>
                <w:b/>
                <w:bCs/>
                <w:color w:val="000000" w:themeColor="text1"/>
              </w:rPr>
            </w:pPr>
            <w:r w:rsidRPr="00B260D5">
              <w:t>Projekts šo jomu neskar</w:t>
            </w:r>
          </w:p>
        </w:tc>
      </w:tr>
    </w:tbl>
    <w:p w:rsidR="00AC7797" w:rsidRPr="00573641" w:rsidRDefault="00AC7797" w:rsidP="008667DC">
      <w:pPr>
        <w:rPr>
          <w:color w:val="000000" w:themeColor="text1"/>
        </w:rPr>
      </w:pPr>
    </w:p>
    <w:tbl>
      <w:tblPr>
        <w:tblW w:w="5164"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00"/>
      </w:tblGrid>
      <w:tr w:rsidR="003B25B4" w:rsidRPr="00C117EF" w:rsidTr="00495079">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B25B4" w:rsidRPr="00C117EF" w:rsidRDefault="003B25B4" w:rsidP="00495079">
            <w:pPr>
              <w:pStyle w:val="tvhtml"/>
              <w:spacing w:line="293" w:lineRule="atLeast"/>
              <w:jc w:val="center"/>
              <w:rPr>
                <w:b/>
                <w:bCs/>
              </w:rPr>
            </w:pPr>
            <w:r w:rsidRPr="00C117EF">
              <w:rPr>
                <w:b/>
                <w:bCs/>
              </w:rPr>
              <w:t>IV. Tiesību akta projekta ietekme uz spēkā esošo tiesību normu sistēmu</w:t>
            </w:r>
          </w:p>
        </w:tc>
      </w:tr>
      <w:tr w:rsidR="00006184" w:rsidRPr="00C117EF" w:rsidTr="00006184">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006184" w:rsidRPr="00C117EF" w:rsidRDefault="00A04CE3" w:rsidP="0034342E">
            <w:pPr>
              <w:jc w:val="center"/>
            </w:pPr>
            <w:r>
              <w:t>Projekts šo jomu neskar</w:t>
            </w:r>
          </w:p>
        </w:tc>
      </w:tr>
    </w:tbl>
    <w:p w:rsidR="008A6DB9" w:rsidRPr="002763E8" w:rsidRDefault="008A6DB9" w:rsidP="008667DC">
      <w:pPr>
        <w:rPr>
          <w:color w:val="000000" w:themeColor="text1"/>
        </w:rPr>
      </w:pPr>
    </w:p>
    <w:tbl>
      <w:tblPr>
        <w:tblStyle w:val="TableGrid"/>
        <w:tblW w:w="9498" w:type="dxa"/>
        <w:tblInd w:w="-147" w:type="dxa"/>
        <w:tblLook w:val="04A0" w:firstRow="1" w:lastRow="0" w:firstColumn="1" w:lastColumn="0" w:noHBand="0" w:noVBand="1"/>
      </w:tblPr>
      <w:tblGrid>
        <w:gridCol w:w="402"/>
        <w:gridCol w:w="3141"/>
        <w:gridCol w:w="5955"/>
      </w:tblGrid>
      <w:tr w:rsidR="00E74762" w:rsidRPr="002763E8" w:rsidTr="000D664C">
        <w:trPr>
          <w:trHeight w:val="275"/>
        </w:trPr>
        <w:tc>
          <w:tcPr>
            <w:tcW w:w="9498" w:type="dxa"/>
            <w:gridSpan w:val="3"/>
          </w:tcPr>
          <w:p w:rsidR="00E74762" w:rsidRPr="002763E8" w:rsidRDefault="00E74762" w:rsidP="000056F9">
            <w:pPr>
              <w:jc w:val="center"/>
              <w:rPr>
                <w:b/>
                <w:color w:val="000000" w:themeColor="text1"/>
              </w:rPr>
            </w:pPr>
            <w:r w:rsidRPr="002763E8">
              <w:rPr>
                <w:b/>
                <w:color w:val="000000" w:themeColor="text1"/>
              </w:rPr>
              <w:t>V. Tiesību akta projekta atbilstība Latvijas Republikas starptautiskajām saistībām</w:t>
            </w:r>
          </w:p>
        </w:tc>
      </w:tr>
      <w:tr w:rsidR="00E74762" w:rsidRPr="002763E8" w:rsidTr="000D664C">
        <w:trPr>
          <w:trHeight w:val="540"/>
        </w:trPr>
        <w:tc>
          <w:tcPr>
            <w:tcW w:w="402" w:type="dxa"/>
          </w:tcPr>
          <w:p w:rsidR="00E74762" w:rsidRPr="002763E8" w:rsidRDefault="00E74762" w:rsidP="000056F9">
            <w:pPr>
              <w:rPr>
                <w:color w:val="000000" w:themeColor="text1"/>
              </w:rPr>
            </w:pPr>
            <w:r w:rsidRPr="002763E8">
              <w:rPr>
                <w:color w:val="000000" w:themeColor="text1"/>
              </w:rPr>
              <w:t>1.</w:t>
            </w:r>
          </w:p>
        </w:tc>
        <w:tc>
          <w:tcPr>
            <w:tcW w:w="3141" w:type="dxa"/>
          </w:tcPr>
          <w:p w:rsidR="00E74762" w:rsidRPr="002763E8" w:rsidRDefault="00E74762" w:rsidP="000056F9">
            <w:pPr>
              <w:rPr>
                <w:color w:val="000000" w:themeColor="text1"/>
              </w:rPr>
            </w:pPr>
            <w:r w:rsidRPr="002763E8">
              <w:rPr>
                <w:color w:val="000000" w:themeColor="text1"/>
              </w:rPr>
              <w:t>Saistības pret Eiropas Savienību</w:t>
            </w:r>
          </w:p>
        </w:tc>
        <w:tc>
          <w:tcPr>
            <w:tcW w:w="5955" w:type="dxa"/>
          </w:tcPr>
          <w:p w:rsidR="00E74762" w:rsidRPr="00656C16" w:rsidRDefault="00A644BE" w:rsidP="000056F9">
            <w:r w:rsidRPr="00656C16">
              <w:rPr>
                <w:shd w:val="clear" w:color="auto" w:fill="FFFFFF"/>
              </w:rPr>
              <w:t>Projekts šo jomu neskar</w:t>
            </w:r>
          </w:p>
        </w:tc>
      </w:tr>
      <w:tr w:rsidR="00E74762" w:rsidRPr="002763E8" w:rsidTr="000D664C">
        <w:trPr>
          <w:trHeight w:val="265"/>
        </w:trPr>
        <w:tc>
          <w:tcPr>
            <w:tcW w:w="402" w:type="dxa"/>
          </w:tcPr>
          <w:p w:rsidR="00E74762" w:rsidRPr="002763E8" w:rsidRDefault="00E74762" w:rsidP="000056F9">
            <w:pPr>
              <w:rPr>
                <w:color w:val="000000" w:themeColor="text1"/>
              </w:rPr>
            </w:pPr>
            <w:r w:rsidRPr="002763E8">
              <w:rPr>
                <w:color w:val="000000" w:themeColor="text1"/>
              </w:rPr>
              <w:lastRenderedPageBreak/>
              <w:t>2.</w:t>
            </w:r>
          </w:p>
        </w:tc>
        <w:tc>
          <w:tcPr>
            <w:tcW w:w="3141" w:type="dxa"/>
          </w:tcPr>
          <w:p w:rsidR="00E74762" w:rsidRPr="002763E8" w:rsidRDefault="00E74762" w:rsidP="000056F9">
            <w:pPr>
              <w:rPr>
                <w:color w:val="000000" w:themeColor="text1"/>
              </w:rPr>
            </w:pPr>
            <w:r w:rsidRPr="002763E8">
              <w:rPr>
                <w:color w:val="000000" w:themeColor="text1"/>
              </w:rPr>
              <w:t>Citas starptautiskās saistības</w:t>
            </w:r>
          </w:p>
        </w:tc>
        <w:tc>
          <w:tcPr>
            <w:tcW w:w="5955" w:type="dxa"/>
          </w:tcPr>
          <w:p w:rsidR="00E74762" w:rsidRPr="00656C16" w:rsidRDefault="00A644BE" w:rsidP="000056F9">
            <w:r w:rsidRPr="00656C16">
              <w:rPr>
                <w:shd w:val="clear" w:color="auto" w:fill="FFFFFF"/>
              </w:rPr>
              <w:t>Projekts šo jomu neskar</w:t>
            </w:r>
            <w:r w:rsidRPr="00656C16" w:rsidDel="00A644BE">
              <w:t xml:space="preserve"> </w:t>
            </w:r>
          </w:p>
        </w:tc>
      </w:tr>
      <w:tr w:rsidR="00E74762" w:rsidRPr="002763E8" w:rsidTr="00DE02DA">
        <w:trPr>
          <w:trHeight w:val="1616"/>
        </w:trPr>
        <w:tc>
          <w:tcPr>
            <w:tcW w:w="402" w:type="dxa"/>
          </w:tcPr>
          <w:p w:rsidR="00E74762" w:rsidRPr="002763E8" w:rsidRDefault="00E74762" w:rsidP="000056F9">
            <w:pPr>
              <w:rPr>
                <w:color w:val="000000" w:themeColor="text1"/>
              </w:rPr>
            </w:pPr>
            <w:r w:rsidRPr="002763E8">
              <w:rPr>
                <w:color w:val="000000" w:themeColor="text1"/>
              </w:rPr>
              <w:t>3.</w:t>
            </w:r>
          </w:p>
        </w:tc>
        <w:tc>
          <w:tcPr>
            <w:tcW w:w="3141" w:type="dxa"/>
          </w:tcPr>
          <w:p w:rsidR="00E74762" w:rsidRPr="002763E8" w:rsidRDefault="00E74762" w:rsidP="000056F9">
            <w:pPr>
              <w:rPr>
                <w:color w:val="000000" w:themeColor="text1"/>
              </w:rPr>
            </w:pPr>
            <w:r w:rsidRPr="002763E8">
              <w:rPr>
                <w:color w:val="000000" w:themeColor="text1"/>
              </w:rPr>
              <w:t>Cita informācija</w:t>
            </w:r>
          </w:p>
        </w:tc>
        <w:tc>
          <w:tcPr>
            <w:tcW w:w="5955" w:type="dxa"/>
          </w:tcPr>
          <w:p w:rsidR="00E74762" w:rsidRPr="002763E8" w:rsidRDefault="00D66781" w:rsidP="000056F9">
            <w:pPr>
              <w:jc w:val="both"/>
              <w:rPr>
                <w:color w:val="000000" w:themeColor="text1"/>
              </w:rPr>
            </w:pPr>
            <w:r>
              <w:rPr>
                <w:color w:val="000000" w:themeColor="text1"/>
              </w:rPr>
              <w:t>Rīkojuma</w:t>
            </w:r>
            <w:r w:rsidR="00E74762" w:rsidRPr="002763E8">
              <w:rPr>
                <w:color w:val="000000" w:themeColor="text1"/>
              </w:rPr>
              <w:t xml:space="preserve"> projekts ievēro </w:t>
            </w:r>
            <w:r w:rsidR="00251C2D" w:rsidRPr="002763E8">
              <w:rPr>
                <w:color w:val="000000" w:themeColor="text1"/>
              </w:rPr>
              <w:t>EK</w:t>
            </w:r>
            <w:r w:rsidR="00E74762" w:rsidRPr="002763E8">
              <w:rPr>
                <w:color w:val="000000" w:themeColor="text1"/>
              </w:rPr>
              <w:t xml:space="preserve"> paziņojumā “</w:t>
            </w:r>
            <w:r w:rsidR="00251C2D" w:rsidRPr="002763E8">
              <w:rPr>
                <w:color w:val="000000" w:themeColor="text1"/>
              </w:rPr>
              <w:t>Kopienas pamatnostādnes par valsts atbalstu vides aizsardzībai” (ES OV C/82</w:t>
            </w:r>
            <w:r w:rsidR="00E74762" w:rsidRPr="002763E8">
              <w:rPr>
                <w:color w:val="000000" w:themeColor="text1"/>
              </w:rPr>
              <w:t xml:space="preserve">, </w:t>
            </w:r>
            <w:r w:rsidR="00251C2D" w:rsidRPr="002763E8">
              <w:rPr>
                <w:color w:val="000000" w:themeColor="text1"/>
              </w:rPr>
              <w:t>01.04.2008.</w:t>
            </w:r>
            <w:r w:rsidR="00E74762" w:rsidRPr="002763E8">
              <w:rPr>
                <w:color w:val="000000" w:themeColor="text1"/>
              </w:rPr>
              <w:t xml:space="preserve">) izklāstītos nosacījumus, atbilstoši kuriem atbalstu </w:t>
            </w:r>
            <w:r w:rsidR="00251C2D" w:rsidRPr="002763E8">
              <w:rPr>
                <w:color w:val="000000" w:themeColor="text1"/>
              </w:rPr>
              <w:t>v</w:t>
            </w:r>
            <w:r w:rsidR="00E74762" w:rsidRPr="002763E8">
              <w:rPr>
                <w:color w:val="000000" w:themeColor="text1"/>
              </w:rPr>
              <w:t xml:space="preserve">ides jomā var uzskatīt par saderīgu ar iekšējo tirgu saskaņā ar </w:t>
            </w:r>
            <w:r w:rsidR="00251C2D" w:rsidRPr="002763E8">
              <w:rPr>
                <w:color w:val="000000" w:themeColor="text1"/>
              </w:rPr>
              <w:t>EK l</w:t>
            </w:r>
            <w:r w:rsidR="00E74762" w:rsidRPr="002763E8">
              <w:rPr>
                <w:color w:val="000000" w:themeColor="text1"/>
              </w:rPr>
              <w:t xml:space="preserve">īguma </w:t>
            </w:r>
            <w:r w:rsidR="00251C2D" w:rsidRPr="002763E8">
              <w:rPr>
                <w:color w:val="000000" w:themeColor="text1"/>
              </w:rPr>
              <w:t xml:space="preserve">87.panta 3.punkta </w:t>
            </w:r>
            <w:r w:rsidR="00E74762" w:rsidRPr="002763E8">
              <w:rPr>
                <w:color w:val="000000" w:themeColor="text1"/>
              </w:rPr>
              <w:t>c)</w:t>
            </w:r>
            <w:r>
              <w:rPr>
                <w:color w:val="000000" w:themeColor="text1"/>
              </w:rPr>
              <w:t> </w:t>
            </w:r>
            <w:r w:rsidR="00E74762" w:rsidRPr="002763E8">
              <w:rPr>
                <w:color w:val="000000" w:themeColor="text1"/>
              </w:rPr>
              <w:t xml:space="preserve">apakšpunktam. </w:t>
            </w:r>
          </w:p>
        </w:tc>
      </w:tr>
    </w:tbl>
    <w:p w:rsidR="00E74762" w:rsidRPr="002763E8" w:rsidRDefault="00E74762" w:rsidP="008667DC">
      <w:pPr>
        <w:rPr>
          <w:color w:val="000000" w:themeColor="text1"/>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982"/>
        <w:gridCol w:w="6088"/>
      </w:tblGrid>
      <w:tr w:rsidR="000056F9" w:rsidRPr="002763E8" w:rsidTr="001E1CB2">
        <w:trPr>
          <w:trHeight w:val="281"/>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056F9" w:rsidRPr="002763E8" w:rsidRDefault="000056F9" w:rsidP="000056F9">
            <w:pPr>
              <w:pStyle w:val="tvhtml"/>
              <w:spacing w:line="293" w:lineRule="atLeast"/>
              <w:jc w:val="center"/>
              <w:rPr>
                <w:b/>
                <w:bCs/>
                <w:color w:val="000000" w:themeColor="text1"/>
              </w:rPr>
            </w:pPr>
            <w:r w:rsidRPr="002763E8">
              <w:rPr>
                <w:b/>
                <w:bCs/>
                <w:color w:val="000000" w:themeColor="text1"/>
              </w:rPr>
              <w:t>VI. Sabiedrības līdzdalība un komunikācijas aktivitātes</w:t>
            </w:r>
          </w:p>
        </w:tc>
      </w:tr>
      <w:tr w:rsidR="000056F9" w:rsidRPr="002763E8" w:rsidTr="001E1CB2">
        <w:trPr>
          <w:trHeight w:val="97"/>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0056F9" w:rsidP="000056F9">
            <w:pPr>
              <w:rPr>
                <w:color w:val="000000" w:themeColor="text1"/>
              </w:rPr>
            </w:pPr>
            <w:r w:rsidRPr="002763E8">
              <w:rPr>
                <w:color w:val="000000" w:themeColor="text1"/>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0056F9" w:rsidP="000056F9">
            <w:pPr>
              <w:rPr>
                <w:color w:val="000000" w:themeColor="text1"/>
              </w:rPr>
            </w:pPr>
            <w:r w:rsidRPr="002763E8">
              <w:rPr>
                <w:color w:val="000000" w:themeColor="text1"/>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6E2F36" w:rsidRDefault="00B10229" w:rsidP="001C4F02">
            <w:pPr>
              <w:jc w:val="both"/>
              <w:rPr>
                <w:color w:val="000000" w:themeColor="text1"/>
              </w:rPr>
            </w:pPr>
            <w:r>
              <w:rPr>
                <w:color w:val="000000" w:themeColor="text1"/>
              </w:rPr>
              <w:t xml:space="preserve">Sabiedrība informēta par </w:t>
            </w:r>
            <w:r w:rsidR="00501C5E">
              <w:rPr>
                <w:color w:val="000000" w:themeColor="text1"/>
              </w:rPr>
              <w:t>Ministru kabineta</w:t>
            </w:r>
            <w:r>
              <w:rPr>
                <w:color w:val="000000" w:themeColor="text1"/>
              </w:rPr>
              <w:t xml:space="preserve"> rīkojuma</w:t>
            </w:r>
            <w:r w:rsidR="000056F9" w:rsidRPr="002763E8">
              <w:rPr>
                <w:color w:val="000000" w:themeColor="text1"/>
              </w:rPr>
              <w:t xml:space="preserve"> projekt</w:t>
            </w:r>
            <w:r>
              <w:rPr>
                <w:color w:val="000000" w:themeColor="text1"/>
              </w:rPr>
              <w:t>a izstrādi</w:t>
            </w:r>
            <w:r w:rsidR="00167831">
              <w:rPr>
                <w:color w:val="000000" w:themeColor="text1"/>
              </w:rPr>
              <w:t xml:space="preserve"> </w:t>
            </w:r>
            <w:r>
              <w:rPr>
                <w:color w:val="000000" w:themeColor="text1"/>
              </w:rPr>
              <w:t xml:space="preserve">gan </w:t>
            </w:r>
            <w:r w:rsidR="00167831">
              <w:rPr>
                <w:color w:val="000000" w:themeColor="text1"/>
              </w:rPr>
              <w:t>ņemot vērā 2017. gadā notikušās konsultācijas par konceptuālo ziņojumu “Kompleksi pasākumi elek</w:t>
            </w:r>
            <w:r>
              <w:rPr>
                <w:color w:val="000000" w:themeColor="text1"/>
              </w:rPr>
              <w:t xml:space="preserve">troenerģijas tirgus attīstībai”, gan arī ņemot vērā 2010. gada 3. oktobrī veiktos grozījumus </w:t>
            </w:r>
            <w:r w:rsidR="00501C5E">
              <w:t>Ministru kabineta</w:t>
            </w:r>
            <w:r w:rsidR="00501C5E" w:rsidRPr="00016593">
              <w:t xml:space="preserve"> n</w:t>
            </w:r>
            <w:r>
              <w:rPr>
                <w:color w:val="000000" w:themeColor="text1"/>
              </w:rPr>
              <w:t>oteikumos Nr. 221.</w:t>
            </w:r>
          </w:p>
        </w:tc>
      </w:tr>
      <w:tr w:rsidR="000056F9" w:rsidRPr="002763E8" w:rsidTr="001E1CB2">
        <w:trPr>
          <w:trHeight w:val="33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0056F9" w:rsidP="000056F9">
            <w:pPr>
              <w:rPr>
                <w:color w:val="000000" w:themeColor="text1"/>
              </w:rPr>
            </w:pPr>
            <w:r w:rsidRPr="002763E8">
              <w:rPr>
                <w:color w:val="000000" w:themeColor="text1"/>
              </w:rPr>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0056F9" w:rsidP="000056F9">
            <w:pPr>
              <w:rPr>
                <w:color w:val="000000" w:themeColor="text1"/>
              </w:rPr>
            </w:pPr>
            <w:r w:rsidRPr="002763E8">
              <w:rPr>
                <w:color w:val="000000" w:themeColor="text1"/>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BF1F46" w:rsidRDefault="007520E6" w:rsidP="00BF1F46">
            <w:pPr>
              <w:jc w:val="both"/>
            </w:pPr>
            <w:r w:rsidRPr="002763E8">
              <w:rPr>
                <w:color w:val="000000" w:themeColor="text1"/>
              </w:rPr>
              <w:t xml:space="preserve">Sabiedrība informēta par </w:t>
            </w:r>
            <w:r w:rsidR="00501C5E">
              <w:rPr>
                <w:color w:val="000000" w:themeColor="text1"/>
              </w:rPr>
              <w:t>Ministru kabineta</w:t>
            </w:r>
            <w:r w:rsidR="000C4389">
              <w:rPr>
                <w:color w:val="000000" w:themeColor="text1"/>
              </w:rPr>
              <w:t xml:space="preserve"> rīkojuma</w:t>
            </w:r>
            <w:r w:rsidRPr="002763E8">
              <w:rPr>
                <w:color w:val="000000" w:themeColor="text1"/>
              </w:rPr>
              <w:t xml:space="preserve"> projekt</w:t>
            </w:r>
            <w:r w:rsidR="003079C4">
              <w:rPr>
                <w:color w:val="000000" w:themeColor="text1"/>
              </w:rPr>
              <w:t>a izstrādi, ņemot vērā 2017. </w:t>
            </w:r>
            <w:r>
              <w:rPr>
                <w:color w:val="000000" w:themeColor="text1"/>
              </w:rPr>
              <w:t xml:space="preserve">gadā notikušās konsultācijas par konceptuālo ziņojumu “Kompleksi pasākumi elektroenerģijas tirgus attīstībai”. Konceptuālā ziņojuma saskaņošanas procesā piedalījās </w:t>
            </w:r>
            <w:r w:rsidR="00495079" w:rsidRPr="0007400D">
              <w:t>Latvijas Darba devēju konfederācija, Latvijas Tirdzniecības un rūpniecības kamera, Lauksaimnieku organizāciju sadarbības padome, Būvmateriālu ražotāju asociācija, Konkurences padome, Patērētāju tiesību aizsardzības centr</w:t>
            </w:r>
            <w:r w:rsidR="00BF1F46">
              <w:t>s</w:t>
            </w:r>
            <w:r w:rsidR="00495079" w:rsidRPr="0007400D">
              <w:t xml:space="preserve">, </w:t>
            </w:r>
            <w:r w:rsidR="00FB053A">
              <w:rPr>
                <w:bCs/>
              </w:rPr>
              <w:t>akciju sabiedrība</w:t>
            </w:r>
            <w:r w:rsidR="00495079" w:rsidRPr="0007400D">
              <w:t xml:space="preserve"> “Augstsprieguma tīkls”, </w:t>
            </w:r>
            <w:r w:rsidR="00FB053A">
              <w:rPr>
                <w:bCs/>
              </w:rPr>
              <w:t>akciju sabiedrība</w:t>
            </w:r>
            <w:r w:rsidR="00495079" w:rsidRPr="0007400D">
              <w:t xml:space="preserve"> “Latvenergo”, </w:t>
            </w:r>
            <w:r w:rsidR="00FB053A">
              <w:rPr>
                <w:bCs/>
              </w:rPr>
              <w:t xml:space="preserve">akciju sabiedrība </w:t>
            </w:r>
            <w:r w:rsidR="00FB053A">
              <w:t>“Sadales tīkls”, sabiedrība ar ierobežotu atbildību</w:t>
            </w:r>
            <w:r w:rsidR="00495079" w:rsidRPr="0007400D">
              <w:t xml:space="preserve"> “AJ Power”, </w:t>
            </w:r>
            <w:r w:rsidR="002C5D2B">
              <w:t>sabiedrība ar ierobežotu atbildību</w:t>
            </w:r>
            <w:r w:rsidR="002C5D2B" w:rsidRPr="0007400D">
              <w:t xml:space="preserve"> </w:t>
            </w:r>
            <w:r w:rsidR="00495079" w:rsidRPr="0007400D">
              <w:t xml:space="preserve">“Enefit”, </w:t>
            </w:r>
            <w:r w:rsidR="00FB053A">
              <w:t>sabiedrība ar ierobežotu atbildību</w:t>
            </w:r>
            <w:r w:rsidR="00FB053A" w:rsidRPr="0007400D">
              <w:t xml:space="preserve"> </w:t>
            </w:r>
            <w:r w:rsidR="00495079" w:rsidRPr="0007400D">
              <w:t xml:space="preserve">“Imlitex Latvija”, </w:t>
            </w:r>
            <w:r w:rsidR="00FB053A">
              <w:t>sabiedrība ar ierobežotu atbildību</w:t>
            </w:r>
            <w:r w:rsidR="00FB053A" w:rsidRPr="0007400D">
              <w:t xml:space="preserve"> </w:t>
            </w:r>
            <w:r w:rsidR="00495079" w:rsidRPr="0007400D">
              <w:t xml:space="preserve">“Interrao Latvia”, </w:t>
            </w:r>
            <w:r w:rsidR="00FB053A">
              <w:rPr>
                <w:bCs/>
              </w:rPr>
              <w:t>akciju sabiedrība</w:t>
            </w:r>
            <w:r w:rsidR="00495079" w:rsidRPr="0007400D">
              <w:t xml:space="preserve"> “Rīgas siltums”, </w:t>
            </w:r>
            <w:r w:rsidR="00FB053A">
              <w:t>sabiedrība ar ierobežotu atbildību</w:t>
            </w:r>
            <w:r w:rsidR="00FB053A" w:rsidRPr="0007400D">
              <w:t xml:space="preserve"> </w:t>
            </w:r>
            <w:r w:rsidR="00495079" w:rsidRPr="0007400D">
              <w:t xml:space="preserve">“Fortum Latvia” un </w:t>
            </w:r>
            <w:r w:rsidR="00FB053A">
              <w:t>sabiedrība ar ierobežotu atbildību</w:t>
            </w:r>
            <w:r w:rsidR="00FB053A" w:rsidRPr="0007400D">
              <w:t xml:space="preserve"> </w:t>
            </w:r>
            <w:r w:rsidR="00495079" w:rsidRPr="0007400D">
              <w:t>“Juglas jauda”.</w:t>
            </w:r>
          </w:p>
        </w:tc>
      </w:tr>
      <w:tr w:rsidR="000056F9" w:rsidRPr="002763E8" w:rsidTr="001E1CB2">
        <w:trPr>
          <w:trHeight w:val="233"/>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0056F9" w:rsidP="000056F9">
            <w:pPr>
              <w:rPr>
                <w:color w:val="000000" w:themeColor="text1"/>
              </w:rPr>
            </w:pPr>
            <w:r w:rsidRPr="002763E8">
              <w:rPr>
                <w:color w:val="000000" w:themeColor="text1"/>
              </w:rPr>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0056F9" w:rsidP="000056F9">
            <w:pPr>
              <w:rPr>
                <w:color w:val="000000" w:themeColor="text1"/>
              </w:rPr>
            </w:pPr>
            <w:r w:rsidRPr="002763E8">
              <w:rPr>
                <w:color w:val="000000" w:themeColor="text1"/>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9B5183" w:rsidP="000960CA">
            <w:pPr>
              <w:jc w:val="both"/>
              <w:rPr>
                <w:color w:val="000000" w:themeColor="text1"/>
              </w:rPr>
            </w:pPr>
            <w:r>
              <w:rPr>
                <w:color w:val="000000" w:themeColor="text1"/>
              </w:rPr>
              <w:t xml:space="preserve">Sabiedrība kopumā atbalsta ar </w:t>
            </w:r>
            <w:r w:rsidR="00501C5E">
              <w:rPr>
                <w:color w:val="000000" w:themeColor="text1"/>
              </w:rPr>
              <w:t>Ministru kabineta</w:t>
            </w:r>
            <w:r w:rsidR="000960CA">
              <w:rPr>
                <w:color w:val="000000" w:themeColor="text1"/>
              </w:rPr>
              <w:t xml:space="preserve"> rīkojumā piedāvāto </w:t>
            </w:r>
            <w:r w:rsidR="000960CA" w:rsidRPr="000960CA">
              <w:rPr>
                <w:color w:val="000000" w:themeColor="text1"/>
              </w:rPr>
              <w:t>risinājumu valsts garantētās maksas saistību samazināšanai par koģenerācijas elektrostacijā uzstādīto elektrisko jaudu saistību samazināšanu</w:t>
            </w:r>
            <w:r w:rsidR="000960CA">
              <w:rPr>
                <w:color w:val="000000" w:themeColor="text1"/>
              </w:rPr>
              <w:t>, kas izriet no</w:t>
            </w:r>
            <w:r>
              <w:rPr>
                <w:color w:val="000000" w:themeColor="text1"/>
              </w:rPr>
              <w:t xml:space="preserve"> </w:t>
            </w:r>
            <w:r w:rsidR="00501C5E">
              <w:rPr>
                <w:color w:val="000000" w:themeColor="text1"/>
              </w:rPr>
              <w:t>Ministru kabineta</w:t>
            </w:r>
            <w:r w:rsidR="000960CA">
              <w:rPr>
                <w:color w:val="000000" w:themeColor="text1"/>
              </w:rPr>
              <w:t xml:space="preserve"> rīkojumā Nr. 530 atbalstītā “Konceptuālā ziņojuma “Kompleksi pasākumi elektroenerģijas tirgus attīstībai””</w:t>
            </w:r>
            <w:r w:rsidR="00291370">
              <w:rPr>
                <w:color w:val="000000" w:themeColor="text1"/>
              </w:rPr>
              <w:t xml:space="preserve"> 4.</w:t>
            </w:r>
            <w:r w:rsidR="000960CA">
              <w:rPr>
                <w:color w:val="000000" w:themeColor="text1"/>
              </w:rPr>
              <w:t> risinājuma</w:t>
            </w:r>
            <w:r w:rsidR="00291370">
              <w:rPr>
                <w:color w:val="000000" w:themeColor="text1"/>
              </w:rPr>
              <w:t xml:space="preserve">. </w:t>
            </w:r>
            <w:r w:rsidR="00236AF1">
              <w:rPr>
                <w:color w:val="000000" w:themeColor="text1"/>
              </w:rPr>
              <w:t xml:space="preserve">Turklāt, atsevišķas organizācijas, piemēram, </w:t>
            </w:r>
            <w:r w:rsidR="00236AF1" w:rsidRPr="0007400D">
              <w:t>Lauksaimnieku organizāciju sadarbības padome</w:t>
            </w:r>
            <w:r w:rsidR="00236AF1">
              <w:t xml:space="preserve">, Latvijas atjaunojamo energoresursu federācija un Būvmateriālu ražotāju asociācija vēl konceptuālā ziņojuma starpinstitūciju saskaņošanas procesā ir mudinājusi </w:t>
            </w:r>
            <w:r w:rsidR="000960CA">
              <w:t xml:space="preserve">paātrināt </w:t>
            </w:r>
            <w:r w:rsidR="007233BB">
              <w:t>4.risinājuma īstenošanu.</w:t>
            </w:r>
          </w:p>
        </w:tc>
      </w:tr>
      <w:tr w:rsidR="000056F9" w:rsidRPr="002763E8" w:rsidTr="001E1CB2">
        <w:trPr>
          <w:trHeight w:val="465"/>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0056F9" w:rsidP="000056F9">
            <w:pPr>
              <w:rPr>
                <w:color w:val="000000" w:themeColor="text1"/>
              </w:rPr>
            </w:pPr>
            <w:r w:rsidRPr="002763E8">
              <w:rPr>
                <w:color w:val="000000" w:themeColor="text1"/>
              </w:rPr>
              <w:t>4.</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0056F9" w:rsidP="000056F9">
            <w:pPr>
              <w:rPr>
                <w:color w:val="000000" w:themeColor="text1"/>
              </w:rPr>
            </w:pPr>
            <w:r w:rsidRPr="002763E8">
              <w:rPr>
                <w:color w:val="000000" w:themeColor="text1"/>
              </w:rPr>
              <w:t>Cita informācija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rsidR="000056F9" w:rsidRPr="002763E8" w:rsidRDefault="000056F9" w:rsidP="000056F9">
            <w:pPr>
              <w:pStyle w:val="tvhtml"/>
              <w:spacing w:line="293" w:lineRule="atLeast"/>
              <w:rPr>
                <w:color w:val="000000" w:themeColor="text1"/>
              </w:rPr>
            </w:pPr>
            <w:r w:rsidRPr="002763E8">
              <w:rPr>
                <w:color w:val="000000" w:themeColor="text1"/>
              </w:rPr>
              <w:t>Nav.</w:t>
            </w:r>
          </w:p>
        </w:tc>
      </w:tr>
    </w:tbl>
    <w:p w:rsidR="000056F9" w:rsidRPr="002763E8" w:rsidRDefault="000056F9" w:rsidP="008667DC">
      <w:pPr>
        <w:rPr>
          <w:color w:val="000000" w:themeColor="text1"/>
        </w:rPr>
      </w:pPr>
    </w:p>
    <w:tbl>
      <w:tblPr>
        <w:tblpPr w:leftFromText="180" w:rightFromText="180" w:vertAnchor="text" w:horzAnchor="margin" w:tblpX="-174" w:tblpY="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944"/>
      </w:tblGrid>
      <w:tr w:rsidR="001C1A2E" w:rsidRPr="002763E8" w:rsidTr="00B62320">
        <w:tc>
          <w:tcPr>
            <w:tcW w:w="9493" w:type="dxa"/>
            <w:gridSpan w:val="3"/>
            <w:vAlign w:val="center"/>
          </w:tcPr>
          <w:p w:rsidR="001C1A2E" w:rsidRPr="002763E8" w:rsidRDefault="001C1A2E" w:rsidP="005B0632">
            <w:pPr>
              <w:pStyle w:val="naisnod"/>
              <w:keepNext/>
              <w:keepLines/>
              <w:spacing w:before="0" w:beforeAutospacing="0" w:after="0" w:afterAutospacing="0"/>
              <w:jc w:val="center"/>
              <w:rPr>
                <w:b/>
                <w:color w:val="000000" w:themeColor="text1"/>
              </w:rPr>
            </w:pPr>
            <w:r w:rsidRPr="002763E8">
              <w:rPr>
                <w:b/>
                <w:color w:val="000000" w:themeColor="text1"/>
              </w:rPr>
              <w:t>VII. Tiesību akta projekta izpildes nodrošināšana un tās ietekme uz institūcijām</w:t>
            </w:r>
          </w:p>
        </w:tc>
      </w:tr>
      <w:tr w:rsidR="001C1A2E" w:rsidRPr="002763E8" w:rsidTr="00B62320">
        <w:trPr>
          <w:trHeight w:val="128"/>
        </w:trPr>
        <w:tc>
          <w:tcPr>
            <w:tcW w:w="404" w:type="dxa"/>
          </w:tcPr>
          <w:p w:rsidR="001C1A2E" w:rsidRPr="002763E8" w:rsidRDefault="001C1A2E" w:rsidP="005B0632">
            <w:pPr>
              <w:pStyle w:val="naiskr"/>
              <w:keepNext/>
              <w:keepLines/>
              <w:spacing w:before="0" w:beforeAutospacing="0" w:after="0" w:afterAutospacing="0"/>
              <w:rPr>
                <w:color w:val="000000" w:themeColor="text1"/>
              </w:rPr>
            </w:pPr>
            <w:r w:rsidRPr="002763E8">
              <w:rPr>
                <w:color w:val="000000" w:themeColor="text1"/>
              </w:rPr>
              <w:t>1.</w:t>
            </w:r>
          </w:p>
        </w:tc>
        <w:tc>
          <w:tcPr>
            <w:tcW w:w="3145" w:type="dxa"/>
          </w:tcPr>
          <w:p w:rsidR="001C1A2E" w:rsidRPr="002763E8" w:rsidRDefault="001C1A2E" w:rsidP="005B0632">
            <w:pPr>
              <w:keepNext/>
              <w:keepLines/>
              <w:rPr>
                <w:color w:val="000000" w:themeColor="text1"/>
              </w:rPr>
            </w:pPr>
            <w:r w:rsidRPr="002763E8">
              <w:rPr>
                <w:color w:val="000000" w:themeColor="text1"/>
              </w:rPr>
              <w:t>Projekta izpildē iesaistītās institūcijas</w:t>
            </w:r>
          </w:p>
        </w:tc>
        <w:tc>
          <w:tcPr>
            <w:tcW w:w="5944" w:type="dxa"/>
          </w:tcPr>
          <w:p w:rsidR="001C1A2E" w:rsidRPr="002763E8" w:rsidRDefault="00DB1DA9" w:rsidP="005B0632">
            <w:pPr>
              <w:keepNext/>
              <w:keepLines/>
              <w:jc w:val="both"/>
              <w:rPr>
                <w:color w:val="000000" w:themeColor="text1"/>
              </w:rPr>
            </w:pPr>
            <w:r w:rsidRPr="002763E8">
              <w:rPr>
                <w:color w:val="000000" w:themeColor="text1"/>
              </w:rPr>
              <w:t>Ekonomikas ministrija.</w:t>
            </w:r>
          </w:p>
        </w:tc>
      </w:tr>
      <w:tr w:rsidR="001C1A2E" w:rsidRPr="002763E8" w:rsidTr="00B62320">
        <w:trPr>
          <w:trHeight w:val="472"/>
        </w:trPr>
        <w:tc>
          <w:tcPr>
            <w:tcW w:w="404" w:type="dxa"/>
          </w:tcPr>
          <w:p w:rsidR="001C1A2E" w:rsidRPr="002763E8" w:rsidRDefault="001C1A2E" w:rsidP="005B0632">
            <w:pPr>
              <w:pStyle w:val="naiskr"/>
              <w:keepNext/>
              <w:keepLines/>
              <w:spacing w:before="0" w:beforeAutospacing="0" w:after="0" w:afterAutospacing="0"/>
              <w:rPr>
                <w:color w:val="000000" w:themeColor="text1"/>
              </w:rPr>
            </w:pPr>
            <w:r w:rsidRPr="002763E8">
              <w:rPr>
                <w:color w:val="000000" w:themeColor="text1"/>
              </w:rPr>
              <w:lastRenderedPageBreak/>
              <w:t>2.</w:t>
            </w:r>
          </w:p>
        </w:tc>
        <w:tc>
          <w:tcPr>
            <w:tcW w:w="3145" w:type="dxa"/>
          </w:tcPr>
          <w:p w:rsidR="001C1A2E" w:rsidRPr="002763E8" w:rsidRDefault="001C1A2E" w:rsidP="005B0632">
            <w:pPr>
              <w:keepNext/>
              <w:keepLines/>
              <w:jc w:val="both"/>
              <w:rPr>
                <w:color w:val="000000" w:themeColor="text1"/>
              </w:rPr>
            </w:pPr>
            <w:r w:rsidRPr="002763E8">
              <w:rPr>
                <w:color w:val="000000" w:themeColor="text1"/>
              </w:rPr>
              <w:t xml:space="preserve">Projekta izpildes ietekme uz pārvaldes funkcijām un institucionālo struktūru. </w:t>
            </w:r>
          </w:p>
          <w:p w:rsidR="00EC14D6" w:rsidRPr="002763E8" w:rsidRDefault="001C1A2E" w:rsidP="005B0632">
            <w:pPr>
              <w:keepNext/>
              <w:keepLines/>
              <w:jc w:val="both"/>
              <w:rPr>
                <w:color w:val="000000" w:themeColor="text1"/>
              </w:rPr>
            </w:pPr>
            <w:r w:rsidRPr="002763E8">
              <w:rPr>
                <w:color w:val="000000" w:themeColor="text1"/>
              </w:rPr>
              <w:t>Jaunu institūciju izveide, esošu institūciju likvidācija vai reorganizācija, to ietekme uz institūcijas cilvēkresursiem</w:t>
            </w:r>
          </w:p>
        </w:tc>
        <w:tc>
          <w:tcPr>
            <w:tcW w:w="5944" w:type="dxa"/>
          </w:tcPr>
          <w:p w:rsidR="001C1A2E" w:rsidRPr="002763E8" w:rsidRDefault="000E7B2E" w:rsidP="005B0632">
            <w:pPr>
              <w:pStyle w:val="naisnod"/>
              <w:keepNext/>
              <w:keepLines/>
              <w:spacing w:before="0" w:beforeAutospacing="0" w:after="0" w:afterAutospacing="0"/>
              <w:ind w:left="57" w:right="57"/>
              <w:jc w:val="both"/>
              <w:rPr>
                <w:b/>
                <w:color w:val="000000" w:themeColor="text1"/>
              </w:rPr>
            </w:pPr>
            <w:r>
              <w:t>Rīkojuma</w:t>
            </w:r>
            <w:r w:rsidR="00BD263B" w:rsidRPr="002763E8">
              <w:t xml:space="preserve"> projekta apstiprināšanas gadījumā netiek radītas jaunas valsts institūcijas.</w:t>
            </w:r>
          </w:p>
        </w:tc>
      </w:tr>
      <w:tr w:rsidR="001C1A2E" w:rsidRPr="002763E8" w:rsidTr="00B62320">
        <w:trPr>
          <w:trHeight w:val="156"/>
        </w:trPr>
        <w:tc>
          <w:tcPr>
            <w:tcW w:w="404" w:type="dxa"/>
          </w:tcPr>
          <w:p w:rsidR="001C1A2E" w:rsidRPr="002763E8" w:rsidRDefault="001C1A2E" w:rsidP="005B0632">
            <w:pPr>
              <w:pStyle w:val="naiskr"/>
              <w:keepNext/>
              <w:keepLines/>
              <w:spacing w:before="0" w:beforeAutospacing="0" w:after="0" w:afterAutospacing="0"/>
              <w:rPr>
                <w:color w:val="000000" w:themeColor="text1"/>
              </w:rPr>
            </w:pPr>
            <w:r w:rsidRPr="002763E8">
              <w:rPr>
                <w:color w:val="000000" w:themeColor="text1"/>
              </w:rPr>
              <w:t>3.</w:t>
            </w:r>
          </w:p>
        </w:tc>
        <w:tc>
          <w:tcPr>
            <w:tcW w:w="3145" w:type="dxa"/>
          </w:tcPr>
          <w:p w:rsidR="001C1A2E" w:rsidRPr="002763E8" w:rsidRDefault="001C1A2E" w:rsidP="005B0632">
            <w:pPr>
              <w:keepNext/>
              <w:keepLines/>
              <w:rPr>
                <w:color w:val="000000" w:themeColor="text1"/>
              </w:rPr>
            </w:pPr>
            <w:r w:rsidRPr="002763E8">
              <w:rPr>
                <w:color w:val="000000" w:themeColor="text1"/>
              </w:rPr>
              <w:t>Cita informācija</w:t>
            </w:r>
          </w:p>
        </w:tc>
        <w:tc>
          <w:tcPr>
            <w:tcW w:w="5944" w:type="dxa"/>
          </w:tcPr>
          <w:p w:rsidR="001C1A2E" w:rsidRPr="002763E8" w:rsidRDefault="00E11781" w:rsidP="005B0632">
            <w:pPr>
              <w:pStyle w:val="naisnod"/>
              <w:keepNext/>
              <w:keepLines/>
              <w:spacing w:before="0" w:beforeAutospacing="0" w:after="0" w:afterAutospacing="0"/>
              <w:ind w:left="57" w:right="57"/>
              <w:jc w:val="both"/>
              <w:rPr>
                <w:b/>
                <w:color w:val="000000" w:themeColor="text1"/>
              </w:rPr>
            </w:pPr>
            <w:r>
              <w:rPr>
                <w:color w:val="000000" w:themeColor="text1"/>
              </w:rPr>
              <w:t>Rīkojuma</w:t>
            </w:r>
            <w:r w:rsidR="001C1A2E" w:rsidRPr="002763E8">
              <w:rPr>
                <w:color w:val="000000" w:themeColor="text1"/>
              </w:rPr>
              <w:t xml:space="preserve"> izpilde tiks nodrošināta esošo valsts institūciju funkciju ietvaros.</w:t>
            </w:r>
          </w:p>
        </w:tc>
      </w:tr>
    </w:tbl>
    <w:p w:rsidR="00731FA4" w:rsidRPr="00187D7E" w:rsidRDefault="00731FA4" w:rsidP="00790CA8">
      <w:pPr>
        <w:rPr>
          <w:bCs/>
          <w:sz w:val="28"/>
          <w:szCs w:val="28"/>
        </w:rPr>
      </w:pPr>
    </w:p>
    <w:p w:rsidR="007C1F2A" w:rsidRPr="00BF4E15" w:rsidRDefault="007C1F2A" w:rsidP="00790CA8">
      <w:pPr>
        <w:rPr>
          <w:bCs/>
          <w:sz w:val="28"/>
          <w:szCs w:val="28"/>
        </w:rPr>
      </w:pPr>
    </w:p>
    <w:p w:rsidR="00A644BE" w:rsidRPr="006E2F36" w:rsidRDefault="00A644BE" w:rsidP="00790CA8">
      <w:pPr>
        <w:rPr>
          <w:bCs/>
        </w:rPr>
      </w:pPr>
      <w:r w:rsidRPr="006E2F36">
        <w:rPr>
          <w:bCs/>
        </w:rPr>
        <w:t>Ministru prezidenta biedrs,</w:t>
      </w:r>
    </w:p>
    <w:p w:rsidR="005E59EE" w:rsidRPr="000C71F9" w:rsidRDefault="00A644BE" w:rsidP="001C6F41">
      <w:pPr>
        <w:tabs>
          <w:tab w:val="center" w:pos="9214"/>
        </w:tabs>
        <w:rPr>
          <w:bCs/>
        </w:rPr>
      </w:pPr>
      <w:r w:rsidRPr="000C71F9">
        <w:rPr>
          <w:bCs/>
        </w:rPr>
        <w:t>e</w:t>
      </w:r>
      <w:r w:rsidR="00C73B18" w:rsidRPr="000C71F9">
        <w:rPr>
          <w:bCs/>
        </w:rPr>
        <w:t>konomikas ministr</w:t>
      </w:r>
      <w:r w:rsidR="007422D8" w:rsidRPr="000C71F9">
        <w:rPr>
          <w:bCs/>
        </w:rPr>
        <w:t>s</w:t>
      </w:r>
      <w:r w:rsidR="001C6F41">
        <w:rPr>
          <w:bCs/>
        </w:rPr>
        <w:tab/>
      </w:r>
      <w:r w:rsidR="0084764D" w:rsidRPr="000C71F9">
        <w:rPr>
          <w:bCs/>
        </w:rPr>
        <w:t>A.Ašera</w:t>
      </w:r>
      <w:r w:rsidR="007422D8" w:rsidRPr="000C71F9">
        <w:rPr>
          <w:bCs/>
        </w:rPr>
        <w:t>dens</w:t>
      </w:r>
    </w:p>
    <w:p w:rsidR="00AC1F53" w:rsidRPr="000C71F9" w:rsidRDefault="00AC1F53" w:rsidP="00790CA8">
      <w:pPr>
        <w:pStyle w:val="naisf"/>
        <w:spacing w:before="0" w:beforeAutospacing="0" w:after="0" w:afterAutospacing="0"/>
        <w:rPr>
          <w:bCs/>
          <w:color w:val="000000"/>
        </w:rPr>
      </w:pPr>
    </w:p>
    <w:p w:rsidR="007C1F2A" w:rsidRPr="000B41D7" w:rsidRDefault="007C1F2A" w:rsidP="00790CA8">
      <w:pPr>
        <w:pStyle w:val="naisf"/>
        <w:spacing w:before="0" w:beforeAutospacing="0" w:after="0" w:afterAutospacing="0"/>
        <w:rPr>
          <w:bCs/>
          <w:color w:val="000000"/>
        </w:rPr>
      </w:pPr>
    </w:p>
    <w:p w:rsidR="0038787E" w:rsidRPr="00EE24A8" w:rsidRDefault="0038787E" w:rsidP="00790CA8">
      <w:pPr>
        <w:pStyle w:val="naisf"/>
        <w:spacing w:before="0" w:beforeAutospacing="0" w:after="0" w:afterAutospacing="0"/>
        <w:rPr>
          <w:b/>
          <w:bCs/>
          <w:color w:val="000000"/>
        </w:rPr>
      </w:pPr>
      <w:r w:rsidRPr="00EE24A8">
        <w:rPr>
          <w:bCs/>
          <w:color w:val="000000"/>
        </w:rPr>
        <w:t>Vīza:</w:t>
      </w:r>
    </w:p>
    <w:p w:rsidR="006B45D8" w:rsidRDefault="0084764D" w:rsidP="001C6F41">
      <w:pPr>
        <w:tabs>
          <w:tab w:val="center" w:pos="9214"/>
        </w:tabs>
        <w:jc w:val="both"/>
        <w:rPr>
          <w:color w:val="000000"/>
        </w:rPr>
      </w:pPr>
      <w:r w:rsidRPr="00411CE9">
        <w:rPr>
          <w:color w:val="000000"/>
        </w:rPr>
        <w:t>valsts sekretārs</w:t>
      </w:r>
      <w:r w:rsidR="001C6F41">
        <w:rPr>
          <w:color w:val="000000"/>
        </w:rPr>
        <w:tab/>
      </w:r>
      <w:r w:rsidRPr="00411CE9">
        <w:rPr>
          <w:color w:val="000000"/>
        </w:rPr>
        <w:t>J.Stinka</w:t>
      </w:r>
    </w:p>
    <w:p w:rsidR="0075309F" w:rsidRDefault="0075309F" w:rsidP="001C6F41">
      <w:pPr>
        <w:tabs>
          <w:tab w:val="center" w:pos="9214"/>
        </w:tabs>
        <w:jc w:val="both"/>
        <w:rPr>
          <w:color w:val="000000"/>
        </w:rPr>
      </w:pPr>
    </w:p>
    <w:p w:rsidR="0075309F" w:rsidRPr="000B549F" w:rsidRDefault="0075309F" w:rsidP="0075309F">
      <w:pPr>
        <w:tabs>
          <w:tab w:val="left" w:pos="1110"/>
        </w:tabs>
        <w:rPr>
          <w:color w:val="000000"/>
          <w:sz w:val="20"/>
          <w:szCs w:val="20"/>
        </w:rPr>
      </w:pPr>
      <w:r>
        <w:rPr>
          <w:color w:val="000000"/>
          <w:sz w:val="20"/>
          <w:szCs w:val="20"/>
        </w:rPr>
        <w:t>16</w:t>
      </w:r>
      <w:r w:rsidRPr="000B549F">
        <w:rPr>
          <w:color w:val="000000"/>
          <w:sz w:val="20"/>
          <w:szCs w:val="20"/>
        </w:rPr>
        <w:t>.1</w:t>
      </w:r>
      <w:r>
        <w:rPr>
          <w:color w:val="000000"/>
          <w:sz w:val="20"/>
          <w:szCs w:val="20"/>
        </w:rPr>
        <w:t>1</w:t>
      </w:r>
      <w:r w:rsidRPr="000B549F">
        <w:rPr>
          <w:color w:val="000000"/>
          <w:sz w:val="20"/>
          <w:szCs w:val="20"/>
        </w:rPr>
        <w:t xml:space="preserve">.2017. </w:t>
      </w:r>
      <w:r>
        <w:rPr>
          <w:color w:val="000000"/>
          <w:sz w:val="20"/>
          <w:szCs w:val="20"/>
        </w:rPr>
        <w:t>13:</w:t>
      </w:r>
      <w:r>
        <w:rPr>
          <w:color w:val="000000"/>
          <w:sz w:val="20"/>
          <w:szCs w:val="20"/>
        </w:rPr>
        <w:t>39</w:t>
      </w:r>
      <w:bookmarkStart w:id="4" w:name="_GoBack"/>
      <w:bookmarkEnd w:id="4"/>
    </w:p>
    <w:p w:rsidR="0075309F" w:rsidRDefault="0075309F" w:rsidP="0075309F">
      <w:pPr>
        <w:rPr>
          <w:color w:val="000000"/>
          <w:sz w:val="20"/>
          <w:szCs w:val="20"/>
        </w:rPr>
      </w:pPr>
      <w:r>
        <w:rPr>
          <w:color w:val="000000"/>
          <w:sz w:val="20"/>
          <w:szCs w:val="20"/>
        </w:rPr>
        <w:t>3</w:t>
      </w:r>
      <w:r>
        <w:rPr>
          <w:color w:val="000000"/>
          <w:sz w:val="20"/>
          <w:szCs w:val="20"/>
        </w:rPr>
        <w:t>298</w:t>
      </w:r>
    </w:p>
    <w:p w:rsidR="0075309F" w:rsidRPr="000B549F" w:rsidRDefault="0075309F" w:rsidP="0075309F">
      <w:pPr>
        <w:jc w:val="both"/>
        <w:rPr>
          <w:sz w:val="20"/>
          <w:szCs w:val="20"/>
        </w:rPr>
      </w:pPr>
      <w:r w:rsidRPr="000B549F">
        <w:rPr>
          <w:sz w:val="20"/>
          <w:szCs w:val="20"/>
        </w:rPr>
        <w:t xml:space="preserve">A.Apaņuks, 67013009, </w:t>
      </w:r>
    </w:p>
    <w:p w:rsidR="0075309F" w:rsidRPr="00071939" w:rsidRDefault="0075309F" w:rsidP="0075309F">
      <w:pPr>
        <w:widowControl w:val="0"/>
        <w:jc w:val="both"/>
        <w:rPr>
          <w:szCs w:val="20"/>
        </w:rPr>
      </w:pPr>
      <w:hyperlink r:id="rId10" w:history="1">
        <w:r w:rsidRPr="00B70FCC">
          <w:rPr>
            <w:rStyle w:val="Hyperlink"/>
            <w:sz w:val="20"/>
            <w:szCs w:val="20"/>
          </w:rPr>
          <w:t>Andrejs.Apanuks@em.gov.lv</w:t>
        </w:r>
      </w:hyperlink>
    </w:p>
    <w:p w:rsidR="0075309F" w:rsidRPr="0025188C" w:rsidRDefault="0075309F" w:rsidP="001C6F41">
      <w:pPr>
        <w:tabs>
          <w:tab w:val="center" w:pos="9214"/>
        </w:tabs>
        <w:jc w:val="both"/>
        <w:rPr>
          <w:color w:val="000000"/>
        </w:rPr>
      </w:pPr>
    </w:p>
    <w:sectPr w:rsidR="0075309F" w:rsidRPr="0025188C" w:rsidSect="00220879">
      <w:headerReference w:type="default" r:id="rId11"/>
      <w:footerReference w:type="default" r:id="rId12"/>
      <w:footerReference w:type="first" r:id="rId13"/>
      <w:pgSz w:w="11906" w:h="16838"/>
      <w:pgMar w:top="1135" w:right="991"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88" w:rsidRDefault="006A3788">
      <w:r>
        <w:separator/>
      </w:r>
    </w:p>
  </w:endnote>
  <w:endnote w:type="continuationSeparator" w:id="0">
    <w:p w:rsidR="006A3788" w:rsidRDefault="006A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EF" w:rsidRPr="000B0184" w:rsidRDefault="00423BEF" w:rsidP="000B0184">
    <w:pPr>
      <w:contextualSpacing/>
      <w:jc w:val="both"/>
      <w:outlineLvl w:val="0"/>
      <w:rPr>
        <w:sz w:val="20"/>
        <w:szCs w:val="20"/>
      </w:rPr>
    </w:pPr>
    <w:r w:rsidRPr="00515F9D">
      <w:rPr>
        <w:sz w:val="20"/>
        <w:szCs w:val="20"/>
      </w:rPr>
      <w:t>E</w:t>
    </w:r>
    <w:r>
      <w:rPr>
        <w:sz w:val="20"/>
        <w:szCs w:val="20"/>
      </w:rPr>
      <w:t>MAnot_</w:t>
    </w:r>
    <w:r w:rsidR="00C0272B">
      <w:rPr>
        <w:sz w:val="20"/>
        <w:szCs w:val="20"/>
      </w:rPr>
      <w:t>15</w:t>
    </w:r>
    <w:r>
      <w:rPr>
        <w:sz w:val="20"/>
        <w:szCs w:val="20"/>
      </w:rPr>
      <w:t>1117</w:t>
    </w:r>
    <w:r w:rsidRPr="00515F9D">
      <w:rPr>
        <w:sz w:val="20"/>
        <w:szCs w:val="20"/>
      </w:rPr>
      <w:t>_</w:t>
    </w:r>
    <w:r>
      <w:rPr>
        <w:sz w:val="20"/>
        <w:szCs w:val="20"/>
      </w:rPr>
      <w:t>LATVENERGO</w:t>
    </w:r>
    <w:r w:rsidR="00F94F3B">
      <w:rPr>
        <w:sz w:val="20"/>
        <w:szCs w:val="20"/>
      </w:rPr>
      <w:t xml:space="preserve">; </w:t>
    </w:r>
    <w:r w:rsidR="00F94F3B" w:rsidRPr="003B4C4B">
      <w:rPr>
        <w:sz w:val="20"/>
        <w:szCs w:val="20"/>
      </w:rPr>
      <w:t>Par garantētās maksas par koģenerācijas elektrostacijā uzstādīto elektrisko jaudu saistību samazināšanu AS “Latvenergo</w:t>
    </w:r>
    <w:r w:rsidR="00507528">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EF" w:rsidRPr="00A83B09" w:rsidRDefault="00423BEF" w:rsidP="00A83B09">
    <w:pPr>
      <w:contextualSpacing/>
      <w:jc w:val="both"/>
      <w:outlineLvl w:val="0"/>
      <w:rPr>
        <w:sz w:val="20"/>
        <w:szCs w:val="20"/>
      </w:rPr>
    </w:pPr>
    <w:r w:rsidRPr="00515F9D">
      <w:rPr>
        <w:sz w:val="20"/>
        <w:szCs w:val="20"/>
      </w:rPr>
      <w:t>E</w:t>
    </w:r>
    <w:r w:rsidR="00F94F3B">
      <w:rPr>
        <w:sz w:val="20"/>
        <w:szCs w:val="20"/>
      </w:rPr>
      <w:t>MAnot_</w:t>
    </w:r>
    <w:r w:rsidR="00C0272B">
      <w:rPr>
        <w:sz w:val="20"/>
        <w:szCs w:val="20"/>
      </w:rPr>
      <w:t>15</w:t>
    </w:r>
    <w:r>
      <w:rPr>
        <w:sz w:val="20"/>
        <w:szCs w:val="20"/>
      </w:rPr>
      <w:t>1117</w:t>
    </w:r>
    <w:r w:rsidRPr="00515F9D">
      <w:rPr>
        <w:sz w:val="20"/>
        <w:szCs w:val="20"/>
      </w:rPr>
      <w:t>_</w:t>
    </w:r>
    <w:r>
      <w:rPr>
        <w:sz w:val="20"/>
        <w:szCs w:val="20"/>
      </w:rPr>
      <w:t>LATVENERGO</w:t>
    </w:r>
    <w:r w:rsidR="00F94F3B">
      <w:rPr>
        <w:sz w:val="20"/>
        <w:szCs w:val="20"/>
      </w:rPr>
      <w:t xml:space="preserve">; </w:t>
    </w:r>
    <w:r w:rsidR="00F94F3B" w:rsidRPr="003B4C4B">
      <w:rPr>
        <w:sz w:val="20"/>
        <w:szCs w:val="20"/>
      </w:rPr>
      <w:t>Par garantētās maksas par koģenerācijas elektrostacijā uzstādīto elektrisko jaudu saistību samazināšanu AS “Latvenergo</w:t>
    </w:r>
    <w:r w:rsidR="0050752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88" w:rsidRDefault="006A3788">
      <w:r>
        <w:separator/>
      </w:r>
    </w:p>
  </w:footnote>
  <w:footnote w:type="continuationSeparator" w:id="0">
    <w:p w:rsidR="006A3788" w:rsidRDefault="006A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391"/>
      <w:docPartObj>
        <w:docPartGallery w:val="Page Numbers (Top of Page)"/>
        <w:docPartUnique/>
      </w:docPartObj>
    </w:sdtPr>
    <w:sdtEndPr/>
    <w:sdtContent>
      <w:p w:rsidR="00423BEF" w:rsidRDefault="00423BEF">
        <w:pPr>
          <w:pStyle w:val="Header"/>
          <w:jc w:val="center"/>
        </w:pPr>
        <w:r>
          <w:fldChar w:fldCharType="begin"/>
        </w:r>
        <w:r>
          <w:instrText xml:space="preserve"> PAGE   \* MERGEFORMAT </w:instrText>
        </w:r>
        <w:r>
          <w:fldChar w:fldCharType="separate"/>
        </w:r>
        <w:r w:rsidR="0075309F">
          <w:rPr>
            <w:noProof/>
          </w:rPr>
          <w:t>12</w:t>
        </w:r>
        <w:r>
          <w:rPr>
            <w:noProof/>
          </w:rPr>
          <w:fldChar w:fldCharType="end"/>
        </w:r>
      </w:p>
    </w:sdtContent>
  </w:sdt>
  <w:p w:rsidR="00423BEF" w:rsidRDefault="00423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C64477"/>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57C00"/>
    <w:multiLevelType w:val="hybridMultilevel"/>
    <w:tmpl w:val="B40CA5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8943ED"/>
    <w:multiLevelType w:val="multilevel"/>
    <w:tmpl w:val="615427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C4F38"/>
    <w:multiLevelType w:val="hybridMultilevel"/>
    <w:tmpl w:val="B702422C"/>
    <w:lvl w:ilvl="0" w:tplc="04260005">
      <w:start w:val="1"/>
      <w:numFmt w:val="bullet"/>
      <w:lvlText w:val=""/>
      <w:lvlJc w:val="left"/>
      <w:pPr>
        <w:ind w:left="776" w:hanging="360"/>
      </w:pPr>
      <w:rPr>
        <w:rFonts w:ascii="Wingdings" w:hAnsi="Wingdings"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6" w15:restartNumberingAfterBreak="0">
    <w:nsid w:val="2F9179AA"/>
    <w:multiLevelType w:val="hybridMultilevel"/>
    <w:tmpl w:val="76BA2ABA"/>
    <w:lvl w:ilvl="0" w:tplc="04260005">
      <w:start w:val="1"/>
      <w:numFmt w:val="bullet"/>
      <w:lvlText w:val=""/>
      <w:lvlJc w:val="left"/>
      <w:pPr>
        <w:ind w:left="717" w:hanging="360"/>
      </w:pPr>
      <w:rPr>
        <w:rFonts w:ascii="Wingdings" w:hAnsi="Wingdings"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7"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8" w15:restartNumberingAfterBreak="0">
    <w:nsid w:val="442875B8"/>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F34067"/>
    <w:multiLevelType w:val="hybridMultilevel"/>
    <w:tmpl w:val="D6D69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CA5B45"/>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0D5EB9"/>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524C6C"/>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2"/>
  </w:num>
  <w:num w:numId="2">
    <w:abstractNumId w:val="1"/>
  </w:num>
  <w:num w:numId="3">
    <w:abstractNumId w:val="0"/>
  </w:num>
  <w:num w:numId="4">
    <w:abstractNumId w:val="14"/>
  </w:num>
  <w:num w:numId="5">
    <w:abstractNumId w:val="10"/>
  </w:num>
  <w:num w:numId="6">
    <w:abstractNumId w:val="2"/>
  </w:num>
  <w:num w:numId="7">
    <w:abstractNumId w:val="11"/>
  </w:num>
  <w:num w:numId="8">
    <w:abstractNumId w:val="8"/>
  </w:num>
  <w:num w:numId="9">
    <w:abstractNumId w:val="3"/>
  </w:num>
  <w:num w:numId="10">
    <w:abstractNumId w:val="7"/>
  </w:num>
  <w:num w:numId="11">
    <w:abstractNumId w:val="13"/>
  </w:num>
  <w:num w:numId="12">
    <w:abstractNumId w:val="9"/>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1B29"/>
    <w:rsid w:val="00002533"/>
    <w:rsid w:val="00002666"/>
    <w:rsid w:val="000029B0"/>
    <w:rsid w:val="00002C43"/>
    <w:rsid w:val="00002CFB"/>
    <w:rsid w:val="00003034"/>
    <w:rsid w:val="000056F9"/>
    <w:rsid w:val="00006184"/>
    <w:rsid w:val="00006186"/>
    <w:rsid w:val="00006263"/>
    <w:rsid w:val="000064A9"/>
    <w:rsid w:val="0000770B"/>
    <w:rsid w:val="00007CD2"/>
    <w:rsid w:val="000120D9"/>
    <w:rsid w:val="00012812"/>
    <w:rsid w:val="00015274"/>
    <w:rsid w:val="00015F28"/>
    <w:rsid w:val="00016593"/>
    <w:rsid w:val="00017E1B"/>
    <w:rsid w:val="00022BAF"/>
    <w:rsid w:val="00023BE0"/>
    <w:rsid w:val="00026E2B"/>
    <w:rsid w:val="000275C4"/>
    <w:rsid w:val="000307EC"/>
    <w:rsid w:val="00030E08"/>
    <w:rsid w:val="000334AD"/>
    <w:rsid w:val="000411A2"/>
    <w:rsid w:val="00041AAF"/>
    <w:rsid w:val="00042089"/>
    <w:rsid w:val="00044212"/>
    <w:rsid w:val="000451E4"/>
    <w:rsid w:val="00045CA7"/>
    <w:rsid w:val="000472DE"/>
    <w:rsid w:val="000515EF"/>
    <w:rsid w:val="00055471"/>
    <w:rsid w:val="000570DE"/>
    <w:rsid w:val="00057551"/>
    <w:rsid w:val="0006057B"/>
    <w:rsid w:val="000618A5"/>
    <w:rsid w:val="00062AFB"/>
    <w:rsid w:val="00066836"/>
    <w:rsid w:val="000746F1"/>
    <w:rsid w:val="000763CA"/>
    <w:rsid w:val="00077C67"/>
    <w:rsid w:val="0008083E"/>
    <w:rsid w:val="00083D0E"/>
    <w:rsid w:val="000843A1"/>
    <w:rsid w:val="00085923"/>
    <w:rsid w:val="00087C9A"/>
    <w:rsid w:val="0009208B"/>
    <w:rsid w:val="00092EC2"/>
    <w:rsid w:val="000941CA"/>
    <w:rsid w:val="0009456B"/>
    <w:rsid w:val="000960CA"/>
    <w:rsid w:val="000A5D48"/>
    <w:rsid w:val="000A7E5A"/>
    <w:rsid w:val="000B0184"/>
    <w:rsid w:val="000B0EA4"/>
    <w:rsid w:val="000B1299"/>
    <w:rsid w:val="000B2F14"/>
    <w:rsid w:val="000B3936"/>
    <w:rsid w:val="000B41D7"/>
    <w:rsid w:val="000B4A95"/>
    <w:rsid w:val="000B62B2"/>
    <w:rsid w:val="000B654C"/>
    <w:rsid w:val="000C346D"/>
    <w:rsid w:val="000C3A7F"/>
    <w:rsid w:val="000C4389"/>
    <w:rsid w:val="000C4407"/>
    <w:rsid w:val="000C5C51"/>
    <w:rsid w:val="000C624C"/>
    <w:rsid w:val="000C6C66"/>
    <w:rsid w:val="000C71F9"/>
    <w:rsid w:val="000D0970"/>
    <w:rsid w:val="000D1948"/>
    <w:rsid w:val="000D3D39"/>
    <w:rsid w:val="000D4111"/>
    <w:rsid w:val="000D4C2E"/>
    <w:rsid w:val="000D5F09"/>
    <w:rsid w:val="000D664C"/>
    <w:rsid w:val="000D7D82"/>
    <w:rsid w:val="000E0411"/>
    <w:rsid w:val="000E2245"/>
    <w:rsid w:val="000E2D96"/>
    <w:rsid w:val="000E47DB"/>
    <w:rsid w:val="000E4F33"/>
    <w:rsid w:val="000E690F"/>
    <w:rsid w:val="000E7B2E"/>
    <w:rsid w:val="000F0035"/>
    <w:rsid w:val="000F23BD"/>
    <w:rsid w:val="000F3432"/>
    <w:rsid w:val="000F6095"/>
    <w:rsid w:val="001026C7"/>
    <w:rsid w:val="001035B2"/>
    <w:rsid w:val="00103B3E"/>
    <w:rsid w:val="001041EC"/>
    <w:rsid w:val="00114060"/>
    <w:rsid w:val="0011496F"/>
    <w:rsid w:val="0012248A"/>
    <w:rsid w:val="001250E9"/>
    <w:rsid w:val="00126A3D"/>
    <w:rsid w:val="00131719"/>
    <w:rsid w:val="001329AE"/>
    <w:rsid w:val="00141922"/>
    <w:rsid w:val="00142063"/>
    <w:rsid w:val="00144309"/>
    <w:rsid w:val="00146184"/>
    <w:rsid w:val="001464E6"/>
    <w:rsid w:val="00147B5F"/>
    <w:rsid w:val="00151E90"/>
    <w:rsid w:val="0015274F"/>
    <w:rsid w:val="00152D7F"/>
    <w:rsid w:val="00153410"/>
    <w:rsid w:val="001549DC"/>
    <w:rsid w:val="00154E78"/>
    <w:rsid w:val="00155A90"/>
    <w:rsid w:val="00156550"/>
    <w:rsid w:val="0015761D"/>
    <w:rsid w:val="0016387A"/>
    <w:rsid w:val="00167831"/>
    <w:rsid w:val="00170B59"/>
    <w:rsid w:val="00171647"/>
    <w:rsid w:val="00171B35"/>
    <w:rsid w:val="00171C09"/>
    <w:rsid w:val="00172793"/>
    <w:rsid w:val="0017408A"/>
    <w:rsid w:val="001749DA"/>
    <w:rsid w:val="00176439"/>
    <w:rsid w:val="00180987"/>
    <w:rsid w:val="00182595"/>
    <w:rsid w:val="00183897"/>
    <w:rsid w:val="00186BBC"/>
    <w:rsid w:val="00187797"/>
    <w:rsid w:val="00187D7E"/>
    <w:rsid w:val="00191A3A"/>
    <w:rsid w:val="00196145"/>
    <w:rsid w:val="001A061E"/>
    <w:rsid w:val="001A0F18"/>
    <w:rsid w:val="001A35F8"/>
    <w:rsid w:val="001A3BE3"/>
    <w:rsid w:val="001A6C2B"/>
    <w:rsid w:val="001A72AA"/>
    <w:rsid w:val="001A732D"/>
    <w:rsid w:val="001B04B1"/>
    <w:rsid w:val="001B10C0"/>
    <w:rsid w:val="001B4DC7"/>
    <w:rsid w:val="001B638B"/>
    <w:rsid w:val="001B67D8"/>
    <w:rsid w:val="001B6B18"/>
    <w:rsid w:val="001C0282"/>
    <w:rsid w:val="001C1A2E"/>
    <w:rsid w:val="001C4F02"/>
    <w:rsid w:val="001C6F41"/>
    <w:rsid w:val="001C723F"/>
    <w:rsid w:val="001D1B66"/>
    <w:rsid w:val="001D1CFF"/>
    <w:rsid w:val="001D4FCD"/>
    <w:rsid w:val="001E1CB2"/>
    <w:rsid w:val="001E3714"/>
    <w:rsid w:val="001F1A2E"/>
    <w:rsid w:val="001F5AB1"/>
    <w:rsid w:val="001F5C89"/>
    <w:rsid w:val="001F72E1"/>
    <w:rsid w:val="002000B5"/>
    <w:rsid w:val="002011C5"/>
    <w:rsid w:val="00203EF7"/>
    <w:rsid w:val="00204997"/>
    <w:rsid w:val="00204A0F"/>
    <w:rsid w:val="002051F5"/>
    <w:rsid w:val="002056DF"/>
    <w:rsid w:val="00205ACF"/>
    <w:rsid w:val="00205F55"/>
    <w:rsid w:val="00212C50"/>
    <w:rsid w:val="00213196"/>
    <w:rsid w:val="00213A4F"/>
    <w:rsid w:val="00214E81"/>
    <w:rsid w:val="0022054B"/>
    <w:rsid w:val="00220879"/>
    <w:rsid w:val="00224297"/>
    <w:rsid w:val="00225654"/>
    <w:rsid w:val="00226CE3"/>
    <w:rsid w:val="00230712"/>
    <w:rsid w:val="002313A5"/>
    <w:rsid w:val="002314C4"/>
    <w:rsid w:val="00232EE3"/>
    <w:rsid w:val="0023476D"/>
    <w:rsid w:val="00235C64"/>
    <w:rsid w:val="002365F1"/>
    <w:rsid w:val="00236AF1"/>
    <w:rsid w:val="00244B0A"/>
    <w:rsid w:val="00245DB5"/>
    <w:rsid w:val="00245FDC"/>
    <w:rsid w:val="00250ED3"/>
    <w:rsid w:val="0025188C"/>
    <w:rsid w:val="00251C2D"/>
    <w:rsid w:val="0025295D"/>
    <w:rsid w:val="0026093B"/>
    <w:rsid w:val="002612CE"/>
    <w:rsid w:val="00263785"/>
    <w:rsid w:val="00263D0D"/>
    <w:rsid w:val="002752C7"/>
    <w:rsid w:val="002762A5"/>
    <w:rsid w:val="002763E8"/>
    <w:rsid w:val="00280BF3"/>
    <w:rsid w:val="00281F70"/>
    <w:rsid w:val="0028250F"/>
    <w:rsid w:val="00282EF7"/>
    <w:rsid w:val="002830FC"/>
    <w:rsid w:val="002835FA"/>
    <w:rsid w:val="002843B6"/>
    <w:rsid w:val="00286341"/>
    <w:rsid w:val="00287A68"/>
    <w:rsid w:val="00291370"/>
    <w:rsid w:val="00292262"/>
    <w:rsid w:val="0029451B"/>
    <w:rsid w:val="002A0174"/>
    <w:rsid w:val="002A3CBB"/>
    <w:rsid w:val="002A400E"/>
    <w:rsid w:val="002B192A"/>
    <w:rsid w:val="002B44AF"/>
    <w:rsid w:val="002B708A"/>
    <w:rsid w:val="002C0852"/>
    <w:rsid w:val="002C5D2B"/>
    <w:rsid w:val="002D2B6A"/>
    <w:rsid w:val="002D41A0"/>
    <w:rsid w:val="002D541C"/>
    <w:rsid w:val="002D552E"/>
    <w:rsid w:val="002D5C71"/>
    <w:rsid w:val="002D7116"/>
    <w:rsid w:val="002D7C67"/>
    <w:rsid w:val="002E584A"/>
    <w:rsid w:val="002E7D75"/>
    <w:rsid w:val="002E7F1D"/>
    <w:rsid w:val="002F2A2C"/>
    <w:rsid w:val="002F332B"/>
    <w:rsid w:val="002F6FE8"/>
    <w:rsid w:val="0030164A"/>
    <w:rsid w:val="00302E87"/>
    <w:rsid w:val="003079C4"/>
    <w:rsid w:val="003107C1"/>
    <w:rsid w:val="0031785A"/>
    <w:rsid w:val="00321F7E"/>
    <w:rsid w:val="00322ACC"/>
    <w:rsid w:val="003238CD"/>
    <w:rsid w:val="00325030"/>
    <w:rsid w:val="003250CB"/>
    <w:rsid w:val="003255EE"/>
    <w:rsid w:val="0032728F"/>
    <w:rsid w:val="003277A6"/>
    <w:rsid w:val="00327FE8"/>
    <w:rsid w:val="00330730"/>
    <w:rsid w:val="0033462E"/>
    <w:rsid w:val="00341985"/>
    <w:rsid w:val="00343230"/>
    <w:rsid w:val="0034342E"/>
    <w:rsid w:val="00355EED"/>
    <w:rsid w:val="00363BE3"/>
    <w:rsid w:val="0036516A"/>
    <w:rsid w:val="00367663"/>
    <w:rsid w:val="00370CE5"/>
    <w:rsid w:val="003716AE"/>
    <w:rsid w:val="00374BAD"/>
    <w:rsid w:val="00374DC8"/>
    <w:rsid w:val="003754C8"/>
    <w:rsid w:val="00375A28"/>
    <w:rsid w:val="00375B99"/>
    <w:rsid w:val="00375BB7"/>
    <w:rsid w:val="00377D1F"/>
    <w:rsid w:val="00382A29"/>
    <w:rsid w:val="0038729A"/>
    <w:rsid w:val="0038787E"/>
    <w:rsid w:val="003938D5"/>
    <w:rsid w:val="0039412E"/>
    <w:rsid w:val="00397020"/>
    <w:rsid w:val="003A389A"/>
    <w:rsid w:val="003A47DE"/>
    <w:rsid w:val="003A6AAA"/>
    <w:rsid w:val="003A738B"/>
    <w:rsid w:val="003B25B4"/>
    <w:rsid w:val="003B574E"/>
    <w:rsid w:val="003B6256"/>
    <w:rsid w:val="003B6E8E"/>
    <w:rsid w:val="003C049F"/>
    <w:rsid w:val="003C2975"/>
    <w:rsid w:val="003C5082"/>
    <w:rsid w:val="003C574F"/>
    <w:rsid w:val="003C6188"/>
    <w:rsid w:val="003D225C"/>
    <w:rsid w:val="003D3411"/>
    <w:rsid w:val="003D426B"/>
    <w:rsid w:val="003D44D3"/>
    <w:rsid w:val="003E00E1"/>
    <w:rsid w:val="003E0379"/>
    <w:rsid w:val="003E0594"/>
    <w:rsid w:val="003E2A09"/>
    <w:rsid w:val="003F7923"/>
    <w:rsid w:val="00400A22"/>
    <w:rsid w:val="00400F77"/>
    <w:rsid w:val="004024C2"/>
    <w:rsid w:val="004033C6"/>
    <w:rsid w:val="004068A0"/>
    <w:rsid w:val="00407647"/>
    <w:rsid w:val="00411CE9"/>
    <w:rsid w:val="00415987"/>
    <w:rsid w:val="004216A0"/>
    <w:rsid w:val="0042350B"/>
    <w:rsid w:val="004238DC"/>
    <w:rsid w:val="00423BEF"/>
    <w:rsid w:val="00430E78"/>
    <w:rsid w:val="004314B0"/>
    <w:rsid w:val="00433B2F"/>
    <w:rsid w:val="0043460D"/>
    <w:rsid w:val="00435C4E"/>
    <w:rsid w:val="00436FED"/>
    <w:rsid w:val="0043766E"/>
    <w:rsid w:val="00444F36"/>
    <w:rsid w:val="00445CE6"/>
    <w:rsid w:val="004520E2"/>
    <w:rsid w:val="00452E77"/>
    <w:rsid w:val="00454A67"/>
    <w:rsid w:val="00455836"/>
    <w:rsid w:val="004561E7"/>
    <w:rsid w:val="00456AB4"/>
    <w:rsid w:val="00456C75"/>
    <w:rsid w:val="004602E5"/>
    <w:rsid w:val="00460D79"/>
    <w:rsid w:val="00461E10"/>
    <w:rsid w:val="004625CB"/>
    <w:rsid w:val="0046388B"/>
    <w:rsid w:val="0046414A"/>
    <w:rsid w:val="00467807"/>
    <w:rsid w:val="00467AE2"/>
    <w:rsid w:val="00470C42"/>
    <w:rsid w:val="00471D86"/>
    <w:rsid w:val="00473818"/>
    <w:rsid w:val="004744C5"/>
    <w:rsid w:val="0047451B"/>
    <w:rsid w:val="004762EF"/>
    <w:rsid w:val="00476C69"/>
    <w:rsid w:val="00477346"/>
    <w:rsid w:val="004775F8"/>
    <w:rsid w:val="004874F2"/>
    <w:rsid w:val="00491BAE"/>
    <w:rsid w:val="00494A72"/>
    <w:rsid w:val="00495079"/>
    <w:rsid w:val="004952EA"/>
    <w:rsid w:val="00496E0A"/>
    <w:rsid w:val="004A0029"/>
    <w:rsid w:val="004A00F1"/>
    <w:rsid w:val="004A0E08"/>
    <w:rsid w:val="004A5529"/>
    <w:rsid w:val="004A7C3C"/>
    <w:rsid w:val="004A7F57"/>
    <w:rsid w:val="004B069E"/>
    <w:rsid w:val="004B0A2B"/>
    <w:rsid w:val="004B27A8"/>
    <w:rsid w:val="004B46A3"/>
    <w:rsid w:val="004B4DAC"/>
    <w:rsid w:val="004B51EA"/>
    <w:rsid w:val="004B6002"/>
    <w:rsid w:val="004B64D9"/>
    <w:rsid w:val="004B6DB7"/>
    <w:rsid w:val="004C1E1A"/>
    <w:rsid w:val="004C27A3"/>
    <w:rsid w:val="004D0D80"/>
    <w:rsid w:val="004D1300"/>
    <w:rsid w:val="004D2D83"/>
    <w:rsid w:val="004D3582"/>
    <w:rsid w:val="004E16DF"/>
    <w:rsid w:val="004E3DE6"/>
    <w:rsid w:val="004E4FC5"/>
    <w:rsid w:val="004E6637"/>
    <w:rsid w:val="004F0D4A"/>
    <w:rsid w:val="004F3CEE"/>
    <w:rsid w:val="004F3D31"/>
    <w:rsid w:val="004F5BC8"/>
    <w:rsid w:val="005007D7"/>
    <w:rsid w:val="005008C6"/>
    <w:rsid w:val="00501C5E"/>
    <w:rsid w:val="00502159"/>
    <w:rsid w:val="00504184"/>
    <w:rsid w:val="00504EEB"/>
    <w:rsid w:val="00507528"/>
    <w:rsid w:val="00510E71"/>
    <w:rsid w:val="00515281"/>
    <w:rsid w:val="00516161"/>
    <w:rsid w:val="00525153"/>
    <w:rsid w:val="00525A26"/>
    <w:rsid w:val="0052711C"/>
    <w:rsid w:val="00527E2C"/>
    <w:rsid w:val="00532812"/>
    <w:rsid w:val="00534F97"/>
    <w:rsid w:val="005361A1"/>
    <w:rsid w:val="00537FB4"/>
    <w:rsid w:val="005401D5"/>
    <w:rsid w:val="005408A8"/>
    <w:rsid w:val="00543056"/>
    <w:rsid w:val="00545895"/>
    <w:rsid w:val="005502A9"/>
    <w:rsid w:val="005517D5"/>
    <w:rsid w:val="00551821"/>
    <w:rsid w:val="00561B12"/>
    <w:rsid w:val="005674CF"/>
    <w:rsid w:val="00572685"/>
    <w:rsid w:val="00573641"/>
    <w:rsid w:val="00573C38"/>
    <w:rsid w:val="0057556F"/>
    <w:rsid w:val="00580242"/>
    <w:rsid w:val="00580579"/>
    <w:rsid w:val="0058193A"/>
    <w:rsid w:val="005832AF"/>
    <w:rsid w:val="00584BD1"/>
    <w:rsid w:val="00586632"/>
    <w:rsid w:val="005875AE"/>
    <w:rsid w:val="005905EA"/>
    <w:rsid w:val="00590F77"/>
    <w:rsid w:val="005953F7"/>
    <w:rsid w:val="00597319"/>
    <w:rsid w:val="00597614"/>
    <w:rsid w:val="00597B0B"/>
    <w:rsid w:val="005A3F8B"/>
    <w:rsid w:val="005B01F1"/>
    <w:rsid w:val="005B0632"/>
    <w:rsid w:val="005B1D4D"/>
    <w:rsid w:val="005B1DE9"/>
    <w:rsid w:val="005B22FA"/>
    <w:rsid w:val="005B4750"/>
    <w:rsid w:val="005B49C4"/>
    <w:rsid w:val="005C11C5"/>
    <w:rsid w:val="005C280E"/>
    <w:rsid w:val="005C4912"/>
    <w:rsid w:val="005C4CED"/>
    <w:rsid w:val="005D180E"/>
    <w:rsid w:val="005D2283"/>
    <w:rsid w:val="005D4432"/>
    <w:rsid w:val="005D51D5"/>
    <w:rsid w:val="005D52E5"/>
    <w:rsid w:val="005D5B15"/>
    <w:rsid w:val="005E4FB7"/>
    <w:rsid w:val="005E5231"/>
    <w:rsid w:val="005E59EE"/>
    <w:rsid w:val="005E64FE"/>
    <w:rsid w:val="005E70C9"/>
    <w:rsid w:val="005F1654"/>
    <w:rsid w:val="005F272B"/>
    <w:rsid w:val="005F499B"/>
    <w:rsid w:val="005F7493"/>
    <w:rsid w:val="005F7ABE"/>
    <w:rsid w:val="00602F77"/>
    <w:rsid w:val="0060359C"/>
    <w:rsid w:val="00605930"/>
    <w:rsid w:val="00606F0F"/>
    <w:rsid w:val="006070AD"/>
    <w:rsid w:val="00607FC1"/>
    <w:rsid w:val="00610FB2"/>
    <w:rsid w:val="00612496"/>
    <w:rsid w:val="0061285C"/>
    <w:rsid w:val="006128CE"/>
    <w:rsid w:val="0061446D"/>
    <w:rsid w:val="006153C6"/>
    <w:rsid w:val="0062081B"/>
    <w:rsid w:val="006215DF"/>
    <w:rsid w:val="00621CFE"/>
    <w:rsid w:val="006233BE"/>
    <w:rsid w:val="0062563C"/>
    <w:rsid w:val="00634C4B"/>
    <w:rsid w:val="00636316"/>
    <w:rsid w:val="0063700E"/>
    <w:rsid w:val="006402A7"/>
    <w:rsid w:val="00641F7D"/>
    <w:rsid w:val="00641F9F"/>
    <w:rsid w:val="00642ED1"/>
    <w:rsid w:val="006444BD"/>
    <w:rsid w:val="006448A9"/>
    <w:rsid w:val="006450D6"/>
    <w:rsid w:val="00646084"/>
    <w:rsid w:val="00646FD5"/>
    <w:rsid w:val="006479B8"/>
    <w:rsid w:val="0065097C"/>
    <w:rsid w:val="006513DE"/>
    <w:rsid w:val="00651CF3"/>
    <w:rsid w:val="00656437"/>
    <w:rsid w:val="0065682C"/>
    <w:rsid w:val="00656C16"/>
    <w:rsid w:val="00656D4E"/>
    <w:rsid w:val="0066090E"/>
    <w:rsid w:val="00660DC8"/>
    <w:rsid w:val="00667014"/>
    <w:rsid w:val="0066736F"/>
    <w:rsid w:val="00667AC4"/>
    <w:rsid w:val="00670FD5"/>
    <w:rsid w:val="00671BF1"/>
    <w:rsid w:val="00676D71"/>
    <w:rsid w:val="00677470"/>
    <w:rsid w:val="0068066E"/>
    <w:rsid w:val="00681B8F"/>
    <w:rsid w:val="00682CE4"/>
    <w:rsid w:val="00683362"/>
    <w:rsid w:val="0068376E"/>
    <w:rsid w:val="00684126"/>
    <w:rsid w:val="0069091D"/>
    <w:rsid w:val="00692ABA"/>
    <w:rsid w:val="00693AC9"/>
    <w:rsid w:val="006943D4"/>
    <w:rsid w:val="00696206"/>
    <w:rsid w:val="006A06DE"/>
    <w:rsid w:val="006A3788"/>
    <w:rsid w:val="006A6992"/>
    <w:rsid w:val="006A7797"/>
    <w:rsid w:val="006B07E1"/>
    <w:rsid w:val="006B38AA"/>
    <w:rsid w:val="006B3B33"/>
    <w:rsid w:val="006B45D8"/>
    <w:rsid w:val="006B5BA5"/>
    <w:rsid w:val="006B5F24"/>
    <w:rsid w:val="006B6539"/>
    <w:rsid w:val="006B7369"/>
    <w:rsid w:val="006B7AE9"/>
    <w:rsid w:val="006C0A36"/>
    <w:rsid w:val="006C0D5F"/>
    <w:rsid w:val="006C6203"/>
    <w:rsid w:val="006C626F"/>
    <w:rsid w:val="006D1678"/>
    <w:rsid w:val="006D1AD3"/>
    <w:rsid w:val="006D1E09"/>
    <w:rsid w:val="006D3A70"/>
    <w:rsid w:val="006D428C"/>
    <w:rsid w:val="006E04D8"/>
    <w:rsid w:val="006E0F1C"/>
    <w:rsid w:val="006E2057"/>
    <w:rsid w:val="006E2F36"/>
    <w:rsid w:val="006E432A"/>
    <w:rsid w:val="006E4BB6"/>
    <w:rsid w:val="006E56FB"/>
    <w:rsid w:val="006E5E85"/>
    <w:rsid w:val="006E7E6B"/>
    <w:rsid w:val="006F0899"/>
    <w:rsid w:val="006F22B7"/>
    <w:rsid w:val="006F320B"/>
    <w:rsid w:val="006F4123"/>
    <w:rsid w:val="006F693A"/>
    <w:rsid w:val="00701C35"/>
    <w:rsid w:val="0070288B"/>
    <w:rsid w:val="00702C3E"/>
    <w:rsid w:val="00703884"/>
    <w:rsid w:val="007040BF"/>
    <w:rsid w:val="007041D1"/>
    <w:rsid w:val="00710BCF"/>
    <w:rsid w:val="0071109E"/>
    <w:rsid w:val="00711B96"/>
    <w:rsid w:val="00712ABF"/>
    <w:rsid w:val="007135F5"/>
    <w:rsid w:val="00714573"/>
    <w:rsid w:val="0071528F"/>
    <w:rsid w:val="00720C43"/>
    <w:rsid w:val="007213EE"/>
    <w:rsid w:val="00722569"/>
    <w:rsid w:val="00722D04"/>
    <w:rsid w:val="007233BB"/>
    <w:rsid w:val="00724EF3"/>
    <w:rsid w:val="00726DBD"/>
    <w:rsid w:val="00727F9E"/>
    <w:rsid w:val="00731681"/>
    <w:rsid w:val="00731F58"/>
    <w:rsid w:val="00731FA4"/>
    <w:rsid w:val="0073218E"/>
    <w:rsid w:val="007338E2"/>
    <w:rsid w:val="007343BB"/>
    <w:rsid w:val="0074075A"/>
    <w:rsid w:val="0074115E"/>
    <w:rsid w:val="007422D8"/>
    <w:rsid w:val="007423D7"/>
    <w:rsid w:val="00747325"/>
    <w:rsid w:val="00750298"/>
    <w:rsid w:val="007508D8"/>
    <w:rsid w:val="007520E6"/>
    <w:rsid w:val="00752EA8"/>
    <w:rsid w:val="0075309F"/>
    <w:rsid w:val="0075376F"/>
    <w:rsid w:val="00753D60"/>
    <w:rsid w:val="0075442A"/>
    <w:rsid w:val="007544E6"/>
    <w:rsid w:val="007614D8"/>
    <w:rsid w:val="0076264E"/>
    <w:rsid w:val="00764D5D"/>
    <w:rsid w:val="007659EF"/>
    <w:rsid w:val="00772665"/>
    <w:rsid w:val="007731CE"/>
    <w:rsid w:val="007733AB"/>
    <w:rsid w:val="00774214"/>
    <w:rsid w:val="007742BB"/>
    <w:rsid w:val="0077452C"/>
    <w:rsid w:val="00774A76"/>
    <w:rsid w:val="00777029"/>
    <w:rsid w:val="00777845"/>
    <w:rsid w:val="00780444"/>
    <w:rsid w:val="00781525"/>
    <w:rsid w:val="00785009"/>
    <w:rsid w:val="0078546C"/>
    <w:rsid w:val="00790CA8"/>
    <w:rsid w:val="00794236"/>
    <w:rsid w:val="00797AEE"/>
    <w:rsid w:val="007A14B7"/>
    <w:rsid w:val="007A2129"/>
    <w:rsid w:val="007A3D6F"/>
    <w:rsid w:val="007A4011"/>
    <w:rsid w:val="007A4CFE"/>
    <w:rsid w:val="007A69A3"/>
    <w:rsid w:val="007A6A26"/>
    <w:rsid w:val="007A72E5"/>
    <w:rsid w:val="007A7613"/>
    <w:rsid w:val="007B0E34"/>
    <w:rsid w:val="007B1D2D"/>
    <w:rsid w:val="007B2006"/>
    <w:rsid w:val="007B3C6A"/>
    <w:rsid w:val="007B4C35"/>
    <w:rsid w:val="007B5443"/>
    <w:rsid w:val="007B5602"/>
    <w:rsid w:val="007B7582"/>
    <w:rsid w:val="007C1F2A"/>
    <w:rsid w:val="007C596D"/>
    <w:rsid w:val="007C6B3C"/>
    <w:rsid w:val="007D2420"/>
    <w:rsid w:val="007D53DF"/>
    <w:rsid w:val="007E107C"/>
    <w:rsid w:val="007E1356"/>
    <w:rsid w:val="007E1AE2"/>
    <w:rsid w:val="007F11D4"/>
    <w:rsid w:val="00804CFF"/>
    <w:rsid w:val="00806A26"/>
    <w:rsid w:val="008075FA"/>
    <w:rsid w:val="0081080F"/>
    <w:rsid w:val="0081266F"/>
    <w:rsid w:val="00812CEF"/>
    <w:rsid w:val="00814312"/>
    <w:rsid w:val="00815C3A"/>
    <w:rsid w:val="00817316"/>
    <w:rsid w:val="00817907"/>
    <w:rsid w:val="008204E8"/>
    <w:rsid w:val="008216C6"/>
    <w:rsid w:val="00821724"/>
    <w:rsid w:val="00822526"/>
    <w:rsid w:val="008225CA"/>
    <w:rsid w:val="00822FE8"/>
    <w:rsid w:val="00831763"/>
    <w:rsid w:val="00832328"/>
    <w:rsid w:val="008323C5"/>
    <w:rsid w:val="00840403"/>
    <w:rsid w:val="00840817"/>
    <w:rsid w:val="00842559"/>
    <w:rsid w:val="00843DD1"/>
    <w:rsid w:val="0084764D"/>
    <w:rsid w:val="00851C84"/>
    <w:rsid w:val="00856698"/>
    <w:rsid w:val="008610D1"/>
    <w:rsid w:val="0086334C"/>
    <w:rsid w:val="00863ADD"/>
    <w:rsid w:val="0086553C"/>
    <w:rsid w:val="008667DC"/>
    <w:rsid w:val="00867DEE"/>
    <w:rsid w:val="00871475"/>
    <w:rsid w:val="008745B3"/>
    <w:rsid w:val="00877689"/>
    <w:rsid w:val="008820B2"/>
    <w:rsid w:val="00882EC6"/>
    <w:rsid w:val="0089057D"/>
    <w:rsid w:val="00893743"/>
    <w:rsid w:val="0089380C"/>
    <w:rsid w:val="00893FA5"/>
    <w:rsid w:val="008A2240"/>
    <w:rsid w:val="008A3446"/>
    <w:rsid w:val="008A64B2"/>
    <w:rsid w:val="008A6DB9"/>
    <w:rsid w:val="008B0B85"/>
    <w:rsid w:val="008B2AFF"/>
    <w:rsid w:val="008C222E"/>
    <w:rsid w:val="008C3F52"/>
    <w:rsid w:val="008C5535"/>
    <w:rsid w:val="008C7745"/>
    <w:rsid w:val="008D0DDD"/>
    <w:rsid w:val="008D6852"/>
    <w:rsid w:val="008D6C2D"/>
    <w:rsid w:val="008D7967"/>
    <w:rsid w:val="008E1079"/>
    <w:rsid w:val="008E1EA2"/>
    <w:rsid w:val="008E2CF2"/>
    <w:rsid w:val="008E3CA5"/>
    <w:rsid w:val="008E5189"/>
    <w:rsid w:val="008E59F7"/>
    <w:rsid w:val="008E7ED4"/>
    <w:rsid w:val="008F0454"/>
    <w:rsid w:val="008F25EC"/>
    <w:rsid w:val="008F261C"/>
    <w:rsid w:val="008F7768"/>
    <w:rsid w:val="008F7F1F"/>
    <w:rsid w:val="00900F89"/>
    <w:rsid w:val="009039AF"/>
    <w:rsid w:val="00903F26"/>
    <w:rsid w:val="00904884"/>
    <w:rsid w:val="00907769"/>
    <w:rsid w:val="0091074E"/>
    <w:rsid w:val="00911250"/>
    <w:rsid w:val="00912DB6"/>
    <w:rsid w:val="00914FD7"/>
    <w:rsid w:val="00916495"/>
    <w:rsid w:val="00916830"/>
    <w:rsid w:val="00920F5F"/>
    <w:rsid w:val="00924B70"/>
    <w:rsid w:val="00925943"/>
    <w:rsid w:val="009279E6"/>
    <w:rsid w:val="009352A5"/>
    <w:rsid w:val="009426AE"/>
    <w:rsid w:val="00944E33"/>
    <w:rsid w:val="00946975"/>
    <w:rsid w:val="0094759F"/>
    <w:rsid w:val="00950685"/>
    <w:rsid w:val="009515C4"/>
    <w:rsid w:val="009519B3"/>
    <w:rsid w:val="00954152"/>
    <w:rsid w:val="0095727B"/>
    <w:rsid w:val="00957B65"/>
    <w:rsid w:val="00957BA8"/>
    <w:rsid w:val="00960178"/>
    <w:rsid w:val="00960C78"/>
    <w:rsid w:val="009619CD"/>
    <w:rsid w:val="009622AF"/>
    <w:rsid w:val="0096767A"/>
    <w:rsid w:val="00970F65"/>
    <w:rsid w:val="00973FA6"/>
    <w:rsid w:val="00974E48"/>
    <w:rsid w:val="00980AE9"/>
    <w:rsid w:val="00980D15"/>
    <w:rsid w:val="009820C0"/>
    <w:rsid w:val="00982F4B"/>
    <w:rsid w:val="009871E7"/>
    <w:rsid w:val="0099482E"/>
    <w:rsid w:val="009961D8"/>
    <w:rsid w:val="00996430"/>
    <w:rsid w:val="00997B7A"/>
    <w:rsid w:val="009A090E"/>
    <w:rsid w:val="009A16A1"/>
    <w:rsid w:val="009A4A2A"/>
    <w:rsid w:val="009A5562"/>
    <w:rsid w:val="009A775F"/>
    <w:rsid w:val="009B0D25"/>
    <w:rsid w:val="009B3275"/>
    <w:rsid w:val="009B5183"/>
    <w:rsid w:val="009C1C0D"/>
    <w:rsid w:val="009C3598"/>
    <w:rsid w:val="009C444F"/>
    <w:rsid w:val="009C56A7"/>
    <w:rsid w:val="009C616E"/>
    <w:rsid w:val="009C72CB"/>
    <w:rsid w:val="009C781E"/>
    <w:rsid w:val="009D051C"/>
    <w:rsid w:val="009D07A5"/>
    <w:rsid w:val="009D2285"/>
    <w:rsid w:val="009D35DA"/>
    <w:rsid w:val="009D502D"/>
    <w:rsid w:val="009E0514"/>
    <w:rsid w:val="009E0BC4"/>
    <w:rsid w:val="009E12DE"/>
    <w:rsid w:val="009E1CB5"/>
    <w:rsid w:val="009E262D"/>
    <w:rsid w:val="009E385B"/>
    <w:rsid w:val="009E753C"/>
    <w:rsid w:val="009F062C"/>
    <w:rsid w:val="009F086F"/>
    <w:rsid w:val="009F2AEB"/>
    <w:rsid w:val="009F3DB5"/>
    <w:rsid w:val="009F5B0D"/>
    <w:rsid w:val="009F7CBD"/>
    <w:rsid w:val="00A00965"/>
    <w:rsid w:val="00A01D4D"/>
    <w:rsid w:val="00A04CE3"/>
    <w:rsid w:val="00A0594A"/>
    <w:rsid w:val="00A1389E"/>
    <w:rsid w:val="00A151E7"/>
    <w:rsid w:val="00A21180"/>
    <w:rsid w:val="00A22258"/>
    <w:rsid w:val="00A2429D"/>
    <w:rsid w:val="00A24608"/>
    <w:rsid w:val="00A257A8"/>
    <w:rsid w:val="00A25F79"/>
    <w:rsid w:val="00A31910"/>
    <w:rsid w:val="00A3255A"/>
    <w:rsid w:val="00A33E75"/>
    <w:rsid w:val="00A34565"/>
    <w:rsid w:val="00A34A77"/>
    <w:rsid w:val="00A4540B"/>
    <w:rsid w:val="00A45F3F"/>
    <w:rsid w:val="00A45F8E"/>
    <w:rsid w:val="00A46D4A"/>
    <w:rsid w:val="00A517B1"/>
    <w:rsid w:val="00A535F5"/>
    <w:rsid w:val="00A53A71"/>
    <w:rsid w:val="00A56777"/>
    <w:rsid w:val="00A61EA1"/>
    <w:rsid w:val="00A63D1F"/>
    <w:rsid w:val="00A644BE"/>
    <w:rsid w:val="00A740AA"/>
    <w:rsid w:val="00A75499"/>
    <w:rsid w:val="00A75B93"/>
    <w:rsid w:val="00A8143F"/>
    <w:rsid w:val="00A82055"/>
    <w:rsid w:val="00A83B09"/>
    <w:rsid w:val="00A84158"/>
    <w:rsid w:val="00A84686"/>
    <w:rsid w:val="00A92C0C"/>
    <w:rsid w:val="00A94B7A"/>
    <w:rsid w:val="00A95D2F"/>
    <w:rsid w:val="00A96DC6"/>
    <w:rsid w:val="00AA2980"/>
    <w:rsid w:val="00AA2F10"/>
    <w:rsid w:val="00AA55B7"/>
    <w:rsid w:val="00AA6FE4"/>
    <w:rsid w:val="00AB1AE9"/>
    <w:rsid w:val="00AB264F"/>
    <w:rsid w:val="00AB4B34"/>
    <w:rsid w:val="00AB5087"/>
    <w:rsid w:val="00AB60B5"/>
    <w:rsid w:val="00AB6544"/>
    <w:rsid w:val="00AB7491"/>
    <w:rsid w:val="00AC0250"/>
    <w:rsid w:val="00AC0DCF"/>
    <w:rsid w:val="00AC1F53"/>
    <w:rsid w:val="00AC3AEF"/>
    <w:rsid w:val="00AC420F"/>
    <w:rsid w:val="00AC4672"/>
    <w:rsid w:val="00AC55C7"/>
    <w:rsid w:val="00AC59FA"/>
    <w:rsid w:val="00AC7797"/>
    <w:rsid w:val="00AC79E8"/>
    <w:rsid w:val="00AD12E3"/>
    <w:rsid w:val="00AD5B51"/>
    <w:rsid w:val="00AD5E92"/>
    <w:rsid w:val="00AD6A52"/>
    <w:rsid w:val="00AD6F6C"/>
    <w:rsid w:val="00AD7DC7"/>
    <w:rsid w:val="00AE10FF"/>
    <w:rsid w:val="00AE2232"/>
    <w:rsid w:val="00AE2DDC"/>
    <w:rsid w:val="00AF0805"/>
    <w:rsid w:val="00AF3B66"/>
    <w:rsid w:val="00AF70DD"/>
    <w:rsid w:val="00AF7D61"/>
    <w:rsid w:val="00B004E5"/>
    <w:rsid w:val="00B01B65"/>
    <w:rsid w:val="00B04733"/>
    <w:rsid w:val="00B06E68"/>
    <w:rsid w:val="00B078C3"/>
    <w:rsid w:val="00B10229"/>
    <w:rsid w:val="00B1634A"/>
    <w:rsid w:val="00B17BD0"/>
    <w:rsid w:val="00B21B97"/>
    <w:rsid w:val="00B22DDF"/>
    <w:rsid w:val="00B23311"/>
    <w:rsid w:val="00B2471F"/>
    <w:rsid w:val="00B256FC"/>
    <w:rsid w:val="00B264E6"/>
    <w:rsid w:val="00B27AAD"/>
    <w:rsid w:val="00B302B4"/>
    <w:rsid w:val="00B318BB"/>
    <w:rsid w:val="00B34FD1"/>
    <w:rsid w:val="00B352B9"/>
    <w:rsid w:val="00B3551D"/>
    <w:rsid w:val="00B355C8"/>
    <w:rsid w:val="00B3581B"/>
    <w:rsid w:val="00B366E9"/>
    <w:rsid w:val="00B36AE9"/>
    <w:rsid w:val="00B420D8"/>
    <w:rsid w:val="00B45AEB"/>
    <w:rsid w:val="00B50E81"/>
    <w:rsid w:val="00B56B89"/>
    <w:rsid w:val="00B57932"/>
    <w:rsid w:val="00B61505"/>
    <w:rsid w:val="00B6178C"/>
    <w:rsid w:val="00B62320"/>
    <w:rsid w:val="00B64DB5"/>
    <w:rsid w:val="00B772E7"/>
    <w:rsid w:val="00B800AE"/>
    <w:rsid w:val="00B807CD"/>
    <w:rsid w:val="00B85875"/>
    <w:rsid w:val="00B85E4C"/>
    <w:rsid w:val="00B8600D"/>
    <w:rsid w:val="00B87A66"/>
    <w:rsid w:val="00B91CA0"/>
    <w:rsid w:val="00BA077D"/>
    <w:rsid w:val="00BA71FF"/>
    <w:rsid w:val="00BB0AEE"/>
    <w:rsid w:val="00BB0F5C"/>
    <w:rsid w:val="00BB2785"/>
    <w:rsid w:val="00BB3A71"/>
    <w:rsid w:val="00BB5653"/>
    <w:rsid w:val="00BC03D4"/>
    <w:rsid w:val="00BC33B7"/>
    <w:rsid w:val="00BC354A"/>
    <w:rsid w:val="00BC359F"/>
    <w:rsid w:val="00BC65FF"/>
    <w:rsid w:val="00BD0455"/>
    <w:rsid w:val="00BD0519"/>
    <w:rsid w:val="00BD1202"/>
    <w:rsid w:val="00BD2231"/>
    <w:rsid w:val="00BD263B"/>
    <w:rsid w:val="00BD4304"/>
    <w:rsid w:val="00BD4772"/>
    <w:rsid w:val="00BD5190"/>
    <w:rsid w:val="00BD6148"/>
    <w:rsid w:val="00BD6474"/>
    <w:rsid w:val="00BE2C72"/>
    <w:rsid w:val="00BE44E0"/>
    <w:rsid w:val="00BE6521"/>
    <w:rsid w:val="00BF1167"/>
    <w:rsid w:val="00BF1F46"/>
    <w:rsid w:val="00BF2755"/>
    <w:rsid w:val="00BF4E15"/>
    <w:rsid w:val="00C0118A"/>
    <w:rsid w:val="00C0272B"/>
    <w:rsid w:val="00C050A4"/>
    <w:rsid w:val="00C1175D"/>
    <w:rsid w:val="00C12E35"/>
    <w:rsid w:val="00C1367F"/>
    <w:rsid w:val="00C13A50"/>
    <w:rsid w:val="00C13CB6"/>
    <w:rsid w:val="00C157E1"/>
    <w:rsid w:val="00C15E77"/>
    <w:rsid w:val="00C1675A"/>
    <w:rsid w:val="00C17079"/>
    <w:rsid w:val="00C258CE"/>
    <w:rsid w:val="00C27320"/>
    <w:rsid w:val="00C30FCC"/>
    <w:rsid w:val="00C314F8"/>
    <w:rsid w:val="00C3315D"/>
    <w:rsid w:val="00C34153"/>
    <w:rsid w:val="00C425B6"/>
    <w:rsid w:val="00C42B9B"/>
    <w:rsid w:val="00C52054"/>
    <w:rsid w:val="00C53568"/>
    <w:rsid w:val="00C5632C"/>
    <w:rsid w:val="00C627E2"/>
    <w:rsid w:val="00C63108"/>
    <w:rsid w:val="00C67C85"/>
    <w:rsid w:val="00C703B2"/>
    <w:rsid w:val="00C71311"/>
    <w:rsid w:val="00C73B18"/>
    <w:rsid w:val="00C73BD5"/>
    <w:rsid w:val="00C74463"/>
    <w:rsid w:val="00C770AD"/>
    <w:rsid w:val="00C8010E"/>
    <w:rsid w:val="00C830C7"/>
    <w:rsid w:val="00C838CC"/>
    <w:rsid w:val="00C841CC"/>
    <w:rsid w:val="00C85480"/>
    <w:rsid w:val="00C870DB"/>
    <w:rsid w:val="00C87F02"/>
    <w:rsid w:val="00C91993"/>
    <w:rsid w:val="00C94432"/>
    <w:rsid w:val="00C96074"/>
    <w:rsid w:val="00CA4C33"/>
    <w:rsid w:val="00CA5938"/>
    <w:rsid w:val="00CA5A62"/>
    <w:rsid w:val="00CA6505"/>
    <w:rsid w:val="00CA6A77"/>
    <w:rsid w:val="00CA6B5A"/>
    <w:rsid w:val="00CA6B76"/>
    <w:rsid w:val="00CB08A3"/>
    <w:rsid w:val="00CB4476"/>
    <w:rsid w:val="00CB4654"/>
    <w:rsid w:val="00CB7718"/>
    <w:rsid w:val="00CB7B48"/>
    <w:rsid w:val="00CC00D9"/>
    <w:rsid w:val="00CC26BC"/>
    <w:rsid w:val="00CC2D63"/>
    <w:rsid w:val="00CC322F"/>
    <w:rsid w:val="00CC574A"/>
    <w:rsid w:val="00CD175A"/>
    <w:rsid w:val="00CD5EAF"/>
    <w:rsid w:val="00CE1B7B"/>
    <w:rsid w:val="00CE6EF4"/>
    <w:rsid w:val="00CF0035"/>
    <w:rsid w:val="00CF297A"/>
    <w:rsid w:val="00D00429"/>
    <w:rsid w:val="00D00630"/>
    <w:rsid w:val="00D00D67"/>
    <w:rsid w:val="00D02936"/>
    <w:rsid w:val="00D04B59"/>
    <w:rsid w:val="00D05A30"/>
    <w:rsid w:val="00D127EA"/>
    <w:rsid w:val="00D15AC7"/>
    <w:rsid w:val="00D15F24"/>
    <w:rsid w:val="00D17DA4"/>
    <w:rsid w:val="00D25278"/>
    <w:rsid w:val="00D266FB"/>
    <w:rsid w:val="00D31A53"/>
    <w:rsid w:val="00D34BD0"/>
    <w:rsid w:val="00D35394"/>
    <w:rsid w:val="00D35678"/>
    <w:rsid w:val="00D357DD"/>
    <w:rsid w:val="00D41E8C"/>
    <w:rsid w:val="00D46075"/>
    <w:rsid w:val="00D52948"/>
    <w:rsid w:val="00D55F05"/>
    <w:rsid w:val="00D57CE7"/>
    <w:rsid w:val="00D6038E"/>
    <w:rsid w:val="00D61AED"/>
    <w:rsid w:val="00D62698"/>
    <w:rsid w:val="00D62BE0"/>
    <w:rsid w:val="00D62F85"/>
    <w:rsid w:val="00D64945"/>
    <w:rsid w:val="00D66781"/>
    <w:rsid w:val="00D66A1E"/>
    <w:rsid w:val="00D6779C"/>
    <w:rsid w:val="00D70509"/>
    <w:rsid w:val="00D71FFD"/>
    <w:rsid w:val="00D725F0"/>
    <w:rsid w:val="00D72D4D"/>
    <w:rsid w:val="00D751B0"/>
    <w:rsid w:val="00D765FF"/>
    <w:rsid w:val="00D76697"/>
    <w:rsid w:val="00D77425"/>
    <w:rsid w:val="00D800A7"/>
    <w:rsid w:val="00D8042E"/>
    <w:rsid w:val="00D80794"/>
    <w:rsid w:val="00D81413"/>
    <w:rsid w:val="00D81689"/>
    <w:rsid w:val="00D823FB"/>
    <w:rsid w:val="00D82D85"/>
    <w:rsid w:val="00D8433F"/>
    <w:rsid w:val="00D85761"/>
    <w:rsid w:val="00D95162"/>
    <w:rsid w:val="00D95530"/>
    <w:rsid w:val="00D976BB"/>
    <w:rsid w:val="00DA176A"/>
    <w:rsid w:val="00DA1A86"/>
    <w:rsid w:val="00DA26CB"/>
    <w:rsid w:val="00DA3201"/>
    <w:rsid w:val="00DA3E68"/>
    <w:rsid w:val="00DA4464"/>
    <w:rsid w:val="00DA7022"/>
    <w:rsid w:val="00DA7FFA"/>
    <w:rsid w:val="00DB014F"/>
    <w:rsid w:val="00DB08E1"/>
    <w:rsid w:val="00DB1DA9"/>
    <w:rsid w:val="00DB2464"/>
    <w:rsid w:val="00DB320D"/>
    <w:rsid w:val="00DC3064"/>
    <w:rsid w:val="00DC5C95"/>
    <w:rsid w:val="00DC7A99"/>
    <w:rsid w:val="00DC7B61"/>
    <w:rsid w:val="00DD2A95"/>
    <w:rsid w:val="00DD3FB8"/>
    <w:rsid w:val="00DD514A"/>
    <w:rsid w:val="00DD528A"/>
    <w:rsid w:val="00DD6BE1"/>
    <w:rsid w:val="00DE013C"/>
    <w:rsid w:val="00DE02DA"/>
    <w:rsid w:val="00DE0352"/>
    <w:rsid w:val="00DE0E8D"/>
    <w:rsid w:val="00DE0EC9"/>
    <w:rsid w:val="00DE1024"/>
    <w:rsid w:val="00DE17E2"/>
    <w:rsid w:val="00DE2681"/>
    <w:rsid w:val="00DE3B12"/>
    <w:rsid w:val="00DF012F"/>
    <w:rsid w:val="00DF15B8"/>
    <w:rsid w:val="00DF18D9"/>
    <w:rsid w:val="00DF2F12"/>
    <w:rsid w:val="00DF6696"/>
    <w:rsid w:val="00E006C9"/>
    <w:rsid w:val="00E00FAB"/>
    <w:rsid w:val="00E01E0E"/>
    <w:rsid w:val="00E02E1C"/>
    <w:rsid w:val="00E03719"/>
    <w:rsid w:val="00E03EC0"/>
    <w:rsid w:val="00E04040"/>
    <w:rsid w:val="00E04F4C"/>
    <w:rsid w:val="00E10361"/>
    <w:rsid w:val="00E10FE5"/>
    <w:rsid w:val="00E11781"/>
    <w:rsid w:val="00E1277F"/>
    <w:rsid w:val="00E12E17"/>
    <w:rsid w:val="00E1581D"/>
    <w:rsid w:val="00E20B33"/>
    <w:rsid w:val="00E21E69"/>
    <w:rsid w:val="00E23870"/>
    <w:rsid w:val="00E24984"/>
    <w:rsid w:val="00E24C88"/>
    <w:rsid w:val="00E318DD"/>
    <w:rsid w:val="00E31C70"/>
    <w:rsid w:val="00E33C97"/>
    <w:rsid w:val="00E345CF"/>
    <w:rsid w:val="00E34666"/>
    <w:rsid w:val="00E40368"/>
    <w:rsid w:val="00E40631"/>
    <w:rsid w:val="00E40CD5"/>
    <w:rsid w:val="00E440E8"/>
    <w:rsid w:val="00E4507B"/>
    <w:rsid w:val="00E52642"/>
    <w:rsid w:val="00E5535B"/>
    <w:rsid w:val="00E60D37"/>
    <w:rsid w:val="00E620BE"/>
    <w:rsid w:val="00E62889"/>
    <w:rsid w:val="00E63D37"/>
    <w:rsid w:val="00E6657E"/>
    <w:rsid w:val="00E702BF"/>
    <w:rsid w:val="00E71495"/>
    <w:rsid w:val="00E714C0"/>
    <w:rsid w:val="00E72402"/>
    <w:rsid w:val="00E74762"/>
    <w:rsid w:val="00E76CDA"/>
    <w:rsid w:val="00E84462"/>
    <w:rsid w:val="00E85460"/>
    <w:rsid w:val="00E96CD8"/>
    <w:rsid w:val="00EA04BE"/>
    <w:rsid w:val="00EA1407"/>
    <w:rsid w:val="00EA18F1"/>
    <w:rsid w:val="00EA19D2"/>
    <w:rsid w:val="00EA2AA3"/>
    <w:rsid w:val="00EA2EA1"/>
    <w:rsid w:val="00EA3B17"/>
    <w:rsid w:val="00EA43AB"/>
    <w:rsid w:val="00EA4755"/>
    <w:rsid w:val="00EA4D80"/>
    <w:rsid w:val="00EA58E4"/>
    <w:rsid w:val="00EA7A72"/>
    <w:rsid w:val="00EB01F6"/>
    <w:rsid w:val="00EB1801"/>
    <w:rsid w:val="00EB2194"/>
    <w:rsid w:val="00EB4F6F"/>
    <w:rsid w:val="00EB7FA3"/>
    <w:rsid w:val="00EC14D6"/>
    <w:rsid w:val="00EC4F25"/>
    <w:rsid w:val="00EC52D1"/>
    <w:rsid w:val="00EC686D"/>
    <w:rsid w:val="00EC6916"/>
    <w:rsid w:val="00ED4720"/>
    <w:rsid w:val="00ED5B01"/>
    <w:rsid w:val="00ED5BD7"/>
    <w:rsid w:val="00ED708F"/>
    <w:rsid w:val="00EE17E2"/>
    <w:rsid w:val="00EE1FC3"/>
    <w:rsid w:val="00EE1FDB"/>
    <w:rsid w:val="00EE24A8"/>
    <w:rsid w:val="00EE2530"/>
    <w:rsid w:val="00EE2F3C"/>
    <w:rsid w:val="00EE2FD6"/>
    <w:rsid w:val="00EE547A"/>
    <w:rsid w:val="00EE719C"/>
    <w:rsid w:val="00EF14DC"/>
    <w:rsid w:val="00EF6391"/>
    <w:rsid w:val="00F05528"/>
    <w:rsid w:val="00F0583F"/>
    <w:rsid w:val="00F07468"/>
    <w:rsid w:val="00F119D9"/>
    <w:rsid w:val="00F13809"/>
    <w:rsid w:val="00F13C0E"/>
    <w:rsid w:val="00F17731"/>
    <w:rsid w:val="00F17D87"/>
    <w:rsid w:val="00F20DA3"/>
    <w:rsid w:val="00F2130A"/>
    <w:rsid w:val="00F25BD0"/>
    <w:rsid w:val="00F25D11"/>
    <w:rsid w:val="00F25D4D"/>
    <w:rsid w:val="00F3125A"/>
    <w:rsid w:val="00F34DDD"/>
    <w:rsid w:val="00F36583"/>
    <w:rsid w:val="00F3698F"/>
    <w:rsid w:val="00F40385"/>
    <w:rsid w:val="00F408A7"/>
    <w:rsid w:val="00F41EFF"/>
    <w:rsid w:val="00F421D7"/>
    <w:rsid w:val="00F503BA"/>
    <w:rsid w:val="00F50DC4"/>
    <w:rsid w:val="00F515A3"/>
    <w:rsid w:val="00F52FCC"/>
    <w:rsid w:val="00F547D9"/>
    <w:rsid w:val="00F54A75"/>
    <w:rsid w:val="00F63064"/>
    <w:rsid w:val="00F63909"/>
    <w:rsid w:val="00F641DA"/>
    <w:rsid w:val="00F65844"/>
    <w:rsid w:val="00F705FD"/>
    <w:rsid w:val="00F722D7"/>
    <w:rsid w:val="00F7241C"/>
    <w:rsid w:val="00F72B14"/>
    <w:rsid w:val="00F72E13"/>
    <w:rsid w:val="00F7528A"/>
    <w:rsid w:val="00F77128"/>
    <w:rsid w:val="00F80999"/>
    <w:rsid w:val="00F813D1"/>
    <w:rsid w:val="00F821C4"/>
    <w:rsid w:val="00F821DE"/>
    <w:rsid w:val="00F8291D"/>
    <w:rsid w:val="00F87271"/>
    <w:rsid w:val="00F8782A"/>
    <w:rsid w:val="00F87FA1"/>
    <w:rsid w:val="00F9021F"/>
    <w:rsid w:val="00F91240"/>
    <w:rsid w:val="00F930E4"/>
    <w:rsid w:val="00F93B44"/>
    <w:rsid w:val="00F93E24"/>
    <w:rsid w:val="00F94F3B"/>
    <w:rsid w:val="00F9508F"/>
    <w:rsid w:val="00F965CC"/>
    <w:rsid w:val="00F9798A"/>
    <w:rsid w:val="00FA09D1"/>
    <w:rsid w:val="00FA4250"/>
    <w:rsid w:val="00FA7A2A"/>
    <w:rsid w:val="00FB0404"/>
    <w:rsid w:val="00FB053A"/>
    <w:rsid w:val="00FB0A42"/>
    <w:rsid w:val="00FB11DB"/>
    <w:rsid w:val="00FB270D"/>
    <w:rsid w:val="00FB2C7D"/>
    <w:rsid w:val="00FB4700"/>
    <w:rsid w:val="00FC1CC8"/>
    <w:rsid w:val="00FC2D4E"/>
    <w:rsid w:val="00FC4572"/>
    <w:rsid w:val="00FC5C7D"/>
    <w:rsid w:val="00FD02B2"/>
    <w:rsid w:val="00FD4A18"/>
    <w:rsid w:val="00FD7DE5"/>
    <w:rsid w:val="00FE0727"/>
    <w:rsid w:val="00FE28E4"/>
    <w:rsid w:val="00FE72CD"/>
    <w:rsid w:val="00FF3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0CE627"/>
  <w15:docId w15:val="{3CB9759A-C4DA-436D-8A68-C38725E3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CA6A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aliases w:val="2"/>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1C1A2E"/>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qForma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character" w:styleId="PlaceholderText">
    <w:name w:val="Placeholder Text"/>
    <w:basedOn w:val="DefaultParagraphFont"/>
    <w:uiPriority w:val="99"/>
    <w:semiHidden/>
    <w:rsid w:val="0015274F"/>
    <w:rPr>
      <w:color w:val="808080"/>
    </w:rPr>
  </w:style>
  <w:style w:type="character" w:customStyle="1" w:styleId="Heading3Char">
    <w:name w:val="Heading 3 Char"/>
    <w:basedOn w:val="DefaultParagraphFont"/>
    <w:link w:val="Heading3"/>
    <w:rsid w:val="00CA6A77"/>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rsid w:val="009279E6"/>
    <w:pPr>
      <w:spacing w:after="200" w:line="276" w:lineRule="auto"/>
      <w:ind w:left="720"/>
      <w:contextualSpacing/>
    </w:pPr>
    <w:rPr>
      <w:rFonts w:ascii="Calibri" w:hAnsi="Calibri"/>
      <w:sz w:val="22"/>
      <w:szCs w:val="22"/>
      <w:lang w:val="en-US" w:eastAsia="en-US"/>
    </w:rPr>
  </w:style>
  <w:style w:type="paragraph" w:customStyle="1" w:styleId="tvhtml">
    <w:name w:val="tv_html"/>
    <w:basedOn w:val="Normal"/>
    <w:rsid w:val="00E74762"/>
    <w:pPr>
      <w:spacing w:before="100" w:beforeAutospacing="1" w:after="100" w:afterAutospacing="1"/>
    </w:pPr>
  </w:style>
  <w:style w:type="character" w:customStyle="1" w:styleId="ListParagraphChar">
    <w:name w:val="List Paragraph Char"/>
    <w:aliases w:val="2 Char"/>
    <w:link w:val="ListParagraph"/>
    <w:uiPriority w:val="34"/>
    <w:locked/>
    <w:rsid w:val="00E74762"/>
    <w:rPr>
      <w:sz w:val="28"/>
      <w:szCs w:val="28"/>
    </w:rPr>
  </w:style>
  <w:style w:type="character" w:customStyle="1" w:styleId="apple-converted-space">
    <w:name w:val="apple-converted-space"/>
    <w:basedOn w:val="DefaultParagraphFont"/>
    <w:rsid w:val="000056F9"/>
  </w:style>
  <w:style w:type="character" w:customStyle="1" w:styleId="st1">
    <w:name w:val="st1"/>
    <w:basedOn w:val="DefaultParagraphFont"/>
    <w:rsid w:val="000056F9"/>
  </w:style>
  <w:style w:type="paragraph" w:styleId="BodyText2">
    <w:name w:val="Body Text 2"/>
    <w:basedOn w:val="Normal"/>
    <w:link w:val="BodyText2Char"/>
    <w:semiHidden/>
    <w:unhideWhenUsed/>
    <w:rsid w:val="00A34565"/>
    <w:pPr>
      <w:spacing w:after="120" w:line="480" w:lineRule="auto"/>
    </w:pPr>
  </w:style>
  <w:style w:type="character" w:customStyle="1" w:styleId="BodyText2Char">
    <w:name w:val="Body Text 2 Char"/>
    <w:basedOn w:val="DefaultParagraphFont"/>
    <w:link w:val="BodyText2"/>
    <w:semiHidden/>
    <w:rsid w:val="00A34565"/>
    <w:rPr>
      <w:sz w:val="24"/>
      <w:szCs w:val="24"/>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40403"/>
    <w:pPr>
      <w:spacing w:after="160" w:line="240" w:lineRule="exact"/>
      <w:jc w:val="both"/>
      <w:textAlignment w:val="baseline"/>
    </w:pPr>
    <w:rPr>
      <w:sz w:val="20"/>
      <w:szCs w:val="20"/>
      <w:vertAlign w:val="superscript"/>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ocked/>
    <w:rsid w:val="00E34666"/>
    <w:rPr>
      <w:rFonts w:ascii="Times New Roman" w:eastAsia="Times New Roman" w:hAnsi="Times New Roman" w:cs="Times New Roman"/>
      <w:sz w:val="20"/>
      <w:szCs w:val="20"/>
      <w:lang w:val="en-GB"/>
    </w:rPr>
  </w:style>
  <w:style w:type="paragraph" w:styleId="NoSpacing">
    <w:name w:val="No Spacing"/>
    <w:qFormat/>
    <w:rsid w:val="00E34666"/>
    <w:rPr>
      <w:sz w:val="24"/>
      <w:lang w:val="en-AU"/>
    </w:rPr>
  </w:style>
  <w:style w:type="paragraph" w:customStyle="1" w:styleId="tv213">
    <w:name w:val="tv213"/>
    <w:basedOn w:val="Normal"/>
    <w:rsid w:val="00D66A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858">
      <w:bodyDiv w:val="1"/>
      <w:marLeft w:val="0"/>
      <w:marRight w:val="0"/>
      <w:marTop w:val="0"/>
      <w:marBottom w:val="0"/>
      <w:divBdr>
        <w:top w:val="none" w:sz="0" w:space="0" w:color="auto"/>
        <w:left w:val="none" w:sz="0" w:space="0" w:color="auto"/>
        <w:bottom w:val="none" w:sz="0" w:space="0" w:color="auto"/>
        <w:right w:val="none" w:sz="0" w:space="0" w:color="auto"/>
      </w:divBdr>
    </w:div>
    <w:div w:id="22096812">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30432811">
      <w:bodyDiv w:val="1"/>
      <w:marLeft w:val="0"/>
      <w:marRight w:val="0"/>
      <w:marTop w:val="0"/>
      <w:marBottom w:val="0"/>
      <w:divBdr>
        <w:top w:val="none" w:sz="0" w:space="0" w:color="auto"/>
        <w:left w:val="none" w:sz="0" w:space="0" w:color="auto"/>
        <w:bottom w:val="none" w:sz="0" w:space="0" w:color="auto"/>
        <w:right w:val="none" w:sz="0" w:space="0" w:color="auto"/>
      </w:divBdr>
      <w:divsChild>
        <w:div w:id="1325933693">
          <w:marLeft w:val="0"/>
          <w:marRight w:val="0"/>
          <w:marTop w:val="480"/>
          <w:marBottom w:val="240"/>
          <w:divBdr>
            <w:top w:val="none" w:sz="0" w:space="0" w:color="auto"/>
            <w:left w:val="none" w:sz="0" w:space="0" w:color="auto"/>
            <w:bottom w:val="none" w:sz="0" w:space="0" w:color="auto"/>
            <w:right w:val="none" w:sz="0" w:space="0" w:color="auto"/>
          </w:divBdr>
        </w:div>
        <w:div w:id="1529417256">
          <w:marLeft w:val="0"/>
          <w:marRight w:val="0"/>
          <w:marTop w:val="0"/>
          <w:marBottom w:val="567"/>
          <w:divBdr>
            <w:top w:val="none" w:sz="0" w:space="0" w:color="auto"/>
            <w:left w:val="none" w:sz="0" w:space="0" w:color="auto"/>
            <w:bottom w:val="none" w:sz="0" w:space="0" w:color="auto"/>
            <w:right w:val="none" w:sz="0" w:space="0" w:color="auto"/>
          </w:divBdr>
        </w:div>
      </w:divsChild>
    </w:div>
    <w:div w:id="249853718">
      <w:bodyDiv w:val="1"/>
      <w:marLeft w:val="0"/>
      <w:marRight w:val="0"/>
      <w:marTop w:val="0"/>
      <w:marBottom w:val="0"/>
      <w:divBdr>
        <w:top w:val="none" w:sz="0" w:space="0" w:color="auto"/>
        <w:left w:val="none" w:sz="0" w:space="0" w:color="auto"/>
        <w:bottom w:val="none" w:sz="0" w:space="0" w:color="auto"/>
        <w:right w:val="none" w:sz="0" w:space="0" w:color="auto"/>
      </w:divBdr>
    </w:div>
    <w:div w:id="299532158">
      <w:bodyDiv w:val="1"/>
      <w:marLeft w:val="0"/>
      <w:marRight w:val="0"/>
      <w:marTop w:val="0"/>
      <w:marBottom w:val="0"/>
      <w:divBdr>
        <w:top w:val="none" w:sz="0" w:space="0" w:color="auto"/>
        <w:left w:val="none" w:sz="0" w:space="0" w:color="auto"/>
        <w:bottom w:val="none" w:sz="0" w:space="0" w:color="auto"/>
        <w:right w:val="none" w:sz="0" w:space="0" w:color="auto"/>
      </w:divBdr>
    </w:div>
    <w:div w:id="442767703">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1114117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611127457">
      <w:bodyDiv w:val="1"/>
      <w:marLeft w:val="0"/>
      <w:marRight w:val="0"/>
      <w:marTop w:val="0"/>
      <w:marBottom w:val="0"/>
      <w:divBdr>
        <w:top w:val="none" w:sz="0" w:space="0" w:color="auto"/>
        <w:left w:val="none" w:sz="0" w:space="0" w:color="auto"/>
        <w:bottom w:val="none" w:sz="0" w:space="0" w:color="auto"/>
        <w:right w:val="none" w:sz="0" w:space="0" w:color="auto"/>
      </w:divBdr>
    </w:div>
    <w:div w:id="641619425">
      <w:bodyDiv w:val="1"/>
      <w:marLeft w:val="0"/>
      <w:marRight w:val="0"/>
      <w:marTop w:val="0"/>
      <w:marBottom w:val="0"/>
      <w:divBdr>
        <w:top w:val="none" w:sz="0" w:space="0" w:color="auto"/>
        <w:left w:val="none" w:sz="0" w:space="0" w:color="auto"/>
        <w:bottom w:val="none" w:sz="0" w:space="0" w:color="auto"/>
        <w:right w:val="none" w:sz="0" w:space="0" w:color="auto"/>
      </w:divBdr>
    </w:div>
    <w:div w:id="776169943">
      <w:bodyDiv w:val="1"/>
      <w:marLeft w:val="0"/>
      <w:marRight w:val="0"/>
      <w:marTop w:val="0"/>
      <w:marBottom w:val="0"/>
      <w:divBdr>
        <w:top w:val="none" w:sz="0" w:space="0" w:color="auto"/>
        <w:left w:val="none" w:sz="0" w:space="0" w:color="auto"/>
        <w:bottom w:val="none" w:sz="0" w:space="0" w:color="auto"/>
        <w:right w:val="none" w:sz="0" w:space="0" w:color="auto"/>
      </w:divBdr>
    </w:div>
    <w:div w:id="799882078">
      <w:bodyDiv w:val="1"/>
      <w:marLeft w:val="0"/>
      <w:marRight w:val="0"/>
      <w:marTop w:val="0"/>
      <w:marBottom w:val="0"/>
      <w:divBdr>
        <w:top w:val="none" w:sz="0" w:space="0" w:color="auto"/>
        <w:left w:val="none" w:sz="0" w:space="0" w:color="auto"/>
        <w:bottom w:val="none" w:sz="0" w:space="0" w:color="auto"/>
        <w:right w:val="none" w:sz="0" w:space="0" w:color="auto"/>
      </w:divBdr>
    </w:div>
    <w:div w:id="919170918">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294096745">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374229739">
      <w:bodyDiv w:val="1"/>
      <w:marLeft w:val="0"/>
      <w:marRight w:val="0"/>
      <w:marTop w:val="0"/>
      <w:marBottom w:val="0"/>
      <w:divBdr>
        <w:top w:val="none" w:sz="0" w:space="0" w:color="auto"/>
        <w:left w:val="none" w:sz="0" w:space="0" w:color="auto"/>
        <w:bottom w:val="none" w:sz="0" w:space="0" w:color="auto"/>
        <w:right w:val="none" w:sz="0" w:space="0" w:color="auto"/>
      </w:divBdr>
    </w:div>
    <w:div w:id="1430197695">
      <w:bodyDiv w:val="1"/>
      <w:marLeft w:val="0"/>
      <w:marRight w:val="0"/>
      <w:marTop w:val="0"/>
      <w:marBottom w:val="0"/>
      <w:divBdr>
        <w:top w:val="none" w:sz="0" w:space="0" w:color="auto"/>
        <w:left w:val="none" w:sz="0" w:space="0" w:color="auto"/>
        <w:bottom w:val="none" w:sz="0" w:space="0" w:color="auto"/>
        <w:right w:val="none" w:sz="0" w:space="0" w:color="auto"/>
      </w:divBdr>
      <w:divsChild>
        <w:div w:id="852039248">
          <w:marLeft w:val="0"/>
          <w:marRight w:val="0"/>
          <w:marTop w:val="480"/>
          <w:marBottom w:val="240"/>
          <w:divBdr>
            <w:top w:val="none" w:sz="0" w:space="0" w:color="auto"/>
            <w:left w:val="none" w:sz="0" w:space="0" w:color="auto"/>
            <w:bottom w:val="none" w:sz="0" w:space="0" w:color="auto"/>
            <w:right w:val="none" w:sz="0" w:space="0" w:color="auto"/>
          </w:divBdr>
        </w:div>
        <w:div w:id="407119767">
          <w:marLeft w:val="0"/>
          <w:marRight w:val="0"/>
          <w:marTop w:val="0"/>
          <w:marBottom w:val="567"/>
          <w:divBdr>
            <w:top w:val="none" w:sz="0" w:space="0" w:color="auto"/>
            <w:left w:val="none" w:sz="0" w:space="0" w:color="auto"/>
            <w:bottom w:val="none" w:sz="0" w:space="0" w:color="auto"/>
            <w:right w:val="none" w:sz="0" w:space="0" w:color="auto"/>
          </w:divBdr>
        </w:div>
      </w:divsChild>
    </w:div>
    <w:div w:id="1536843006">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1704">
      <w:bodyDiv w:val="1"/>
      <w:marLeft w:val="0"/>
      <w:marRight w:val="0"/>
      <w:marTop w:val="0"/>
      <w:marBottom w:val="0"/>
      <w:divBdr>
        <w:top w:val="none" w:sz="0" w:space="0" w:color="auto"/>
        <w:left w:val="none" w:sz="0" w:space="0" w:color="auto"/>
        <w:bottom w:val="none" w:sz="0" w:space="0" w:color="auto"/>
        <w:right w:val="none" w:sz="0" w:space="0" w:color="auto"/>
      </w:divBdr>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751384143">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20963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8834-elektroenergijas-tirgu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js.Apanuks@em.gov.lv" TargetMode="External"/><Relationship Id="rId4" Type="http://schemas.openxmlformats.org/officeDocument/2006/relationships/settings" Target="settings.xml"/><Relationship Id="rId9" Type="http://schemas.openxmlformats.org/officeDocument/2006/relationships/hyperlink" Target="https://likumi.lv/ta/id/108834-elektroenergijas-tirgu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7E36-82AB-4C0C-91FB-6F37FA7B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16975</Words>
  <Characters>9677</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Ekonomikas ministrija</Company>
  <LinksUpToDate>false</LinksUpToDate>
  <CharactersWithSpaces>26599</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Aija Timofejeva</dc:creator>
  <cp:lastModifiedBy>AEED</cp:lastModifiedBy>
  <cp:revision>37</cp:revision>
  <cp:lastPrinted>2017-11-07T06:58:00Z</cp:lastPrinted>
  <dcterms:created xsi:type="dcterms:W3CDTF">2017-11-15T14:34:00Z</dcterms:created>
  <dcterms:modified xsi:type="dcterms:W3CDTF">2017-11-16T11:39:00Z</dcterms:modified>
  <cp:contentStatus/>
</cp:coreProperties>
</file>