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87" w:rsidRPr="0088509F" w:rsidRDefault="003A6E87" w:rsidP="000D58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09F">
        <w:rPr>
          <w:rFonts w:ascii="Times New Roman" w:hAnsi="Times New Roman" w:cs="Times New Roman"/>
          <w:sz w:val="26"/>
          <w:szCs w:val="26"/>
        </w:rPr>
        <w:t>Noteikumu projekt</w:t>
      </w:r>
      <w:r w:rsidR="004C60F3" w:rsidRPr="0088509F">
        <w:rPr>
          <w:rFonts w:ascii="Times New Roman" w:hAnsi="Times New Roman" w:cs="Times New Roman"/>
          <w:sz w:val="26"/>
          <w:szCs w:val="26"/>
        </w:rPr>
        <w:t>a</w:t>
      </w:r>
      <w:r w:rsidRPr="0088509F">
        <w:rPr>
          <w:rFonts w:ascii="Times New Roman" w:hAnsi="Times New Roman" w:cs="Times New Roman"/>
          <w:sz w:val="26"/>
          <w:szCs w:val="26"/>
        </w:rPr>
        <w:t xml:space="preserve"> “Grozījumi Ministru kabineta 2009.gada 28.jūlija noteikumos Nr.815 “Noteikumi par būtiskām prasībām aerosola flakoniem un to marķēšanas un klasificēšanas kārtību””</w:t>
      </w:r>
      <w:r w:rsidR="004C60F3" w:rsidRPr="0088509F">
        <w:rPr>
          <w:rFonts w:ascii="Times New Roman" w:hAnsi="Times New Roman" w:cs="Times New Roman"/>
          <w:sz w:val="26"/>
          <w:szCs w:val="26"/>
        </w:rPr>
        <w:t xml:space="preserve"> sākotnējās ietekmes novērtējuma ziņojums</w:t>
      </w:r>
      <w:r w:rsidRPr="008850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509F">
        <w:rPr>
          <w:rFonts w:ascii="Times New Roman" w:hAnsi="Times New Roman" w:cs="Times New Roman"/>
          <w:sz w:val="26"/>
          <w:szCs w:val="26"/>
        </w:rPr>
        <w:t>(anotācija)</w:t>
      </w:r>
    </w:p>
    <w:tbl>
      <w:tblPr>
        <w:tblpPr w:leftFromText="180" w:rightFromText="180" w:vertAnchor="text" w:horzAnchor="margin" w:tblpXSpec="center" w:tblpY="31"/>
        <w:tblOverlap w:val="never"/>
        <w:tblW w:w="606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2303"/>
        <w:gridCol w:w="7344"/>
      </w:tblGrid>
      <w:tr w:rsidR="00805A3C" w:rsidRPr="00805A3C" w:rsidTr="00E53544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05A3C" w:rsidRPr="00805A3C" w:rsidRDefault="00805A3C" w:rsidP="00D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05A3C" w:rsidRPr="00805A3C" w:rsidTr="00E53544">
        <w:trPr>
          <w:trHeight w:val="405"/>
        </w:trPr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61C23" w:rsidRPr="003807CE" w:rsidRDefault="00461C23" w:rsidP="006252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1C23">
              <w:rPr>
                <w:rFonts w:ascii="Times New Roman" w:hAnsi="Times New Roman" w:cs="Times New Roman"/>
                <w:sz w:val="24"/>
              </w:rPr>
              <w:t xml:space="preserve">Ministru kabineta noteikumu projekts </w:t>
            </w:r>
            <w:r w:rsidR="008C3CA8" w:rsidRPr="008C3CA8">
              <w:rPr>
                <w:rFonts w:ascii="Times New Roman" w:hAnsi="Times New Roman" w:cs="Times New Roman"/>
                <w:i/>
                <w:sz w:val="24"/>
              </w:rPr>
              <w:t>“Grozījumi Ministru kabineta 2009.gada 28.jūlija noteikumos Nr.815 “Noteikumi par būtiskām prasībām aerosola flakoniem un to marķēš</w:t>
            </w:r>
            <w:r w:rsidR="00FA3B12">
              <w:rPr>
                <w:rFonts w:ascii="Times New Roman" w:hAnsi="Times New Roman" w:cs="Times New Roman"/>
                <w:i/>
                <w:sz w:val="24"/>
              </w:rPr>
              <w:t>anas un klasificēšanas kārtību””</w:t>
            </w:r>
            <w:r w:rsidR="00C4063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40636">
              <w:rPr>
                <w:rFonts w:ascii="Times New Roman" w:hAnsi="Times New Roman" w:cs="Times New Roman"/>
                <w:sz w:val="24"/>
              </w:rPr>
              <w:t>(turpmāk – noteikumu projekts)</w:t>
            </w:r>
            <w:r w:rsidR="008F52A3">
              <w:rPr>
                <w:rFonts w:ascii="Times New Roman" w:hAnsi="Times New Roman" w:cs="Times New Roman"/>
                <w:sz w:val="24"/>
              </w:rPr>
              <w:t xml:space="preserve"> izstrādāts saskaņā ar likuma “Par atbilstības novērtēšanu</w:t>
            </w:r>
            <w:r w:rsidR="0088509F">
              <w:rPr>
                <w:rFonts w:ascii="Times New Roman" w:hAnsi="Times New Roman" w:cs="Times New Roman"/>
                <w:sz w:val="24"/>
              </w:rPr>
              <w:t>” 7.pantā ietverto deleģējumu</w:t>
            </w:r>
            <w:r w:rsidR="00625204">
              <w:rPr>
                <w:rFonts w:ascii="Times New Roman" w:hAnsi="Times New Roman" w:cs="Times New Roman"/>
                <w:sz w:val="24"/>
              </w:rPr>
              <w:t xml:space="preserve"> un</w:t>
            </w:r>
            <w:r w:rsidR="008F52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5204">
              <w:rPr>
                <w:rFonts w:ascii="Times New Roman" w:hAnsi="Times New Roman" w:cs="Times New Roman"/>
                <w:sz w:val="24"/>
              </w:rPr>
              <w:t>Patērētāju tiesību aizsardzības likuma 21.panta pirmo d</w:t>
            </w:r>
            <w:bookmarkStart w:id="0" w:name="_GoBack"/>
            <w:bookmarkEnd w:id="0"/>
            <w:r w:rsidR="00625204">
              <w:rPr>
                <w:rFonts w:ascii="Times New Roman" w:hAnsi="Times New Roman" w:cs="Times New Roman"/>
                <w:sz w:val="24"/>
              </w:rPr>
              <w:t xml:space="preserve">aļu. </w:t>
            </w:r>
            <w:r w:rsidR="008F52A3">
              <w:rPr>
                <w:rFonts w:ascii="Times New Roman" w:hAnsi="Times New Roman" w:cs="Times New Roman"/>
                <w:sz w:val="24"/>
              </w:rPr>
              <w:t xml:space="preserve">Ar noteikumu projektu tiek nodrošināta </w:t>
            </w:r>
            <w:r w:rsidRPr="00461C23">
              <w:rPr>
                <w:rFonts w:ascii="Times New Roman" w:hAnsi="Times New Roman" w:cs="Times New Roman"/>
                <w:sz w:val="24"/>
              </w:rPr>
              <w:t>Komisijas 201</w:t>
            </w:r>
            <w:r w:rsidR="008C3CA8">
              <w:rPr>
                <w:rFonts w:ascii="Times New Roman" w:hAnsi="Times New Roman" w:cs="Times New Roman"/>
                <w:sz w:val="24"/>
              </w:rPr>
              <w:t>6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.gada </w:t>
            </w:r>
            <w:r w:rsidR="008C3CA8">
              <w:rPr>
                <w:rFonts w:ascii="Times New Roman" w:hAnsi="Times New Roman" w:cs="Times New Roman"/>
                <w:sz w:val="24"/>
              </w:rPr>
              <w:t>21</w:t>
            </w:r>
            <w:r w:rsidRPr="00461C23">
              <w:rPr>
                <w:rFonts w:ascii="Times New Roman" w:hAnsi="Times New Roman" w:cs="Times New Roman"/>
                <w:sz w:val="24"/>
              </w:rPr>
              <w:t>.</w:t>
            </w:r>
            <w:r w:rsidR="008C3CA8">
              <w:rPr>
                <w:rFonts w:ascii="Times New Roman" w:hAnsi="Times New Roman" w:cs="Times New Roman"/>
                <w:sz w:val="24"/>
              </w:rPr>
              <w:t>novembra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3CA8">
              <w:rPr>
                <w:rFonts w:ascii="Times New Roman" w:hAnsi="Times New Roman" w:cs="Times New Roman"/>
                <w:sz w:val="24"/>
              </w:rPr>
              <w:t>Direktīv</w:t>
            </w:r>
            <w:r w:rsidR="008F52A3">
              <w:rPr>
                <w:rFonts w:ascii="Times New Roman" w:hAnsi="Times New Roman" w:cs="Times New Roman"/>
                <w:sz w:val="24"/>
              </w:rPr>
              <w:t>as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 Nr.</w:t>
            </w:r>
            <w:r w:rsidR="008C3CA8">
              <w:rPr>
                <w:rFonts w:ascii="Times New Roman" w:hAnsi="Times New Roman" w:cs="Times New Roman"/>
                <w:sz w:val="24"/>
              </w:rPr>
              <w:t>2016</w:t>
            </w:r>
            <w:r w:rsidRPr="00461C23">
              <w:rPr>
                <w:rFonts w:ascii="Times New Roman" w:hAnsi="Times New Roman" w:cs="Times New Roman"/>
                <w:sz w:val="24"/>
              </w:rPr>
              <w:t>/</w:t>
            </w:r>
            <w:r w:rsidR="008C3CA8">
              <w:rPr>
                <w:rFonts w:ascii="Times New Roman" w:hAnsi="Times New Roman" w:cs="Times New Roman"/>
                <w:sz w:val="24"/>
              </w:rPr>
              <w:t>2037</w:t>
            </w:r>
            <w:r w:rsidR="008F52A3">
              <w:rPr>
                <w:rFonts w:ascii="Times New Roman" w:hAnsi="Times New Roman" w:cs="Times New Roman"/>
                <w:sz w:val="24"/>
              </w:rPr>
              <w:t>/ES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3CA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ar kuru attiecībā uz aerosola izsmidzinātāju maksimālo atļauto spiedienu un lai tajā noteiktos marķēšanas noteikumus pielāgotu Eiropas Parlamenta un Padomes Regulai (EK) Nr. 1272/2008 par vielu un maisījumu klasificēšanu, marķēšanu un iepakošanu groza Padomes Direktīvu 75/324/EEK</w:t>
            </w:r>
            <w:r w:rsidR="008C3CA8" w:rsidRPr="00461C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C23">
              <w:rPr>
                <w:rFonts w:ascii="Times New Roman" w:hAnsi="Times New Roman" w:cs="Times New Roman"/>
                <w:sz w:val="24"/>
              </w:rPr>
              <w:t>(turpmāk</w:t>
            </w:r>
            <w:r w:rsidR="002118A6">
              <w:rPr>
                <w:rFonts w:ascii="Times New Roman" w:hAnsi="Times New Roman" w:cs="Times New Roman"/>
                <w:sz w:val="24"/>
              </w:rPr>
              <w:t xml:space="preserve"> - </w:t>
            </w:r>
            <w:r w:rsidR="008C3CA8">
              <w:rPr>
                <w:rFonts w:ascii="Times New Roman" w:hAnsi="Times New Roman" w:cs="Times New Roman"/>
                <w:sz w:val="24"/>
              </w:rPr>
              <w:t>Direktīva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 Nr.</w:t>
            </w:r>
            <w:r w:rsidR="008C3CA8">
              <w:rPr>
                <w:rFonts w:ascii="Times New Roman" w:hAnsi="Times New Roman" w:cs="Times New Roman"/>
                <w:sz w:val="24"/>
              </w:rPr>
              <w:t>2016</w:t>
            </w:r>
            <w:r w:rsidRPr="00461C23">
              <w:rPr>
                <w:rFonts w:ascii="Times New Roman" w:hAnsi="Times New Roman" w:cs="Times New Roman"/>
                <w:sz w:val="24"/>
              </w:rPr>
              <w:t>/</w:t>
            </w:r>
            <w:r w:rsidR="008C3CA8">
              <w:rPr>
                <w:rFonts w:ascii="Times New Roman" w:hAnsi="Times New Roman" w:cs="Times New Roman"/>
                <w:sz w:val="24"/>
              </w:rPr>
              <w:t>2037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8F52A3">
              <w:rPr>
                <w:rFonts w:ascii="Times New Roman" w:hAnsi="Times New Roman" w:cs="Times New Roman"/>
                <w:sz w:val="24"/>
              </w:rPr>
              <w:t xml:space="preserve"> prasību ieviešana.</w:t>
            </w:r>
          </w:p>
        </w:tc>
      </w:tr>
      <w:tr w:rsidR="00805A3C" w:rsidRPr="00805A3C" w:rsidTr="00E53544">
        <w:trPr>
          <w:trHeight w:val="465"/>
        </w:trPr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73329" w:rsidRDefault="0088509F" w:rsidP="00073329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Šobrīd</w:t>
            </w:r>
            <w:r w:rsidR="00A27880">
              <w:rPr>
                <w:rFonts w:ascii="Times New Roman" w:eastAsia="Calibri" w:hAnsi="Times New Roman" w:cs="Times New Roman"/>
                <w:bCs/>
                <w:sz w:val="24"/>
              </w:rPr>
              <w:t xml:space="preserve"> ir spēkā</w:t>
            </w:r>
            <w:r w:rsidR="00A27880" w:rsidRPr="002E1189">
              <w:rPr>
                <w:rFonts w:ascii="Times New Roman" w:eastAsia="Calibri" w:hAnsi="Times New Roman" w:cs="Times New Roman"/>
                <w:bCs/>
                <w:sz w:val="24"/>
              </w:rPr>
              <w:t xml:space="preserve"> Ministru kabineta 2009.gada 28.jūlija noteiku</w:t>
            </w:r>
            <w:r w:rsidR="00A27880">
              <w:rPr>
                <w:rFonts w:ascii="Times New Roman" w:eastAsia="Calibri" w:hAnsi="Times New Roman" w:cs="Times New Roman"/>
                <w:bCs/>
                <w:sz w:val="24"/>
              </w:rPr>
              <w:t>mi</w:t>
            </w:r>
            <w:r w:rsidR="00A27880" w:rsidRPr="002E1189">
              <w:rPr>
                <w:rFonts w:ascii="Times New Roman" w:eastAsia="Calibri" w:hAnsi="Times New Roman" w:cs="Times New Roman"/>
                <w:bCs/>
                <w:sz w:val="24"/>
              </w:rPr>
              <w:t xml:space="preserve"> Nr.815 </w:t>
            </w:r>
            <w:r w:rsidR="00A27880" w:rsidRPr="002E1189">
              <w:rPr>
                <w:rFonts w:ascii="Times New Roman" w:eastAsia="Calibri" w:hAnsi="Times New Roman" w:cs="Times New Roman"/>
                <w:i/>
                <w:sz w:val="24"/>
              </w:rPr>
              <w:t>„</w:t>
            </w:r>
            <w:r w:rsidR="00A27880" w:rsidRPr="002E1189">
              <w:rPr>
                <w:rFonts w:ascii="Times New Roman" w:hAnsi="Times New Roman" w:cs="Times New Roman"/>
                <w:i/>
                <w:sz w:val="24"/>
              </w:rPr>
              <w:t>Noteikumi par būtiskām prasībām aerosola flakoniem un to marķēšanas un klasificēšanas kārtību</w:t>
            </w:r>
            <w:r w:rsidR="00A27880" w:rsidRPr="002E1189">
              <w:rPr>
                <w:rFonts w:ascii="Times New Roman" w:eastAsia="Calibri" w:hAnsi="Times New Roman" w:cs="Times New Roman"/>
                <w:i/>
                <w:sz w:val="24"/>
              </w:rPr>
              <w:t xml:space="preserve">” </w:t>
            </w:r>
            <w:r w:rsidR="00A27880" w:rsidRPr="002E1189">
              <w:rPr>
                <w:rFonts w:ascii="Times New Roman" w:eastAsia="Calibri" w:hAnsi="Times New Roman" w:cs="Times New Roman"/>
                <w:sz w:val="24"/>
              </w:rPr>
              <w:t>(turpmāk – Noteikumi Nr.</w:t>
            </w:r>
            <w:r w:rsidR="00A27880">
              <w:rPr>
                <w:rFonts w:ascii="Times New Roman" w:eastAsia="Calibri" w:hAnsi="Times New Roman" w:cs="Times New Roman"/>
                <w:sz w:val="24"/>
              </w:rPr>
              <w:t>815</w:t>
            </w:r>
            <w:r w:rsidR="00A27880" w:rsidRPr="002E1189">
              <w:rPr>
                <w:rFonts w:ascii="Times New Roman" w:eastAsia="Calibri" w:hAnsi="Times New Roman" w:cs="Times New Roman"/>
                <w:sz w:val="24"/>
              </w:rPr>
              <w:t>)</w:t>
            </w:r>
            <w:r w:rsidR="00A27880">
              <w:rPr>
                <w:rFonts w:ascii="Times New Roman" w:eastAsia="Calibri" w:hAnsi="Times New Roman" w:cs="Times New Roman"/>
                <w:sz w:val="24"/>
              </w:rPr>
              <w:t xml:space="preserve">, kas nosaka </w:t>
            </w:r>
            <w:r w:rsidR="00073329" w:rsidRPr="002E1189">
              <w:rPr>
                <w:rFonts w:ascii="Times New Roman" w:hAnsi="Times New Roman" w:cs="Times New Roman"/>
                <w:sz w:val="24"/>
              </w:rPr>
              <w:t xml:space="preserve">būtiskās prasības </w:t>
            </w:r>
            <w:r w:rsidR="002E2875">
              <w:rPr>
                <w:rFonts w:ascii="Times New Roman" w:hAnsi="Times New Roman" w:cs="Times New Roman"/>
                <w:sz w:val="24"/>
              </w:rPr>
              <w:t>aerosola flakoniem, to ievērošanas uzraudzības kārtību, kā arī aerosola flakonu marķēšanas un klasificēšanas kārtību.</w:t>
            </w:r>
          </w:p>
          <w:p w:rsidR="00A27880" w:rsidRDefault="00A27880" w:rsidP="00073329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7880" w:rsidRPr="00A27880" w:rsidRDefault="00A27880" w:rsidP="00073329">
            <w:pPr>
              <w:spacing w:line="264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A27880">
              <w:rPr>
                <w:rFonts w:ascii="Times New Roman" w:hAnsi="Times New Roman" w:cs="Times New Roman"/>
                <w:sz w:val="24"/>
              </w:rPr>
              <w:t>Noteikumos Nr.815 iekļautas tiesību normas, kas izriet no Padomes 1975.gada 22.maija Direktīvas 75/324/EEK par dalībvalstu normatīvo un administratīvo aktu tuvināšanu attiecībā uz aerosola izsmidzinātājiem</w:t>
            </w:r>
            <w:r w:rsidR="0088509F">
              <w:rPr>
                <w:rFonts w:ascii="Times New Roman" w:hAnsi="Times New Roman" w:cs="Times New Roman"/>
                <w:sz w:val="24"/>
              </w:rPr>
              <w:t xml:space="preserve"> (turpmāk -</w:t>
            </w:r>
            <w:r w:rsidR="0088509F">
              <w:t xml:space="preserve"> </w:t>
            </w:r>
            <w:r w:rsidR="0088509F" w:rsidRPr="0088509F">
              <w:rPr>
                <w:rFonts w:ascii="Times New Roman" w:hAnsi="Times New Roman" w:cs="Times New Roman"/>
                <w:sz w:val="24"/>
              </w:rPr>
              <w:t>Direktīv</w:t>
            </w:r>
            <w:r w:rsidR="0088509F">
              <w:rPr>
                <w:rFonts w:ascii="Times New Roman" w:hAnsi="Times New Roman" w:cs="Times New Roman"/>
                <w:sz w:val="24"/>
              </w:rPr>
              <w:t>a</w:t>
            </w:r>
            <w:r w:rsidR="0088509F" w:rsidRPr="0088509F">
              <w:rPr>
                <w:rFonts w:ascii="Times New Roman" w:hAnsi="Times New Roman" w:cs="Times New Roman"/>
                <w:sz w:val="24"/>
              </w:rPr>
              <w:t xml:space="preserve"> 75/324/EEK</w:t>
            </w:r>
            <w:r w:rsidR="0088509F">
              <w:rPr>
                <w:rFonts w:ascii="Times New Roman" w:hAnsi="Times New Roman" w:cs="Times New Roman"/>
                <w:sz w:val="24"/>
              </w:rPr>
              <w:t>)</w:t>
            </w:r>
            <w:r w:rsidR="00020CFA">
              <w:rPr>
                <w:rFonts w:ascii="Times New Roman" w:hAnsi="Times New Roman" w:cs="Times New Roman"/>
                <w:sz w:val="24"/>
              </w:rPr>
              <w:t>;</w:t>
            </w:r>
            <w:r w:rsidRPr="00A27880">
              <w:rPr>
                <w:rFonts w:ascii="Times New Roman" w:hAnsi="Times New Roman" w:cs="Times New Roman"/>
                <w:sz w:val="24"/>
              </w:rPr>
              <w:t xml:space="preserve"> Eiropas Parlamenta un Padomes 2007.gada 5.septembra Direktīvas 2007/45/EK, ar ko paredz noteikumus par fasētu produktu nominālajiem daudzumiem, atceļ Padomes Direktīvas 75/106/EEK un groza Padomes Direktīvu 76/211/EEK</w:t>
            </w:r>
            <w:r w:rsidR="00020CFA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020CFA" w:rsidRPr="00020CFA">
              <w:rPr>
                <w:rFonts w:ascii="Times New Roman" w:hAnsi="Times New Roman" w:cs="Times New Roman"/>
                <w:sz w:val="24"/>
              </w:rPr>
              <w:t>Komisijas 2008.gada 8.aprīļa Direktīvas</w:t>
            </w:r>
            <w:r w:rsidR="005A52EC">
              <w:rPr>
                <w:rFonts w:ascii="Times New Roman" w:hAnsi="Times New Roman" w:cs="Times New Roman"/>
                <w:sz w:val="24"/>
              </w:rPr>
              <w:t> </w:t>
            </w:r>
            <w:r w:rsidR="00020CFA" w:rsidRPr="00020CFA">
              <w:rPr>
                <w:rFonts w:ascii="Times New Roman" w:hAnsi="Times New Roman" w:cs="Times New Roman"/>
                <w:sz w:val="24"/>
              </w:rPr>
              <w:t>2008/47/EK, ar kuru, pielāgojoties tehnikas attīstībai, groza Padomes Direktīvu 75/324/EEK par dalībvalstu normatīvo un administratīvo aktu tuvināšanu attiecībā uz aerosola izsmidzinātājiem;</w:t>
            </w:r>
            <w:r w:rsidR="00020C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0CFA" w:rsidRPr="00020CFA">
              <w:rPr>
                <w:rFonts w:ascii="Times New Roman" w:hAnsi="Times New Roman" w:cs="Times New Roman"/>
                <w:sz w:val="24"/>
              </w:rPr>
              <w:t>Komisijas 2013.gada</w:t>
            </w:r>
            <w:r w:rsidR="005A52EC">
              <w:rPr>
                <w:rFonts w:ascii="Times New Roman" w:hAnsi="Times New Roman" w:cs="Times New Roman"/>
                <w:sz w:val="24"/>
              </w:rPr>
              <w:t> </w:t>
            </w:r>
            <w:r w:rsidR="00020CFA" w:rsidRPr="00020CFA">
              <w:rPr>
                <w:rFonts w:ascii="Times New Roman" w:hAnsi="Times New Roman" w:cs="Times New Roman"/>
                <w:sz w:val="24"/>
              </w:rPr>
              <w:t>19.marta Direktīvas 2013/10/ES, ar ko groza Padomes Direktīvu 75/324/EEK par dalībvalstu normatīvo un administratīvo aktu tuvināšanu attiecībā uz aerosola izsmidzinātājiem, lai tajā paredzētos marķēšanas noteikumus pielāgotu Eiropas Parlamenta un Padomes Regulai (EK)</w:t>
            </w:r>
            <w:r w:rsidR="005A52EC">
              <w:rPr>
                <w:rFonts w:ascii="Times New Roman" w:hAnsi="Times New Roman" w:cs="Times New Roman"/>
                <w:sz w:val="24"/>
              </w:rPr>
              <w:t> </w:t>
            </w:r>
            <w:r w:rsidR="00020CFA" w:rsidRPr="00020CFA">
              <w:rPr>
                <w:rFonts w:ascii="Times New Roman" w:hAnsi="Times New Roman" w:cs="Times New Roman"/>
                <w:sz w:val="24"/>
              </w:rPr>
              <w:t>Nr.</w:t>
            </w:r>
            <w:r w:rsidR="005A52EC">
              <w:rPr>
                <w:rFonts w:ascii="Times New Roman" w:hAnsi="Times New Roman" w:cs="Times New Roman"/>
                <w:sz w:val="24"/>
              </w:rPr>
              <w:t> </w:t>
            </w:r>
            <w:r w:rsidR="00020CFA" w:rsidRPr="00020CFA">
              <w:rPr>
                <w:rFonts w:ascii="Times New Roman" w:hAnsi="Times New Roman" w:cs="Times New Roman"/>
                <w:sz w:val="24"/>
              </w:rPr>
              <w:t>1272/2008 par vielu un maisījumu klasificēšanu, marķēšanu un iepakošanu.</w:t>
            </w:r>
          </w:p>
          <w:p w:rsidR="005D1D65" w:rsidRDefault="005D1D65" w:rsidP="00DB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FA3B12" w:rsidRDefault="00C76EF7" w:rsidP="00F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</w:t>
            </w:r>
            <w:r w:rsidR="00C66F04" w:rsidRPr="00C66F0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ateicoties tehnikas attīstībai un inovācij</w:t>
            </w:r>
            <w:r w:rsidR="0088509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ām</w:t>
            </w:r>
            <w:r w:rsidR="00C66F04" w:rsidRPr="00C66F0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ir izstrādāti aerosola izsmidzinātāji ar inovatīviem neuzliesmojošiem propelentiem, kas galvenokārt ir saspiestas gāzes (slāpeklis), saspiests gaiss vai oglekļa dioksīds. </w:t>
            </w:r>
            <w:r w:rsidR="000F221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Šādu </w:t>
            </w:r>
            <w:r w:rsidR="00FA3B1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aerosolu izsmidzinātāju izstrādi pašlaik ierobežo </w:t>
            </w:r>
            <w:r w:rsidR="00C66F04" w:rsidRPr="00C66F0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Direktīvā</w:t>
            </w:r>
            <w:r w:rsidR="0045273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  <w:r w:rsidR="00C66F04" w:rsidRPr="00C66F0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75/324/EEK paredzētais spēkā esošais maksimālais atļautais </w:t>
            </w:r>
            <w:r w:rsidR="00C66F04" w:rsidRPr="00C66F0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aerosola izsmidzinātāju spiediens, kas visā šādu izsmidzinātāju darbmūžā nelabvēlīgi ietekmē to smidzināšanas rezu</w:t>
            </w:r>
            <w:r w:rsidR="0005557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ltātus</w:t>
            </w:r>
            <w:r w:rsidR="00FA3B1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r w:rsidR="0005557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730ABE" w:rsidRDefault="00730ABE" w:rsidP="00F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30ABE" w:rsidRDefault="00730ABE" w:rsidP="00F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Iepriekš aerosoliem ar neuzliesmojošiem propelentiem maksimālais atļautais spiediens tika noteikts zemāks, jo attiecīgajā laikā tā bija maksimālā spiediena robeža</w:t>
            </w:r>
            <w:r w:rsidR="00954B4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pie kuras bija iespējams garantēt drošību. Tehnikas attīstība un inovācijas ļauj pielāgot šo robežu, neietekmējot minēto aerosolu izsmidzinātāju drošumu.</w:t>
            </w:r>
          </w:p>
          <w:p w:rsidR="00730ABE" w:rsidRDefault="00730ABE" w:rsidP="00F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30ABE" w:rsidRDefault="00730ABE" w:rsidP="00730A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Atļaujot maksimālās spiediena robežas pacelšanu, uzlabotos šādu tirgū laistu aerosolu izsmidzinātāju padeves intensitāte un smidzināšanas kvalitāte, padarot patērētājiem plašākā klāstā pieejamus efektīvākus smidzinātājus.</w:t>
            </w:r>
          </w:p>
          <w:p w:rsidR="00730ABE" w:rsidRDefault="00730ABE" w:rsidP="00F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FA3B12" w:rsidRDefault="00FA3B12" w:rsidP="00F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</w:t>
            </w:r>
            <w:r w:rsidR="0005557F" w:rsidRPr="00FA3B1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aaugstinot atļauto spiedienu, ražotājiem </w:t>
            </w:r>
            <w:r w:rsidR="00163A7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paveras</w:t>
            </w:r>
            <w:r w:rsidR="0005557F" w:rsidRPr="00FA3B1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plašāka izvēle un iespēja šādus aerosola izsmidzinātājus izmantot vēl citiem lietojumiem. Tāpēc</w:t>
            </w:r>
            <w:r w:rsidR="005C2B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paredzēts</w:t>
            </w:r>
            <w:r w:rsidR="0005557F" w:rsidRPr="00FA3B1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atļaut no uzliesmojošiem propelentiem iespējami pāriet uz neuzliesmojošiem propelentiem, tādējādi uzlabojot aerosola izsmidzinātāju efektivitāti un ekoloģiskos raksturlielumus, vienlaikus garantējot līdzšinējos drošības līmeņus, kas nodr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ošināti ar Direktīvu 75/324/EEK</w:t>
            </w:r>
            <w:r w:rsidR="004C7F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B67801" w:rsidRDefault="00B67801" w:rsidP="00F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25DAC" w:rsidRPr="00FA3B12" w:rsidRDefault="0088509F" w:rsidP="00B42C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Direktīva precizē aerosola</w:t>
            </w:r>
            <w:r w:rsidR="00B42C4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flakonu marķēšanas prasības un p</w:t>
            </w:r>
            <w:r w:rsidR="00225D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apildus tiek paaugstināts maksimālai aerosol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a </w:t>
            </w:r>
            <w:r w:rsidR="00225D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flakonu iekšējai spiediens atkarībā no to uzpildīto gāzu satura.</w:t>
            </w:r>
          </w:p>
        </w:tc>
      </w:tr>
      <w:tr w:rsidR="00805A3C" w:rsidRPr="00805A3C" w:rsidTr="00E53544">
        <w:trPr>
          <w:trHeight w:val="465"/>
        </w:trPr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05A3C" w:rsidRPr="00805A3C" w:rsidRDefault="00805A3C" w:rsidP="00DB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A3C" w:rsidRPr="00805A3C" w:rsidTr="00E53544">
        <w:tc>
          <w:tcPr>
            <w:tcW w:w="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3A6E87" w:rsidRDefault="003A6E87" w:rsidP="003A6E87">
      <w:pPr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603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6"/>
        <w:gridCol w:w="7322"/>
      </w:tblGrid>
      <w:tr w:rsidR="00805A3C" w:rsidRPr="00805A3C" w:rsidTr="00D1576C">
        <w:trPr>
          <w:trHeight w:val="55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05A3C" w:rsidRPr="00805A3C" w:rsidRDefault="00805A3C" w:rsidP="00D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805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05A3C" w:rsidRPr="00805A3C" w:rsidTr="00163A7F">
        <w:trPr>
          <w:trHeight w:val="465"/>
        </w:trPr>
        <w:tc>
          <w:tcPr>
            <w:tcW w:w="1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A97110" w:rsidP="00DB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Uzņēmēji, kuri ražo </w:t>
            </w:r>
            <w:r w:rsidR="00C5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vai izlaiž tirgū aerosolu izsmidzinātājus, kuri ir </w:t>
            </w:r>
            <w:r w:rsidR="008850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509F">
              <w:rPr>
                <w:rFonts w:ascii="Times New Roman" w:hAnsi="Times New Roman" w:cs="Times New Roman"/>
                <w:sz w:val="24"/>
              </w:rPr>
              <w:t>Direktīva</w:t>
            </w:r>
            <w:r w:rsidR="0088509F">
              <w:rPr>
                <w:rFonts w:ascii="Times New Roman" w:hAnsi="Times New Roman" w:cs="Times New Roman"/>
                <w:sz w:val="24"/>
              </w:rPr>
              <w:t>s</w:t>
            </w:r>
            <w:r w:rsidR="0088509F" w:rsidRPr="00461C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509F" w:rsidRPr="0088509F">
              <w:rPr>
                <w:rFonts w:ascii="Times New Roman" w:hAnsi="Times New Roman" w:cs="Times New Roman"/>
                <w:sz w:val="24"/>
              </w:rPr>
              <w:t xml:space="preserve">75/324/EEK </w:t>
            </w:r>
            <w:r w:rsidR="00C5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tvērumā</w:t>
            </w:r>
            <w:r w:rsidR="00DC7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C5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vai</w:t>
            </w:r>
            <w:r w:rsidR="00DC7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kuri</w:t>
            </w:r>
            <w:r w:rsidR="00C5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laisti tirgū saskaņā ar tās noteikumiem. </w:t>
            </w:r>
          </w:p>
        </w:tc>
      </w:tr>
      <w:tr w:rsidR="00805A3C" w:rsidRPr="00805A3C" w:rsidTr="00163A7F">
        <w:trPr>
          <w:trHeight w:val="510"/>
        </w:trPr>
        <w:tc>
          <w:tcPr>
            <w:tcW w:w="1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05A3C" w:rsidRPr="00805A3C" w:rsidRDefault="006D4957" w:rsidP="00560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paredz tehniskus grozījumus iepriekšējā kārtībā, palielinot maksimālo atļauto aerosola izsmidzinātāju </w:t>
            </w:r>
            <w:r w:rsidRPr="00B440EE">
              <w:rPr>
                <w:rFonts w:ascii="Times New Roman" w:hAnsi="Times New Roman"/>
                <w:sz w:val="24"/>
                <w:szCs w:val="24"/>
              </w:rPr>
              <w:t>spiedienu, uzlabojot tirgū laistu aerosola izsmidzinātāju padeves intensitāti un smidzināšanas kvalitāti, neradot jaunas saistības, bet ļaujot</w:t>
            </w:r>
            <w:r w:rsidR="00C65B8E">
              <w:rPr>
                <w:rFonts w:ascii="Times New Roman" w:hAnsi="Times New Roman"/>
                <w:sz w:val="24"/>
                <w:szCs w:val="24"/>
              </w:rPr>
              <w:t xml:space="preserve"> ražošanā</w:t>
            </w:r>
            <w:r w:rsidRPr="00B440EE">
              <w:rPr>
                <w:rFonts w:ascii="Times New Roman" w:hAnsi="Times New Roman"/>
                <w:sz w:val="24"/>
                <w:szCs w:val="24"/>
              </w:rPr>
              <w:t xml:space="preserve"> papildu</w:t>
            </w:r>
            <w:r w:rsidR="00C65B8E">
              <w:rPr>
                <w:rFonts w:ascii="Times New Roman" w:hAnsi="Times New Roman"/>
                <w:sz w:val="24"/>
                <w:szCs w:val="24"/>
              </w:rPr>
              <w:t>s</w:t>
            </w:r>
            <w:r w:rsidRPr="00B440EE">
              <w:rPr>
                <w:rFonts w:ascii="Times New Roman" w:hAnsi="Times New Roman"/>
                <w:sz w:val="24"/>
                <w:szCs w:val="24"/>
              </w:rPr>
              <w:t xml:space="preserve"> lietot neuzliesmojošus propelentus.</w:t>
            </w:r>
          </w:p>
        </w:tc>
      </w:tr>
      <w:tr w:rsidR="00805A3C" w:rsidRPr="00805A3C" w:rsidTr="00163A7F">
        <w:trPr>
          <w:trHeight w:val="510"/>
        </w:trPr>
        <w:tc>
          <w:tcPr>
            <w:tcW w:w="1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Projekts šo jomu </w:t>
            </w:r>
            <w:r w:rsidR="001D3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neskar</w:t>
            </w:r>
          </w:p>
        </w:tc>
      </w:tr>
      <w:tr w:rsidR="00805A3C" w:rsidRPr="00805A3C" w:rsidTr="00163A7F">
        <w:trPr>
          <w:trHeight w:val="345"/>
        </w:trPr>
        <w:tc>
          <w:tcPr>
            <w:tcW w:w="1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1D3A98" w:rsidP="00DB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:rsidR="00805A3C" w:rsidRDefault="00805A3C" w:rsidP="003A6E87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6071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2"/>
        <w:gridCol w:w="1494"/>
        <w:gridCol w:w="777"/>
        <w:gridCol w:w="1049"/>
        <w:gridCol w:w="2321"/>
        <w:gridCol w:w="3153"/>
      </w:tblGrid>
      <w:tr w:rsidR="00805A3C" w:rsidRPr="00805A3C" w:rsidTr="00D1576C"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05A3C" w:rsidRPr="00805A3C" w:rsidRDefault="00805A3C" w:rsidP="00805A3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05A3C" w:rsidRPr="00805A3C" w:rsidTr="00163A7F"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05A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1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2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05A3C" w:rsidRPr="00805A3C" w:rsidRDefault="00D87E9B" w:rsidP="0051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noteikumu projektu tiek pārņemta </w:t>
            </w:r>
            <w:r w:rsidR="00511A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88509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omisijas 2016.gada 21.novembra D</w:t>
            </w:r>
            <w:r w:rsidR="00511A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irektīva 2016/2037/ES </w:t>
            </w:r>
            <w:r w:rsidR="00511AD0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ar kuru attiecībā uz aerosola </w:t>
            </w:r>
            <w:r w:rsidR="00511AD0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lastRenderedPageBreak/>
              <w:t>izsmidzinātāju maksimālo atļauto spiedienu un lai tajā noteiktos marķēšanas noteikumus pielāgotu Eiropas Parlamenta un Padomes Regulai (EK) Nr. 1272/2008 par vielu un maisījumu klasificēšanu, marķēšanu un iepakošanu groza Padomes Direktīvu</w:t>
            </w:r>
            <w:r w:rsidR="00A44299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 </w:t>
            </w:r>
            <w:r w:rsidR="00511AD0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75/324/EEK</w:t>
            </w:r>
            <w:r w:rsidR="00511A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05A3C" w:rsidRPr="00805A3C" w:rsidTr="00163A7F"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05A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11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2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05A3C" w:rsidRPr="00805A3C" w:rsidRDefault="001D3A98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805A3C" w:rsidRPr="00805A3C" w:rsidTr="00163A7F"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05A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1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05A3C" w:rsidRPr="00805A3C" w:rsidRDefault="00511AD0" w:rsidP="00805A3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FD499F" w:rsidRPr="00FD499F" w:rsidTr="00D1576C"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D499F" w:rsidRPr="00FD499F" w:rsidRDefault="00FD499F" w:rsidP="00FD499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  <w:r w:rsidRPr="00FD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FD499F" w:rsidRPr="00FD499F" w:rsidTr="00163A7F">
        <w:tc>
          <w:tcPr>
            <w:tcW w:w="1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D499F" w:rsidRPr="006047FF" w:rsidRDefault="00FD499F" w:rsidP="00FC0D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D499F" w:rsidRPr="00FD499F" w:rsidRDefault="00FD499F" w:rsidP="00FD499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D499F" w:rsidRPr="00FD499F" w:rsidRDefault="00FD499F" w:rsidP="00FD499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D499F" w:rsidRPr="00FD499F" w:rsidRDefault="00FD499F" w:rsidP="00FD499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163A7F" w:rsidRPr="00FD499F" w:rsidTr="00163A7F">
        <w:tc>
          <w:tcPr>
            <w:tcW w:w="1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63A7F" w:rsidRDefault="00163A7F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 ES tiesību akta panta numurs</w:t>
            </w:r>
          </w:p>
          <w:p w:rsidR="00163A7F" w:rsidRPr="00FD499F" w:rsidRDefault="00163A7F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26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163A7F" w:rsidRPr="00FD499F" w:rsidRDefault="00163A7F" w:rsidP="004A119A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1C23">
              <w:rPr>
                <w:rFonts w:ascii="Times New Roman" w:hAnsi="Times New Roman" w:cs="Times New Roman"/>
                <w:sz w:val="24"/>
              </w:rPr>
              <w:t>Komisijas 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461C2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novembra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Direktīva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</w:rPr>
              <w:t>2016</w:t>
            </w:r>
            <w:r w:rsidRPr="00461C23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2037/ES</w:t>
            </w:r>
            <w:r w:rsidRPr="00461C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ar kuru attiecībā uz aerosola izsmidzinātāju maksimālo atļauto spiedienu un lai tajā noteiktos marķēšanas noteikumus pielāgotu Eiropas Parlamenta un Padomes Regulai (EK) Nr. 1272/2008 par vielu un maisījumu klasificēšanu, marķēšanu un iepakošanu groza Padomes Direktīvu 75/324/EEK (Official Journal of</w:t>
            </w:r>
            <w:r w:rsidR="00A44299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the European Union 22.11.2016.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L.314/11)</w:t>
            </w:r>
          </w:p>
        </w:tc>
      </w:tr>
      <w:tr w:rsidR="00FD499F" w:rsidRPr="00FD499F" w:rsidTr="007847AD">
        <w:trPr>
          <w:trHeight w:val="1560"/>
        </w:trPr>
        <w:tc>
          <w:tcPr>
            <w:tcW w:w="1374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:rsidR="00FD499F" w:rsidRDefault="003750EE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Direktīvas 2016/2037 </w:t>
            </w:r>
            <w:r w:rsidR="0052751A" w:rsidRPr="00111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1.panta a) </w:t>
            </w:r>
            <w:r w:rsidR="00C61A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apakšpunktā izteiktais Direktīvas 75/324/EEK pielikuma 2.2. punkta</w:t>
            </w:r>
            <w:r w:rsidR="0052751A" w:rsidRPr="00111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a) </w:t>
            </w:r>
            <w:r w:rsidR="00C61A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="0052751A" w:rsidRPr="001118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</w:p>
          <w:p w:rsidR="00857338" w:rsidRPr="00FD499F" w:rsidRDefault="00857338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:rsidR="00FD499F" w:rsidRDefault="00F91AD6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 w:rsidR="002B3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762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="002B3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</w:p>
          <w:p w:rsidR="002B38C0" w:rsidRDefault="002B38C0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61A78" w:rsidRDefault="00C61A78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61A78" w:rsidRDefault="00C61A78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57338" w:rsidRPr="00FD499F" w:rsidRDefault="00857338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:rsidR="002B38C0" w:rsidRDefault="00BC4888" w:rsidP="002B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</w:t>
            </w:r>
            <w:r w:rsidR="002B3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</w:t>
            </w:r>
          </w:p>
          <w:p w:rsidR="002B38C0" w:rsidRDefault="002B38C0" w:rsidP="002B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55E2" w:rsidRDefault="002A55E2" w:rsidP="002B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61A78" w:rsidRDefault="00C61A78" w:rsidP="002B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61A78" w:rsidRDefault="00C61A78" w:rsidP="002B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57338" w:rsidRPr="00FD499F" w:rsidRDefault="00857338" w:rsidP="002B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:rsidR="00FD499F" w:rsidRDefault="002B38C0" w:rsidP="002A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Neparedz stingrākas prasības</w:t>
            </w:r>
          </w:p>
          <w:p w:rsidR="002A55E2" w:rsidRDefault="002A55E2" w:rsidP="002A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55E2" w:rsidRDefault="002A55E2" w:rsidP="002A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61A78" w:rsidRDefault="00C61A78" w:rsidP="002A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61A78" w:rsidRDefault="00C61A78" w:rsidP="002A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B38C0" w:rsidRPr="00FD499F" w:rsidRDefault="002B38C0" w:rsidP="002A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847AD" w:rsidRPr="00FD499F" w:rsidTr="007847AD">
        <w:trPr>
          <w:trHeight w:val="1485"/>
        </w:trPr>
        <w:tc>
          <w:tcPr>
            <w:tcW w:w="1374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2016/2037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1.panta a) apakšpunktā izteiktais Direktīvas 75/324/EEK pielikuma 2.2. punkta b) apakšpunkts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1.2. punkts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Neparedz stingrākas prasības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847AD" w:rsidRPr="00FD499F" w:rsidTr="007847AD">
        <w:trPr>
          <w:trHeight w:val="1545"/>
        </w:trPr>
        <w:tc>
          <w:tcPr>
            <w:tcW w:w="1374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2016/2037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1.panta a) apakšpunktā izteiktais Direktīvas 75/324/EEK pielikuma 2.2. punkta c) apakšpunkts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1.3. punkts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Neparedz stingrākas prasības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847AD" w:rsidRPr="00FD499F" w:rsidTr="007847AD">
        <w:trPr>
          <w:trHeight w:val="1845"/>
        </w:trPr>
        <w:tc>
          <w:tcPr>
            <w:tcW w:w="1374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2016/2037</w:t>
            </w:r>
          </w:p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2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panta b) apakšpunktā izteiktais Direktīvas75/324/EEK pielikuma 3.1.2. punkts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1.4., 1.5. punkts</w:t>
            </w:r>
          </w:p>
        </w:tc>
        <w:tc>
          <w:tcPr>
            <w:tcW w:w="115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847AD" w:rsidRDefault="007847AD" w:rsidP="0078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FD499F" w:rsidRPr="00FD499F" w:rsidTr="00D1576C">
        <w:tc>
          <w:tcPr>
            <w:tcW w:w="13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D499F" w:rsidRPr="00FD499F" w:rsidRDefault="00FD499F" w:rsidP="00F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26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47DED" w:rsidRPr="006463B0" w:rsidRDefault="00B47DED" w:rsidP="006463B0">
            <w:pPr>
              <w:spacing w:before="100" w:beforeAutospacing="1" w:after="100" w:afterAutospacing="1" w:line="293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Direktīvas Nr.2016/2037 1.panta </w:t>
            </w:r>
            <w:r w:rsidR="006463B0">
              <w:rPr>
                <w:rFonts w:ascii="Times New Roman" w:hAnsi="Times New Roman" w:cs="Times New Roman"/>
                <w:sz w:val="24"/>
              </w:rPr>
              <w:t>a) apakšpunktā izteiktais Direktīvas 75/324/EEK pielikuma 2.2. punkta d) un e) apakšpunkti jau ir pārņemti Noteikumu Nr.815 19.</w:t>
            </w:r>
            <w:r w:rsidR="006463B0" w:rsidRPr="0044586E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463B0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6463B0">
              <w:rPr>
                <w:rFonts w:ascii="Times New Roman" w:hAnsi="Times New Roman" w:cs="Times New Roman"/>
                <w:sz w:val="24"/>
              </w:rPr>
              <w:t>7. punktā un 19.</w:t>
            </w:r>
            <w:r w:rsidR="006463B0" w:rsidRPr="0044586E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463B0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6463B0">
              <w:rPr>
                <w:rFonts w:ascii="Times New Roman" w:hAnsi="Times New Roman" w:cs="Times New Roman"/>
                <w:sz w:val="24"/>
              </w:rPr>
              <w:t>8. punktā.</w:t>
            </w:r>
          </w:p>
        </w:tc>
      </w:tr>
    </w:tbl>
    <w:p w:rsidR="00FD499F" w:rsidRDefault="00FD499F" w:rsidP="003A6E87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6071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4"/>
        <w:gridCol w:w="7052"/>
      </w:tblGrid>
      <w:tr w:rsidR="00381D40" w:rsidTr="00381D4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81D40" w:rsidRPr="00381D40" w:rsidRDefault="00381D40">
            <w:pPr>
              <w:pStyle w:val="tvhtml"/>
              <w:spacing w:line="293" w:lineRule="atLeast"/>
              <w:jc w:val="center"/>
              <w:rPr>
                <w:b/>
                <w:bCs/>
                <w:color w:val="414142"/>
                <w:szCs w:val="20"/>
              </w:rPr>
            </w:pPr>
            <w:r w:rsidRPr="00381D40">
              <w:rPr>
                <w:b/>
                <w:bCs/>
                <w:szCs w:val="20"/>
              </w:rPr>
              <w:lastRenderedPageBreak/>
              <w:t>2.tabula</w:t>
            </w:r>
            <w:r w:rsidRPr="00381D40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81D40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381D40" w:rsidTr="00381D40"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81D40" w:rsidRPr="00381D40" w:rsidRDefault="00381D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81D40">
              <w:rPr>
                <w:rFonts w:ascii="Times New Roman" w:hAnsi="Times New Roman" w:cs="Times New Roman"/>
                <w:sz w:val="24"/>
                <w:szCs w:val="20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5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81D40" w:rsidRPr="00381D40" w:rsidRDefault="00381D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Projekts šo jomu neskar.</w:t>
            </w:r>
            <w:r w:rsidRPr="00381D4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381D40" w:rsidRDefault="00381D40" w:rsidP="003A6E87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6071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2"/>
        <w:gridCol w:w="2271"/>
        <w:gridCol w:w="6523"/>
      </w:tblGrid>
      <w:tr w:rsidR="00FD499F" w:rsidRPr="00FD499F" w:rsidTr="00D1576C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D499F" w:rsidRPr="00FD499F" w:rsidRDefault="00FD499F" w:rsidP="00FD499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00CB1" w:rsidRPr="00FD499F" w:rsidTr="00D1576C">
        <w:trPr>
          <w:trHeight w:val="540"/>
        </w:trPr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60F64" w:rsidRDefault="00560F64" w:rsidP="00C4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Ieviešamās Direktīvas </w:t>
            </w:r>
            <w:r w:rsidRPr="00461C23">
              <w:rPr>
                <w:rFonts w:ascii="Times New Roman" w:hAnsi="Times New Roman" w:cs="Times New Roman"/>
                <w:sz w:val="24"/>
              </w:rPr>
              <w:t>Nr.</w:t>
            </w:r>
            <w:r>
              <w:rPr>
                <w:rFonts w:ascii="Times New Roman" w:hAnsi="Times New Roman" w:cs="Times New Roman"/>
                <w:sz w:val="24"/>
              </w:rPr>
              <w:t>2016</w:t>
            </w:r>
            <w:r w:rsidRPr="00461C23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2037 izstrādes procesā</w:t>
            </w:r>
            <w:r w:rsidR="0088509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="0088509F">
              <w:rPr>
                <w:rFonts w:ascii="Times New Roman" w:hAnsi="Times New Roman" w:cs="Times New Roman"/>
                <w:sz w:val="24"/>
              </w:rPr>
              <w:t>.gadā par to informētas un lūgt</w:t>
            </w:r>
            <w:r>
              <w:rPr>
                <w:rFonts w:ascii="Times New Roman" w:hAnsi="Times New Roman" w:cs="Times New Roman"/>
                <w:sz w:val="24"/>
              </w:rPr>
              <w:t xml:space="preserve">s sniegt viedokli </w:t>
            </w:r>
            <w:r>
              <w:rPr>
                <w:rFonts w:ascii="Times New Roman" w:hAnsi="Times New Roman"/>
                <w:sz w:val="24"/>
                <w:szCs w:val="24"/>
              </w:rPr>
              <w:t>Latvijas Ķīmijas un farmācijas uzņēmēju asociācija</w:t>
            </w:r>
            <w:r w:rsidR="0088509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Latvijas Tirdzniecības un rūpniecības kamera</w:t>
            </w:r>
            <w:r w:rsidR="0088509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Latvijas Darba devēju konfederācija</w:t>
            </w:r>
            <w:r w:rsidR="0088509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068" w:rsidRDefault="00456068" w:rsidP="00C4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EE" w:rsidRDefault="00D95039" w:rsidP="00B44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paredz tehniska rakstura izmaiņas, palielinot maksimālo atļauto aerosola izsmidzinātāju </w:t>
            </w:r>
            <w:r w:rsidRPr="00B440EE">
              <w:rPr>
                <w:rFonts w:ascii="Times New Roman" w:hAnsi="Times New Roman"/>
                <w:sz w:val="24"/>
                <w:szCs w:val="24"/>
              </w:rPr>
              <w:t>spiedienu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B440EE">
              <w:rPr>
                <w:rFonts w:ascii="Times New Roman" w:hAnsi="Times New Roman"/>
                <w:sz w:val="24"/>
                <w:szCs w:val="24"/>
              </w:rPr>
              <w:t>ļaujot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ražošanā</w:t>
            </w:r>
            <w:r w:rsidRPr="00B440EE">
              <w:rPr>
                <w:rFonts w:ascii="Times New Roman" w:hAnsi="Times New Roman"/>
                <w:sz w:val="24"/>
                <w:szCs w:val="24"/>
              </w:rPr>
              <w:t xml:space="preserve"> papildu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440EE">
              <w:rPr>
                <w:rFonts w:ascii="Times New Roman" w:hAnsi="Times New Roman"/>
                <w:sz w:val="24"/>
                <w:szCs w:val="24"/>
              </w:rPr>
              <w:t xml:space="preserve"> lietot neuzliesmojošus propelentus</w:t>
            </w:r>
            <w:r w:rsidR="00560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CB1" w:rsidRPr="006F4141" w:rsidRDefault="00A00CB1" w:rsidP="00B44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41">
              <w:rPr>
                <w:rFonts w:ascii="Times New Roman" w:hAnsi="Times New Roman"/>
                <w:sz w:val="24"/>
                <w:szCs w:val="24"/>
              </w:rPr>
              <w:t xml:space="preserve">Projekts pēc izsludināšanas Valsts sekretāru sanāksmē būs pieejams Ministru kabineta mājas lapā </w:t>
            </w:r>
            <w:hyperlink r:id="rId6" w:history="1">
              <w:r w:rsidRPr="00A87A6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www.mk.gov.lv</w:t>
              </w:r>
            </w:hyperlink>
            <w:r w:rsidRPr="006F41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CB1" w:rsidRPr="00FD499F" w:rsidTr="00D1576C">
        <w:trPr>
          <w:trHeight w:val="330"/>
        </w:trPr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974">
              <w:rPr>
                <w:rFonts w:ascii="Times New Roman" w:hAnsi="Times New Roman"/>
                <w:sz w:val="24"/>
              </w:rPr>
              <w:t>Projekts šo jomu neskar.</w:t>
            </w:r>
          </w:p>
        </w:tc>
      </w:tr>
      <w:tr w:rsidR="00A00CB1" w:rsidRPr="00FD499F" w:rsidTr="00D1576C">
        <w:trPr>
          <w:trHeight w:val="465"/>
        </w:trPr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974">
              <w:rPr>
                <w:rFonts w:ascii="Times New Roman" w:hAnsi="Times New Roman"/>
                <w:sz w:val="24"/>
              </w:rPr>
              <w:t>Projekts šo jomu neskar.</w:t>
            </w:r>
          </w:p>
        </w:tc>
      </w:tr>
      <w:tr w:rsidR="00A00CB1" w:rsidRPr="00FD499F" w:rsidTr="00D1576C">
        <w:trPr>
          <w:trHeight w:val="465"/>
        </w:trPr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4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0CB1" w:rsidRPr="00FD499F" w:rsidRDefault="00A00CB1" w:rsidP="00A00C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FD499F" w:rsidRDefault="00FD499F" w:rsidP="003A6E87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073" w:type="dxa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7"/>
        <w:gridCol w:w="5536"/>
      </w:tblGrid>
      <w:tr w:rsidR="00805A3C" w:rsidRPr="00805A3C" w:rsidTr="00D1576C">
        <w:trPr>
          <w:trHeight w:val="375"/>
          <w:jc w:val="center"/>
        </w:trPr>
        <w:tc>
          <w:tcPr>
            <w:tcW w:w="1007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05A3C" w:rsidRPr="00805A3C" w:rsidRDefault="00805A3C" w:rsidP="00D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 </w:t>
            </w:r>
            <w:r w:rsidRPr="00805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805A3C" w:rsidRPr="00805A3C" w:rsidTr="00D1576C">
        <w:trPr>
          <w:trHeight w:val="420"/>
          <w:jc w:val="center"/>
        </w:trPr>
        <w:tc>
          <w:tcPr>
            <w:tcW w:w="45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5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05A3C" w:rsidRPr="00805A3C" w:rsidRDefault="002F2100" w:rsidP="00DB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Patērētāju tiesību aizsardzības centrs</w:t>
            </w:r>
            <w:r w:rsidR="0084392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Ekonomikas ministrija</w:t>
            </w:r>
          </w:p>
        </w:tc>
      </w:tr>
      <w:tr w:rsidR="00805A3C" w:rsidRPr="00805A3C" w:rsidTr="00D1576C">
        <w:trPr>
          <w:trHeight w:val="450"/>
          <w:jc w:val="center"/>
        </w:trPr>
        <w:tc>
          <w:tcPr>
            <w:tcW w:w="45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73DA" w:rsidRDefault="00805A3C" w:rsidP="00DB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Projekta izpildes ietekme uz pārvaldes funkcijām un institucionālo struktūru.</w:t>
            </w:r>
          </w:p>
          <w:p w:rsidR="00805A3C" w:rsidRPr="004F73DA" w:rsidRDefault="00805A3C" w:rsidP="004F7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  <w:p w:rsidR="00805A3C" w:rsidRPr="00805A3C" w:rsidRDefault="00805A3C" w:rsidP="008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05A3C" w:rsidRPr="00805A3C" w:rsidRDefault="002F2100" w:rsidP="00DB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Projekts šo jomu neskar.</w:t>
            </w:r>
          </w:p>
        </w:tc>
      </w:tr>
      <w:tr w:rsidR="00805A3C" w:rsidRPr="00805A3C" w:rsidTr="00D1576C">
        <w:trPr>
          <w:trHeight w:val="390"/>
          <w:jc w:val="center"/>
        </w:trPr>
        <w:tc>
          <w:tcPr>
            <w:tcW w:w="45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Cita informācija</w:t>
            </w:r>
          </w:p>
        </w:tc>
        <w:tc>
          <w:tcPr>
            <w:tcW w:w="5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5A3C" w:rsidRPr="00805A3C" w:rsidRDefault="00805A3C" w:rsidP="00DB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  <w:r w:rsidRPr="00805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Nav.</w:t>
            </w:r>
          </w:p>
        </w:tc>
      </w:tr>
    </w:tbl>
    <w:p w:rsidR="00805A3C" w:rsidRDefault="00805A3C" w:rsidP="003A6E87">
      <w:pPr>
        <w:jc w:val="both"/>
        <w:rPr>
          <w:rFonts w:ascii="Times New Roman" w:hAnsi="Times New Roman" w:cs="Times New Roman"/>
          <w:sz w:val="24"/>
        </w:rPr>
      </w:pPr>
    </w:p>
    <w:p w:rsidR="00260A23" w:rsidRDefault="00260A23" w:rsidP="003A6E87">
      <w:pPr>
        <w:jc w:val="both"/>
        <w:rPr>
          <w:rFonts w:ascii="Times New Roman" w:hAnsi="Times New Roman" w:cs="Times New Roman"/>
          <w:sz w:val="24"/>
        </w:rPr>
      </w:pPr>
    </w:p>
    <w:p w:rsidR="00511AD0" w:rsidRDefault="00BA0839" w:rsidP="006C2DEA">
      <w:pPr>
        <w:rPr>
          <w:rFonts w:ascii="Times New Roman" w:hAnsi="Times New Roman" w:cs="Times New Roman"/>
          <w:sz w:val="24"/>
        </w:rPr>
      </w:pPr>
      <w:r w:rsidRPr="00857338">
        <w:rPr>
          <w:rFonts w:ascii="Times New Roman" w:hAnsi="Times New Roman" w:cs="Times New Roman"/>
          <w:sz w:val="24"/>
        </w:rPr>
        <w:lastRenderedPageBreak/>
        <w:t xml:space="preserve">Anotācijas </w:t>
      </w:r>
      <w:r w:rsidRPr="005C59FF">
        <w:rPr>
          <w:rFonts w:ascii="Times New Roman" w:hAnsi="Times New Roman" w:cs="Times New Roman"/>
          <w:sz w:val="24"/>
        </w:rPr>
        <w:t>III, IV</w:t>
      </w:r>
      <w:r w:rsidR="00B07AF6" w:rsidRPr="005C59FF">
        <w:rPr>
          <w:rFonts w:ascii="Times New Roman" w:hAnsi="Times New Roman" w:cs="Times New Roman"/>
          <w:sz w:val="24"/>
        </w:rPr>
        <w:t xml:space="preserve"> </w:t>
      </w:r>
      <w:r w:rsidRPr="005C59FF">
        <w:rPr>
          <w:rFonts w:ascii="Times New Roman" w:hAnsi="Times New Roman" w:cs="Times New Roman"/>
          <w:sz w:val="24"/>
        </w:rPr>
        <w:t>sadaļa</w:t>
      </w:r>
      <w:r w:rsidRPr="00BA0839">
        <w:rPr>
          <w:rFonts w:ascii="Times New Roman" w:hAnsi="Times New Roman" w:cs="Times New Roman"/>
          <w:sz w:val="24"/>
        </w:rPr>
        <w:t xml:space="preserve"> – projekts šīs jomas neskar.</w:t>
      </w:r>
    </w:p>
    <w:p w:rsidR="00511AD0" w:rsidRPr="004034BE" w:rsidRDefault="002E7DC1" w:rsidP="00511A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511AD0" w:rsidRPr="004034B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10</w:t>
      </w:r>
      <w:r w:rsidR="00511AD0" w:rsidRPr="004034BE">
        <w:rPr>
          <w:rFonts w:ascii="Times New Roman" w:hAnsi="Times New Roman" w:cs="Times New Roman"/>
          <w:sz w:val="18"/>
          <w:szCs w:val="18"/>
        </w:rPr>
        <w:t>.201</w:t>
      </w:r>
      <w:r w:rsidR="00511AD0">
        <w:rPr>
          <w:rFonts w:ascii="Times New Roman" w:hAnsi="Times New Roman" w:cs="Times New Roman"/>
          <w:sz w:val="18"/>
          <w:szCs w:val="18"/>
        </w:rPr>
        <w:t>7</w:t>
      </w:r>
      <w:r w:rsidR="00511AD0" w:rsidRPr="004034BE">
        <w:rPr>
          <w:rFonts w:ascii="Times New Roman" w:hAnsi="Times New Roman" w:cs="Times New Roman"/>
          <w:sz w:val="18"/>
          <w:szCs w:val="18"/>
        </w:rPr>
        <w:t xml:space="preserve"> </w:t>
      </w:r>
      <w:r w:rsidR="003E36E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 w:rsidR="00511AD0">
        <w:rPr>
          <w:rFonts w:ascii="Times New Roman" w:hAnsi="Times New Roman" w:cs="Times New Roman"/>
          <w:sz w:val="18"/>
          <w:szCs w:val="18"/>
        </w:rPr>
        <w:t>:00</w:t>
      </w:r>
    </w:p>
    <w:p w:rsidR="00511AD0" w:rsidRPr="004034BE" w:rsidRDefault="00455562" w:rsidP="00511A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1040</w:t>
      </w:r>
    </w:p>
    <w:p w:rsidR="00511AD0" w:rsidRPr="004034BE" w:rsidRDefault="00511AD0" w:rsidP="00511A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4BE">
        <w:rPr>
          <w:rFonts w:ascii="Times New Roman" w:hAnsi="Times New Roman" w:cs="Times New Roman"/>
          <w:sz w:val="18"/>
          <w:szCs w:val="18"/>
        </w:rPr>
        <w:t>V.Laizāns</w:t>
      </w:r>
    </w:p>
    <w:p w:rsidR="00511AD0" w:rsidRPr="00260A23" w:rsidRDefault="00511AD0" w:rsidP="008C4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4BE">
        <w:rPr>
          <w:rFonts w:ascii="Times New Roman" w:hAnsi="Times New Roman" w:cs="Times New Roman"/>
          <w:sz w:val="18"/>
          <w:szCs w:val="18"/>
        </w:rPr>
        <w:t xml:space="preserve">67013145; </w:t>
      </w:r>
      <w:hyperlink r:id="rId7" w:history="1">
        <w:r w:rsidRPr="00CD78CC">
          <w:rPr>
            <w:rStyle w:val="Hyperlink"/>
            <w:rFonts w:ascii="Times New Roman" w:hAnsi="Times New Roman" w:cs="Times New Roman"/>
            <w:sz w:val="18"/>
            <w:szCs w:val="18"/>
          </w:rPr>
          <w:t>Viktors.Laizans@em.gov.lv</w:t>
        </w:r>
      </w:hyperlink>
      <w:r w:rsidR="00260A23">
        <w:rPr>
          <w:rFonts w:ascii="Times New Roman" w:hAnsi="Times New Roman" w:cs="Times New Roman"/>
          <w:sz w:val="18"/>
          <w:szCs w:val="18"/>
        </w:rPr>
        <w:tab/>
      </w:r>
    </w:p>
    <w:sectPr w:rsidR="00511AD0" w:rsidRPr="00260A2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7D" w:rsidRDefault="00767C7D" w:rsidP="00767C7D">
      <w:pPr>
        <w:spacing w:after="0" w:line="240" w:lineRule="auto"/>
      </w:pPr>
      <w:r>
        <w:separator/>
      </w:r>
    </w:p>
  </w:endnote>
  <w:endnote w:type="continuationSeparator" w:id="0">
    <w:p w:rsidR="00767C7D" w:rsidRDefault="00767C7D" w:rsidP="0076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7D" w:rsidRPr="007D2A92" w:rsidRDefault="00767C7D" w:rsidP="007D2A92">
    <w:pPr>
      <w:pStyle w:val="Footer"/>
      <w:jc w:val="both"/>
      <w:rPr>
        <w:rFonts w:ascii="Times New Roman" w:hAnsi="Times New Roman" w:cs="Times New Roman"/>
      </w:rPr>
    </w:pPr>
    <w:r w:rsidRPr="007D2A92">
      <w:rPr>
        <w:rFonts w:ascii="Times New Roman" w:hAnsi="Times New Roman" w:cs="Times New Roman"/>
      </w:rPr>
      <w:t>EMAnot_</w:t>
    </w:r>
    <w:r w:rsidR="00072497">
      <w:rPr>
        <w:rFonts w:ascii="Times New Roman" w:hAnsi="Times New Roman" w:cs="Times New Roman"/>
      </w:rPr>
      <w:t>2909</w:t>
    </w:r>
    <w:r w:rsidRPr="007D2A92">
      <w:rPr>
        <w:rFonts w:ascii="Times New Roman" w:hAnsi="Times New Roman" w:cs="Times New Roman"/>
      </w:rPr>
      <w:t xml:space="preserve">17_aerosoli Ministru kabineta </w:t>
    </w:r>
    <w:r w:rsidR="0088509F">
      <w:rPr>
        <w:rFonts w:ascii="Times New Roman" w:hAnsi="Times New Roman" w:cs="Times New Roman"/>
      </w:rPr>
      <w:t>n</w:t>
    </w:r>
    <w:r w:rsidRPr="007D2A92">
      <w:rPr>
        <w:rFonts w:ascii="Times New Roman" w:hAnsi="Times New Roman" w:cs="Times New Roman"/>
      </w:rPr>
      <w:t>oteikumu projekts</w:t>
    </w:r>
    <w:r w:rsidR="007D2A92" w:rsidRPr="007D2A92">
      <w:rPr>
        <w:rFonts w:ascii="Times New Roman" w:hAnsi="Times New Roman" w:cs="Times New Roman"/>
      </w:rPr>
      <w:t xml:space="preserve"> “Grozījumi Ministru kabineta 2009.gada 28.jūlija noteikumos Nr.815 “Noteikumi par būtiskām prasībām aerosola flakoniem un to marķēšanas un klasificēšanas kārtību””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7D" w:rsidRDefault="00767C7D" w:rsidP="00767C7D">
      <w:pPr>
        <w:spacing w:after="0" w:line="240" w:lineRule="auto"/>
      </w:pPr>
      <w:r>
        <w:separator/>
      </w:r>
    </w:p>
  </w:footnote>
  <w:footnote w:type="continuationSeparator" w:id="0">
    <w:p w:rsidR="00767C7D" w:rsidRDefault="00767C7D" w:rsidP="0076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396454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15D2" w:rsidRPr="0088509F" w:rsidRDefault="004515D2">
        <w:pPr>
          <w:pStyle w:val="Header"/>
          <w:jc w:val="center"/>
          <w:rPr>
            <w:rFonts w:ascii="Times New Roman" w:hAnsi="Times New Roman" w:cs="Times New Roman"/>
          </w:rPr>
        </w:pPr>
        <w:r w:rsidRPr="0088509F">
          <w:rPr>
            <w:rFonts w:ascii="Times New Roman" w:hAnsi="Times New Roman" w:cs="Times New Roman"/>
          </w:rPr>
          <w:fldChar w:fldCharType="begin"/>
        </w:r>
        <w:r w:rsidRPr="0088509F">
          <w:rPr>
            <w:rFonts w:ascii="Times New Roman" w:hAnsi="Times New Roman" w:cs="Times New Roman"/>
          </w:rPr>
          <w:instrText xml:space="preserve"> PAGE   \* MERGEFORMAT </w:instrText>
        </w:r>
        <w:r w:rsidRPr="0088509F">
          <w:rPr>
            <w:rFonts w:ascii="Times New Roman" w:hAnsi="Times New Roman" w:cs="Times New Roman"/>
          </w:rPr>
          <w:fldChar w:fldCharType="separate"/>
        </w:r>
        <w:r w:rsidR="00DE12E5">
          <w:rPr>
            <w:rFonts w:ascii="Times New Roman" w:hAnsi="Times New Roman" w:cs="Times New Roman"/>
            <w:noProof/>
          </w:rPr>
          <w:t>1</w:t>
        </w:r>
        <w:r w:rsidRPr="008850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515D2" w:rsidRDefault="00451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hideSpellingErrors/>
  <w:hideGrammaticalErrors/>
  <w:revisionView w:markup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A7"/>
    <w:rsid w:val="00013F37"/>
    <w:rsid w:val="00020CFA"/>
    <w:rsid w:val="0005557F"/>
    <w:rsid w:val="00067047"/>
    <w:rsid w:val="00071E15"/>
    <w:rsid w:val="00072497"/>
    <w:rsid w:val="00073329"/>
    <w:rsid w:val="000758E5"/>
    <w:rsid w:val="0009379B"/>
    <w:rsid w:val="000D3EFA"/>
    <w:rsid w:val="000D589E"/>
    <w:rsid w:val="000F2216"/>
    <w:rsid w:val="00100F23"/>
    <w:rsid w:val="00111896"/>
    <w:rsid w:val="00125230"/>
    <w:rsid w:val="0013132E"/>
    <w:rsid w:val="00163A7F"/>
    <w:rsid w:val="001872EE"/>
    <w:rsid w:val="001A7B74"/>
    <w:rsid w:val="001D3A98"/>
    <w:rsid w:val="002025C2"/>
    <w:rsid w:val="002118A6"/>
    <w:rsid w:val="00225DAC"/>
    <w:rsid w:val="002410A1"/>
    <w:rsid w:val="00260A23"/>
    <w:rsid w:val="00281986"/>
    <w:rsid w:val="00286767"/>
    <w:rsid w:val="002A55E2"/>
    <w:rsid w:val="002B1605"/>
    <w:rsid w:val="002B38C0"/>
    <w:rsid w:val="002E1189"/>
    <w:rsid w:val="002E2875"/>
    <w:rsid w:val="002E7DC1"/>
    <w:rsid w:val="002F2100"/>
    <w:rsid w:val="00357912"/>
    <w:rsid w:val="00366C11"/>
    <w:rsid w:val="003750EE"/>
    <w:rsid w:val="003807CE"/>
    <w:rsid w:val="00381D40"/>
    <w:rsid w:val="00383AE0"/>
    <w:rsid w:val="003A6E87"/>
    <w:rsid w:val="003B2296"/>
    <w:rsid w:val="003D4A4B"/>
    <w:rsid w:val="003E36E7"/>
    <w:rsid w:val="003E4922"/>
    <w:rsid w:val="003E4A38"/>
    <w:rsid w:val="00436280"/>
    <w:rsid w:val="00442189"/>
    <w:rsid w:val="004425B4"/>
    <w:rsid w:val="00443954"/>
    <w:rsid w:val="0044586E"/>
    <w:rsid w:val="004509D0"/>
    <w:rsid w:val="004515D2"/>
    <w:rsid w:val="00452719"/>
    <w:rsid w:val="00452738"/>
    <w:rsid w:val="00455562"/>
    <w:rsid w:val="00456068"/>
    <w:rsid w:val="00461C23"/>
    <w:rsid w:val="004A119A"/>
    <w:rsid w:val="004A3B31"/>
    <w:rsid w:val="004A57A2"/>
    <w:rsid w:val="004C60F3"/>
    <w:rsid w:val="004C7F3F"/>
    <w:rsid w:val="004E38BF"/>
    <w:rsid w:val="004E6FC9"/>
    <w:rsid w:val="004F1994"/>
    <w:rsid w:val="004F73DA"/>
    <w:rsid w:val="00511AD0"/>
    <w:rsid w:val="0052751A"/>
    <w:rsid w:val="00560F64"/>
    <w:rsid w:val="0058338B"/>
    <w:rsid w:val="00584C30"/>
    <w:rsid w:val="005A52EC"/>
    <w:rsid w:val="005C2B3D"/>
    <w:rsid w:val="005C59FF"/>
    <w:rsid w:val="005D1D65"/>
    <w:rsid w:val="006047FF"/>
    <w:rsid w:val="0062387B"/>
    <w:rsid w:val="00625204"/>
    <w:rsid w:val="006463B0"/>
    <w:rsid w:val="00662186"/>
    <w:rsid w:val="006B644F"/>
    <w:rsid w:val="006B7117"/>
    <w:rsid w:val="006C2DEA"/>
    <w:rsid w:val="006D4957"/>
    <w:rsid w:val="006E1444"/>
    <w:rsid w:val="007238F7"/>
    <w:rsid w:val="00730ABE"/>
    <w:rsid w:val="00753ED2"/>
    <w:rsid w:val="00767C7D"/>
    <w:rsid w:val="007723B9"/>
    <w:rsid w:val="007847AD"/>
    <w:rsid w:val="007D2A92"/>
    <w:rsid w:val="007D4BA3"/>
    <w:rsid w:val="00800CF8"/>
    <w:rsid w:val="00805A3C"/>
    <w:rsid w:val="0084392C"/>
    <w:rsid w:val="00857338"/>
    <w:rsid w:val="0088509F"/>
    <w:rsid w:val="008A2C0B"/>
    <w:rsid w:val="008C3CA8"/>
    <w:rsid w:val="008C4D06"/>
    <w:rsid w:val="008C740D"/>
    <w:rsid w:val="008F52A3"/>
    <w:rsid w:val="00915E3E"/>
    <w:rsid w:val="00954B43"/>
    <w:rsid w:val="009D6764"/>
    <w:rsid w:val="009E0F39"/>
    <w:rsid w:val="00A00CB1"/>
    <w:rsid w:val="00A067BF"/>
    <w:rsid w:val="00A27880"/>
    <w:rsid w:val="00A44299"/>
    <w:rsid w:val="00A47464"/>
    <w:rsid w:val="00A74E61"/>
    <w:rsid w:val="00A97110"/>
    <w:rsid w:val="00A979FD"/>
    <w:rsid w:val="00AA6D84"/>
    <w:rsid w:val="00AF170C"/>
    <w:rsid w:val="00B07AF6"/>
    <w:rsid w:val="00B42C41"/>
    <w:rsid w:val="00B440EE"/>
    <w:rsid w:val="00B47DED"/>
    <w:rsid w:val="00B67801"/>
    <w:rsid w:val="00B762FE"/>
    <w:rsid w:val="00BA0839"/>
    <w:rsid w:val="00BC4888"/>
    <w:rsid w:val="00BD76A6"/>
    <w:rsid w:val="00C314C4"/>
    <w:rsid w:val="00C40636"/>
    <w:rsid w:val="00C428F0"/>
    <w:rsid w:val="00C55468"/>
    <w:rsid w:val="00C61A78"/>
    <w:rsid w:val="00C62CF3"/>
    <w:rsid w:val="00C65B8E"/>
    <w:rsid w:val="00C66F04"/>
    <w:rsid w:val="00C76EF7"/>
    <w:rsid w:val="00C831E9"/>
    <w:rsid w:val="00C86BB2"/>
    <w:rsid w:val="00CD52DA"/>
    <w:rsid w:val="00CD7912"/>
    <w:rsid w:val="00CE76AB"/>
    <w:rsid w:val="00D141F9"/>
    <w:rsid w:val="00D1576C"/>
    <w:rsid w:val="00D558BC"/>
    <w:rsid w:val="00D63E3A"/>
    <w:rsid w:val="00D87E9B"/>
    <w:rsid w:val="00D95039"/>
    <w:rsid w:val="00DC7F5A"/>
    <w:rsid w:val="00DE12E5"/>
    <w:rsid w:val="00E47A29"/>
    <w:rsid w:val="00E53544"/>
    <w:rsid w:val="00E636F1"/>
    <w:rsid w:val="00E95F19"/>
    <w:rsid w:val="00EA7962"/>
    <w:rsid w:val="00EF16EB"/>
    <w:rsid w:val="00F059A8"/>
    <w:rsid w:val="00F460A7"/>
    <w:rsid w:val="00F51A6D"/>
    <w:rsid w:val="00F91AD6"/>
    <w:rsid w:val="00FA3B12"/>
    <w:rsid w:val="00FC0D2D"/>
    <w:rsid w:val="00FD499F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080C"/>
  <w15:chartTrackingRefBased/>
  <w15:docId w15:val="{99B5E7C8-D36A-43C9-A7D1-D3483DF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F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460A7"/>
  </w:style>
  <w:style w:type="character" w:styleId="Hyperlink">
    <w:name w:val="Hyperlink"/>
    <w:basedOn w:val="DefaultParagraphFont"/>
    <w:uiPriority w:val="99"/>
    <w:unhideWhenUsed/>
    <w:rsid w:val="00F46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paragraph" w:customStyle="1" w:styleId="Normal1">
    <w:name w:val="Normal1"/>
    <w:basedOn w:val="Normal"/>
    <w:rsid w:val="0005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67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7D"/>
  </w:style>
  <w:style w:type="paragraph" w:styleId="Footer">
    <w:name w:val="footer"/>
    <w:basedOn w:val="Normal"/>
    <w:link w:val="FooterChar"/>
    <w:uiPriority w:val="99"/>
    <w:unhideWhenUsed/>
    <w:rsid w:val="00767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7D"/>
  </w:style>
  <w:style w:type="paragraph" w:styleId="BalloonText">
    <w:name w:val="Balloon Text"/>
    <w:basedOn w:val="Normal"/>
    <w:link w:val="BalloonTextChar"/>
    <w:uiPriority w:val="99"/>
    <w:semiHidden/>
    <w:unhideWhenUsed/>
    <w:rsid w:val="00C6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44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2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ktors.Laizans@e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7833</Characters>
  <Application>Microsoft Office Word</Application>
  <DocSecurity>0</DocSecurity>
  <Lines>289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Laizāns</dc:creator>
  <cp:keywords/>
  <dc:description/>
  <cp:lastModifiedBy>Gundega Jaunbērziņa-Beitika</cp:lastModifiedBy>
  <cp:revision>122</cp:revision>
  <cp:lastPrinted>2017-07-04T09:05:00Z</cp:lastPrinted>
  <dcterms:created xsi:type="dcterms:W3CDTF">2017-06-01T09:25:00Z</dcterms:created>
  <dcterms:modified xsi:type="dcterms:W3CDTF">2017-10-11T13:21:00Z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