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1A2E" w14:textId="77777777" w:rsidR="00A81FAC" w:rsidRDefault="00A81FAC" w:rsidP="00A81FAC">
      <w:pPr>
        <w:pStyle w:val="Heading1"/>
        <w:tabs>
          <w:tab w:val="left" w:pos="6096"/>
        </w:tabs>
        <w:rPr>
          <w:sz w:val="28"/>
        </w:rPr>
      </w:pPr>
      <w:r>
        <w:rPr>
          <w:sz w:val="28"/>
        </w:rPr>
        <w:t>Projekts</w:t>
      </w:r>
    </w:p>
    <w:p w14:paraId="78082D8D" w14:textId="77777777" w:rsidR="00A81FAC" w:rsidRPr="00071EFC" w:rsidRDefault="00A81FAC" w:rsidP="00A81FAC">
      <w:pPr>
        <w:pStyle w:val="Heading2"/>
        <w:tabs>
          <w:tab w:val="left" w:pos="6096"/>
        </w:tabs>
        <w:spacing w:before="360" w:after="360"/>
        <w:ind w:firstLine="567"/>
        <w:rPr>
          <w:b/>
          <w:sz w:val="26"/>
          <w:szCs w:val="26"/>
        </w:rPr>
      </w:pPr>
      <w:r w:rsidRPr="00071EFC">
        <w:rPr>
          <w:b/>
          <w:sz w:val="26"/>
          <w:szCs w:val="26"/>
        </w:rPr>
        <w:t>LATVIJAS REPUBLIKAS MINISTRU KABINETS</w:t>
      </w:r>
    </w:p>
    <w:p w14:paraId="6CC86811" w14:textId="77777777" w:rsidR="00A81FAC" w:rsidRPr="00071EFC" w:rsidRDefault="00A81FAC" w:rsidP="00A81FAC">
      <w:pPr>
        <w:tabs>
          <w:tab w:val="left" w:pos="2715"/>
          <w:tab w:val="left" w:pos="6096"/>
        </w:tabs>
        <w:spacing w:before="120" w:after="120"/>
        <w:rPr>
          <w:sz w:val="26"/>
          <w:szCs w:val="26"/>
          <w:lang w:val="lv-LV"/>
        </w:rPr>
      </w:pPr>
      <w:r w:rsidRPr="00071EFC">
        <w:rPr>
          <w:sz w:val="26"/>
          <w:szCs w:val="26"/>
          <w:lang w:val="lv-LV"/>
        </w:rPr>
        <w:t>2017.gada _________</w:t>
      </w:r>
      <w:r w:rsidRPr="00071EFC">
        <w:rPr>
          <w:sz w:val="26"/>
          <w:szCs w:val="26"/>
          <w:lang w:val="lv-LV"/>
        </w:rPr>
        <w:tab/>
      </w:r>
      <w:r w:rsidRPr="00071EFC">
        <w:rPr>
          <w:sz w:val="26"/>
          <w:szCs w:val="26"/>
          <w:lang w:val="lv-LV"/>
        </w:rPr>
        <w:tab/>
        <w:t>Rīkojums Nr.______</w:t>
      </w:r>
    </w:p>
    <w:p w14:paraId="5F4D391A" w14:textId="77777777" w:rsidR="00A81FAC" w:rsidRPr="00071EFC" w:rsidRDefault="00A81FAC" w:rsidP="00A81FAC">
      <w:pPr>
        <w:tabs>
          <w:tab w:val="left" w:pos="6096"/>
        </w:tabs>
        <w:rPr>
          <w:sz w:val="26"/>
          <w:szCs w:val="26"/>
          <w:lang w:val="lv-LV"/>
        </w:rPr>
      </w:pPr>
      <w:r w:rsidRPr="00071EFC">
        <w:rPr>
          <w:sz w:val="26"/>
          <w:szCs w:val="26"/>
          <w:lang w:val="lv-LV"/>
        </w:rPr>
        <w:t>Rīgā</w:t>
      </w:r>
      <w:r w:rsidRPr="00071EFC">
        <w:rPr>
          <w:sz w:val="26"/>
          <w:szCs w:val="26"/>
          <w:lang w:val="lv-LV"/>
        </w:rPr>
        <w:tab/>
        <w:t>(prot. Nr. .§)</w:t>
      </w:r>
    </w:p>
    <w:p w14:paraId="30948E10" w14:textId="77777777" w:rsidR="00A81FAC" w:rsidRPr="00071EFC" w:rsidRDefault="00A81FAC" w:rsidP="00A81FAC">
      <w:pPr>
        <w:tabs>
          <w:tab w:val="left" w:pos="6096"/>
        </w:tabs>
        <w:rPr>
          <w:sz w:val="26"/>
          <w:szCs w:val="26"/>
          <w:lang w:val="lv-LV"/>
        </w:rPr>
      </w:pPr>
    </w:p>
    <w:p w14:paraId="4E1AB9B4" w14:textId="77777777" w:rsidR="00A81FAC" w:rsidRPr="00071EFC" w:rsidRDefault="00A81FAC" w:rsidP="00A81FAC">
      <w:pPr>
        <w:tabs>
          <w:tab w:val="left" w:pos="6096"/>
        </w:tabs>
        <w:rPr>
          <w:sz w:val="26"/>
          <w:szCs w:val="26"/>
          <w:lang w:val="lv-LV"/>
        </w:rPr>
      </w:pPr>
    </w:p>
    <w:p w14:paraId="72530993" w14:textId="77777777" w:rsidR="00A81FAC" w:rsidRPr="00071EFC" w:rsidRDefault="00A81FAC" w:rsidP="00A81FAC">
      <w:pPr>
        <w:jc w:val="center"/>
        <w:rPr>
          <w:b/>
          <w:bCs/>
          <w:sz w:val="26"/>
          <w:szCs w:val="26"/>
          <w:lang w:val="lv-LV"/>
        </w:rPr>
      </w:pPr>
      <w:r w:rsidRPr="00071EFC">
        <w:rPr>
          <w:b/>
          <w:sz w:val="26"/>
          <w:szCs w:val="26"/>
          <w:lang w:val="lv-LV"/>
        </w:rPr>
        <w:t xml:space="preserve">Par </w:t>
      </w:r>
      <w:r w:rsidR="008370C2" w:rsidRPr="00071EFC">
        <w:rPr>
          <w:b/>
          <w:sz w:val="26"/>
          <w:szCs w:val="26"/>
          <w:lang w:val="lv-LV"/>
        </w:rPr>
        <w:t xml:space="preserve">garantētās maksas par koģenerācijas elektrostacijā uzstādīto elektrisko jaudu saistību samazināšanu </w:t>
      </w:r>
      <w:r w:rsidR="00F7557E" w:rsidRPr="00071EFC">
        <w:rPr>
          <w:b/>
          <w:sz w:val="26"/>
          <w:szCs w:val="26"/>
          <w:lang w:val="lv-LV"/>
        </w:rPr>
        <w:t>akciju sabiedrībai</w:t>
      </w:r>
      <w:r w:rsidR="008370C2" w:rsidRPr="00071EFC">
        <w:rPr>
          <w:b/>
          <w:sz w:val="26"/>
          <w:szCs w:val="26"/>
          <w:lang w:val="lv-LV"/>
        </w:rPr>
        <w:t xml:space="preserve"> “Latvenergo”</w:t>
      </w:r>
    </w:p>
    <w:p w14:paraId="76A34EC6" w14:textId="77777777" w:rsidR="00A81FAC" w:rsidRPr="00071EFC" w:rsidRDefault="00A81FAC" w:rsidP="00A81FAC">
      <w:pPr>
        <w:ind w:firstLine="567"/>
        <w:jc w:val="center"/>
        <w:rPr>
          <w:sz w:val="26"/>
          <w:szCs w:val="26"/>
          <w:lang w:val="lv-LV"/>
        </w:rPr>
      </w:pPr>
    </w:p>
    <w:p w14:paraId="7212043A" w14:textId="1C7D40A8" w:rsidR="008C536E" w:rsidRDefault="00A81FAC" w:rsidP="00472255">
      <w:pPr>
        <w:pStyle w:val="NoSpacing"/>
        <w:spacing w:after="60"/>
        <w:ind w:firstLine="709"/>
        <w:jc w:val="both"/>
        <w:rPr>
          <w:sz w:val="26"/>
          <w:szCs w:val="26"/>
          <w:lang w:val="lv-LV"/>
        </w:rPr>
      </w:pPr>
      <w:r w:rsidRPr="00EA175C">
        <w:rPr>
          <w:sz w:val="26"/>
          <w:szCs w:val="26"/>
          <w:lang w:val="lv-LV"/>
        </w:rPr>
        <w:t xml:space="preserve">1. Ministru kabinets (adrese – Brīvības bulvāris 36, Rīga, LV-1520) ir izskatījis </w:t>
      </w:r>
      <w:r w:rsidR="00F7557E" w:rsidRPr="00EA175C">
        <w:rPr>
          <w:sz w:val="26"/>
          <w:szCs w:val="26"/>
          <w:lang w:val="lv-LV"/>
        </w:rPr>
        <w:t>akciju sabiedrības</w:t>
      </w:r>
      <w:r w:rsidR="00022632" w:rsidRPr="00EA175C">
        <w:rPr>
          <w:sz w:val="26"/>
          <w:szCs w:val="26"/>
          <w:lang w:val="lv-LV"/>
        </w:rPr>
        <w:t xml:space="preserve"> “Latvenergo” </w:t>
      </w:r>
      <w:r w:rsidRPr="00EA175C">
        <w:rPr>
          <w:sz w:val="26"/>
          <w:szCs w:val="26"/>
          <w:lang w:val="lv-LV"/>
        </w:rPr>
        <w:t xml:space="preserve">(nodokļu maksātāja reģistrācijas numurs </w:t>
      </w:r>
      <w:r w:rsidRPr="00EA175C">
        <w:rPr>
          <w:noProof/>
          <w:sz w:val="26"/>
          <w:szCs w:val="26"/>
          <w:lang w:val="lv-LV"/>
        </w:rPr>
        <w:t>LV</w:t>
      </w:r>
      <w:r w:rsidR="000A6B40" w:rsidRPr="00EA175C">
        <w:rPr>
          <w:noProof/>
          <w:sz w:val="26"/>
          <w:szCs w:val="26"/>
          <w:lang w:val="lv-LV"/>
        </w:rPr>
        <w:t>40003</w:t>
      </w:r>
      <w:r w:rsidR="00363182" w:rsidRPr="00EA175C">
        <w:rPr>
          <w:noProof/>
          <w:sz w:val="26"/>
          <w:szCs w:val="26"/>
          <w:lang w:val="lv-LV"/>
        </w:rPr>
        <w:t>032949</w:t>
      </w:r>
      <w:r w:rsidRPr="00EA175C">
        <w:rPr>
          <w:sz w:val="26"/>
          <w:szCs w:val="26"/>
          <w:lang w:val="lv-LV"/>
        </w:rPr>
        <w:t xml:space="preserve">, adrese – </w:t>
      </w:r>
      <w:r w:rsidR="00363182" w:rsidRPr="00EA175C">
        <w:rPr>
          <w:sz w:val="26"/>
          <w:szCs w:val="26"/>
          <w:lang w:val="lv-LV"/>
        </w:rPr>
        <w:t>Pulkveža brieža iela 12</w:t>
      </w:r>
      <w:r w:rsidRPr="00EA175C">
        <w:rPr>
          <w:sz w:val="26"/>
          <w:szCs w:val="26"/>
          <w:lang w:val="lv-LV"/>
        </w:rPr>
        <w:t xml:space="preserve">, </w:t>
      </w:r>
      <w:r w:rsidR="00363182" w:rsidRPr="00EA175C">
        <w:rPr>
          <w:sz w:val="26"/>
          <w:szCs w:val="26"/>
          <w:lang w:val="lv-LV"/>
        </w:rPr>
        <w:t>Rīga</w:t>
      </w:r>
      <w:r w:rsidRPr="00EA175C">
        <w:rPr>
          <w:sz w:val="26"/>
          <w:szCs w:val="26"/>
          <w:lang w:val="lv-LV"/>
        </w:rPr>
        <w:t>, LV-</w:t>
      </w:r>
      <w:r w:rsidR="00363182" w:rsidRPr="00EA175C">
        <w:rPr>
          <w:sz w:val="26"/>
          <w:szCs w:val="26"/>
          <w:lang w:val="lv-LV"/>
        </w:rPr>
        <w:t>1230</w:t>
      </w:r>
      <w:r w:rsidRPr="00EA175C">
        <w:rPr>
          <w:sz w:val="26"/>
          <w:szCs w:val="26"/>
          <w:lang w:val="lv-LV"/>
        </w:rPr>
        <w:t>)</w:t>
      </w:r>
      <w:r w:rsidR="00693EC9" w:rsidRPr="00EA175C">
        <w:rPr>
          <w:sz w:val="26"/>
          <w:szCs w:val="26"/>
          <w:lang w:val="lv-LV"/>
        </w:rPr>
        <w:t xml:space="preserve"> </w:t>
      </w:r>
      <w:r w:rsidR="00CC0D8F" w:rsidRPr="00EA175C">
        <w:rPr>
          <w:sz w:val="26"/>
          <w:szCs w:val="26"/>
          <w:lang w:val="lv-LV"/>
        </w:rPr>
        <w:t>2017.</w:t>
      </w:r>
      <w:r w:rsidR="00210450" w:rsidRPr="00EA175C">
        <w:rPr>
          <w:sz w:val="26"/>
          <w:szCs w:val="26"/>
          <w:lang w:val="lv-LV"/>
        </w:rPr>
        <w:t> </w:t>
      </w:r>
      <w:r w:rsidR="00CC0D8F" w:rsidRPr="00EA175C">
        <w:rPr>
          <w:sz w:val="26"/>
          <w:szCs w:val="26"/>
          <w:lang w:val="lv-LV"/>
        </w:rPr>
        <w:t>gada 19</w:t>
      </w:r>
      <w:r w:rsidRPr="00EA175C">
        <w:rPr>
          <w:sz w:val="26"/>
          <w:szCs w:val="26"/>
          <w:lang w:val="lv-LV"/>
        </w:rPr>
        <w:t>.</w:t>
      </w:r>
      <w:r w:rsidR="00210450" w:rsidRPr="00EA175C">
        <w:rPr>
          <w:sz w:val="26"/>
          <w:szCs w:val="26"/>
          <w:lang w:val="lv-LV"/>
        </w:rPr>
        <w:t> </w:t>
      </w:r>
      <w:r w:rsidR="00CC0D8F" w:rsidRPr="00EA175C">
        <w:rPr>
          <w:sz w:val="26"/>
          <w:szCs w:val="26"/>
          <w:lang w:val="lv-LV"/>
        </w:rPr>
        <w:t>oktobrī</w:t>
      </w:r>
      <w:r w:rsidRPr="00EA175C">
        <w:rPr>
          <w:sz w:val="26"/>
          <w:szCs w:val="26"/>
          <w:lang w:val="lv-LV"/>
        </w:rPr>
        <w:t xml:space="preserve"> Ekonomikas </w:t>
      </w:r>
      <w:r w:rsidRPr="007465E8">
        <w:rPr>
          <w:sz w:val="26"/>
          <w:szCs w:val="26"/>
          <w:lang w:val="lv-LV"/>
        </w:rPr>
        <w:t xml:space="preserve">ministrijā saņemto </w:t>
      </w:r>
      <w:r w:rsidR="006D0E74" w:rsidRPr="007465E8">
        <w:rPr>
          <w:sz w:val="26"/>
          <w:szCs w:val="26"/>
          <w:lang w:val="lv-LV"/>
        </w:rPr>
        <w:t xml:space="preserve">pieteikumu </w:t>
      </w:r>
      <w:r w:rsidR="0098794D" w:rsidRPr="007465E8">
        <w:rPr>
          <w:sz w:val="26"/>
          <w:szCs w:val="26"/>
          <w:lang w:val="lv-LV"/>
        </w:rPr>
        <w:t xml:space="preserve">valsts garantētās maksas </w:t>
      </w:r>
      <w:r w:rsidR="002124E8" w:rsidRPr="007465E8">
        <w:rPr>
          <w:sz w:val="26"/>
          <w:szCs w:val="26"/>
          <w:lang w:val="lv-LV"/>
        </w:rPr>
        <w:t xml:space="preserve">saistību </w:t>
      </w:r>
      <w:r w:rsidR="00F41955" w:rsidRPr="007465E8">
        <w:rPr>
          <w:sz w:val="26"/>
          <w:szCs w:val="26"/>
          <w:lang w:val="lv-LV"/>
        </w:rPr>
        <w:t xml:space="preserve">samazināšanai </w:t>
      </w:r>
      <w:r w:rsidR="0098794D" w:rsidRPr="007465E8">
        <w:rPr>
          <w:sz w:val="26"/>
          <w:szCs w:val="26"/>
          <w:lang w:val="lv-LV"/>
        </w:rPr>
        <w:t>par</w:t>
      </w:r>
      <w:r w:rsidR="00210450" w:rsidRPr="007465E8">
        <w:rPr>
          <w:sz w:val="26"/>
          <w:szCs w:val="26"/>
          <w:lang w:val="lv-LV"/>
        </w:rPr>
        <w:t xml:space="preserve"> Rīgas</w:t>
      </w:r>
      <w:r w:rsidR="0098794D" w:rsidRPr="007465E8">
        <w:rPr>
          <w:sz w:val="26"/>
          <w:szCs w:val="26"/>
          <w:lang w:val="lv-LV"/>
        </w:rPr>
        <w:t xml:space="preserve"> </w:t>
      </w:r>
      <w:r w:rsidR="00F41955" w:rsidRPr="007465E8">
        <w:rPr>
          <w:sz w:val="26"/>
          <w:szCs w:val="26"/>
          <w:lang w:val="lv-LV"/>
        </w:rPr>
        <w:t>TEC-1</w:t>
      </w:r>
      <w:r w:rsidR="00B15F16" w:rsidRPr="007465E8">
        <w:rPr>
          <w:sz w:val="26"/>
          <w:szCs w:val="26"/>
          <w:lang w:val="lv-LV"/>
        </w:rPr>
        <w:t xml:space="preserve"> (adrese – Viskaļu iela 16, Rīga)</w:t>
      </w:r>
      <w:r w:rsidR="00A420A9" w:rsidRPr="007465E8">
        <w:rPr>
          <w:sz w:val="26"/>
          <w:szCs w:val="26"/>
          <w:lang w:val="lv-LV"/>
        </w:rPr>
        <w:t xml:space="preserve"> </w:t>
      </w:r>
      <w:r w:rsidR="0050385B">
        <w:rPr>
          <w:sz w:val="26"/>
          <w:szCs w:val="26"/>
          <w:lang w:val="lv-LV"/>
        </w:rPr>
        <w:t xml:space="preserve">(turpmāk – Rīgas TEC-1) </w:t>
      </w:r>
      <w:r w:rsidR="00F41955" w:rsidRPr="007465E8">
        <w:rPr>
          <w:sz w:val="26"/>
          <w:szCs w:val="26"/>
          <w:lang w:val="lv-LV"/>
        </w:rPr>
        <w:t xml:space="preserve">un </w:t>
      </w:r>
      <w:r w:rsidR="00210450" w:rsidRPr="007465E8">
        <w:rPr>
          <w:sz w:val="26"/>
          <w:szCs w:val="26"/>
          <w:lang w:val="lv-LV"/>
        </w:rPr>
        <w:t xml:space="preserve">Rīgas </w:t>
      </w:r>
      <w:r w:rsidR="00F41955" w:rsidRPr="007465E8">
        <w:rPr>
          <w:sz w:val="26"/>
          <w:szCs w:val="26"/>
          <w:lang w:val="lv-LV"/>
        </w:rPr>
        <w:t>TEC-2</w:t>
      </w:r>
      <w:r w:rsidR="00B15F16" w:rsidRPr="007465E8">
        <w:rPr>
          <w:sz w:val="26"/>
          <w:szCs w:val="26"/>
          <w:lang w:val="lv-LV"/>
        </w:rPr>
        <w:t xml:space="preserve"> (adrese – Granīta iela 31, Acone, Salaspils pagasts, Salaspils novads)</w:t>
      </w:r>
      <w:r w:rsidR="0050385B" w:rsidRPr="0050385B">
        <w:rPr>
          <w:sz w:val="26"/>
          <w:szCs w:val="26"/>
          <w:lang w:val="lv-LV"/>
        </w:rPr>
        <w:t xml:space="preserve"> </w:t>
      </w:r>
      <w:r w:rsidR="0050385B">
        <w:rPr>
          <w:sz w:val="26"/>
          <w:szCs w:val="26"/>
          <w:lang w:val="lv-LV"/>
        </w:rPr>
        <w:t xml:space="preserve">(turpmāk – Rīgas TEC-2) </w:t>
      </w:r>
      <w:r w:rsidR="00271372" w:rsidRPr="007465E8">
        <w:rPr>
          <w:sz w:val="26"/>
          <w:szCs w:val="26"/>
          <w:lang w:val="lv-LV"/>
        </w:rPr>
        <w:t xml:space="preserve"> </w:t>
      </w:r>
      <w:r w:rsidR="0098794D" w:rsidRPr="007465E8">
        <w:rPr>
          <w:sz w:val="26"/>
          <w:szCs w:val="26"/>
          <w:lang w:val="lv-LV"/>
        </w:rPr>
        <w:t>koģenerācijas elektrostacijā</w:t>
      </w:r>
      <w:r w:rsidR="00F41955" w:rsidRPr="007465E8">
        <w:rPr>
          <w:sz w:val="26"/>
          <w:szCs w:val="26"/>
          <w:lang w:val="lv-LV"/>
        </w:rPr>
        <w:t>s</w:t>
      </w:r>
      <w:r w:rsidR="0098794D" w:rsidRPr="007465E8">
        <w:rPr>
          <w:sz w:val="26"/>
          <w:szCs w:val="26"/>
          <w:lang w:val="lv-LV"/>
        </w:rPr>
        <w:t xml:space="preserve"> uzstādīto elektrisko jaudu, saņemot </w:t>
      </w:r>
      <w:r w:rsidR="00B23432" w:rsidRPr="007465E8">
        <w:rPr>
          <w:sz w:val="26"/>
          <w:szCs w:val="26"/>
          <w:lang w:val="lv-LV"/>
        </w:rPr>
        <w:t>vienreizēj</w:t>
      </w:r>
      <w:r w:rsidR="0098794D" w:rsidRPr="007465E8">
        <w:rPr>
          <w:sz w:val="26"/>
          <w:szCs w:val="26"/>
          <w:lang w:val="lv-LV"/>
        </w:rPr>
        <w:t>u</w:t>
      </w:r>
      <w:r w:rsidR="00B23432" w:rsidRPr="007465E8">
        <w:rPr>
          <w:sz w:val="26"/>
          <w:szCs w:val="26"/>
          <w:lang w:val="lv-LV"/>
        </w:rPr>
        <w:t xml:space="preserve"> </w:t>
      </w:r>
      <w:r w:rsidR="00F41955" w:rsidRPr="007465E8">
        <w:rPr>
          <w:sz w:val="26"/>
          <w:szCs w:val="26"/>
          <w:lang w:val="lv-LV"/>
        </w:rPr>
        <w:t xml:space="preserve">diskontētu </w:t>
      </w:r>
      <w:r w:rsidR="00B23432" w:rsidRPr="007465E8">
        <w:rPr>
          <w:sz w:val="26"/>
          <w:szCs w:val="26"/>
          <w:lang w:val="lv-LV"/>
        </w:rPr>
        <w:t>maksājum</w:t>
      </w:r>
      <w:r w:rsidR="0098794D" w:rsidRPr="007465E8">
        <w:rPr>
          <w:sz w:val="26"/>
          <w:szCs w:val="26"/>
          <w:lang w:val="lv-LV"/>
        </w:rPr>
        <w:t>u</w:t>
      </w:r>
      <w:r w:rsidR="009E7D5E" w:rsidRPr="007465E8">
        <w:rPr>
          <w:sz w:val="26"/>
          <w:szCs w:val="26"/>
          <w:lang w:val="lv-LV"/>
        </w:rPr>
        <w:t xml:space="preserve"> (turpmāk – vienreizējs maksājums)</w:t>
      </w:r>
      <w:r w:rsidR="00647120" w:rsidRPr="007465E8">
        <w:rPr>
          <w:sz w:val="26"/>
          <w:szCs w:val="26"/>
          <w:lang w:val="lv-LV"/>
        </w:rPr>
        <w:t>,</w:t>
      </w:r>
      <w:r w:rsidR="00B23432" w:rsidRPr="007465E8">
        <w:rPr>
          <w:sz w:val="26"/>
          <w:szCs w:val="26"/>
          <w:lang w:val="lv-LV"/>
        </w:rPr>
        <w:t xml:space="preserve"> </w:t>
      </w:r>
      <w:r w:rsidR="008C536E" w:rsidRPr="007465E8">
        <w:rPr>
          <w:sz w:val="26"/>
          <w:szCs w:val="26"/>
          <w:lang w:val="lv-LV"/>
        </w:rPr>
        <w:t>un</w:t>
      </w:r>
      <w:r w:rsidR="009614BD">
        <w:rPr>
          <w:sz w:val="26"/>
          <w:szCs w:val="26"/>
          <w:lang w:val="lv-LV"/>
        </w:rPr>
        <w:t>, pamatojoties uz Ekonomikas ministrijas izvērtējumu</w:t>
      </w:r>
      <w:r w:rsidR="008C536E" w:rsidRPr="007465E8">
        <w:rPr>
          <w:sz w:val="26"/>
          <w:szCs w:val="26"/>
          <w:lang w:val="lv-LV"/>
        </w:rPr>
        <w:t xml:space="preserve"> </w:t>
      </w:r>
      <w:r w:rsidR="009614BD">
        <w:rPr>
          <w:sz w:val="26"/>
          <w:szCs w:val="26"/>
          <w:lang w:val="lv-LV"/>
        </w:rPr>
        <w:t>atbilstoši M</w:t>
      </w:r>
      <w:r w:rsidR="004B71A8">
        <w:rPr>
          <w:sz w:val="26"/>
          <w:szCs w:val="26"/>
          <w:lang w:val="lv-LV"/>
        </w:rPr>
        <w:t>inistru kabineta</w:t>
      </w:r>
      <w:r w:rsidR="009614BD">
        <w:rPr>
          <w:sz w:val="26"/>
          <w:szCs w:val="26"/>
          <w:lang w:val="lv-LV"/>
        </w:rPr>
        <w:t xml:space="preserve"> </w:t>
      </w:r>
      <w:r w:rsidR="004B71A8" w:rsidRPr="00071EFC">
        <w:rPr>
          <w:sz w:val="26"/>
          <w:szCs w:val="26"/>
          <w:lang w:val="lv-LV"/>
        </w:rPr>
        <w:t xml:space="preserve">2009. gada 10. marta noteikumu Nr. 221 “Noteikumi par elektroenerģijas ražošanu un cenu noteikšanu, ražojot elektroenerģiju koģenerācijā” (turpmāk – </w:t>
      </w:r>
      <w:r w:rsidR="006035CF">
        <w:rPr>
          <w:sz w:val="26"/>
          <w:szCs w:val="26"/>
          <w:lang w:val="lv-LV"/>
        </w:rPr>
        <w:t>Ministru kabineta n</w:t>
      </w:r>
      <w:r w:rsidR="004B71A8" w:rsidRPr="00071EFC">
        <w:rPr>
          <w:sz w:val="26"/>
          <w:szCs w:val="26"/>
          <w:lang w:val="lv-LV"/>
        </w:rPr>
        <w:t>oteikumi Nr. 221)</w:t>
      </w:r>
      <w:r w:rsidR="009614BD" w:rsidRPr="00071EFC">
        <w:rPr>
          <w:sz w:val="26"/>
          <w:szCs w:val="26"/>
          <w:lang w:val="lv-LV"/>
        </w:rPr>
        <w:t xml:space="preserve"> 56.</w:t>
      </w:r>
      <w:r w:rsidR="009614BD" w:rsidRPr="00071EFC">
        <w:rPr>
          <w:sz w:val="26"/>
          <w:szCs w:val="26"/>
          <w:vertAlign w:val="superscript"/>
          <w:lang w:val="lv-LV"/>
        </w:rPr>
        <w:t>26</w:t>
      </w:r>
      <w:r w:rsidR="009614BD">
        <w:rPr>
          <w:sz w:val="26"/>
          <w:szCs w:val="26"/>
          <w:lang w:val="lv-LV"/>
        </w:rPr>
        <w:t xml:space="preserve"> punktam,</w:t>
      </w:r>
      <w:r w:rsidR="009614BD" w:rsidRPr="00071EFC">
        <w:rPr>
          <w:sz w:val="26"/>
          <w:szCs w:val="26"/>
          <w:lang w:val="lv-LV"/>
        </w:rPr>
        <w:t xml:space="preserve"> </w:t>
      </w:r>
      <w:r w:rsidR="008C536E" w:rsidRPr="007465E8">
        <w:rPr>
          <w:sz w:val="26"/>
          <w:szCs w:val="26"/>
          <w:lang w:val="lv-LV"/>
        </w:rPr>
        <w:t>konstatē:</w:t>
      </w:r>
    </w:p>
    <w:p w14:paraId="3839207A" w14:textId="1E17EBE0" w:rsidR="009E7D5E" w:rsidRDefault="00A81FAC" w:rsidP="00E858E9">
      <w:pPr>
        <w:pStyle w:val="NoSpacing"/>
        <w:spacing w:after="60"/>
        <w:ind w:firstLine="709"/>
        <w:jc w:val="both"/>
        <w:rPr>
          <w:sz w:val="26"/>
          <w:szCs w:val="26"/>
          <w:lang w:val="lv-LV"/>
        </w:rPr>
      </w:pPr>
      <w:r w:rsidRPr="00071EFC">
        <w:rPr>
          <w:sz w:val="26"/>
          <w:szCs w:val="26"/>
          <w:lang w:val="lv-LV"/>
        </w:rPr>
        <w:t>1.1. </w:t>
      </w:r>
      <w:r w:rsidR="00015061" w:rsidRPr="00071EFC">
        <w:rPr>
          <w:sz w:val="26"/>
          <w:szCs w:val="26"/>
          <w:lang w:val="lv-LV"/>
        </w:rPr>
        <w:t>s</w:t>
      </w:r>
      <w:r w:rsidR="00E705A2" w:rsidRPr="00071EFC">
        <w:rPr>
          <w:sz w:val="26"/>
          <w:szCs w:val="26"/>
          <w:lang w:val="lv-LV"/>
        </w:rPr>
        <w:t xml:space="preserve">askaņā ar </w:t>
      </w:r>
      <w:r w:rsidR="006035CF">
        <w:rPr>
          <w:sz w:val="26"/>
          <w:szCs w:val="26"/>
          <w:lang w:val="lv-LV"/>
        </w:rPr>
        <w:t>Ministru kabineta n</w:t>
      </w:r>
      <w:r w:rsidR="00015061" w:rsidRPr="00071EFC">
        <w:rPr>
          <w:sz w:val="26"/>
          <w:szCs w:val="26"/>
          <w:lang w:val="lv-LV"/>
        </w:rPr>
        <w:t>oteikum</w:t>
      </w:r>
      <w:r w:rsidR="004B71A8">
        <w:rPr>
          <w:sz w:val="26"/>
          <w:szCs w:val="26"/>
          <w:lang w:val="lv-LV"/>
        </w:rPr>
        <w:t>u</w:t>
      </w:r>
      <w:r w:rsidR="00015061" w:rsidRPr="00071EFC">
        <w:rPr>
          <w:sz w:val="26"/>
          <w:szCs w:val="26"/>
          <w:lang w:val="lv-LV"/>
        </w:rPr>
        <w:t xml:space="preserve"> Nr. 221 </w:t>
      </w:r>
      <w:r w:rsidR="009E7D5E" w:rsidRPr="00071EFC">
        <w:rPr>
          <w:sz w:val="26"/>
          <w:szCs w:val="26"/>
          <w:lang w:val="lv-LV"/>
        </w:rPr>
        <w:t xml:space="preserve">89. punktu komersants, kurš vēlas saņemt vienreizējo maksājumu, viena mēneša laikā </w:t>
      </w:r>
      <w:r w:rsidR="004A1192" w:rsidRPr="00071EFC">
        <w:rPr>
          <w:sz w:val="26"/>
          <w:szCs w:val="26"/>
          <w:lang w:val="lv-LV"/>
        </w:rPr>
        <w:t xml:space="preserve">no </w:t>
      </w:r>
      <w:r w:rsidR="006035CF">
        <w:rPr>
          <w:sz w:val="26"/>
          <w:szCs w:val="26"/>
          <w:lang w:val="lv-LV"/>
        </w:rPr>
        <w:t>Ministru kabineta n</w:t>
      </w:r>
      <w:r w:rsidR="00D12617" w:rsidRPr="00071EFC">
        <w:rPr>
          <w:sz w:val="26"/>
          <w:szCs w:val="26"/>
          <w:lang w:val="lv-LV"/>
        </w:rPr>
        <w:t xml:space="preserve">oteikumu Nr. 221 </w:t>
      </w:r>
      <w:r w:rsidR="00D12617" w:rsidRPr="00071EFC">
        <w:rPr>
          <w:bCs/>
          <w:sz w:val="26"/>
          <w:szCs w:val="26"/>
          <w:lang w:val="lv-LV"/>
        </w:rPr>
        <w:t>IV</w:t>
      </w:r>
      <w:r w:rsidR="00D12617" w:rsidRPr="00071EFC">
        <w:rPr>
          <w:bCs/>
          <w:sz w:val="26"/>
          <w:szCs w:val="26"/>
          <w:vertAlign w:val="superscript"/>
          <w:lang w:val="lv-LV"/>
        </w:rPr>
        <w:t>2</w:t>
      </w:r>
      <w:r w:rsidR="00D12617" w:rsidRPr="00071EFC">
        <w:rPr>
          <w:bCs/>
          <w:sz w:val="26"/>
          <w:szCs w:val="26"/>
          <w:lang w:val="lv-LV"/>
        </w:rPr>
        <w:t>. </w:t>
      </w:r>
      <w:r w:rsidR="00C64B72" w:rsidRPr="00071EFC">
        <w:rPr>
          <w:sz w:val="26"/>
          <w:szCs w:val="26"/>
          <w:lang w:val="lv-LV"/>
        </w:rPr>
        <w:t>no</w:t>
      </w:r>
      <w:r w:rsidR="005157DD" w:rsidRPr="00071EFC">
        <w:rPr>
          <w:sz w:val="26"/>
          <w:szCs w:val="26"/>
          <w:lang w:val="lv-LV"/>
        </w:rPr>
        <w:t>daļas “</w:t>
      </w:r>
      <w:r w:rsidR="00D12617" w:rsidRPr="00071EFC">
        <w:rPr>
          <w:bCs/>
          <w:sz w:val="26"/>
          <w:szCs w:val="26"/>
          <w:lang w:val="lv-LV"/>
        </w:rPr>
        <w:t>Nosacījumi garantētās maksas par koģenerācijas elektrostacijā uzstādīto elektrisko jaudu saistību samazināšanai, saņemot vienreizēju diskontētu maksājumu</w:t>
      </w:r>
      <w:r w:rsidR="005157DD" w:rsidRPr="00071EFC">
        <w:rPr>
          <w:bCs/>
          <w:sz w:val="26"/>
          <w:szCs w:val="26"/>
          <w:lang w:val="lv-LV"/>
        </w:rPr>
        <w:t>”</w:t>
      </w:r>
      <w:r w:rsidR="003742BF">
        <w:rPr>
          <w:bCs/>
          <w:sz w:val="26"/>
          <w:szCs w:val="26"/>
          <w:lang w:val="lv-LV"/>
        </w:rPr>
        <w:t xml:space="preserve"> (turpmāk</w:t>
      </w:r>
      <w:r w:rsidR="00246696">
        <w:rPr>
          <w:bCs/>
          <w:sz w:val="26"/>
          <w:szCs w:val="26"/>
          <w:lang w:val="lv-LV"/>
        </w:rPr>
        <w:t> </w:t>
      </w:r>
      <w:r w:rsidR="006035CF">
        <w:rPr>
          <w:bCs/>
          <w:sz w:val="26"/>
          <w:szCs w:val="26"/>
          <w:lang w:val="lv-LV"/>
        </w:rPr>
        <w:t>– Ministru kabineta n</w:t>
      </w:r>
      <w:r w:rsidR="003742BF">
        <w:rPr>
          <w:bCs/>
          <w:sz w:val="26"/>
          <w:szCs w:val="26"/>
          <w:lang w:val="lv-LV"/>
        </w:rPr>
        <w:t>otei</w:t>
      </w:r>
      <w:r w:rsidR="001E2406">
        <w:rPr>
          <w:bCs/>
          <w:sz w:val="26"/>
          <w:szCs w:val="26"/>
          <w:lang w:val="lv-LV"/>
        </w:rPr>
        <w:t>kumu Nr. 221 IV</w:t>
      </w:r>
      <w:r w:rsidR="001E2406" w:rsidRPr="001E2406">
        <w:rPr>
          <w:bCs/>
          <w:sz w:val="26"/>
          <w:szCs w:val="26"/>
          <w:vertAlign w:val="superscript"/>
          <w:lang w:val="lv-LV"/>
        </w:rPr>
        <w:t>2</w:t>
      </w:r>
      <w:r w:rsidR="006035CF">
        <w:rPr>
          <w:bCs/>
          <w:sz w:val="26"/>
          <w:szCs w:val="26"/>
          <w:lang w:val="lv-LV"/>
        </w:rPr>
        <w:t>. </w:t>
      </w:r>
      <w:r w:rsidR="001E2406">
        <w:rPr>
          <w:bCs/>
          <w:sz w:val="26"/>
          <w:szCs w:val="26"/>
          <w:lang w:val="lv-LV"/>
        </w:rPr>
        <w:t>nodaļa</w:t>
      </w:r>
      <w:r w:rsidR="0066330E">
        <w:rPr>
          <w:bCs/>
          <w:sz w:val="26"/>
          <w:szCs w:val="26"/>
          <w:lang w:val="lv-LV"/>
        </w:rPr>
        <w:t>)</w:t>
      </w:r>
      <w:r w:rsidR="00D12617" w:rsidRPr="00071EFC">
        <w:rPr>
          <w:bCs/>
          <w:sz w:val="26"/>
          <w:szCs w:val="26"/>
          <w:lang w:val="lv-LV"/>
        </w:rPr>
        <w:t xml:space="preserve"> stāšanās spēkā </w:t>
      </w:r>
      <w:r w:rsidR="003F614A" w:rsidRPr="00071EFC">
        <w:rPr>
          <w:bCs/>
          <w:sz w:val="26"/>
          <w:szCs w:val="26"/>
          <w:lang w:val="lv-LV"/>
        </w:rPr>
        <w:t xml:space="preserve">dienas </w:t>
      </w:r>
      <w:r w:rsidR="004A1192" w:rsidRPr="00071EFC">
        <w:rPr>
          <w:sz w:val="26"/>
          <w:szCs w:val="26"/>
          <w:lang w:val="lv-LV"/>
        </w:rPr>
        <w:t>iesniedz pieteikumu Ekonomikas ministrijā</w:t>
      </w:r>
      <w:r w:rsidR="00B60203">
        <w:rPr>
          <w:sz w:val="26"/>
          <w:szCs w:val="26"/>
          <w:lang w:val="lv-LV"/>
        </w:rPr>
        <w:t>.</w:t>
      </w:r>
    </w:p>
    <w:p w14:paraId="5A0E142D" w14:textId="1000F1E9" w:rsidR="00C941A5" w:rsidRDefault="006035CF" w:rsidP="00911869">
      <w:pPr>
        <w:pStyle w:val="NoSpacing"/>
        <w:spacing w:after="60"/>
        <w:ind w:firstLine="709"/>
        <w:jc w:val="both"/>
        <w:rPr>
          <w:sz w:val="26"/>
          <w:szCs w:val="26"/>
          <w:lang w:val="lv-LV"/>
        </w:rPr>
      </w:pPr>
      <w:r>
        <w:rPr>
          <w:sz w:val="26"/>
          <w:szCs w:val="26"/>
          <w:lang w:val="lv-LV"/>
        </w:rPr>
        <w:t>Ministru kabineta n</w:t>
      </w:r>
      <w:r w:rsidR="00213D43">
        <w:rPr>
          <w:sz w:val="26"/>
          <w:szCs w:val="26"/>
          <w:lang w:val="lv-LV"/>
        </w:rPr>
        <w:t>oteikumu</w:t>
      </w:r>
      <w:r w:rsidR="008061BD">
        <w:rPr>
          <w:sz w:val="26"/>
          <w:szCs w:val="26"/>
          <w:lang w:val="lv-LV"/>
        </w:rPr>
        <w:t xml:space="preserve"> Nr. 221 </w:t>
      </w:r>
      <w:r w:rsidR="008061BD" w:rsidRPr="00071EFC">
        <w:rPr>
          <w:bCs/>
          <w:sz w:val="26"/>
          <w:szCs w:val="26"/>
          <w:lang w:val="lv-LV"/>
        </w:rPr>
        <w:t>IV</w:t>
      </w:r>
      <w:r w:rsidR="008061BD" w:rsidRPr="00071EFC">
        <w:rPr>
          <w:bCs/>
          <w:sz w:val="26"/>
          <w:szCs w:val="26"/>
          <w:vertAlign w:val="superscript"/>
          <w:lang w:val="lv-LV"/>
        </w:rPr>
        <w:t>2</w:t>
      </w:r>
      <w:r w:rsidR="008061BD" w:rsidRPr="00071EFC">
        <w:rPr>
          <w:bCs/>
          <w:sz w:val="26"/>
          <w:szCs w:val="26"/>
          <w:lang w:val="lv-LV"/>
        </w:rPr>
        <w:t>. </w:t>
      </w:r>
      <w:r w:rsidR="008061BD" w:rsidRPr="00071EFC">
        <w:rPr>
          <w:sz w:val="26"/>
          <w:szCs w:val="26"/>
          <w:lang w:val="lv-LV"/>
        </w:rPr>
        <w:t xml:space="preserve">nodaļas </w:t>
      </w:r>
      <w:r w:rsidR="0081471A">
        <w:rPr>
          <w:sz w:val="26"/>
          <w:szCs w:val="26"/>
          <w:lang w:val="lv-LV"/>
        </w:rPr>
        <w:t>nosacījumi</w:t>
      </w:r>
      <w:r w:rsidR="008061BD" w:rsidRPr="0081471A">
        <w:rPr>
          <w:sz w:val="26"/>
          <w:szCs w:val="26"/>
          <w:lang w:val="lv-LV"/>
        </w:rPr>
        <w:t xml:space="preserve"> stājās spēkā 2</w:t>
      </w:r>
      <w:r w:rsidR="00496AA0">
        <w:rPr>
          <w:sz w:val="26"/>
          <w:szCs w:val="26"/>
          <w:lang w:val="lv-LV"/>
        </w:rPr>
        <w:t>017. </w:t>
      </w:r>
      <w:r w:rsidR="00915FF0">
        <w:rPr>
          <w:sz w:val="26"/>
          <w:szCs w:val="26"/>
          <w:lang w:val="lv-LV"/>
        </w:rPr>
        <w:t>gada 14. </w:t>
      </w:r>
      <w:r w:rsidR="008061BD" w:rsidRPr="0081471A">
        <w:rPr>
          <w:sz w:val="26"/>
          <w:szCs w:val="26"/>
          <w:lang w:val="lv-LV"/>
        </w:rPr>
        <w:t>oktobrī</w:t>
      </w:r>
      <w:r w:rsidR="00127358">
        <w:rPr>
          <w:sz w:val="26"/>
          <w:szCs w:val="26"/>
          <w:lang w:val="lv-LV"/>
        </w:rPr>
        <w:t xml:space="preserve">, kad stājās spēkā </w:t>
      </w:r>
      <w:r w:rsidR="00C767D8">
        <w:rPr>
          <w:sz w:val="26"/>
          <w:szCs w:val="26"/>
          <w:lang w:val="lv-LV"/>
        </w:rPr>
        <w:t xml:space="preserve">Ministru kabineta </w:t>
      </w:r>
      <w:r w:rsidR="00127358" w:rsidRPr="0081471A">
        <w:rPr>
          <w:sz w:val="26"/>
          <w:szCs w:val="26"/>
          <w:lang w:val="lv-LV"/>
        </w:rPr>
        <w:t xml:space="preserve">2017. gada </w:t>
      </w:r>
      <w:r w:rsidR="00127358">
        <w:rPr>
          <w:sz w:val="26"/>
          <w:szCs w:val="26"/>
          <w:lang w:val="lv-LV"/>
        </w:rPr>
        <w:t>3. oktobra noteikumi</w:t>
      </w:r>
      <w:r w:rsidR="00127358" w:rsidRPr="0081471A">
        <w:rPr>
          <w:sz w:val="26"/>
          <w:szCs w:val="26"/>
          <w:lang w:val="lv-LV"/>
        </w:rPr>
        <w:t xml:space="preserve"> Nr. 60</w:t>
      </w:r>
      <w:r w:rsidR="00C86DC4">
        <w:rPr>
          <w:sz w:val="26"/>
          <w:szCs w:val="26"/>
          <w:lang w:val="lv-LV"/>
        </w:rPr>
        <w:t>8</w:t>
      </w:r>
      <w:r w:rsidR="00127358" w:rsidRPr="0081471A">
        <w:rPr>
          <w:sz w:val="26"/>
          <w:szCs w:val="26"/>
          <w:lang w:val="lv-LV"/>
        </w:rPr>
        <w:t> “Grozījumi Ministru kabineta 2009. gada 10. marta noteikumos Nr. 221 “Noteikumi par elektroenerģijas ražošanu un cenu noteikšanu, ražojot elektroenerģiju koģenerācijā””</w:t>
      </w:r>
      <w:r w:rsidR="00C941A5">
        <w:rPr>
          <w:sz w:val="26"/>
          <w:szCs w:val="26"/>
          <w:lang w:val="lv-LV"/>
        </w:rPr>
        <w:t>.</w:t>
      </w:r>
    </w:p>
    <w:p w14:paraId="4C8E7526" w14:textId="3F5D755F" w:rsidR="00101BE4" w:rsidRDefault="003848E0" w:rsidP="00067AFA">
      <w:pPr>
        <w:pStyle w:val="NoSpacing"/>
        <w:spacing w:after="60"/>
        <w:ind w:firstLine="709"/>
        <w:jc w:val="both"/>
        <w:rPr>
          <w:sz w:val="26"/>
          <w:szCs w:val="26"/>
          <w:lang w:val="lv-LV"/>
        </w:rPr>
      </w:pPr>
      <w:r>
        <w:rPr>
          <w:sz w:val="26"/>
          <w:szCs w:val="26"/>
          <w:lang w:val="lv-LV"/>
        </w:rPr>
        <w:t>P</w:t>
      </w:r>
      <w:r w:rsidR="00761FF6">
        <w:rPr>
          <w:sz w:val="26"/>
          <w:szCs w:val="26"/>
          <w:lang w:val="lv-LV"/>
        </w:rPr>
        <w:t>amatojoties uz 2017. gada 17. </w:t>
      </w:r>
      <w:r w:rsidR="00C941A5" w:rsidRPr="009A06FE">
        <w:rPr>
          <w:sz w:val="26"/>
          <w:szCs w:val="26"/>
          <w:lang w:val="lv-LV"/>
        </w:rPr>
        <w:t>oktobra valdes lēmumu, 2017. gada 19. oktobrī a</w:t>
      </w:r>
      <w:r w:rsidR="00074F39" w:rsidRPr="009A06FE">
        <w:rPr>
          <w:sz w:val="26"/>
          <w:szCs w:val="26"/>
          <w:lang w:val="lv-LV"/>
        </w:rPr>
        <w:t xml:space="preserve">kciju sabiedrība “Latvenergo” </w:t>
      </w:r>
      <w:r w:rsidR="00C941A5" w:rsidRPr="009A06FE">
        <w:rPr>
          <w:sz w:val="26"/>
          <w:szCs w:val="26"/>
          <w:lang w:val="lv-LV"/>
        </w:rPr>
        <w:t xml:space="preserve">Ekonomikas ministrijā iesniedza </w:t>
      </w:r>
      <w:r w:rsidR="001D15A6">
        <w:rPr>
          <w:sz w:val="26"/>
          <w:szCs w:val="26"/>
          <w:lang w:val="lv-LV"/>
        </w:rPr>
        <w:t xml:space="preserve">savu </w:t>
      </w:r>
      <w:r w:rsidR="00074F39" w:rsidRPr="009A06FE">
        <w:rPr>
          <w:sz w:val="26"/>
          <w:szCs w:val="26"/>
          <w:lang w:val="lv-LV"/>
        </w:rPr>
        <w:t xml:space="preserve">pieteikumu </w:t>
      </w:r>
      <w:r w:rsidR="00127358" w:rsidRPr="009A06FE">
        <w:rPr>
          <w:sz w:val="26"/>
          <w:szCs w:val="26"/>
          <w:lang w:val="lv-LV"/>
        </w:rPr>
        <w:t>valsts garantētās maksas saistību samazināšanai</w:t>
      </w:r>
      <w:r w:rsidR="00C941A5" w:rsidRPr="009A06FE">
        <w:rPr>
          <w:sz w:val="26"/>
          <w:szCs w:val="26"/>
          <w:lang w:val="lv-LV"/>
        </w:rPr>
        <w:t xml:space="preserve"> (vēstule Nr. 01VD00-11/3562)</w:t>
      </w:r>
      <w:r w:rsidR="00A74B88">
        <w:rPr>
          <w:sz w:val="26"/>
          <w:szCs w:val="26"/>
          <w:lang w:val="lv-LV"/>
        </w:rPr>
        <w:t xml:space="preserve"> par Rīgas TEC-1 un Rīgas TEC-2 koģenerācijas elektrostacijās uzstādīto elektrisko jaudu</w:t>
      </w:r>
      <w:r w:rsidR="00127358" w:rsidRPr="009A06FE">
        <w:rPr>
          <w:sz w:val="26"/>
          <w:szCs w:val="26"/>
          <w:lang w:val="lv-LV"/>
        </w:rPr>
        <w:t>,</w:t>
      </w:r>
      <w:r w:rsidR="0060471E">
        <w:rPr>
          <w:sz w:val="26"/>
          <w:szCs w:val="26"/>
          <w:lang w:val="lv-LV"/>
        </w:rPr>
        <w:t xml:space="preserve"> saņemot vienreizēju maksājumu. </w:t>
      </w:r>
    </w:p>
    <w:p w14:paraId="769DD8D6" w14:textId="313879F9" w:rsidR="003C33C6" w:rsidRPr="00E22084" w:rsidRDefault="00101BE4" w:rsidP="00067AFA">
      <w:pPr>
        <w:pStyle w:val="NoSpacing"/>
        <w:spacing w:after="60"/>
        <w:ind w:firstLine="709"/>
        <w:jc w:val="both"/>
        <w:rPr>
          <w:sz w:val="26"/>
          <w:szCs w:val="26"/>
          <w:lang w:val="lv-LV"/>
        </w:rPr>
      </w:pPr>
      <w:r w:rsidRPr="00E22084">
        <w:rPr>
          <w:sz w:val="26"/>
          <w:szCs w:val="26"/>
          <w:lang w:val="lv-LV"/>
        </w:rPr>
        <w:t>Ņemot vērā minēto,</w:t>
      </w:r>
      <w:r w:rsidR="0060471E" w:rsidRPr="00E22084">
        <w:rPr>
          <w:sz w:val="26"/>
          <w:szCs w:val="26"/>
          <w:lang w:val="lv-LV"/>
        </w:rPr>
        <w:t xml:space="preserve"> </w:t>
      </w:r>
      <w:r w:rsidR="00AF3E9C">
        <w:rPr>
          <w:sz w:val="26"/>
          <w:szCs w:val="26"/>
          <w:lang w:val="lv-LV"/>
        </w:rPr>
        <w:t xml:space="preserve">akciju </w:t>
      </w:r>
      <w:r w:rsidR="0060471E" w:rsidRPr="00E22084">
        <w:rPr>
          <w:sz w:val="26"/>
          <w:szCs w:val="26"/>
          <w:lang w:val="lv-LV"/>
        </w:rPr>
        <w:t xml:space="preserve">sabiedrības “Latvenergo” </w:t>
      </w:r>
      <w:r w:rsidR="00C20A88" w:rsidRPr="00E22084">
        <w:rPr>
          <w:sz w:val="26"/>
          <w:szCs w:val="26"/>
          <w:lang w:val="lv-LV"/>
        </w:rPr>
        <w:t xml:space="preserve">pieteikums ir iesniegts </w:t>
      </w:r>
      <w:r w:rsidR="00281C82">
        <w:rPr>
          <w:sz w:val="26"/>
          <w:szCs w:val="26"/>
          <w:lang w:val="lv-LV"/>
        </w:rPr>
        <w:t>Ministru kabineta n</w:t>
      </w:r>
      <w:r w:rsidR="00C20A88" w:rsidRPr="00E22084">
        <w:rPr>
          <w:sz w:val="26"/>
          <w:szCs w:val="26"/>
          <w:lang w:val="lv-LV"/>
        </w:rPr>
        <w:t>oteikumu Nr. 221 89. punktā noteiktajā termiņā</w:t>
      </w:r>
      <w:r w:rsidR="00AD2AE6" w:rsidRPr="00E22084">
        <w:rPr>
          <w:sz w:val="26"/>
          <w:szCs w:val="26"/>
          <w:lang w:val="lv-LV"/>
        </w:rPr>
        <w:t>;</w:t>
      </w:r>
    </w:p>
    <w:p w14:paraId="10B63606" w14:textId="44423335" w:rsidR="001178BE" w:rsidRDefault="00A81FAC" w:rsidP="001C2B2C">
      <w:pPr>
        <w:pStyle w:val="NoSpacing"/>
        <w:spacing w:after="60"/>
        <w:ind w:firstLine="709"/>
        <w:jc w:val="both"/>
        <w:rPr>
          <w:sz w:val="26"/>
          <w:szCs w:val="26"/>
          <w:lang w:val="lv-LV"/>
        </w:rPr>
      </w:pPr>
      <w:r w:rsidRPr="00071EFC">
        <w:rPr>
          <w:sz w:val="26"/>
          <w:szCs w:val="26"/>
          <w:lang w:val="lv-LV"/>
        </w:rPr>
        <w:t>1.2. </w:t>
      </w:r>
      <w:r w:rsidR="001C2B2C" w:rsidRPr="00071EFC">
        <w:rPr>
          <w:sz w:val="26"/>
          <w:szCs w:val="26"/>
          <w:lang w:val="lv-LV"/>
        </w:rPr>
        <w:t>s</w:t>
      </w:r>
      <w:r w:rsidR="00721861" w:rsidRPr="00071EFC">
        <w:rPr>
          <w:sz w:val="26"/>
          <w:szCs w:val="26"/>
          <w:lang w:val="lv-LV"/>
        </w:rPr>
        <w:t xml:space="preserve">askaņā ar </w:t>
      </w:r>
      <w:r w:rsidR="00281C82">
        <w:rPr>
          <w:sz w:val="26"/>
          <w:szCs w:val="26"/>
          <w:lang w:val="lv-LV"/>
        </w:rPr>
        <w:t>Ministru kabineta n</w:t>
      </w:r>
      <w:r w:rsidR="00721861" w:rsidRPr="00071EFC">
        <w:rPr>
          <w:sz w:val="26"/>
          <w:szCs w:val="26"/>
          <w:lang w:val="lv-LV"/>
        </w:rPr>
        <w:t>oteikumu Nr. </w:t>
      </w:r>
      <w:r w:rsidR="008D5FD2" w:rsidRPr="00071EFC">
        <w:rPr>
          <w:sz w:val="26"/>
          <w:szCs w:val="26"/>
          <w:lang w:val="lv-LV"/>
        </w:rPr>
        <w:t>221 </w:t>
      </w:r>
      <w:r w:rsidR="003F614A" w:rsidRPr="00071EFC">
        <w:rPr>
          <w:sz w:val="26"/>
          <w:szCs w:val="26"/>
          <w:lang w:val="lv-LV"/>
        </w:rPr>
        <w:t>56.</w:t>
      </w:r>
      <w:r w:rsidR="003F614A" w:rsidRPr="00071EFC">
        <w:rPr>
          <w:sz w:val="26"/>
          <w:szCs w:val="26"/>
          <w:vertAlign w:val="superscript"/>
          <w:lang w:val="lv-LV"/>
        </w:rPr>
        <w:t>22</w:t>
      </w:r>
      <w:r w:rsidR="003F614A" w:rsidRPr="00071EFC">
        <w:rPr>
          <w:sz w:val="26"/>
          <w:szCs w:val="26"/>
          <w:lang w:val="lv-LV"/>
        </w:rPr>
        <w:t xml:space="preserve"> punktu komersants var pieteikties saņemt vienreizēju maksājumu, kas sastāv no diskontētām trim </w:t>
      </w:r>
      <w:r w:rsidR="003F614A" w:rsidRPr="00071EFC">
        <w:rPr>
          <w:sz w:val="26"/>
          <w:szCs w:val="26"/>
          <w:lang w:val="lv-LV"/>
        </w:rPr>
        <w:lastRenderedPageBreak/>
        <w:t>ceturtdaļām no atlikušajā atbalsta periodā saņemamās garantētās maksas par koģenerācijas elektrostacijā uzstādīto elektrisko jaudu, ja tas saskaņā ar Elektroenerģijas tirgus likuma 28.</w:t>
      </w:r>
      <w:r w:rsidR="003F614A" w:rsidRPr="00071EFC">
        <w:rPr>
          <w:sz w:val="26"/>
          <w:szCs w:val="26"/>
          <w:vertAlign w:val="superscript"/>
          <w:lang w:val="lv-LV"/>
        </w:rPr>
        <w:t>1 </w:t>
      </w:r>
      <w:r w:rsidR="003F614A" w:rsidRPr="00071EFC">
        <w:rPr>
          <w:sz w:val="26"/>
          <w:szCs w:val="26"/>
          <w:lang w:val="lv-LV"/>
        </w:rPr>
        <w:t>pantu saņem garantēto maksu par koģenerācijas elektrostacijā uzstādīto elektrisko jaudu, tā koģenerācijas elektrostacijā uzstādītā elektriskā jauda ir lielāka par 100 MW</w:t>
      </w:r>
      <w:r w:rsidR="001C2B2C" w:rsidRPr="00071EFC">
        <w:rPr>
          <w:sz w:val="26"/>
          <w:szCs w:val="26"/>
          <w:lang w:val="lv-LV"/>
        </w:rPr>
        <w:t xml:space="preserve"> un ko</w:t>
      </w:r>
      <w:r w:rsidR="003F614A" w:rsidRPr="00071EFC">
        <w:rPr>
          <w:sz w:val="26"/>
          <w:szCs w:val="26"/>
          <w:lang w:val="lv-LV"/>
        </w:rPr>
        <w:t>ģenerācijas elektrostacijas kopējā kapitālieguldījumu iekšējās peļņas norma nepārsniedz 9 %</w:t>
      </w:r>
      <w:r w:rsidR="001178BE">
        <w:rPr>
          <w:sz w:val="26"/>
          <w:szCs w:val="26"/>
          <w:lang w:val="lv-LV"/>
        </w:rPr>
        <w:t>.</w:t>
      </w:r>
    </w:p>
    <w:p w14:paraId="2CCBDECE" w14:textId="77BCA17A" w:rsidR="001178BE" w:rsidRDefault="006F29DB" w:rsidP="001C2B2C">
      <w:pPr>
        <w:pStyle w:val="NoSpacing"/>
        <w:spacing w:after="60"/>
        <w:ind w:firstLine="709"/>
        <w:jc w:val="both"/>
        <w:rPr>
          <w:sz w:val="26"/>
          <w:szCs w:val="26"/>
          <w:lang w:val="lv-LV"/>
        </w:rPr>
      </w:pPr>
      <w:r>
        <w:rPr>
          <w:sz w:val="26"/>
          <w:szCs w:val="26"/>
          <w:lang w:val="lv-LV"/>
        </w:rPr>
        <w:t>Saskaņā ar Ministru kabineta noteikumu Nr. 221 56.</w:t>
      </w:r>
      <w:r w:rsidRPr="00ED6F5E">
        <w:rPr>
          <w:sz w:val="26"/>
          <w:szCs w:val="26"/>
          <w:vertAlign w:val="superscript"/>
          <w:lang w:val="lv-LV"/>
        </w:rPr>
        <w:t>24</w:t>
      </w:r>
      <w:r>
        <w:rPr>
          <w:sz w:val="26"/>
          <w:szCs w:val="26"/>
          <w:lang w:val="lv-LV"/>
        </w:rPr>
        <w:t xml:space="preserve"> 1. punktu, lai apliecinātu k</w:t>
      </w:r>
      <w:r w:rsidR="001178BE">
        <w:rPr>
          <w:sz w:val="26"/>
          <w:szCs w:val="26"/>
          <w:lang w:val="lv-LV"/>
        </w:rPr>
        <w:t>oģe</w:t>
      </w:r>
      <w:r w:rsidR="003325D0">
        <w:rPr>
          <w:sz w:val="26"/>
          <w:szCs w:val="26"/>
          <w:lang w:val="lv-LV"/>
        </w:rPr>
        <w:t>nerācijas elektrostacijas kopējo</w:t>
      </w:r>
      <w:r w:rsidR="001178BE">
        <w:rPr>
          <w:sz w:val="26"/>
          <w:szCs w:val="26"/>
          <w:lang w:val="lv-LV"/>
        </w:rPr>
        <w:t xml:space="preserve"> kapitāli</w:t>
      </w:r>
      <w:r>
        <w:rPr>
          <w:sz w:val="26"/>
          <w:szCs w:val="26"/>
          <w:lang w:val="lv-LV"/>
        </w:rPr>
        <w:t xml:space="preserve">eguldījumu iekšējās peļņas normu, komersantam piesakoties uz vienreizējo maksājumu ir jāiesniedz </w:t>
      </w:r>
      <w:r w:rsidR="00ED6F5E">
        <w:rPr>
          <w:sz w:val="26"/>
          <w:szCs w:val="26"/>
          <w:lang w:val="lv-LV"/>
        </w:rPr>
        <w:t>zvērināta revidenta apstiprināts aprēķins</w:t>
      </w:r>
      <w:r w:rsidR="007D6D3C">
        <w:rPr>
          <w:sz w:val="26"/>
          <w:szCs w:val="26"/>
          <w:lang w:val="lv-LV"/>
        </w:rPr>
        <w:t>, kas veikts</w:t>
      </w:r>
      <w:r w:rsidR="003F614A" w:rsidRPr="00071EFC">
        <w:rPr>
          <w:sz w:val="26"/>
          <w:szCs w:val="26"/>
          <w:lang w:val="lv-LV"/>
        </w:rPr>
        <w:t xml:space="preserve">, ievērojot </w:t>
      </w:r>
      <w:r w:rsidR="00281C82">
        <w:rPr>
          <w:sz w:val="26"/>
          <w:szCs w:val="26"/>
          <w:lang w:val="lv-LV"/>
        </w:rPr>
        <w:t>Ministru kabineta n</w:t>
      </w:r>
      <w:r w:rsidR="0049324A" w:rsidRPr="00071EFC">
        <w:rPr>
          <w:sz w:val="26"/>
          <w:szCs w:val="26"/>
          <w:lang w:val="lv-LV"/>
        </w:rPr>
        <w:t>oteikumu Nr. 221</w:t>
      </w:r>
      <w:r w:rsidR="003F614A" w:rsidRPr="00071EFC">
        <w:rPr>
          <w:sz w:val="26"/>
          <w:szCs w:val="26"/>
          <w:lang w:val="lv-LV"/>
        </w:rPr>
        <w:t xml:space="preserve"> IV</w:t>
      </w:r>
      <w:r w:rsidR="003F614A" w:rsidRPr="00071EFC">
        <w:rPr>
          <w:sz w:val="26"/>
          <w:szCs w:val="26"/>
          <w:vertAlign w:val="superscript"/>
          <w:lang w:val="lv-LV"/>
        </w:rPr>
        <w:t>1</w:t>
      </w:r>
      <w:r w:rsidR="00C64B72" w:rsidRPr="00071EFC">
        <w:rPr>
          <w:sz w:val="26"/>
          <w:szCs w:val="26"/>
          <w:lang w:val="lv-LV"/>
        </w:rPr>
        <w:t>.</w:t>
      </w:r>
      <w:r w:rsidR="003F614A" w:rsidRPr="00071EFC">
        <w:rPr>
          <w:sz w:val="26"/>
          <w:szCs w:val="26"/>
          <w:lang w:val="lv-LV"/>
        </w:rPr>
        <w:t> nodaļā minētos nosacījumus</w:t>
      </w:r>
      <w:r w:rsidR="001178BE">
        <w:rPr>
          <w:sz w:val="26"/>
          <w:szCs w:val="26"/>
          <w:lang w:val="lv-LV"/>
        </w:rPr>
        <w:t>.</w:t>
      </w:r>
    </w:p>
    <w:p w14:paraId="029FC875" w14:textId="41573E42" w:rsidR="003F614A" w:rsidRDefault="00AD2AE6" w:rsidP="003325D0">
      <w:pPr>
        <w:pStyle w:val="NoSpacing"/>
        <w:spacing w:after="60"/>
        <w:ind w:firstLine="709"/>
        <w:jc w:val="both"/>
        <w:rPr>
          <w:sz w:val="26"/>
          <w:szCs w:val="26"/>
          <w:lang w:val="lv-LV"/>
        </w:rPr>
      </w:pPr>
      <w:r>
        <w:rPr>
          <w:sz w:val="26"/>
          <w:szCs w:val="26"/>
          <w:lang w:val="lv-LV"/>
        </w:rPr>
        <w:t xml:space="preserve"> </w:t>
      </w:r>
      <w:r w:rsidR="003325D0">
        <w:rPr>
          <w:sz w:val="26"/>
          <w:szCs w:val="26"/>
          <w:lang w:val="lv-LV"/>
        </w:rPr>
        <w:t>S</w:t>
      </w:r>
      <w:r w:rsidR="009B553F">
        <w:rPr>
          <w:sz w:val="26"/>
          <w:szCs w:val="26"/>
          <w:lang w:val="lv-LV"/>
        </w:rPr>
        <w:t xml:space="preserve">askaņā ar </w:t>
      </w:r>
      <w:r w:rsidR="00281C82">
        <w:rPr>
          <w:sz w:val="26"/>
          <w:szCs w:val="26"/>
          <w:lang w:val="lv-LV"/>
        </w:rPr>
        <w:t>Ministru kabineta n</w:t>
      </w:r>
      <w:r w:rsidR="009B553F">
        <w:rPr>
          <w:sz w:val="26"/>
          <w:szCs w:val="26"/>
          <w:lang w:val="lv-LV"/>
        </w:rPr>
        <w:t>oteikumu Nr. </w:t>
      </w:r>
      <w:r w:rsidR="00D65587">
        <w:rPr>
          <w:sz w:val="26"/>
          <w:szCs w:val="26"/>
          <w:lang w:val="lv-LV"/>
        </w:rPr>
        <w:t>221 56.</w:t>
      </w:r>
      <w:r w:rsidR="00D65587" w:rsidRPr="00ED6F5E">
        <w:rPr>
          <w:sz w:val="26"/>
          <w:szCs w:val="26"/>
          <w:vertAlign w:val="superscript"/>
          <w:lang w:val="lv-LV"/>
        </w:rPr>
        <w:t>24</w:t>
      </w:r>
      <w:r w:rsidR="00D65587">
        <w:rPr>
          <w:sz w:val="26"/>
          <w:szCs w:val="26"/>
          <w:lang w:val="lv-LV"/>
        </w:rPr>
        <w:t xml:space="preserve"> 2. punktu</w:t>
      </w:r>
      <w:r w:rsidR="003325D0">
        <w:rPr>
          <w:sz w:val="26"/>
          <w:szCs w:val="26"/>
          <w:lang w:val="lv-LV"/>
        </w:rPr>
        <w:t>, komersantam piesakoties uz vienreizējo maksājumu ir jāiesniedz apliecinājums</w:t>
      </w:r>
      <w:r>
        <w:rPr>
          <w:sz w:val="26"/>
          <w:szCs w:val="26"/>
          <w:lang w:val="lv-LV"/>
        </w:rPr>
        <w:t xml:space="preserve"> tam, ka </w:t>
      </w:r>
      <w:r w:rsidRPr="00AD2AE6">
        <w:rPr>
          <w:sz w:val="26"/>
          <w:szCs w:val="26"/>
          <w:lang w:val="lv-LV"/>
        </w:rPr>
        <w:t>pēc vienreizējā maksājuma saņemšanas</w:t>
      </w:r>
      <w:r w:rsidR="00107AB0">
        <w:rPr>
          <w:sz w:val="26"/>
          <w:szCs w:val="26"/>
          <w:lang w:val="lv-LV"/>
        </w:rPr>
        <w:t xml:space="preserve"> </w:t>
      </w:r>
      <w:r w:rsidRPr="00AD2AE6">
        <w:rPr>
          <w:sz w:val="26"/>
          <w:szCs w:val="26"/>
          <w:lang w:val="lv-LV"/>
        </w:rPr>
        <w:t xml:space="preserve">visā atlikušajā atbalsta periodā </w:t>
      </w:r>
      <w:r>
        <w:rPr>
          <w:sz w:val="26"/>
          <w:szCs w:val="26"/>
          <w:lang w:val="lv-LV"/>
        </w:rPr>
        <w:t xml:space="preserve">koģenerācijas elektrostacija </w:t>
      </w:r>
      <w:r w:rsidRPr="00AD2AE6">
        <w:rPr>
          <w:sz w:val="26"/>
          <w:szCs w:val="26"/>
          <w:lang w:val="lv-LV"/>
        </w:rPr>
        <w:t xml:space="preserve">turpinās darbību atbilstoši </w:t>
      </w:r>
      <w:r w:rsidR="00C248C9">
        <w:rPr>
          <w:sz w:val="26"/>
          <w:szCs w:val="26"/>
          <w:lang w:val="lv-LV"/>
        </w:rPr>
        <w:t xml:space="preserve">tiem </w:t>
      </w:r>
      <w:r w:rsidRPr="00AD2AE6">
        <w:rPr>
          <w:sz w:val="26"/>
          <w:szCs w:val="26"/>
          <w:lang w:val="lv-LV"/>
        </w:rPr>
        <w:t xml:space="preserve">nosacījumiem, kas </w:t>
      </w:r>
      <w:r>
        <w:rPr>
          <w:sz w:val="26"/>
          <w:szCs w:val="26"/>
          <w:lang w:val="lv-LV"/>
        </w:rPr>
        <w:t>uz to ir attiekušies</w:t>
      </w:r>
      <w:r w:rsidRPr="00AD2AE6">
        <w:rPr>
          <w:sz w:val="26"/>
          <w:szCs w:val="26"/>
          <w:lang w:val="lv-LV"/>
        </w:rPr>
        <w:t xml:space="preserve"> līdz pieteikuma iesniegšanas dienai</w:t>
      </w:r>
      <w:r>
        <w:rPr>
          <w:sz w:val="26"/>
          <w:szCs w:val="26"/>
          <w:lang w:val="lv-LV"/>
        </w:rPr>
        <w:t>.</w:t>
      </w:r>
    </w:p>
    <w:p w14:paraId="77FE7910" w14:textId="456880BB" w:rsidR="00C16EDD" w:rsidRPr="00C16EDD" w:rsidRDefault="00C16EDD" w:rsidP="00C16EDD">
      <w:pPr>
        <w:pStyle w:val="NoSpacing"/>
        <w:spacing w:after="60"/>
        <w:ind w:firstLine="709"/>
        <w:jc w:val="both"/>
        <w:rPr>
          <w:sz w:val="26"/>
          <w:szCs w:val="26"/>
          <w:lang w:val="lv-LV"/>
        </w:rPr>
      </w:pPr>
      <w:r w:rsidRPr="00C16EDD">
        <w:rPr>
          <w:sz w:val="26"/>
          <w:szCs w:val="26"/>
          <w:lang w:val="lv-LV"/>
        </w:rPr>
        <w:t>Saskaņā ar Elektroenerģijas tirgus likuma 28.</w:t>
      </w:r>
      <w:r w:rsidRPr="00C16EDD">
        <w:rPr>
          <w:sz w:val="26"/>
          <w:szCs w:val="26"/>
          <w:vertAlign w:val="superscript"/>
          <w:lang w:val="lv-LV"/>
        </w:rPr>
        <w:t>1</w:t>
      </w:r>
      <w:r w:rsidRPr="00C16EDD">
        <w:rPr>
          <w:sz w:val="26"/>
          <w:szCs w:val="26"/>
          <w:lang w:val="lv-LV"/>
        </w:rPr>
        <w:t xml:space="preserve"> panta </w:t>
      </w:r>
      <w:r w:rsidR="004D042E">
        <w:rPr>
          <w:sz w:val="26"/>
          <w:szCs w:val="26"/>
          <w:lang w:val="lv-LV"/>
        </w:rPr>
        <w:t>otro prim</w:t>
      </w:r>
      <w:r w:rsidRPr="00C16EDD">
        <w:rPr>
          <w:sz w:val="26"/>
          <w:szCs w:val="26"/>
          <w:lang w:val="lv-LV"/>
        </w:rPr>
        <w:t xml:space="preserve"> daļu ražotājs, kas elektroenerģiju ražo koģenerācijas stacijā, kuras uzstādītā elektriskā jauda ir lielāka par četriem megavatiem, un kas līdz 2013. gada 31. decembrim ir izmantojis šā likuma 28. pantā noteiktajā kārtībā iegūtās tiesības pārdot saražoto elektroenerģiju obligātā iepirkuma ietvaros, no 2014. gada 1. janvāra saņem garantēto maksu par koģenerācijas stacijā uzstādīto elektrisko jaudu atbilstoši tiem pašiem nosacījumiem par darbības režīmu, termiņiem un jaudas komponentes aprēķinu, kādi uz koģenerācijas staciju attiecās līdz 2013. gada 31. decembrim.</w:t>
      </w:r>
    </w:p>
    <w:p w14:paraId="240F7B64" w14:textId="4C5A4729" w:rsidR="000E4D00" w:rsidRDefault="00C16EDD" w:rsidP="000E4D00">
      <w:pPr>
        <w:pStyle w:val="NoSpacing"/>
        <w:spacing w:after="60"/>
        <w:ind w:firstLine="709"/>
        <w:jc w:val="both"/>
        <w:rPr>
          <w:sz w:val="26"/>
          <w:szCs w:val="26"/>
          <w:lang w:val="lv-LV"/>
        </w:rPr>
      </w:pPr>
      <w:r w:rsidRPr="00C30C61">
        <w:rPr>
          <w:sz w:val="26"/>
          <w:szCs w:val="26"/>
          <w:lang w:val="lv-LV"/>
        </w:rPr>
        <w:t xml:space="preserve">Saskaņā ar Elektroenerģijas tirgus likuma 28. pantu </w:t>
      </w:r>
      <w:r w:rsidRPr="00C30C61">
        <w:rPr>
          <w:bCs/>
          <w:sz w:val="26"/>
          <w:szCs w:val="26"/>
          <w:lang w:val="lv-LV"/>
        </w:rPr>
        <w:t xml:space="preserve">akciju sabiedrībai </w:t>
      </w:r>
      <w:r w:rsidRPr="00C30C61">
        <w:rPr>
          <w:sz w:val="26"/>
          <w:szCs w:val="26"/>
          <w:lang w:val="lv-LV"/>
        </w:rPr>
        <w:t xml:space="preserve">“Latvenergo” </w:t>
      </w:r>
      <w:r w:rsidR="00C30C61" w:rsidRPr="00C30C61">
        <w:rPr>
          <w:sz w:val="26"/>
          <w:szCs w:val="26"/>
          <w:lang w:val="lv-LV"/>
        </w:rPr>
        <w:t xml:space="preserve">ir piešķirtas </w:t>
      </w:r>
      <w:r w:rsidRPr="00C30C61">
        <w:rPr>
          <w:sz w:val="26"/>
          <w:szCs w:val="26"/>
          <w:lang w:val="lv-LV"/>
        </w:rPr>
        <w:t>tiesības pārdot saražoto elektroenerģiju obligātā iepirkuma ietvaros</w:t>
      </w:r>
      <w:r w:rsidR="00046BEC">
        <w:rPr>
          <w:sz w:val="26"/>
          <w:szCs w:val="26"/>
          <w:lang w:val="lv-LV"/>
        </w:rPr>
        <w:t>.</w:t>
      </w:r>
      <w:r w:rsidR="00456BF3">
        <w:rPr>
          <w:sz w:val="26"/>
          <w:szCs w:val="26"/>
          <w:lang w:val="lv-LV"/>
        </w:rPr>
        <w:t xml:space="preserve"> </w:t>
      </w:r>
      <w:r w:rsidR="00635AEB" w:rsidRPr="00635AEB">
        <w:rPr>
          <w:sz w:val="26"/>
          <w:szCs w:val="26"/>
          <w:lang w:val="lv-LV"/>
        </w:rPr>
        <w:t xml:space="preserve">Rīgas TEC-1 šādas tiesības ir piešķirtas </w:t>
      </w:r>
      <w:r w:rsidR="00633F7D" w:rsidRPr="00635AEB">
        <w:rPr>
          <w:sz w:val="26"/>
          <w:szCs w:val="26"/>
          <w:lang w:val="lv-LV"/>
        </w:rPr>
        <w:t>ar Ekonomikas ministrijas 2007. gada 28. maija lēmumu Nr. 8400-09-68 “Par tiesību piešķiršanu pārdot koģenerācijas procesā saražoto elektroenerģiju obligātā iepirkuma ietvaros</w:t>
      </w:r>
      <w:r w:rsidR="00CA46A3">
        <w:rPr>
          <w:sz w:val="26"/>
          <w:szCs w:val="26"/>
          <w:lang w:val="lv-LV"/>
        </w:rPr>
        <w:t xml:space="preserve"> (“AS Latvenergo)”</w:t>
      </w:r>
      <w:r w:rsidR="00633F7D" w:rsidRPr="00635AEB">
        <w:rPr>
          <w:sz w:val="26"/>
          <w:szCs w:val="26"/>
          <w:lang w:val="lv-LV"/>
        </w:rPr>
        <w:t>”</w:t>
      </w:r>
      <w:r w:rsidR="00635AEB" w:rsidRPr="00635AEB">
        <w:rPr>
          <w:sz w:val="26"/>
          <w:szCs w:val="26"/>
          <w:lang w:val="lv-LV"/>
        </w:rPr>
        <w:t xml:space="preserve"> un ir spēkā līdz 2020. gada 30. oktobrim. </w:t>
      </w:r>
      <w:r w:rsidR="00635AEB" w:rsidRPr="00056016">
        <w:rPr>
          <w:sz w:val="26"/>
          <w:szCs w:val="26"/>
          <w:lang w:val="lv-LV"/>
        </w:rPr>
        <w:t xml:space="preserve">Rīgas TEC-2 šādas tiesības ir piešķirtas ar </w:t>
      </w:r>
      <w:r w:rsidR="000E4D00" w:rsidRPr="00056016">
        <w:rPr>
          <w:sz w:val="26"/>
          <w:szCs w:val="26"/>
          <w:lang w:val="lv-LV"/>
        </w:rPr>
        <w:t>E</w:t>
      </w:r>
      <w:r w:rsidR="004F69A2" w:rsidRPr="00056016">
        <w:rPr>
          <w:sz w:val="26"/>
          <w:szCs w:val="26"/>
          <w:lang w:val="lv-LV"/>
        </w:rPr>
        <w:t>konomikas ministrijas 2010. </w:t>
      </w:r>
      <w:r w:rsidR="000E4D00" w:rsidRPr="00056016">
        <w:rPr>
          <w:sz w:val="26"/>
          <w:szCs w:val="26"/>
          <w:lang w:val="lv-LV"/>
        </w:rPr>
        <w:t>gada 13. septembra lēmum</w:t>
      </w:r>
      <w:r w:rsidR="00635AEB" w:rsidRPr="00056016">
        <w:rPr>
          <w:sz w:val="26"/>
          <w:szCs w:val="26"/>
          <w:lang w:val="lv-LV"/>
        </w:rPr>
        <w:t>u</w:t>
      </w:r>
      <w:r w:rsidR="000E4D00" w:rsidRPr="00056016">
        <w:rPr>
          <w:sz w:val="26"/>
          <w:szCs w:val="26"/>
          <w:lang w:val="lv-LV"/>
        </w:rPr>
        <w:t xml:space="preserve"> Nr. 1-6.1-396 </w:t>
      </w:r>
      <w:r w:rsidR="00CA46A3" w:rsidRPr="00056016">
        <w:rPr>
          <w:sz w:val="26"/>
          <w:szCs w:val="26"/>
          <w:lang w:val="lv-LV"/>
        </w:rPr>
        <w:t xml:space="preserve">“Par tiesību piešķiršanu pārdot koģenerācijas procesā saražoto elektroenerģiju obligātā iepirkuma ietvaros (“AS Latvenergo)”” </w:t>
      </w:r>
      <w:r w:rsidR="000E4D00" w:rsidRPr="00056016">
        <w:rPr>
          <w:sz w:val="26"/>
          <w:szCs w:val="26"/>
          <w:lang w:val="lv-LV"/>
        </w:rPr>
        <w:t>un ir spēkā līdz 2028. gada 23. septembrim</w:t>
      </w:r>
      <w:r w:rsidR="00635AEB" w:rsidRPr="00056016">
        <w:rPr>
          <w:sz w:val="26"/>
          <w:szCs w:val="26"/>
          <w:lang w:val="lv-LV"/>
        </w:rPr>
        <w:t>.</w:t>
      </w:r>
      <w:r w:rsidR="009C0C1F" w:rsidRPr="00056016">
        <w:rPr>
          <w:sz w:val="26"/>
          <w:szCs w:val="26"/>
          <w:lang w:val="lv-LV"/>
        </w:rPr>
        <w:t xml:space="preserve"> </w:t>
      </w:r>
    </w:p>
    <w:p w14:paraId="6BA42CC3" w14:textId="35C5EEFA" w:rsidR="00BA1793" w:rsidRDefault="00456BF3" w:rsidP="00BA1793">
      <w:pPr>
        <w:pStyle w:val="NoSpacing"/>
        <w:spacing w:after="60"/>
        <w:ind w:firstLine="709"/>
        <w:jc w:val="both"/>
        <w:rPr>
          <w:sz w:val="26"/>
          <w:szCs w:val="26"/>
          <w:lang w:val="lv-LV"/>
        </w:rPr>
      </w:pPr>
      <w:r>
        <w:rPr>
          <w:sz w:val="26"/>
          <w:szCs w:val="26"/>
          <w:lang w:val="lv-LV"/>
        </w:rPr>
        <w:t xml:space="preserve">Saskaņā ar akciju sabiedrības “Latvenergo” koģenerācijas elektrostaciju gada pārskata datiem Rīgas TEC-1 </w:t>
      </w:r>
      <w:r w:rsidRPr="00CF7FE6">
        <w:rPr>
          <w:sz w:val="26"/>
          <w:szCs w:val="26"/>
          <w:lang w:val="lv-LV"/>
        </w:rPr>
        <w:t>uzstādītā elektriskā jauda ir 144,00 MW un Rīgas TEC-2 uzstādītā elektriskā jauda ir 832,30 MW.</w:t>
      </w:r>
    </w:p>
    <w:p w14:paraId="76585626" w14:textId="799BDAEE" w:rsidR="00C10B63" w:rsidRDefault="00881D4D" w:rsidP="00056016">
      <w:pPr>
        <w:pStyle w:val="NoSpacing"/>
        <w:spacing w:after="60"/>
        <w:ind w:firstLine="709"/>
        <w:jc w:val="both"/>
        <w:rPr>
          <w:sz w:val="26"/>
          <w:szCs w:val="26"/>
          <w:lang w:val="lv-LV"/>
        </w:rPr>
      </w:pPr>
      <w:r>
        <w:rPr>
          <w:sz w:val="26"/>
          <w:szCs w:val="26"/>
          <w:lang w:val="lv-LV"/>
        </w:rPr>
        <w:t>2017. gada 30. </w:t>
      </w:r>
      <w:r w:rsidR="00C10B63" w:rsidRPr="00056016">
        <w:rPr>
          <w:sz w:val="26"/>
          <w:szCs w:val="26"/>
          <w:lang w:val="lv-LV"/>
        </w:rPr>
        <w:t xml:space="preserve">oktobrī </w:t>
      </w:r>
      <w:r w:rsidR="00C10B63" w:rsidRPr="00056016">
        <w:rPr>
          <w:bCs/>
          <w:sz w:val="26"/>
          <w:szCs w:val="26"/>
          <w:lang w:val="lv-LV"/>
        </w:rPr>
        <w:t xml:space="preserve"> akciju sabiedrība</w:t>
      </w:r>
      <w:r w:rsidR="00C10B63" w:rsidRPr="00056016">
        <w:rPr>
          <w:sz w:val="26"/>
          <w:szCs w:val="26"/>
          <w:lang w:val="lv-LV"/>
        </w:rPr>
        <w:t xml:space="preserve"> “Latvenergo” ir iesniegusi Ekonomikas ministrijā neatkarīgu revidentu SIA “PricewaterhouseCoopers” ziņojumus par Rīgas </w:t>
      </w:r>
      <w:r w:rsidR="00056016">
        <w:rPr>
          <w:sz w:val="26"/>
          <w:szCs w:val="26"/>
          <w:lang w:val="lv-LV"/>
        </w:rPr>
        <w:t xml:space="preserve"> </w:t>
      </w:r>
      <w:r w:rsidR="00C10B63" w:rsidRPr="00056016">
        <w:rPr>
          <w:sz w:val="26"/>
          <w:szCs w:val="26"/>
          <w:lang w:val="lv-LV"/>
        </w:rPr>
        <w:t xml:space="preserve">TEC-1 un Rīgas TEC-2 </w:t>
      </w:r>
      <w:r w:rsidR="00C10B63" w:rsidRPr="00056016">
        <w:rPr>
          <w:color w:val="000000"/>
          <w:sz w:val="26"/>
          <w:szCs w:val="26"/>
          <w:lang w:val="lv-LV"/>
        </w:rPr>
        <w:t xml:space="preserve">kopējo kapitālieguldījumu </w:t>
      </w:r>
      <w:r w:rsidR="00C10B63" w:rsidRPr="00056016">
        <w:rPr>
          <w:sz w:val="26"/>
          <w:szCs w:val="26"/>
          <w:lang w:val="lv-LV"/>
        </w:rPr>
        <w:t xml:space="preserve">iekšējās </w:t>
      </w:r>
      <w:r w:rsidR="00C62DEC" w:rsidRPr="00056016">
        <w:rPr>
          <w:sz w:val="26"/>
          <w:szCs w:val="26"/>
          <w:lang w:val="lv-LV"/>
        </w:rPr>
        <w:t>peļņas normas aprēķinu</w:t>
      </w:r>
      <w:r w:rsidR="00A06BEC">
        <w:rPr>
          <w:sz w:val="26"/>
          <w:szCs w:val="26"/>
          <w:lang w:val="lv-LV"/>
        </w:rPr>
        <w:t>s</w:t>
      </w:r>
      <w:r w:rsidR="00C10B63" w:rsidRPr="00056016">
        <w:rPr>
          <w:sz w:val="26"/>
          <w:szCs w:val="26"/>
          <w:lang w:val="lv-LV"/>
        </w:rPr>
        <w:t xml:space="preserve">, kas veikti </w:t>
      </w:r>
      <w:r w:rsidR="009B55DF">
        <w:rPr>
          <w:sz w:val="26"/>
          <w:szCs w:val="26"/>
          <w:lang w:val="lv-LV"/>
        </w:rPr>
        <w:t>ievērojot</w:t>
      </w:r>
      <w:r w:rsidR="00C10B63" w:rsidRPr="00056016">
        <w:rPr>
          <w:sz w:val="26"/>
          <w:szCs w:val="26"/>
          <w:lang w:val="lv-LV"/>
        </w:rPr>
        <w:t xml:space="preserve"> </w:t>
      </w:r>
      <w:r w:rsidR="00281C82">
        <w:rPr>
          <w:sz w:val="26"/>
          <w:szCs w:val="26"/>
          <w:lang w:val="lv-LV"/>
        </w:rPr>
        <w:t>Ministru kabineta n</w:t>
      </w:r>
      <w:r w:rsidR="00C10B63" w:rsidRPr="00056016">
        <w:rPr>
          <w:sz w:val="26"/>
          <w:szCs w:val="26"/>
          <w:lang w:val="lv-LV"/>
        </w:rPr>
        <w:t>oteikumu Nr. 221 56.</w:t>
      </w:r>
      <w:r w:rsidR="00C10B63" w:rsidRPr="00056016">
        <w:rPr>
          <w:sz w:val="26"/>
          <w:szCs w:val="26"/>
          <w:vertAlign w:val="superscript"/>
          <w:lang w:val="lv-LV"/>
        </w:rPr>
        <w:t>22 </w:t>
      </w:r>
      <w:r w:rsidR="00833413" w:rsidRPr="00056016">
        <w:rPr>
          <w:sz w:val="26"/>
          <w:szCs w:val="26"/>
          <w:lang w:val="lv-LV"/>
        </w:rPr>
        <w:t>2. punkta nosacījumus</w:t>
      </w:r>
      <w:r w:rsidR="00C10B63" w:rsidRPr="00056016">
        <w:rPr>
          <w:sz w:val="26"/>
          <w:szCs w:val="26"/>
          <w:lang w:val="lv-LV"/>
        </w:rPr>
        <w:t>.</w:t>
      </w:r>
      <w:r w:rsidR="00056016" w:rsidRPr="00056016">
        <w:rPr>
          <w:sz w:val="26"/>
          <w:szCs w:val="26"/>
          <w:lang w:val="lv-LV"/>
        </w:rPr>
        <w:t xml:space="preserve"> Saskaņā ar SIA “PricewaterhouseCoopers” </w:t>
      </w:r>
      <w:r w:rsidR="00C10B63" w:rsidRPr="00056016">
        <w:rPr>
          <w:color w:val="000000"/>
          <w:sz w:val="26"/>
          <w:szCs w:val="26"/>
          <w:lang w:val="lv-LV"/>
        </w:rPr>
        <w:t xml:space="preserve">izvērtējumu Rīgas TEC-1 un Rīgas TEC-2 kopējo </w:t>
      </w:r>
      <w:r w:rsidR="00C10B63" w:rsidRPr="00056016">
        <w:rPr>
          <w:sz w:val="26"/>
          <w:szCs w:val="26"/>
          <w:lang w:val="lv-LV"/>
        </w:rPr>
        <w:t>kapitālieguldījumu</w:t>
      </w:r>
      <w:r w:rsidR="00C10B63" w:rsidRPr="00056016">
        <w:rPr>
          <w:color w:val="000000"/>
          <w:sz w:val="26"/>
          <w:szCs w:val="26"/>
          <w:lang w:val="lv-LV"/>
        </w:rPr>
        <w:t xml:space="preserve"> </w:t>
      </w:r>
      <w:r w:rsidR="00C10B63" w:rsidRPr="00056016">
        <w:rPr>
          <w:sz w:val="26"/>
          <w:szCs w:val="26"/>
          <w:lang w:val="lv-LV"/>
        </w:rPr>
        <w:t xml:space="preserve">iekšējās peļņas norma, kas aprēķināta ievērojot </w:t>
      </w:r>
      <w:r w:rsidR="00281C82">
        <w:rPr>
          <w:sz w:val="26"/>
          <w:szCs w:val="26"/>
          <w:lang w:val="lv-LV"/>
        </w:rPr>
        <w:t>Ministru kabineta n</w:t>
      </w:r>
      <w:r w:rsidR="00C10B63" w:rsidRPr="00056016">
        <w:rPr>
          <w:sz w:val="26"/>
          <w:szCs w:val="26"/>
          <w:lang w:val="lv-LV"/>
        </w:rPr>
        <w:t>oteikumu Nr. 221 IV</w:t>
      </w:r>
      <w:r w:rsidR="00C10B63" w:rsidRPr="00056016">
        <w:rPr>
          <w:sz w:val="26"/>
          <w:szCs w:val="26"/>
          <w:vertAlign w:val="superscript"/>
          <w:lang w:val="lv-LV"/>
        </w:rPr>
        <w:t>1</w:t>
      </w:r>
      <w:r w:rsidR="00C10B63" w:rsidRPr="00056016">
        <w:rPr>
          <w:sz w:val="26"/>
          <w:szCs w:val="26"/>
          <w:lang w:val="lv-LV"/>
        </w:rPr>
        <w:t xml:space="preserve">. nodaļas nosacījumus, nepārsniedz </w:t>
      </w:r>
      <w:r w:rsidR="00281C82">
        <w:rPr>
          <w:sz w:val="26"/>
          <w:szCs w:val="26"/>
          <w:lang w:val="lv-LV"/>
        </w:rPr>
        <w:t>Ministru kabineta n</w:t>
      </w:r>
      <w:r w:rsidR="00C10B63" w:rsidRPr="00056016">
        <w:rPr>
          <w:sz w:val="26"/>
          <w:szCs w:val="26"/>
          <w:lang w:val="lv-LV"/>
        </w:rPr>
        <w:t>oteikumu Nr. 221 56.</w:t>
      </w:r>
      <w:r w:rsidR="00C10B63" w:rsidRPr="00056016">
        <w:rPr>
          <w:sz w:val="26"/>
          <w:szCs w:val="26"/>
          <w:vertAlign w:val="superscript"/>
          <w:lang w:val="lv-LV"/>
        </w:rPr>
        <w:t>22 </w:t>
      </w:r>
      <w:r w:rsidR="00C10B63" w:rsidRPr="00056016">
        <w:rPr>
          <w:sz w:val="26"/>
          <w:szCs w:val="26"/>
          <w:lang w:val="lv-LV"/>
        </w:rPr>
        <w:t xml:space="preserve">2. punktā noteikto 9,00% </w:t>
      </w:r>
      <w:r w:rsidR="00C10B63" w:rsidRPr="00056016">
        <w:rPr>
          <w:sz w:val="26"/>
          <w:szCs w:val="26"/>
          <w:lang w:val="lv-LV"/>
        </w:rPr>
        <w:lastRenderedPageBreak/>
        <w:t>robežu, jo Rīgas TEC-1 visā atbalsta periodā tā sastāda 8,85%, bet Rīgas TEC-2 – 5,21%.</w:t>
      </w:r>
    </w:p>
    <w:p w14:paraId="008251F4" w14:textId="77777777" w:rsidR="002012E3" w:rsidRDefault="0095498D" w:rsidP="001C2B2C">
      <w:pPr>
        <w:pStyle w:val="NoSpacing"/>
        <w:spacing w:after="60"/>
        <w:ind w:firstLine="709"/>
        <w:jc w:val="both"/>
        <w:rPr>
          <w:sz w:val="26"/>
          <w:szCs w:val="26"/>
          <w:lang w:val="lv-LV"/>
        </w:rPr>
      </w:pPr>
      <w:r w:rsidRPr="0095498D">
        <w:rPr>
          <w:sz w:val="26"/>
          <w:szCs w:val="26"/>
          <w:lang w:val="lv-LV"/>
        </w:rPr>
        <w:t xml:space="preserve">Savā 2017. gada 19. oktobra pieteikumā </w:t>
      </w:r>
      <w:r w:rsidRPr="0095498D">
        <w:rPr>
          <w:bCs/>
          <w:sz w:val="26"/>
          <w:szCs w:val="26"/>
          <w:lang w:val="lv-LV"/>
        </w:rPr>
        <w:t>akciju sabiedrība</w:t>
      </w:r>
      <w:r w:rsidRPr="0095498D">
        <w:rPr>
          <w:sz w:val="26"/>
          <w:szCs w:val="26"/>
          <w:lang w:val="lv-LV"/>
        </w:rPr>
        <w:t xml:space="preserve"> “Latvenergo” </w:t>
      </w:r>
      <w:r w:rsidRPr="0095498D">
        <w:rPr>
          <w:color w:val="000000"/>
          <w:sz w:val="26"/>
          <w:szCs w:val="26"/>
          <w:lang w:val="lv-LV"/>
        </w:rPr>
        <w:t xml:space="preserve">sniedz </w:t>
      </w:r>
      <w:r w:rsidRPr="0095498D">
        <w:rPr>
          <w:sz w:val="26"/>
          <w:szCs w:val="26"/>
          <w:lang w:val="lv-LV"/>
        </w:rPr>
        <w:t>apliecinājumu</w:t>
      </w:r>
      <w:r w:rsidRPr="0095498D">
        <w:rPr>
          <w:color w:val="000000"/>
          <w:sz w:val="26"/>
          <w:szCs w:val="26"/>
          <w:lang w:val="lv-LV"/>
        </w:rPr>
        <w:t xml:space="preserve"> tam, ka pēc vienreizējā maksājuma saņemšanas Rīgas TEC-1 un Rīgas TEC-2 visā atlikušajā atbalsta periodā turpinās darbību atbilstoši </w:t>
      </w:r>
      <w:r w:rsidRPr="0095498D">
        <w:rPr>
          <w:sz w:val="26"/>
          <w:szCs w:val="26"/>
          <w:lang w:val="lv-LV"/>
        </w:rPr>
        <w:t>nosacījumiem, kas uz šīm elektrostacijām attiecās līdz pieteikuma iesniegšanas dienai.</w:t>
      </w:r>
    </w:p>
    <w:p w14:paraId="3F96F627" w14:textId="5EF3DCBF" w:rsidR="000E4D00" w:rsidRPr="00E22084" w:rsidRDefault="0051385B" w:rsidP="001C2B2C">
      <w:pPr>
        <w:pStyle w:val="NoSpacing"/>
        <w:spacing w:after="60"/>
        <w:ind w:firstLine="709"/>
        <w:jc w:val="both"/>
        <w:rPr>
          <w:sz w:val="26"/>
          <w:szCs w:val="26"/>
          <w:lang w:val="lv-LV"/>
        </w:rPr>
      </w:pPr>
      <w:r w:rsidRPr="00E22084">
        <w:rPr>
          <w:bCs/>
          <w:sz w:val="26"/>
          <w:szCs w:val="26"/>
          <w:lang w:val="lv-LV"/>
        </w:rPr>
        <w:t>Ņemot vērā minēto, akciju sabiedrība</w:t>
      </w:r>
      <w:r w:rsidRPr="00E22084">
        <w:rPr>
          <w:sz w:val="26"/>
          <w:szCs w:val="26"/>
          <w:lang w:val="lv-LV"/>
        </w:rPr>
        <w:t xml:space="preserve"> “Latvenergo” un tās koģenerācijas stacijas Rīgas TEC-1 un Rīgas TEC-2 atbilst </w:t>
      </w:r>
      <w:r w:rsidR="00281C82">
        <w:rPr>
          <w:sz w:val="26"/>
          <w:szCs w:val="26"/>
          <w:lang w:val="lv-LV"/>
        </w:rPr>
        <w:t>Ministru kabineta n</w:t>
      </w:r>
      <w:r w:rsidR="003A4598">
        <w:rPr>
          <w:sz w:val="26"/>
          <w:szCs w:val="26"/>
          <w:lang w:val="lv-LV"/>
        </w:rPr>
        <w:t>oteikumu Nr. 221 </w:t>
      </w:r>
      <w:r w:rsidRPr="00E22084">
        <w:rPr>
          <w:sz w:val="26"/>
          <w:szCs w:val="26"/>
          <w:lang w:val="lv-LV"/>
        </w:rPr>
        <w:t>56.</w:t>
      </w:r>
      <w:r w:rsidRPr="00E22084">
        <w:rPr>
          <w:sz w:val="26"/>
          <w:szCs w:val="26"/>
          <w:vertAlign w:val="superscript"/>
          <w:lang w:val="lv-LV"/>
        </w:rPr>
        <w:t>22</w:t>
      </w:r>
      <w:r w:rsidRPr="00E22084">
        <w:rPr>
          <w:sz w:val="26"/>
          <w:szCs w:val="26"/>
          <w:lang w:val="lv-LV"/>
        </w:rPr>
        <w:t xml:space="preserve"> </w:t>
      </w:r>
      <w:r w:rsidR="0039221A" w:rsidRPr="00E22084">
        <w:rPr>
          <w:sz w:val="26"/>
          <w:szCs w:val="26"/>
          <w:lang w:val="lv-LV"/>
        </w:rPr>
        <w:t xml:space="preserve">punkta </w:t>
      </w:r>
      <w:r w:rsidRPr="00E22084">
        <w:rPr>
          <w:sz w:val="26"/>
          <w:szCs w:val="26"/>
          <w:lang w:val="lv-LV"/>
        </w:rPr>
        <w:t>un 56.</w:t>
      </w:r>
      <w:r w:rsidRPr="00E22084">
        <w:rPr>
          <w:sz w:val="26"/>
          <w:szCs w:val="26"/>
          <w:vertAlign w:val="superscript"/>
          <w:lang w:val="lv-LV"/>
        </w:rPr>
        <w:t>24</w:t>
      </w:r>
      <w:r w:rsidR="003B4C71" w:rsidRPr="00E22084">
        <w:rPr>
          <w:sz w:val="26"/>
          <w:szCs w:val="26"/>
          <w:lang w:val="lv-LV"/>
        </w:rPr>
        <w:t> </w:t>
      </w:r>
      <w:r w:rsidRPr="00E22084">
        <w:rPr>
          <w:sz w:val="26"/>
          <w:szCs w:val="26"/>
          <w:lang w:val="lv-LV"/>
        </w:rPr>
        <w:t>punkta prasībām.</w:t>
      </w:r>
    </w:p>
    <w:p w14:paraId="4120C380" w14:textId="5F96417C" w:rsidR="005E5E0F" w:rsidRPr="005E5E0F" w:rsidRDefault="005D5FFA" w:rsidP="005E5E0F">
      <w:pPr>
        <w:pStyle w:val="NoSpacing"/>
        <w:spacing w:after="60"/>
        <w:ind w:firstLine="709"/>
        <w:jc w:val="both"/>
        <w:rPr>
          <w:bCs/>
          <w:sz w:val="26"/>
          <w:szCs w:val="26"/>
          <w:lang w:val="lv-LV"/>
        </w:rPr>
      </w:pPr>
      <w:r w:rsidRPr="005E5E0F">
        <w:rPr>
          <w:sz w:val="26"/>
          <w:szCs w:val="26"/>
          <w:lang w:val="lv-LV"/>
        </w:rPr>
        <w:t>1.3. </w:t>
      </w:r>
      <w:r w:rsidR="00331FA1">
        <w:rPr>
          <w:sz w:val="26"/>
          <w:szCs w:val="26"/>
          <w:lang w:val="lv-LV"/>
        </w:rPr>
        <w:t>i</w:t>
      </w:r>
      <w:r w:rsidR="005E5E0F" w:rsidRPr="005E5E0F">
        <w:rPr>
          <w:sz w:val="26"/>
          <w:szCs w:val="26"/>
          <w:lang w:val="lv-LV"/>
        </w:rPr>
        <w:t xml:space="preserve">zvērtējot </w:t>
      </w:r>
      <w:r w:rsidR="005E5E0F" w:rsidRPr="005E5E0F">
        <w:rPr>
          <w:bCs/>
          <w:sz w:val="26"/>
          <w:szCs w:val="26"/>
          <w:lang w:val="lv-LV"/>
        </w:rPr>
        <w:t xml:space="preserve"> akciju sabiedrības</w:t>
      </w:r>
      <w:r w:rsidR="005E5E0F" w:rsidRPr="005E5E0F">
        <w:rPr>
          <w:sz w:val="26"/>
          <w:szCs w:val="26"/>
          <w:lang w:val="lv-LV"/>
        </w:rPr>
        <w:t xml:space="preserve"> “Latvenergo” atbilstību </w:t>
      </w:r>
      <w:r w:rsidR="00281C82">
        <w:rPr>
          <w:sz w:val="26"/>
          <w:szCs w:val="26"/>
          <w:lang w:val="lv-LV"/>
        </w:rPr>
        <w:t>Ministru kabineta n</w:t>
      </w:r>
      <w:r w:rsidR="005E5E0F" w:rsidRPr="005E5E0F">
        <w:rPr>
          <w:sz w:val="26"/>
          <w:szCs w:val="26"/>
          <w:lang w:val="lv-LV"/>
        </w:rPr>
        <w:t>oteikumu Nr. 221 </w:t>
      </w:r>
      <w:r w:rsidR="005E5E0F" w:rsidRPr="005E5E0F">
        <w:rPr>
          <w:bCs/>
          <w:sz w:val="26"/>
          <w:szCs w:val="26"/>
          <w:lang w:val="lv-LV"/>
        </w:rPr>
        <w:t>IV</w:t>
      </w:r>
      <w:r w:rsidR="005E5E0F" w:rsidRPr="005E5E0F">
        <w:rPr>
          <w:bCs/>
          <w:sz w:val="26"/>
          <w:szCs w:val="26"/>
          <w:vertAlign w:val="superscript"/>
          <w:lang w:val="lv-LV"/>
        </w:rPr>
        <w:t>2</w:t>
      </w:r>
      <w:r w:rsidR="005E5E0F" w:rsidRPr="005E5E0F">
        <w:rPr>
          <w:bCs/>
          <w:sz w:val="26"/>
          <w:szCs w:val="26"/>
          <w:lang w:val="lv-LV"/>
        </w:rPr>
        <w:t xml:space="preserve">. nodaļas nosacījumiem, secināms, ka attiecībā uz Rīgas TEC-1 un Rīgas TEC-2 izpildās </w:t>
      </w:r>
      <w:r w:rsidR="00281C82">
        <w:rPr>
          <w:sz w:val="26"/>
          <w:szCs w:val="26"/>
          <w:lang w:val="lv-LV"/>
        </w:rPr>
        <w:t>Ministru kabineta n</w:t>
      </w:r>
      <w:r w:rsidR="005E5E0F" w:rsidRPr="005E5E0F">
        <w:rPr>
          <w:bCs/>
          <w:sz w:val="26"/>
          <w:szCs w:val="26"/>
          <w:lang w:val="lv-LV"/>
        </w:rPr>
        <w:t>oteiku</w:t>
      </w:r>
      <w:r w:rsidR="005E5E0F" w:rsidRPr="005E5E0F">
        <w:rPr>
          <w:sz w:val="26"/>
          <w:szCs w:val="26"/>
          <w:lang w:val="lv-LV"/>
        </w:rPr>
        <w:t xml:space="preserve">mos Nr. 221 noteiktie kritēriji, kas jāievēro, lai </w:t>
      </w:r>
      <w:r w:rsidR="00AC5B96">
        <w:rPr>
          <w:sz w:val="26"/>
          <w:szCs w:val="26"/>
          <w:lang w:val="lv-LV"/>
        </w:rPr>
        <w:t>Ministru kabinets</w:t>
      </w:r>
      <w:r w:rsidR="005E5E0F" w:rsidRPr="005E5E0F">
        <w:rPr>
          <w:sz w:val="26"/>
          <w:szCs w:val="26"/>
          <w:lang w:val="lv-LV"/>
        </w:rPr>
        <w:t xml:space="preserve"> varētu lemt par valsts garantētās maksas par uzstādīto elektrisko jaudu saistību samazināšanu, veicot vienreizēju diskontētu maksājumu.</w:t>
      </w:r>
    </w:p>
    <w:p w14:paraId="75FFA3AE" w14:textId="016B113B" w:rsidR="00516A47" w:rsidRDefault="005E5E0F" w:rsidP="001C2B2C">
      <w:pPr>
        <w:pStyle w:val="NoSpacing"/>
        <w:spacing w:after="60"/>
        <w:ind w:firstLine="709"/>
        <w:jc w:val="both"/>
        <w:rPr>
          <w:sz w:val="26"/>
          <w:szCs w:val="26"/>
          <w:lang w:val="lv-LV"/>
        </w:rPr>
      </w:pPr>
      <w:r>
        <w:rPr>
          <w:sz w:val="26"/>
          <w:szCs w:val="26"/>
          <w:lang w:val="lv-LV"/>
        </w:rPr>
        <w:t xml:space="preserve">1.4. </w:t>
      </w:r>
      <w:r w:rsidR="00793D91" w:rsidRPr="00516A47">
        <w:rPr>
          <w:sz w:val="26"/>
          <w:szCs w:val="26"/>
          <w:lang w:val="lv-LV"/>
        </w:rPr>
        <w:t xml:space="preserve">saskaņā ar </w:t>
      </w:r>
      <w:r w:rsidR="00281C82">
        <w:rPr>
          <w:sz w:val="26"/>
          <w:szCs w:val="26"/>
          <w:lang w:val="lv-LV"/>
        </w:rPr>
        <w:t>Ministru kabineta n</w:t>
      </w:r>
      <w:r w:rsidR="007F1768">
        <w:rPr>
          <w:sz w:val="26"/>
          <w:szCs w:val="26"/>
          <w:lang w:val="lv-LV"/>
        </w:rPr>
        <w:t>oteikumu Nr. </w:t>
      </w:r>
      <w:r w:rsidR="005C73F1" w:rsidRPr="00516A47">
        <w:rPr>
          <w:sz w:val="26"/>
          <w:szCs w:val="26"/>
          <w:lang w:val="lv-LV"/>
        </w:rPr>
        <w:t xml:space="preserve">221 52.2.3. apakšpunktā iekļauto formulu koģenerācijas elektrostacijām, kuru uzstādītā elektriskā jauda ir lielāka par 100 MW, jaudas komponenti par vienu uzstādīto elektrisko megavatu aprēķina, izmantojot šādu formulu: </w:t>
      </w:r>
    </w:p>
    <w:p w14:paraId="6E2499BC" w14:textId="1CA80CCC" w:rsidR="0051385B" w:rsidRPr="00516A47" w:rsidRDefault="00CF15E0" w:rsidP="00516A47">
      <w:pPr>
        <w:pStyle w:val="NoSpacing"/>
        <w:spacing w:after="60"/>
        <w:ind w:firstLine="709"/>
        <w:jc w:val="center"/>
        <w:rPr>
          <w:sz w:val="26"/>
          <w:szCs w:val="26"/>
          <w:lang w:val="lv-LV"/>
        </w:rPr>
      </w:pPr>
      <w:r w:rsidRPr="00516A47">
        <w:rPr>
          <w:i/>
          <w:iCs/>
          <w:sz w:val="26"/>
          <w:szCs w:val="26"/>
          <w:lang w:val="lv-LV"/>
        </w:rPr>
        <w:t>J = 102 304 </w:t>
      </w:r>
      <w:r w:rsidRPr="00516A47">
        <w:rPr>
          <w:sz w:val="26"/>
          <w:szCs w:val="26"/>
          <w:lang w:val="lv-LV"/>
        </w:rPr>
        <w:t>× </w:t>
      </w:r>
      <w:r w:rsidRPr="00516A47">
        <w:rPr>
          <w:i/>
          <w:iCs/>
          <w:sz w:val="26"/>
          <w:szCs w:val="26"/>
          <w:lang w:val="lv-LV"/>
        </w:rPr>
        <w:t>s</w:t>
      </w:r>
      <w:r w:rsidRPr="00516A47">
        <w:rPr>
          <w:sz w:val="26"/>
          <w:szCs w:val="26"/>
          <w:lang w:val="lv-LV"/>
        </w:rPr>
        <w:t>, kur</w:t>
      </w:r>
    </w:p>
    <w:p w14:paraId="35EAB11F" w14:textId="486FFD93" w:rsidR="00516A47" w:rsidRPr="00516A47" w:rsidRDefault="00516A47" w:rsidP="00516A47">
      <w:pPr>
        <w:pStyle w:val="tv213"/>
        <w:spacing w:before="120" w:beforeAutospacing="0" w:after="120" w:afterAutospacing="0"/>
        <w:rPr>
          <w:sz w:val="26"/>
          <w:szCs w:val="26"/>
        </w:rPr>
      </w:pPr>
      <w:r w:rsidRPr="00516A47">
        <w:rPr>
          <w:i/>
          <w:iCs/>
          <w:sz w:val="26"/>
          <w:szCs w:val="26"/>
        </w:rPr>
        <w:t>J</w:t>
      </w:r>
      <w:r w:rsidRPr="00516A47">
        <w:rPr>
          <w:sz w:val="26"/>
          <w:szCs w:val="26"/>
        </w:rPr>
        <w:t> – jaudas komponente (EUR/MW gadā);</w:t>
      </w:r>
    </w:p>
    <w:p w14:paraId="0799AFEE" w14:textId="77777777" w:rsidR="00516A47" w:rsidRPr="00516A47" w:rsidRDefault="00516A47" w:rsidP="00516A47">
      <w:pPr>
        <w:pStyle w:val="tv213"/>
        <w:spacing w:before="120" w:beforeAutospacing="0" w:after="120" w:afterAutospacing="0"/>
        <w:rPr>
          <w:sz w:val="26"/>
          <w:szCs w:val="26"/>
        </w:rPr>
      </w:pPr>
      <w:r w:rsidRPr="00516A47">
        <w:rPr>
          <w:i/>
          <w:iCs/>
          <w:sz w:val="26"/>
          <w:szCs w:val="26"/>
        </w:rPr>
        <w:t>s</w:t>
      </w:r>
      <w:r w:rsidRPr="00516A47">
        <w:rPr>
          <w:sz w:val="26"/>
          <w:szCs w:val="26"/>
        </w:rPr>
        <w:t> – cenas diferencēšanas koeficients pārkompensācijas novēršanai; </w:t>
      </w:r>
    </w:p>
    <w:p w14:paraId="5C217F1C" w14:textId="5013718B" w:rsidR="0050725B" w:rsidRPr="002561EA" w:rsidRDefault="0050725B" w:rsidP="0051385B">
      <w:pPr>
        <w:pStyle w:val="NoSpacing"/>
        <w:spacing w:after="60"/>
        <w:ind w:firstLine="709"/>
        <w:jc w:val="both"/>
        <w:rPr>
          <w:sz w:val="26"/>
          <w:szCs w:val="26"/>
          <w:lang w:val="lv-LV"/>
        </w:rPr>
      </w:pPr>
      <w:r w:rsidRPr="002561EA">
        <w:rPr>
          <w:sz w:val="26"/>
          <w:szCs w:val="26"/>
          <w:lang w:val="lv-LV"/>
        </w:rPr>
        <w:t xml:space="preserve">Tā kā Rīgas TEC-1 un Rīgas TEC-2 kopējo kapitālieguldījumu iekšējās peļņas norma nepārsniedz 9,00%, tad </w:t>
      </w:r>
      <w:r w:rsidR="002561EA" w:rsidRPr="002561EA">
        <w:rPr>
          <w:sz w:val="26"/>
          <w:szCs w:val="26"/>
          <w:lang w:val="lv-LV"/>
        </w:rPr>
        <w:t>netiek piemērots cenas</w:t>
      </w:r>
      <w:r w:rsidRPr="002561EA">
        <w:rPr>
          <w:sz w:val="26"/>
          <w:szCs w:val="26"/>
          <w:lang w:val="lv-LV"/>
        </w:rPr>
        <w:t xml:space="preserve"> diferencēšanas koeficients.</w:t>
      </w:r>
    </w:p>
    <w:p w14:paraId="1D001A8B" w14:textId="77777777" w:rsidR="009A4FC6" w:rsidRDefault="006873F0" w:rsidP="0051385B">
      <w:pPr>
        <w:pStyle w:val="NoSpacing"/>
        <w:spacing w:after="60"/>
        <w:ind w:firstLine="709"/>
        <w:jc w:val="both"/>
        <w:rPr>
          <w:sz w:val="26"/>
          <w:szCs w:val="26"/>
          <w:lang w:val="lv-LV"/>
        </w:rPr>
      </w:pPr>
      <w:r w:rsidRPr="002561EA">
        <w:rPr>
          <w:sz w:val="26"/>
          <w:szCs w:val="26"/>
          <w:lang w:val="lv-LV"/>
        </w:rPr>
        <w:t xml:space="preserve">No minētā izriet, ka </w:t>
      </w:r>
      <w:r w:rsidR="0051385B" w:rsidRPr="002561EA">
        <w:rPr>
          <w:sz w:val="26"/>
          <w:szCs w:val="26"/>
          <w:lang w:val="lv-LV"/>
        </w:rPr>
        <w:t xml:space="preserve">ikgadējais jaudas maksājums </w:t>
      </w:r>
    </w:p>
    <w:p w14:paraId="346D2760" w14:textId="1C5EFCA0" w:rsidR="009A4FC6" w:rsidRPr="002321FC" w:rsidRDefault="0051385B" w:rsidP="00715EB4">
      <w:pPr>
        <w:pStyle w:val="NoSpacing"/>
        <w:spacing w:before="240" w:after="60"/>
        <w:ind w:firstLine="709"/>
        <w:jc w:val="both"/>
        <w:rPr>
          <w:sz w:val="26"/>
          <w:szCs w:val="26"/>
          <w:lang w:val="lv-LV"/>
        </w:rPr>
      </w:pPr>
      <w:r w:rsidRPr="002321FC">
        <w:rPr>
          <w:sz w:val="26"/>
          <w:szCs w:val="26"/>
          <w:lang w:val="lv-LV"/>
        </w:rPr>
        <w:t>Rīgas TEC-1</w:t>
      </w:r>
      <w:r w:rsidR="009A4FC6" w:rsidRPr="002321FC">
        <w:rPr>
          <w:sz w:val="26"/>
          <w:szCs w:val="26"/>
          <w:lang w:val="lv-LV"/>
        </w:rPr>
        <w:t>:</w:t>
      </w:r>
      <w:r w:rsidRPr="002321FC">
        <w:rPr>
          <w:sz w:val="26"/>
          <w:szCs w:val="26"/>
          <w:lang w:val="lv-LV"/>
        </w:rPr>
        <w:t xml:space="preserve"> </w:t>
      </w:r>
    </w:p>
    <w:p w14:paraId="473410C5" w14:textId="77777777" w:rsidR="009A4FC6" w:rsidRPr="009A4FC6" w:rsidRDefault="009A4FC6" w:rsidP="0051385B">
      <w:pPr>
        <w:pStyle w:val="NoSpacing"/>
        <w:spacing w:after="60"/>
        <w:ind w:firstLine="709"/>
        <w:jc w:val="both"/>
        <w:rPr>
          <w:rFonts w:ascii="Cambria Math" w:hAnsi="Cambria Math"/>
          <w:szCs w:val="26"/>
          <w:lang w:val="lv-LV"/>
        </w:rPr>
      </w:pPr>
      <w:r w:rsidRPr="009A4FC6">
        <w:rPr>
          <w:rFonts w:ascii="Cambria Math" w:hAnsi="Cambria Math"/>
          <w:i/>
          <w:szCs w:val="26"/>
          <w:lang w:val="lv-LV"/>
        </w:rPr>
        <w:t>R</w:t>
      </w:r>
      <w:r w:rsidRPr="009A4FC6">
        <w:rPr>
          <w:rFonts w:ascii="Cambria Math" w:hAnsi="Cambria Math"/>
          <w:i/>
          <w:szCs w:val="26"/>
          <w:vertAlign w:val="subscript"/>
          <w:lang w:val="lv-LV"/>
        </w:rPr>
        <w:t>TEC1</w:t>
      </w:r>
      <w:r w:rsidRPr="009A4FC6">
        <w:rPr>
          <w:rFonts w:ascii="Cambria Math" w:hAnsi="Cambria Math"/>
          <w:i/>
          <w:szCs w:val="26"/>
          <w:lang w:val="lv-LV"/>
        </w:rPr>
        <w:t xml:space="preserve"> </w:t>
      </w:r>
      <w:r w:rsidRPr="009A4FC6">
        <w:rPr>
          <w:rFonts w:ascii="Cambria Math" w:hAnsi="Cambria Math"/>
          <w:szCs w:val="26"/>
          <w:lang w:val="lv-LV"/>
        </w:rPr>
        <w:t xml:space="preserve">= </w:t>
      </w:r>
      <w:r w:rsidR="0051385B" w:rsidRPr="009A4FC6">
        <w:rPr>
          <w:rFonts w:ascii="Cambria Math" w:hAnsi="Cambria Math"/>
          <w:szCs w:val="26"/>
          <w:lang w:val="lv-LV"/>
        </w:rPr>
        <w:t>102 304 </w:t>
      </w:r>
      <w:r w:rsidR="00456A02" w:rsidRPr="009A4FC6">
        <w:rPr>
          <w:rFonts w:ascii="Cambria Math" w:hAnsi="Cambria Math"/>
          <w:szCs w:val="26"/>
          <w:lang w:val="lv-LV"/>
        </w:rPr>
        <w:t xml:space="preserve">x </w:t>
      </w:r>
      <w:r w:rsidR="0051385B" w:rsidRPr="009A4FC6">
        <w:rPr>
          <w:rFonts w:ascii="Cambria Math" w:hAnsi="Cambria Math"/>
          <w:szCs w:val="26"/>
          <w:lang w:val="lv-LV"/>
        </w:rPr>
        <w:t xml:space="preserve">144,00 = 14 731 776,00 EUR, </w:t>
      </w:r>
    </w:p>
    <w:p w14:paraId="2DA6EF5E" w14:textId="77777777" w:rsidR="009A4FC6" w:rsidRPr="002321FC" w:rsidRDefault="0051385B" w:rsidP="00715EB4">
      <w:pPr>
        <w:pStyle w:val="NoSpacing"/>
        <w:spacing w:before="240" w:after="60"/>
        <w:ind w:firstLine="709"/>
        <w:jc w:val="both"/>
        <w:rPr>
          <w:sz w:val="26"/>
          <w:szCs w:val="26"/>
          <w:lang w:val="lv-LV"/>
        </w:rPr>
      </w:pPr>
      <w:r w:rsidRPr="002321FC">
        <w:rPr>
          <w:sz w:val="26"/>
          <w:szCs w:val="26"/>
          <w:lang w:val="lv-LV"/>
        </w:rPr>
        <w:t>Rīgas TEC-2</w:t>
      </w:r>
      <w:r w:rsidR="009A4FC6" w:rsidRPr="002321FC">
        <w:rPr>
          <w:sz w:val="26"/>
          <w:szCs w:val="26"/>
          <w:lang w:val="lv-LV"/>
        </w:rPr>
        <w:t>:</w:t>
      </w:r>
      <w:r w:rsidRPr="002321FC">
        <w:rPr>
          <w:sz w:val="26"/>
          <w:szCs w:val="26"/>
          <w:lang w:val="lv-LV"/>
        </w:rPr>
        <w:t xml:space="preserve"> </w:t>
      </w:r>
    </w:p>
    <w:p w14:paraId="51AF2B15" w14:textId="708807FA" w:rsidR="0051385B" w:rsidRPr="009A4FC6" w:rsidRDefault="009A4FC6" w:rsidP="0051385B">
      <w:pPr>
        <w:pStyle w:val="NoSpacing"/>
        <w:spacing w:after="60"/>
        <w:ind w:firstLine="709"/>
        <w:jc w:val="both"/>
        <w:rPr>
          <w:rFonts w:ascii="Cambria Math" w:hAnsi="Cambria Math"/>
          <w:szCs w:val="26"/>
          <w:lang w:val="lv-LV"/>
        </w:rPr>
      </w:pPr>
      <w:r w:rsidRPr="009A4FC6">
        <w:rPr>
          <w:rFonts w:ascii="Cambria Math" w:hAnsi="Cambria Math"/>
          <w:i/>
          <w:szCs w:val="26"/>
          <w:lang w:val="lv-LV"/>
        </w:rPr>
        <w:t>R</w:t>
      </w:r>
      <w:r w:rsidRPr="009A4FC6">
        <w:rPr>
          <w:rFonts w:ascii="Cambria Math" w:hAnsi="Cambria Math"/>
          <w:i/>
          <w:szCs w:val="26"/>
          <w:vertAlign w:val="subscript"/>
          <w:lang w:val="lv-LV"/>
        </w:rPr>
        <w:t>TEC2</w:t>
      </w:r>
      <w:r w:rsidRPr="009A4FC6">
        <w:rPr>
          <w:rFonts w:ascii="Cambria Math" w:hAnsi="Cambria Math"/>
          <w:szCs w:val="26"/>
          <w:lang w:val="lv-LV"/>
        </w:rPr>
        <w:t xml:space="preserve"> = </w:t>
      </w:r>
      <w:r w:rsidR="0051385B" w:rsidRPr="009A4FC6">
        <w:rPr>
          <w:rFonts w:ascii="Cambria Math" w:hAnsi="Cambria Math"/>
          <w:szCs w:val="26"/>
          <w:lang w:val="lv-LV"/>
        </w:rPr>
        <w:t>102 304 </w:t>
      </w:r>
      <w:r w:rsidR="00DC7442" w:rsidRPr="009A4FC6">
        <w:rPr>
          <w:rFonts w:ascii="Cambria Math" w:hAnsi="Cambria Math"/>
          <w:szCs w:val="26"/>
          <w:lang w:val="lv-LV"/>
        </w:rPr>
        <w:t xml:space="preserve">x </w:t>
      </w:r>
      <w:r w:rsidR="0051385B" w:rsidRPr="009A4FC6">
        <w:rPr>
          <w:rFonts w:ascii="Cambria Math" w:hAnsi="Cambria Math"/>
          <w:szCs w:val="26"/>
          <w:lang w:val="lv-LV"/>
        </w:rPr>
        <w:t>832,30 = 85</w:t>
      </w:r>
      <w:r w:rsidR="00660476" w:rsidRPr="009A4FC6">
        <w:rPr>
          <w:rFonts w:ascii="Cambria Math" w:hAnsi="Cambria Math"/>
          <w:szCs w:val="26"/>
          <w:lang w:val="lv-LV"/>
        </w:rPr>
        <w:t> </w:t>
      </w:r>
      <w:r w:rsidR="0051385B" w:rsidRPr="009A4FC6">
        <w:rPr>
          <w:rFonts w:ascii="Cambria Math" w:hAnsi="Cambria Math"/>
          <w:szCs w:val="26"/>
          <w:lang w:val="lv-LV"/>
        </w:rPr>
        <w:t>147</w:t>
      </w:r>
      <w:r w:rsidR="00660476" w:rsidRPr="009A4FC6">
        <w:rPr>
          <w:rFonts w:ascii="Cambria Math" w:hAnsi="Cambria Math"/>
          <w:szCs w:val="26"/>
          <w:lang w:val="lv-LV"/>
        </w:rPr>
        <w:t xml:space="preserve"> </w:t>
      </w:r>
      <w:r w:rsidR="0051385B" w:rsidRPr="009A4FC6">
        <w:rPr>
          <w:rFonts w:ascii="Cambria Math" w:hAnsi="Cambria Math"/>
          <w:szCs w:val="26"/>
          <w:lang w:val="lv-LV"/>
        </w:rPr>
        <w:t>619,20 EUR.</w:t>
      </w:r>
    </w:p>
    <w:p w14:paraId="4B16EA13" w14:textId="41EF89EE" w:rsidR="00EB1279" w:rsidRDefault="00EB1279" w:rsidP="00EB1279">
      <w:pPr>
        <w:pStyle w:val="NoSpacing"/>
        <w:spacing w:after="60"/>
        <w:ind w:firstLine="709"/>
        <w:jc w:val="both"/>
        <w:rPr>
          <w:sz w:val="26"/>
          <w:szCs w:val="26"/>
          <w:lang w:val="lv-LV"/>
        </w:rPr>
      </w:pPr>
      <w:r w:rsidRPr="009907D7">
        <w:rPr>
          <w:sz w:val="26"/>
          <w:szCs w:val="26"/>
          <w:lang w:val="lv-LV"/>
        </w:rPr>
        <w:t xml:space="preserve">Saskaņā ar </w:t>
      </w:r>
      <w:r w:rsidR="00281C82">
        <w:rPr>
          <w:sz w:val="26"/>
          <w:szCs w:val="26"/>
          <w:lang w:val="lv-LV"/>
        </w:rPr>
        <w:t>Ministru kabineta n</w:t>
      </w:r>
      <w:r w:rsidR="009907D7" w:rsidRPr="009907D7">
        <w:rPr>
          <w:sz w:val="26"/>
          <w:szCs w:val="26"/>
          <w:lang w:val="lv-LV"/>
        </w:rPr>
        <w:t>oteikumu Nr. 221 56.</w:t>
      </w:r>
      <w:r w:rsidR="009907D7" w:rsidRPr="009907D7">
        <w:rPr>
          <w:sz w:val="26"/>
          <w:szCs w:val="26"/>
          <w:vertAlign w:val="superscript"/>
          <w:lang w:val="lv-LV"/>
        </w:rPr>
        <w:t>25</w:t>
      </w:r>
      <w:r w:rsidR="009907D7" w:rsidRPr="009907D7">
        <w:rPr>
          <w:sz w:val="26"/>
          <w:szCs w:val="26"/>
          <w:lang w:val="lv-LV"/>
        </w:rPr>
        <w:t xml:space="preserve"> punkt</w:t>
      </w:r>
      <w:r w:rsidR="00822DC9">
        <w:rPr>
          <w:sz w:val="26"/>
          <w:szCs w:val="26"/>
          <w:lang w:val="lv-LV"/>
        </w:rPr>
        <w:t>u vienreizējo maksājumu aprēķina pēc šādas formulas:</w:t>
      </w:r>
    </w:p>
    <w:p w14:paraId="382A33B5" w14:textId="77777777" w:rsidR="00822DC9" w:rsidRPr="00687EF4" w:rsidRDefault="00822DC9" w:rsidP="00822DC9">
      <w:pPr>
        <w:spacing w:before="100" w:beforeAutospacing="1" w:after="100" w:afterAutospacing="1"/>
        <w:jc w:val="center"/>
        <w:rPr>
          <w:szCs w:val="24"/>
          <w:lang w:val="lv-LV"/>
        </w:rPr>
      </w:pPr>
      <m:oMath>
        <m:r>
          <w:rPr>
            <w:rFonts w:ascii="Cambria Math" w:hAnsi="Cambria Math"/>
            <w:szCs w:val="24"/>
            <w:lang w:val="lv-LV"/>
          </w:rPr>
          <m:t>M</m:t>
        </m:r>
        <m:r>
          <w:rPr>
            <w:rFonts w:ascii="Cambria Math" w:eastAsia="Cambria Math" w:hAnsi="Cambria Math" w:cs="Cambria Math"/>
            <w:szCs w:val="24"/>
            <w:lang w:val="lv-LV"/>
          </w:rPr>
          <m:t>=</m:t>
        </m:r>
        <m:nary>
          <m:naryPr>
            <m:chr m:val="∑"/>
            <m:grow m:val="1"/>
            <m:ctrlPr>
              <w:rPr>
                <w:rFonts w:ascii="Cambria Math" w:hAnsi="Cambria Math"/>
                <w:szCs w:val="24"/>
              </w:rPr>
            </m:ctrlPr>
          </m:naryPr>
          <m:sub>
            <m:r>
              <w:rPr>
                <w:rFonts w:ascii="Cambria Math" w:eastAsia="Cambria Math" w:hAnsi="Cambria Math" w:cs="Cambria Math"/>
                <w:szCs w:val="24"/>
                <w:lang w:val="lv-LV"/>
              </w:rPr>
              <m:t>i=1</m:t>
            </m:r>
          </m:sub>
          <m:sup>
            <m:r>
              <w:rPr>
                <w:rFonts w:ascii="Cambria Math" w:eastAsia="Cambria Math" w:hAnsi="Cambria Math" w:cs="Cambria Math"/>
                <w:szCs w:val="24"/>
                <w:lang w:val="lv-LV"/>
              </w:rPr>
              <m:t>n</m:t>
            </m:r>
          </m:sup>
          <m:e>
            <m:sSub>
              <m:sSubPr>
                <m:ctrlPr>
                  <w:rPr>
                    <w:rFonts w:ascii="Cambria Math" w:hAnsi="Cambria Math"/>
                    <w:i/>
                    <w:szCs w:val="24"/>
                  </w:rPr>
                </m:ctrlPr>
              </m:sSubPr>
              <m:e>
                <m:r>
                  <w:rPr>
                    <w:rFonts w:ascii="Cambria Math" w:hAnsi="Cambria Math"/>
                    <w:szCs w:val="24"/>
                    <w:lang w:val="lv-LV"/>
                  </w:rPr>
                  <m:t>G</m:t>
                </m:r>
              </m:e>
              <m:sub>
                <m:r>
                  <w:rPr>
                    <w:rFonts w:ascii="Cambria Math" w:hAnsi="Cambria Math"/>
                    <w:szCs w:val="24"/>
                    <w:lang w:val="lv-LV"/>
                  </w:rPr>
                  <m:t>i</m:t>
                </m:r>
              </m:sub>
            </m:sSub>
            <m:r>
              <w:rPr>
                <w:rFonts w:ascii="Cambria Math" w:hAnsi="Cambria Math"/>
                <w:szCs w:val="24"/>
                <w:lang w:val="lv-LV"/>
              </w:rPr>
              <m:t>×</m:t>
            </m:r>
            <m:f>
              <m:fPr>
                <m:ctrlPr>
                  <w:rPr>
                    <w:rFonts w:ascii="Cambria Math" w:hAnsi="Cambria Math"/>
                    <w:i/>
                    <w:szCs w:val="24"/>
                  </w:rPr>
                </m:ctrlPr>
              </m:fPr>
              <m:num>
                <m:r>
                  <w:rPr>
                    <w:rFonts w:ascii="Cambria Math" w:hAnsi="Cambria Math"/>
                    <w:szCs w:val="24"/>
                    <w:lang w:val="lv-LV"/>
                  </w:rPr>
                  <m:t>3</m:t>
                </m:r>
              </m:num>
              <m:den>
                <m:r>
                  <w:rPr>
                    <w:rFonts w:ascii="Cambria Math" w:hAnsi="Cambria Math"/>
                    <w:szCs w:val="24"/>
                    <w:lang w:val="lv-LV"/>
                  </w:rPr>
                  <m:t>4</m:t>
                </m:r>
              </m:den>
            </m:f>
            <m:r>
              <m:rPr>
                <m:sty m:val="p"/>
              </m:rPr>
              <w:rPr>
                <w:rFonts w:ascii="Cambria Math" w:hAnsi="Cambria Math"/>
                <w:szCs w:val="24"/>
                <w:lang w:val="lv-LV"/>
              </w:rPr>
              <m:t>×</m:t>
            </m:r>
            <m:f>
              <m:fPr>
                <m:ctrlPr>
                  <w:rPr>
                    <w:rFonts w:ascii="Cambria Math" w:hAnsi="Cambria Math"/>
                    <w:szCs w:val="24"/>
                  </w:rPr>
                </m:ctrlPr>
              </m:fPr>
              <m:num>
                <m:r>
                  <w:rPr>
                    <w:rFonts w:ascii="Cambria Math" w:hAnsi="Cambria Math"/>
                    <w:szCs w:val="24"/>
                    <w:lang w:val="lv-LV"/>
                  </w:rPr>
                  <m:t>1</m:t>
                </m:r>
              </m:num>
              <m:den>
                <m:sSup>
                  <m:sSupPr>
                    <m:ctrlPr>
                      <w:rPr>
                        <w:rFonts w:ascii="Cambria Math" w:hAnsi="Cambria Math"/>
                        <w:i/>
                        <w:szCs w:val="24"/>
                      </w:rPr>
                    </m:ctrlPr>
                  </m:sSupPr>
                  <m:e>
                    <m:r>
                      <w:rPr>
                        <w:rFonts w:ascii="Cambria Math" w:hAnsi="Cambria Math"/>
                        <w:szCs w:val="24"/>
                        <w:lang w:val="lv-LV"/>
                      </w:rPr>
                      <m:t>(1+0,09)</m:t>
                    </m:r>
                  </m:e>
                  <m:sup>
                    <m:r>
                      <w:rPr>
                        <w:rFonts w:ascii="Cambria Math" w:hAnsi="Cambria Math"/>
                        <w:szCs w:val="24"/>
                        <w:lang w:val="lv-LV"/>
                      </w:rPr>
                      <m:t>i</m:t>
                    </m:r>
                  </m:sup>
                </m:sSup>
              </m:den>
            </m:f>
          </m:e>
        </m:nary>
      </m:oMath>
      <w:r w:rsidRPr="00687EF4">
        <w:rPr>
          <w:szCs w:val="24"/>
          <w:lang w:val="lv-LV"/>
        </w:rPr>
        <w:t xml:space="preserve"> , kur</w:t>
      </w:r>
    </w:p>
    <w:p w14:paraId="460E731B" w14:textId="77777777" w:rsidR="00822DC9" w:rsidRPr="00FC40CE" w:rsidRDefault="00822DC9" w:rsidP="00822DC9">
      <w:pPr>
        <w:pStyle w:val="tv213"/>
        <w:spacing w:before="120" w:beforeAutospacing="0" w:after="120" w:afterAutospacing="0"/>
        <w:rPr>
          <w:rFonts w:eastAsiaTheme="minorEastAsia"/>
          <w:sz w:val="26"/>
          <w:szCs w:val="26"/>
        </w:rPr>
      </w:pPr>
      <w:r w:rsidRPr="00FC40CE">
        <w:rPr>
          <w:rFonts w:eastAsiaTheme="minorEastAsia"/>
          <w:i/>
          <w:sz w:val="26"/>
          <w:szCs w:val="26"/>
        </w:rPr>
        <w:t>M</w:t>
      </w:r>
      <w:r w:rsidRPr="00FC40CE">
        <w:rPr>
          <w:rFonts w:eastAsiaTheme="minorEastAsia"/>
          <w:sz w:val="26"/>
          <w:szCs w:val="26"/>
        </w:rPr>
        <w:t xml:space="preserve"> -  </w:t>
      </w:r>
      <w:r w:rsidRPr="00FC40CE">
        <w:rPr>
          <w:sz w:val="26"/>
          <w:szCs w:val="26"/>
        </w:rPr>
        <w:t>vienreizējā</w:t>
      </w:r>
      <w:r w:rsidRPr="00FC40CE">
        <w:rPr>
          <w:rFonts w:eastAsiaTheme="minorEastAsia"/>
          <w:sz w:val="26"/>
          <w:szCs w:val="26"/>
        </w:rPr>
        <w:t xml:space="preserve"> maksājuma apmērs, EUR;</w:t>
      </w:r>
    </w:p>
    <w:p w14:paraId="3362B02C" w14:textId="082B3B79" w:rsidR="00822DC9" w:rsidRPr="00FC40CE" w:rsidRDefault="00822DC9" w:rsidP="00822DC9">
      <w:pPr>
        <w:pStyle w:val="tv213"/>
        <w:spacing w:before="120" w:beforeAutospacing="0" w:after="120" w:afterAutospacing="0"/>
        <w:jc w:val="both"/>
        <w:rPr>
          <w:rFonts w:eastAsiaTheme="minorEastAsia"/>
          <w:sz w:val="26"/>
          <w:szCs w:val="26"/>
        </w:rPr>
      </w:pPr>
      <w:r w:rsidRPr="00FC40CE">
        <w:rPr>
          <w:rFonts w:eastAsiaTheme="minorEastAsia"/>
          <w:i/>
          <w:sz w:val="26"/>
          <w:szCs w:val="26"/>
        </w:rPr>
        <w:t>G</w:t>
      </w:r>
      <w:r w:rsidRPr="00FC40CE">
        <w:rPr>
          <w:rFonts w:eastAsiaTheme="minorEastAsia"/>
          <w:i/>
          <w:sz w:val="26"/>
          <w:szCs w:val="26"/>
          <w:vertAlign w:val="subscript"/>
        </w:rPr>
        <w:t>i</w:t>
      </w:r>
      <w:r w:rsidRPr="00FC40CE">
        <w:rPr>
          <w:rFonts w:eastAsiaTheme="minorEastAsia"/>
          <w:sz w:val="26"/>
          <w:szCs w:val="26"/>
        </w:rPr>
        <w:t xml:space="preserve"> – i gada </w:t>
      </w:r>
      <w:r w:rsidRPr="00FC40CE">
        <w:rPr>
          <w:sz w:val="26"/>
          <w:szCs w:val="26"/>
        </w:rPr>
        <w:t>jaudas</w:t>
      </w:r>
      <w:r w:rsidRPr="00FC40CE">
        <w:rPr>
          <w:rFonts w:eastAsiaTheme="minorEastAsia"/>
          <w:sz w:val="26"/>
          <w:szCs w:val="26"/>
        </w:rPr>
        <w:t xml:space="preserve"> komponen</w:t>
      </w:r>
      <w:r w:rsidR="00F035ED" w:rsidRPr="00FC40CE">
        <w:rPr>
          <w:rFonts w:eastAsiaTheme="minorEastAsia"/>
          <w:sz w:val="26"/>
          <w:szCs w:val="26"/>
        </w:rPr>
        <w:t>tes maksājuma apmērs,</w:t>
      </w:r>
      <w:r w:rsidRPr="00FC40CE">
        <w:rPr>
          <w:rFonts w:eastAsiaTheme="minorEastAsia"/>
          <w:sz w:val="26"/>
          <w:szCs w:val="26"/>
        </w:rPr>
        <w:t xml:space="preserve"> EUR. Gadā, kurā pārstāj maksāt jaudas maksājumus, jaudas maksājuma apmēru nosaka proporcionāli dienu skaitam, kurās atbalsts tiek maksāts;</w:t>
      </w:r>
    </w:p>
    <w:p w14:paraId="6C0D47E5" w14:textId="77777777" w:rsidR="00822DC9" w:rsidRPr="00FC40CE" w:rsidRDefault="00822DC9" w:rsidP="00822DC9">
      <w:pPr>
        <w:pStyle w:val="tv213"/>
        <w:spacing w:before="120" w:beforeAutospacing="0" w:after="120" w:afterAutospacing="0"/>
        <w:rPr>
          <w:rFonts w:eastAsiaTheme="minorEastAsia"/>
          <w:sz w:val="26"/>
          <w:szCs w:val="26"/>
        </w:rPr>
      </w:pPr>
      <w:r w:rsidRPr="00FC40CE">
        <w:rPr>
          <w:rFonts w:eastAsiaTheme="minorEastAsia"/>
          <w:i/>
          <w:sz w:val="26"/>
          <w:szCs w:val="26"/>
        </w:rPr>
        <w:t>i –</w:t>
      </w:r>
      <w:r w:rsidRPr="00FC40CE">
        <w:rPr>
          <w:rFonts w:eastAsiaTheme="minorEastAsia"/>
          <w:sz w:val="26"/>
          <w:szCs w:val="26"/>
        </w:rPr>
        <w:t xml:space="preserve"> gads pēc kārtas, </w:t>
      </w:r>
      <w:r w:rsidRPr="00FC40CE">
        <w:rPr>
          <w:sz w:val="26"/>
          <w:szCs w:val="26"/>
        </w:rPr>
        <w:t>kur</w:t>
      </w:r>
      <w:r w:rsidRPr="00FC40CE">
        <w:rPr>
          <w:rFonts w:eastAsiaTheme="minorEastAsia"/>
          <w:sz w:val="26"/>
          <w:szCs w:val="26"/>
        </w:rPr>
        <w:t xml:space="preserve"> 2018.gads ir pirmais gads;</w:t>
      </w:r>
    </w:p>
    <w:p w14:paraId="548C1A12" w14:textId="4CF457C3" w:rsidR="00822DC9" w:rsidRDefault="00822DC9" w:rsidP="00822DC9">
      <w:pPr>
        <w:rPr>
          <w:rFonts w:eastAsiaTheme="minorEastAsia"/>
          <w:sz w:val="26"/>
          <w:szCs w:val="26"/>
          <w:lang w:val="lv-LV"/>
        </w:rPr>
      </w:pPr>
      <w:r w:rsidRPr="00FC40CE">
        <w:rPr>
          <w:rFonts w:eastAsiaTheme="minorEastAsia"/>
          <w:i/>
          <w:sz w:val="26"/>
          <w:szCs w:val="26"/>
          <w:lang w:val="lv-LV"/>
        </w:rPr>
        <w:t>n</w:t>
      </w:r>
      <w:r w:rsidRPr="00FC40CE">
        <w:rPr>
          <w:rFonts w:eastAsiaTheme="minorEastAsia"/>
          <w:sz w:val="26"/>
          <w:szCs w:val="26"/>
          <w:lang w:val="lv-LV"/>
        </w:rPr>
        <w:t xml:space="preserve"> -  kalendāra gadu skaits atlikušajā atbalsta periodā.</w:t>
      </w:r>
    </w:p>
    <w:p w14:paraId="13C95445" w14:textId="2DB2A938" w:rsidR="009A4FC6" w:rsidRDefault="009A4FC6" w:rsidP="00822DC9">
      <w:pPr>
        <w:rPr>
          <w:rFonts w:eastAsiaTheme="minorEastAsia"/>
          <w:sz w:val="26"/>
          <w:szCs w:val="26"/>
          <w:lang w:val="lv-LV"/>
        </w:rPr>
      </w:pPr>
    </w:p>
    <w:p w14:paraId="74E35815" w14:textId="6A243C7A" w:rsidR="009A4FC6" w:rsidRPr="009A4FC6" w:rsidRDefault="008C2112" w:rsidP="009A4FC6">
      <w:pPr>
        <w:pStyle w:val="NoSpacing"/>
        <w:spacing w:before="120" w:after="120"/>
        <w:ind w:left="482"/>
        <w:jc w:val="both"/>
        <w:rPr>
          <w:szCs w:val="24"/>
          <w:lang w:val="lv-LV"/>
        </w:rPr>
      </w:pPr>
      <m:oMathPara>
        <m:oMathParaPr>
          <m:jc m:val="center"/>
        </m:oMathParaPr>
        <m:oMath>
          <m:sSub>
            <m:sSubPr>
              <m:ctrlPr>
                <w:rPr>
                  <w:rFonts w:ascii="Cambria Math" w:eastAsia="Cambria Math" w:hAnsi="Cambria Math"/>
                  <w:i/>
                  <w:smallCaps/>
                  <w:szCs w:val="24"/>
                </w:rPr>
              </m:ctrlPr>
            </m:sSubPr>
            <m:e>
              <m:r>
                <w:rPr>
                  <w:rFonts w:ascii="Cambria Math" w:eastAsia="Cambria Math" w:hAnsi="Cambria Math"/>
                  <w:smallCaps/>
                  <w:szCs w:val="24"/>
                </w:rPr>
                <m:t>M</m:t>
              </m:r>
            </m:e>
            <m:sub>
              <m:r>
                <w:rPr>
                  <w:rFonts w:ascii="Cambria Math" w:eastAsia="Cambria Math" w:hAnsi="Cambria Math"/>
                  <w:smallCaps/>
                  <w:szCs w:val="24"/>
                </w:rPr>
                <m:t>RTEC1</m:t>
              </m:r>
            </m:sub>
          </m:sSub>
          <m:r>
            <w:rPr>
              <w:rFonts w:ascii="Cambria Math" w:eastAsia="Cambria Math" w:hAnsi="Cambria Math"/>
              <w:szCs w:val="24"/>
            </w:rPr>
            <m:t>=(</m:t>
          </m:r>
          <m:nary>
            <m:naryPr>
              <m:chr m:val="∑"/>
              <m:grow m:val="1"/>
              <m:ctrlPr>
                <w:rPr>
                  <w:rFonts w:ascii="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2</m:t>
              </m:r>
            </m:sup>
            <m:e>
              <m:r>
                <m:rPr>
                  <m:sty m:val="p"/>
                </m:rPr>
                <w:rPr>
                  <w:rFonts w:ascii="Cambria Math" w:hAnsi="Cambria Math"/>
                  <w:szCs w:val="24"/>
                  <w:lang w:val="lv-LV"/>
                </w:rPr>
                <m:t xml:space="preserve">14 731 776,00 </m:t>
              </m:r>
              <m: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i</m:t>
                      </m:r>
                    </m:sup>
                  </m:sSup>
                </m:den>
              </m:f>
              <m:r>
                <w:rPr>
                  <w:rFonts w:ascii="Cambria Math" w:hAnsi="Cambria Math"/>
                  <w:szCs w:val="24"/>
                </w:rPr>
                <m:t>)</m:t>
              </m:r>
            </m:e>
          </m:nary>
          <m:r>
            <w:rPr>
              <w:rFonts w:ascii="Cambria Math" w:hAnsi="Cambria Math"/>
              <w:szCs w:val="24"/>
            </w:rPr>
            <m:t xml:space="preserve">+ </m:t>
          </m:r>
          <m:r>
            <m:rPr>
              <m:sty m:val="p"/>
            </m:rPr>
            <w:rPr>
              <w:rFonts w:ascii="Cambria Math" w:hAnsi="Cambria Math"/>
              <w:szCs w:val="24"/>
            </w:rPr>
            <w:br/>
          </m:r>
        </m:oMath>
        <m:oMath>
          <m:r>
            <m:rPr>
              <m:sty m:val="p"/>
            </m:rPr>
            <w:rPr>
              <w:rFonts w:ascii="Cambria Math" w:hAnsi="Cambria Math"/>
              <w:szCs w:val="24"/>
            </w:rPr>
            <w:br/>
          </m:r>
        </m:oMath>
        <m:oMath>
          <m:r>
            <m:rPr>
              <m:sty m:val="p"/>
            </m:rPr>
            <w:rPr>
              <w:rFonts w:ascii="Cambria Math" w:hAnsi="Cambria Math"/>
              <w:szCs w:val="24"/>
              <w:lang w:val="lv-LV"/>
            </w:rPr>
            <m:t xml:space="preserve">14 731 776,00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304</m:t>
              </m:r>
            </m:num>
            <m:den>
              <m:r>
                <w:rPr>
                  <w:rFonts w:ascii="Cambria Math" w:hAnsi="Cambria Math"/>
                  <w:szCs w:val="24"/>
                </w:rPr>
                <m:t>366</m:t>
              </m:r>
            </m:den>
          </m:f>
          <m:r>
            <m:rPr>
              <m:sty m:val="p"/>
            </m:rPr>
            <w:rPr>
              <w:rFonts w:ascii="Cambria Math" w:hAnsi="Cambria Math"/>
              <w:szCs w:val="24"/>
              <w:lang w:val="lv-LV"/>
            </w:rPr>
            <m:t xml:space="preserve">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3</m:t>
                  </m:r>
                </m:sup>
              </m:sSup>
            </m:den>
          </m:f>
          <m:r>
            <m:rPr>
              <m:sty m:val="p"/>
            </m:rPr>
            <w:rPr>
              <w:rFonts w:ascii="Cambria Math" w:hAnsi="Cambria Math"/>
              <w:szCs w:val="24"/>
            </w:rPr>
            <w:br/>
          </m:r>
        </m:oMath>
        <m:oMath>
          <m:r>
            <m:rPr>
              <m:sty m:val="p"/>
            </m:rPr>
            <w:rPr>
              <w:rFonts w:ascii="Cambria Math" w:hAnsi="Cambria Math"/>
              <w:szCs w:val="24"/>
            </w:rPr>
            <w:br/>
          </m:r>
        </m:oMath>
        <m:oMath>
          <m:r>
            <w:rPr>
              <w:rFonts w:ascii="Cambria Math" w:hAnsi="Cambria Math"/>
              <w:szCs w:val="24"/>
            </w:rPr>
            <m:t xml:space="preserve">= </m:t>
          </m:r>
          <m:r>
            <m:rPr>
              <m:sty m:val="p"/>
            </m:rPr>
            <w:rPr>
              <w:rFonts w:ascii="Cambria Math" w:hAnsi="Cambria Math"/>
              <w:szCs w:val="24"/>
              <w:lang w:val="lv-LV"/>
            </w:rPr>
            <m:t>26 522 584,52 EUR</m:t>
          </m:r>
          <m:r>
            <w:rPr>
              <w:rFonts w:ascii="Cambria Math" w:hAnsi="Cambria Math"/>
              <w:szCs w:val="24"/>
            </w:rPr>
            <m:t xml:space="preserve"> </m:t>
          </m:r>
        </m:oMath>
      </m:oMathPara>
    </w:p>
    <w:p w14:paraId="3A128E21" w14:textId="77777777" w:rsidR="009A4FC6" w:rsidRPr="00FC40CE" w:rsidRDefault="009A4FC6" w:rsidP="00822DC9">
      <w:pPr>
        <w:rPr>
          <w:rFonts w:eastAsiaTheme="minorEastAsia"/>
          <w:sz w:val="26"/>
          <w:szCs w:val="26"/>
          <w:lang w:val="lv-LV"/>
        </w:rPr>
      </w:pPr>
    </w:p>
    <w:p w14:paraId="7789F784" w14:textId="77777777" w:rsidR="00193016" w:rsidRPr="00C838CC" w:rsidRDefault="008C2112" w:rsidP="00193016">
      <w:pPr>
        <w:pStyle w:val="NoSpacing"/>
        <w:framePr w:hSpace="180" w:wrap="around" w:vAnchor="text" w:hAnchor="margin" w:xAlign="center" w:y="149"/>
        <w:spacing w:before="120" w:after="120"/>
        <w:ind w:left="559"/>
        <w:jc w:val="both"/>
        <w:rPr>
          <w:szCs w:val="24"/>
          <w:lang w:val="lv-LV"/>
        </w:rPr>
      </w:pPr>
      <m:oMathPara>
        <m:oMathParaPr>
          <m:jc m:val="center"/>
        </m:oMathParaPr>
        <m:oMath>
          <m:sSub>
            <m:sSubPr>
              <m:ctrlPr>
                <w:rPr>
                  <w:rFonts w:ascii="Cambria Math" w:eastAsia="Cambria Math" w:hAnsi="Cambria Math" w:cs="Cambria Math"/>
                  <w:i/>
                  <w:smallCaps/>
                  <w:szCs w:val="24"/>
                </w:rPr>
              </m:ctrlPr>
            </m:sSubPr>
            <m:e>
              <m:r>
                <w:rPr>
                  <w:rFonts w:ascii="Cambria Math" w:eastAsia="Cambria Math" w:hAnsi="Cambria Math" w:cs="Cambria Math"/>
                  <w:smallCaps/>
                  <w:szCs w:val="24"/>
                </w:rPr>
                <m:t>M</m:t>
              </m:r>
            </m:e>
            <m:sub>
              <m:r>
                <w:rPr>
                  <w:rFonts w:ascii="Cambria Math" w:eastAsia="Cambria Math" w:hAnsi="Cambria Math" w:cs="Cambria Math"/>
                  <w:smallCaps/>
                  <w:szCs w:val="24"/>
                </w:rPr>
                <m:t>RTEC2</m:t>
              </m:r>
            </m:sub>
          </m:sSub>
          <m:r>
            <w:rPr>
              <w:rFonts w:ascii="Cambria Math" w:eastAsia="Cambria Math" w:hAnsi="Cambria Math" w:cs="Cambria Math"/>
              <w:szCs w:val="24"/>
            </w:rPr>
            <m:t>=(</m:t>
          </m:r>
          <m:nary>
            <m:naryPr>
              <m:chr m:val="∑"/>
              <m:grow m:val="1"/>
              <m:ctrlPr>
                <w:rPr>
                  <w:rFonts w:ascii="Cambria Math" w:hAnsi="Cambria Math"/>
                  <w:szCs w:val="24"/>
                </w:rPr>
              </m:ctrlPr>
            </m:naryPr>
            <m:sub>
              <m:r>
                <w:rPr>
                  <w:rFonts w:ascii="Cambria Math" w:eastAsia="Cambria Math" w:hAnsi="Cambria Math" w:cs="Cambria Math"/>
                  <w:szCs w:val="24"/>
                </w:rPr>
                <m:t>i=1</m:t>
              </m:r>
            </m:sub>
            <m:sup>
              <m:r>
                <w:rPr>
                  <w:rFonts w:ascii="Cambria Math" w:hAnsi="Cambria Math"/>
                  <w:szCs w:val="24"/>
                </w:rPr>
                <m:t>10</m:t>
              </m:r>
            </m:sup>
            <m:e>
              <m:r>
                <m:rPr>
                  <m:sty m:val="p"/>
                </m:rPr>
                <w:rPr>
                  <w:rFonts w:ascii="Cambria Math" w:hAnsi="Cambria Math"/>
                  <w:szCs w:val="24"/>
                  <w:lang w:val="lv-LV"/>
                </w:rPr>
                <m:t xml:space="preserve">85 147 619,20 </m:t>
              </m:r>
              <m: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i</m:t>
                      </m:r>
                    </m:sup>
                  </m:sSup>
                </m:den>
              </m:f>
              <m:r>
                <w:rPr>
                  <w:rFonts w:ascii="Cambria Math" w:hAnsi="Cambria Math"/>
                  <w:szCs w:val="24"/>
                </w:rPr>
                <m:t>)</m:t>
              </m:r>
            </m:e>
          </m:nary>
          <m:r>
            <m:rPr>
              <m:sty m:val="p"/>
            </m:rPr>
            <w:rPr>
              <w:rFonts w:ascii="Cambria Math" w:hAnsi="Cambria Math"/>
              <w:szCs w:val="24"/>
            </w:rPr>
            <w:br/>
          </m:r>
        </m:oMath>
        <m:oMath>
          <m:r>
            <m:rPr>
              <m:sty m:val="p"/>
            </m:rPr>
            <w:rPr>
              <w:rFonts w:ascii="Cambria Math" w:hAnsi="Cambria Math"/>
              <w:szCs w:val="24"/>
            </w:rPr>
            <w:br/>
          </m:r>
        </m:oMath>
        <m:oMath>
          <m:r>
            <w:rPr>
              <w:rFonts w:ascii="Cambria Math" w:hAnsi="Cambria Math"/>
              <w:szCs w:val="24"/>
            </w:rPr>
            <m:t xml:space="preserve">+ </m:t>
          </m:r>
          <m:r>
            <m:rPr>
              <m:sty m:val="p"/>
            </m:rPr>
            <w:rPr>
              <w:rFonts w:ascii="Cambria Math" w:hAnsi="Cambria Math"/>
              <w:szCs w:val="24"/>
              <w:lang w:val="lv-LV"/>
            </w:rPr>
            <m:t xml:space="preserve">85 147 619,20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267</m:t>
              </m:r>
            </m:num>
            <m:den>
              <m:r>
                <w:rPr>
                  <w:rFonts w:ascii="Cambria Math" w:hAnsi="Cambria Math"/>
                  <w:szCs w:val="24"/>
                </w:rPr>
                <m:t>366</m:t>
              </m:r>
            </m:den>
          </m:f>
          <m:r>
            <m:rPr>
              <m:sty m:val="p"/>
            </m:rPr>
            <w:rPr>
              <w:rFonts w:ascii="Cambria Math" w:hAnsi="Cambria Math"/>
              <w:szCs w:val="24"/>
              <w:lang w:val="lv-LV"/>
            </w:rPr>
            <m:t xml:space="preserve">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11</m:t>
                  </m:r>
                </m:sup>
              </m:sSup>
            </m:den>
          </m:f>
          <m:r>
            <m:rPr>
              <m:sty m:val="p"/>
            </m:rPr>
            <w:rPr>
              <w:rFonts w:ascii="Cambria Math" w:hAnsi="Cambria Math"/>
              <w:szCs w:val="24"/>
            </w:rPr>
            <w:br/>
          </m:r>
        </m:oMath>
        <m:oMath>
          <m:r>
            <m:rPr>
              <m:sty m:val="p"/>
            </m:rPr>
            <w:rPr>
              <w:rFonts w:ascii="Cambria Math" w:hAnsi="Cambria Math"/>
              <w:szCs w:val="24"/>
            </w:rPr>
            <w:br/>
          </m:r>
        </m:oMath>
        <m:oMath>
          <m:r>
            <w:rPr>
              <w:rFonts w:ascii="Cambria Math" w:hAnsi="Cambria Math"/>
              <w:szCs w:val="24"/>
            </w:rPr>
            <m:t xml:space="preserve">= </m:t>
          </m:r>
          <m:r>
            <m:rPr>
              <m:sty m:val="p"/>
            </m:rPr>
            <w:rPr>
              <w:rFonts w:ascii="Cambria Math" w:hAnsi="Cambria Math"/>
              <w:szCs w:val="24"/>
              <w:lang w:val="lv-LV"/>
            </w:rPr>
            <m:t>427 890 165,38 EUR</m:t>
          </m:r>
          <m:r>
            <m:rPr>
              <m:sty m:val="p"/>
            </m:rPr>
            <w:rPr>
              <w:szCs w:val="24"/>
              <w:lang w:val="lv-LV"/>
            </w:rPr>
            <w:br/>
          </m:r>
        </m:oMath>
      </m:oMathPara>
    </w:p>
    <w:p w14:paraId="02E97A78" w14:textId="77777777" w:rsidR="00193016" w:rsidRPr="001C0282" w:rsidRDefault="008C2112" w:rsidP="00193016">
      <w:pPr>
        <w:pStyle w:val="NoSpacing"/>
        <w:framePr w:hSpace="180" w:wrap="around" w:vAnchor="text" w:hAnchor="margin" w:xAlign="center" w:y="149"/>
        <w:spacing w:before="120" w:after="120"/>
        <w:ind w:left="559"/>
        <w:jc w:val="center"/>
        <w:rPr>
          <w:szCs w:val="24"/>
          <w:lang w:val="lv-LV"/>
        </w:rPr>
      </w:pPr>
      <m:oMathPara>
        <m:oMathParaPr>
          <m:jc m:val="center"/>
        </m:oMathParaPr>
        <m:oMath>
          <m:sSub>
            <m:sSubPr>
              <m:ctrlPr>
                <w:rPr>
                  <w:rFonts w:ascii="Cambria Math" w:eastAsia="Cambria Math" w:hAnsi="Cambria Math" w:cs="Cambria Math"/>
                  <w:i/>
                  <w:smallCaps/>
                  <w:szCs w:val="24"/>
                </w:rPr>
              </m:ctrlPr>
            </m:sSubPr>
            <m:e>
              <m:r>
                <w:rPr>
                  <w:rFonts w:ascii="Cambria Math" w:eastAsia="Cambria Math" w:hAnsi="Cambria Math" w:cs="Cambria Math"/>
                  <w:smallCaps/>
                  <w:szCs w:val="24"/>
                  <w:lang w:val="lv-LV"/>
                </w:rPr>
                <m:t>M</m:t>
              </m:r>
            </m:e>
            <m:sub>
              <m:r>
                <w:rPr>
                  <w:rFonts w:ascii="Cambria Math" w:eastAsia="Cambria Math" w:hAnsi="Cambria Math" w:cs="Cambria Math"/>
                  <w:smallCaps/>
                  <w:szCs w:val="24"/>
                  <w:lang w:val="lv-LV"/>
                </w:rPr>
                <m:t>LE</m:t>
              </m:r>
            </m:sub>
          </m:sSub>
          <m:r>
            <w:rPr>
              <w:rFonts w:ascii="Cambria Math" w:eastAsia="Cambria Math" w:hAnsi="Cambria Math" w:cs="Cambria Math"/>
              <w:szCs w:val="24"/>
              <w:lang w:val="lv-LV"/>
            </w:rPr>
            <m:t>=</m:t>
          </m:r>
          <m:r>
            <m:rPr>
              <m:sty m:val="p"/>
            </m:rPr>
            <w:rPr>
              <w:rFonts w:ascii="Cambria Math" w:hAnsi="Cambria Math"/>
              <w:szCs w:val="24"/>
              <w:lang w:val="lv-LV"/>
            </w:rPr>
            <m:t>26 522 584,52+427 890 165,38</m:t>
          </m:r>
          <m:r>
            <m:rPr>
              <m:sty m:val="p"/>
            </m:rPr>
            <w:rPr>
              <w:rFonts w:ascii="Cambria Math" w:hAnsi="Cambria Math"/>
              <w:szCs w:val="24"/>
              <w:lang w:val="lv-LV"/>
            </w:rPr>
            <w:br/>
          </m:r>
        </m:oMath>
      </m:oMathPara>
    </w:p>
    <w:p w14:paraId="4ED885F9" w14:textId="520BF647" w:rsidR="00193016" w:rsidRDefault="00193016" w:rsidP="00193016">
      <w:pPr>
        <w:pStyle w:val="NoSpacing"/>
        <w:spacing w:after="60"/>
        <w:ind w:firstLine="709"/>
        <w:jc w:val="both"/>
        <w:rPr>
          <w:rFonts w:eastAsiaTheme="minorEastAsia"/>
          <w:szCs w:val="24"/>
          <w:lang w:val="lv-LV"/>
        </w:rPr>
      </w:pPr>
      <m:oMathPara>
        <m:oMathParaPr>
          <m:jc m:val="center"/>
        </m:oMathParaPr>
        <m:oMath>
          <m:r>
            <w:rPr>
              <w:rFonts w:ascii="Cambria Math" w:hAnsi="Cambria Math"/>
              <w:szCs w:val="24"/>
            </w:rPr>
            <m:t xml:space="preserve">= </m:t>
          </m:r>
          <m:r>
            <m:rPr>
              <m:sty m:val="p"/>
            </m:rPr>
            <w:rPr>
              <w:rFonts w:ascii="Cambria Math" w:hAnsi="Cambria Math"/>
              <w:szCs w:val="24"/>
              <w:lang w:val="lv-LV"/>
            </w:rPr>
            <m:t>454 412 749,90 EUR</m:t>
          </m:r>
          <m:r>
            <m:rPr>
              <m:sty m:val="p"/>
            </m:rPr>
            <w:rPr>
              <w:rFonts w:ascii="Cambria Math" w:hAnsi="Cambria Math"/>
              <w:szCs w:val="24"/>
              <w:lang w:val="lv-LV"/>
            </w:rPr>
            <w:br/>
          </m:r>
        </m:oMath>
      </m:oMathPara>
    </w:p>
    <w:p w14:paraId="60050911" w14:textId="340932AC" w:rsidR="00054AF1" w:rsidRDefault="004778DB" w:rsidP="008E48A0">
      <w:pPr>
        <w:pStyle w:val="tv213"/>
        <w:spacing w:before="120" w:beforeAutospacing="0" w:after="120" w:afterAutospacing="0"/>
        <w:ind w:firstLine="709"/>
        <w:jc w:val="both"/>
        <w:rPr>
          <w:rFonts w:eastAsiaTheme="minorEastAsia"/>
          <w:sz w:val="26"/>
          <w:szCs w:val="26"/>
        </w:rPr>
      </w:pPr>
      <w:r w:rsidRPr="004778DB">
        <w:rPr>
          <w:rFonts w:eastAsiaTheme="minorEastAsia"/>
          <w:sz w:val="26"/>
          <w:szCs w:val="26"/>
        </w:rPr>
        <w:t xml:space="preserve">No </w:t>
      </w:r>
      <w:r>
        <w:rPr>
          <w:rFonts w:eastAsiaTheme="minorEastAsia"/>
          <w:sz w:val="26"/>
          <w:szCs w:val="26"/>
        </w:rPr>
        <w:t xml:space="preserve">aprēķina izriet, ka vienreizējā maksājuma apmērs </w:t>
      </w:r>
      <w:r w:rsidR="008E48A0">
        <w:rPr>
          <w:rFonts w:eastAsiaTheme="minorEastAsia"/>
          <w:sz w:val="26"/>
          <w:szCs w:val="26"/>
        </w:rPr>
        <w:t xml:space="preserve">pirms noapaļošanas par </w:t>
      </w:r>
      <w:r w:rsidR="00B9427C">
        <w:rPr>
          <w:rFonts w:eastAsiaTheme="minorEastAsia"/>
          <w:sz w:val="26"/>
          <w:szCs w:val="26"/>
        </w:rPr>
        <w:t xml:space="preserve">garantētās maksas saistību samazināšanu </w:t>
      </w:r>
      <w:r w:rsidR="00054AF1">
        <w:rPr>
          <w:rFonts w:eastAsiaTheme="minorEastAsia"/>
          <w:sz w:val="26"/>
          <w:szCs w:val="26"/>
        </w:rPr>
        <w:t xml:space="preserve">par akciju sabiedrībai “Latvenergo” Rīgas TEC-1 </w:t>
      </w:r>
      <w:r w:rsidR="00054AF1" w:rsidRPr="007465E8">
        <w:rPr>
          <w:sz w:val="26"/>
          <w:szCs w:val="26"/>
        </w:rPr>
        <w:t>koģenerācijas elektrostacijā uzstādīto elektrisko jaudu</w:t>
      </w:r>
      <w:r w:rsidR="00054AF1">
        <w:rPr>
          <w:sz w:val="26"/>
          <w:szCs w:val="26"/>
        </w:rPr>
        <w:t xml:space="preserve"> </w:t>
      </w:r>
      <w:r w:rsidR="00931E63">
        <w:rPr>
          <w:rFonts w:eastAsiaTheme="minorEastAsia"/>
          <w:sz w:val="26"/>
          <w:szCs w:val="26"/>
        </w:rPr>
        <w:t>ir</w:t>
      </w:r>
      <w:r w:rsidR="008E48A0">
        <w:rPr>
          <w:rFonts w:eastAsiaTheme="minorEastAsia"/>
          <w:sz w:val="26"/>
          <w:szCs w:val="26"/>
        </w:rPr>
        <w:t xml:space="preserve"> </w:t>
      </w:r>
      <w:r w:rsidR="008E48A0" w:rsidRPr="008E48A0">
        <w:rPr>
          <w:rFonts w:eastAsiaTheme="minorEastAsia"/>
          <w:sz w:val="26"/>
          <w:szCs w:val="26"/>
        </w:rPr>
        <w:t>26 522 584,52 EUR</w:t>
      </w:r>
      <w:r w:rsidR="00931E63">
        <w:rPr>
          <w:rFonts w:eastAsiaTheme="minorEastAsia"/>
          <w:sz w:val="26"/>
          <w:szCs w:val="26"/>
        </w:rPr>
        <w:t>, bet</w:t>
      </w:r>
      <w:r w:rsidR="008E48A0">
        <w:rPr>
          <w:rFonts w:eastAsiaTheme="minorEastAsia"/>
          <w:sz w:val="26"/>
          <w:szCs w:val="26"/>
        </w:rPr>
        <w:t xml:space="preserve"> </w:t>
      </w:r>
      <w:r w:rsidR="00054AF1">
        <w:rPr>
          <w:rFonts w:eastAsiaTheme="minorEastAsia"/>
          <w:sz w:val="26"/>
          <w:szCs w:val="26"/>
        </w:rPr>
        <w:t xml:space="preserve">par </w:t>
      </w:r>
      <w:r w:rsidR="008E48A0">
        <w:rPr>
          <w:rFonts w:eastAsiaTheme="minorEastAsia"/>
          <w:sz w:val="26"/>
          <w:szCs w:val="26"/>
        </w:rPr>
        <w:t xml:space="preserve">Rīgas TEC-2 </w:t>
      </w:r>
      <w:r w:rsidR="00054AF1" w:rsidRPr="007465E8">
        <w:rPr>
          <w:sz w:val="26"/>
          <w:szCs w:val="26"/>
        </w:rPr>
        <w:t>koģenerācijas elektrostacijā uzstādīto elektrisko jaudu</w:t>
      </w:r>
      <w:r w:rsidR="00054AF1">
        <w:rPr>
          <w:sz w:val="26"/>
          <w:szCs w:val="26"/>
        </w:rPr>
        <w:t xml:space="preserve"> </w:t>
      </w:r>
      <w:r w:rsidR="008E48A0">
        <w:rPr>
          <w:rFonts w:eastAsiaTheme="minorEastAsia"/>
          <w:sz w:val="26"/>
          <w:szCs w:val="26"/>
        </w:rPr>
        <w:t xml:space="preserve">tas </w:t>
      </w:r>
      <w:r w:rsidR="00931E63">
        <w:rPr>
          <w:rFonts w:eastAsiaTheme="minorEastAsia"/>
          <w:sz w:val="26"/>
          <w:szCs w:val="26"/>
        </w:rPr>
        <w:t xml:space="preserve">veido </w:t>
      </w:r>
      <w:r w:rsidR="008E48A0" w:rsidRPr="008E48A0">
        <w:rPr>
          <w:rFonts w:eastAsiaTheme="minorEastAsia"/>
          <w:sz w:val="26"/>
          <w:szCs w:val="26"/>
        </w:rPr>
        <w:t>427 890 165,38 EUR</w:t>
      </w:r>
      <w:r w:rsidR="00931E63">
        <w:rPr>
          <w:rFonts w:eastAsiaTheme="minorEastAsia"/>
          <w:sz w:val="26"/>
          <w:szCs w:val="26"/>
        </w:rPr>
        <w:t xml:space="preserve">, </w:t>
      </w:r>
      <w:r w:rsidR="00054AF1">
        <w:rPr>
          <w:rFonts w:eastAsiaTheme="minorEastAsia"/>
          <w:sz w:val="26"/>
          <w:szCs w:val="26"/>
        </w:rPr>
        <w:t>kopsummai</w:t>
      </w:r>
      <w:r w:rsidR="00931E63">
        <w:rPr>
          <w:rFonts w:eastAsiaTheme="minorEastAsia"/>
          <w:sz w:val="26"/>
          <w:szCs w:val="26"/>
        </w:rPr>
        <w:t xml:space="preserve"> </w:t>
      </w:r>
      <w:r w:rsidR="00866228">
        <w:rPr>
          <w:rFonts w:eastAsiaTheme="minorEastAsia"/>
          <w:sz w:val="26"/>
          <w:szCs w:val="26"/>
        </w:rPr>
        <w:t xml:space="preserve">par abām stacijām </w:t>
      </w:r>
      <w:r w:rsidR="00931E63">
        <w:rPr>
          <w:rFonts w:eastAsiaTheme="minorEastAsia"/>
          <w:sz w:val="26"/>
          <w:szCs w:val="26"/>
        </w:rPr>
        <w:t xml:space="preserve">sastādot </w:t>
      </w:r>
      <w:r w:rsidR="00054AF1" w:rsidRPr="00054AF1">
        <w:rPr>
          <w:rFonts w:eastAsiaTheme="minorEastAsia"/>
          <w:sz w:val="26"/>
          <w:szCs w:val="26"/>
        </w:rPr>
        <w:t>454 412 749,90 EUR</w:t>
      </w:r>
      <w:r w:rsidR="00054AF1">
        <w:rPr>
          <w:rFonts w:eastAsiaTheme="minorEastAsia"/>
          <w:sz w:val="26"/>
          <w:szCs w:val="26"/>
        </w:rPr>
        <w:t>.</w:t>
      </w:r>
    </w:p>
    <w:p w14:paraId="46D9E5B4" w14:textId="6FD786A3" w:rsidR="008D5FD2" w:rsidRPr="00706A1F" w:rsidRDefault="001B2553" w:rsidP="006364B0">
      <w:pPr>
        <w:pStyle w:val="NoSpacing"/>
        <w:spacing w:after="60"/>
        <w:ind w:firstLine="709"/>
        <w:jc w:val="both"/>
        <w:rPr>
          <w:sz w:val="26"/>
          <w:szCs w:val="26"/>
          <w:lang w:val="lv-LV"/>
        </w:rPr>
      </w:pPr>
      <w:r w:rsidRPr="00706A1F">
        <w:rPr>
          <w:sz w:val="26"/>
          <w:szCs w:val="26"/>
          <w:lang w:val="lv-LV"/>
        </w:rPr>
        <w:t>1</w:t>
      </w:r>
      <w:r w:rsidR="00386258" w:rsidRPr="00706A1F">
        <w:rPr>
          <w:sz w:val="26"/>
          <w:szCs w:val="26"/>
          <w:lang w:val="lv-LV"/>
        </w:rPr>
        <w:t>.</w:t>
      </w:r>
      <w:r w:rsidR="00AF3E9C">
        <w:rPr>
          <w:sz w:val="26"/>
          <w:szCs w:val="26"/>
          <w:lang w:val="lv-LV"/>
        </w:rPr>
        <w:t>5</w:t>
      </w:r>
      <w:r w:rsidRPr="00706A1F">
        <w:rPr>
          <w:sz w:val="26"/>
          <w:szCs w:val="26"/>
          <w:lang w:val="lv-LV"/>
        </w:rPr>
        <w:t>. </w:t>
      </w:r>
      <w:r w:rsidR="008D5FD2" w:rsidRPr="00706A1F">
        <w:rPr>
          <w:sz w:val="26"/>
          <w:szCs w:val="26"/>
          <w:lang w:val="lv-LV"/>
        </w:rPr>
        <w:t xml:space="preserve">saskaņā </w:t>
      </w:r>
      <w:r w:rsidR="00B16C2F" w:rsidRPr="00706A1F">
        <w:rPr>
          <w:sz w:val="26"/>
          <w:szCs w:val="26"/>
          <w:lang w:val="lv-LV"/>
        </w:rPr>
        <w:t xml:space="preserve">ar </w:t>
      </w:r>
      <w:r w:rsidR="00281C82">
        <w:rPr>
          <w:sz w:val="26"/>
          <w:szCs w:val="26"/>
          <w:lang w:val="lv-LV"/>
        </w:rPr>
        <w:t>Ministru kabineta n</w:t>
      </w:r>
      <w:r w:rsidR="00B16C2F" w:rsidRPr="00706A1F">
        <w:rPr>
          <w:sz w:val="26"/>
          <w:szCs w:val="26"/>
          <w:lang w:val="lv-LV"/>
        </w:rPr>
        <w:t>oteikumu Nr. 221 56.</w:t>
      </w:r>
      <w:r w:rsidR="00B16C2F" w:rsidRPr="00706A1F">
        <w:rPr>
          <w:sz w:val="26"/>
          <w:szCs w:val="26"/>
          <w:vertAlign w:val="superscript"/>
          <w:lang w:val="lv-LV"/>
        </w:rPr>
        <w:t>23</w:t>
      </w:r>
      <w:r w:rsidR="00B16C2F" w:rsidRPr="00706A1F">
        <w:rPr>
          <w:sz w:val="26"/>
          <w:szCs w:val="26"/>
          <w:lang w:val="lv-LV"/>
        </w:rPr>
        <w:t xml:space="preserve"> punktu </w:t>
      </w:r>
      <w:r w:rsidR="00714B29" w:rsidRPr="00706A1F">
        <w:rPr>
          <w:sz w:val="26"/>
          <w:szCs w:val="26"/>
          <w:lang w:val="lv-LV"/>
        </w:rPr>
        <w:t>v</w:t>
      </w:r>
      <w:r w:rsidR="008D5FD2" w:rsidRPr="00706A1F">
        <w:rPr>
          <w:sz w:val="26"/>
          <w:szCs w:val="26"/>
          <w:lang w:val="lv-LV"/>
        </w:rPr>
        <w:t xml:space="preserve">ienreizējo maksājumu veido divas daļas, par kuru apmēru lemj </w:t>
      </w:r>
      <w:r w:rsidR="00E7053B" w:rsidRPr="00706A1F">
        <w:rPr>
          <w:sz w:val="26"/>
          <w:szCs w:val="26"/>
          <w:lang w:val="lv-LV"/>
        </w:rPr>
        <w:t>M</w:t>
      </w:r>
      <w:r w:rsidR="009747FE">
        <w:rPr>
          <w:sz w:val="26"/>
          <w:szCs w:val="26"/>
          <w:lang w:val="lv-LV"/>
        </w:rPr>
        <w:t>inistru kabinets</w:t>
      </w:r>
      <w:r w:rsidR="008D5FD2" w:rsidRPr="00706A1F">
        <w:rPr>
          <w:sz w:val="26"/>
          <w:szCs w:val="26"/>
          <w:lang w:val="lv-LV"/>
        </w:rPr>
        <w:t>. Pirmā daļa nepārsniedz vienu trešdaļu no kopējā apmēra, tiek izmaksāta komersantam kā kompensācija izmaksas gadā un komersanta grāmatvedības dokumentos ir grāmatojama kā attiecīgā gada ieņēmumi. Atlikusī daļa tiek izmaksāta kā avansa maksājums un komersanta grāmatvedībā ir atzīstama kā ieņēmumi proporcionāli saistību izpildei līdz atbalsta perioda beigām.</w:t>
      </w:r>
    </w:p>
    <w:p w14:paraId="6DB97476" w14:textId="6F44D19A" w:rsidR="00C9618A" w:rsidRPr="00071EFC" w:rsidRDefault="00714B29" w:rsidP="00A81FAC">
      <w:pPr>
        <w:pStyle w:val="NoSpacing"/>
        <w:ind w:firstLine="709"/>
        <w:jc w:val="both"/>
        <w:rPr>
          <w:sz w:val="26"/>
          <w:szCs w:val="26"/>
          <w:lang w:val="lv-LV"/>
        </w:rPr>
      </w:pPr>
      <w:r w:rsidRPr="00071EFC">
        <w:rPr>
          <w:sz w:val="26"/>
          <w:szCs w:val="26"/>
          <w:lang w:val="lv-LV"/>
        </w:rPr>
        <w:t>1.6</w:t>
      </w:r>
      <w:r w:rsidR="00A81FAC" w:rsidRPr="00071EFC">
        <w:rPr>
          <w:sz w:val="26"/>
          <w:szCs w:val="26"/>
          <w:lang w:val="lv-LV"/>
        </w:rPr>
        <w:t>. pamatojoties uz š</w:t>
      </w:r>
      <w:r w:rsidR="00DB2B90">
        <w:rPr>
          <w:sz w:val="26"/>
          <w:szCs w:val="26"/>
          <w:lang w:val="lv-LV"/>
        </w:rPr>
        <w:t>ī</w:t>
      </w:r>
      <w:r w:rsidR="00A81FAC" w:rsidRPr="00071EFC">
        <w:rPr>
          <w:sz w:val="26"/>
          <w:szCs w:val="26"/>
          <w:lang w:val="lv-LV"/>
        </w:rPr>
        <w:t xml:space="preserve"> rīkojum</w:t>
      </w:r>
      <w:r w:rsidR="00533A3F">
        <w:rPr>
          <w:sz w:val="26"/>
          <w:szCs w:val="26"/>
          <w:lang w:val="lv-LV"/>
        </w:rPr>
        <w:t>a</w:t>
      </w:r>
      <w:r w:rsidR="00DB2B90">
        <w:rPr>
          <w:sz w:val="26"/>
          <w:szCs w:val="26"/>
          <w:lang w:val="lv-LV"/>
        </w:rPr>
        <w:t xml:space="preserve"> 1.</w:t>
      </w:r>
      <w:r w:rsidR="006A7615">
        <w:rPr>
          <w:sz w:val="26"/>
          <w:szCs w:val="26"/>
          <w:lang w:val="lv-LV"/>
        </w:rPr>
        <w:t> </w:t>
      </w:r>
      <w:r w:rsidR="00DB2B90">
        <w:rPr>
          <w:sz w:val="26"/>
          <w:szCs w:val="26"/>
          <w:lang w:val="lv-LV"/>
        </w:rPr>
        <w:t>punktā konstatēt</w:t>
      </w:r>
      <w:r w:rsidR="000C7628">
        <w:rPr>
          <w:sz w:val="26"/>
          <w:szCs w:val="26"/>
          <w:lang w:val="lv-LV"/>
        </w:rPr>
        <w:t>o</w:t>
      </w:r>
      <w:r w:rsidR="00A81FAC" w:rsidRPr="00071EFC">
        <w:rPr>
          <w:sz w:val="26"/>
          <w:szCs w:val="26"/>
          <w:lang w:val="lv-LV"/>
        </w:rPr>
        <w:t xml:space="preserve"> </w:t>
      </w:r>
      <w:r w:rsidR="00F7557E" w:rsidRPr="00071EFC">
        <w:rPr>
          <w:sz w:val="26"/>
          <w:szCs w:val="26"/>
          <w:lang w:val="lv-LV"/>
        </w:rPr>
        <w:t>akciju sabiedrībai</w:t>
      </w:r>
      <w:r w:rsidR="00C9618A" w:rsidRPr="00071EFC">
        <w:rPr>
          <w:sz w:val="26"/>
          <w:szCs w:val="26"/>
          <w:lang w:val="lv-LV"/>
        </w:rPr>
        <w:t xml:space="preserve"> “Latvenergo”</w:t>
      </w:r>
      <w:r w:rsidR="00A81FAC" w:rsidRPr="00071EFC">
        <w:rPr>
          <w:sz w:val="26"/>
          <w:szCs w:val="26"/>
          <w:lang w:val="lv-LV"/>
        </w:rPr>
        <w:t xml:space="preserve"> ir tiesības </w:t>
      </w:r>
      <w:r w:rsidR="00C9618A" w:rsidRPr="00071EFC">
        <w:rPr>
          <w:sz w:val="26"/>
          <w:szCs w:val="26"/>
          <w:lang w:val="lv-LV"/>
        </w:rPr>
        <w:t>saņemt</w:t>
      </w:r>
      <w:r w:rsidR="00161187" w:rsidRPr="00071EFC">
        <w:rPr>
          <w:sz w:val="26"/>
          <w:szCs w:val="26"/>
          <w:lang w:val="lv-LV"/>
        </w:rPr>
        <w:t xml:space="preserve"> vienreizēju maksājumu par koģenerācijas elektrostacijā uzstādīto elektrisko jaudu</w:t>
      </w:r>
      <w:r w:rsidR="002C43C4">
        <w:rPr>
          <w:sz w:val="26"/>
          <w:szCs w:val="26"/>
          <w:lang w:val="lv-LV"/>
        </w:rPr>
        <w:t>.</w:t>
      </w:r>
    </w:p>
    <w:p w14:paraId="7EB5C188" w14:textId="77777777" w:rsidR="006364B0" w:rsidRPr="00071EFC" w:rsidRDefault="00A81FAC" w:rsidP="00A81FAC">
      <w:pPr>
        <w:pStyle w:val="NoSpacing"/>
        <w:spacing w:after="60"/>
        <w:ind w:firstLine="709"/>
        <w:jc w:val="both"/>
        <w:rPr>
          <w:sz w:val="26"/>
          <w:szCs w:val="26"/>
          <w:lang w:val="lv-LV"/>
        </w:rPr>
      </w:pPr>
      <w:r w:rsidRPr="00071EFC">
        <w:rPr>
          <w:sz w:val="26"/>
          <w:szCs w:val="26"/>
          <w:lang w:val="lv-LV"/>
        </w:rPr>
        <w:t xml:space="preserve">2. Ievērojot minēto un pamatojoties uz </w:t>
      </w:r>
      <w:r w:rsidR="006364B0" w:rsidRPr="00071EFC">
        <w:rPr>
          <w:sz w:val="26"/>
          <w:szCs w:val="26"/>
          <w:lang w:val="lv-LV"/>
        </w:rPr>
        <w:t xml:space="preserve">Ministru kabineta noteikumu </w:t>
      </w:r>
      <w:r w:rsidR="007D147C" w:rsidRPr="00071EFC">
        <w:rPr>
          <w:sz w:val="26"/>
          <w:szCs w:val="26"/>
          <w:lang w:val="lv-LV"/>
        </w:rPr>
        <w:t>Nr. 221 56.</w:t>
      </w:r>
      <w:r w:rsidR="007D147C" w:rsidRPr="00071EFC">
        <w:rPr>
          <w:sz w:val="26"/>
          <w:szCs w:val="26"/>
          <w:vertAlign w:val="superscript"/>
          <w:lang w:val="lv-LV"/>
        </w:rPr>
        <w:t>27</w:t>
      </w:r>
      <w:r w:rsidR="004E7BB4" w:rsidRPr="00071EFC">
        <w:rPr>
          <w:sz w:val="26"/>
          <w:szCs w:val="26"/>
          <w:lang w:val="lv-LV"/>
        </w:rPr>
        <w:t xml:space="preserve"> punktu, Ministru kabinets nolemj:</w:t>
      </w:r>
    </w:p>
    <w:p w14:paraId="1DCE898D" w14:textId="07D5923A" w:rsidR="000513F0" w:rsidRDefault="00A81FAC" w:rsidP="00A81FAC">
      <w:pPr>
        <w:pStyle w:val="NoSpacing"/>
        <w:spacing w:after="60"/>
        <w:ind w:firstLine="709"/>
        <w:jc w:val="both"/>
        <w:rPr>
          <w:sz w:val="26"/>
          <w:szCs w:val="26"/>
          <w:lang w:val="lv-LV"/>
        </w:rPr>
      </w:pPr>
      <w:r w:rsidRPr="00071EFC">
        <w:rPr>
          <w:sz w:val="26"/>
          <w:szCs w:val="26"/>
          <w:lang w:val="lv-LV"/>
        </w:rPr>
        <w:t xml:space="preserve">2.1. atbalstīt </w:t>
      </w:r>
      <w:r w:rsidR="004A30B3" w:rsidRPr="00071EFC">
        <w:rPr>
          <w:sz w:val="26"/>
          <w:szCs w:val="26"/>
          <w:lang w:val="lv-LV"/>
        </w:rPr>
        <w:t>garantētās maksas saistību samazināšanu</w:t>
      </w:r>
      <w:r w:rsidR="00693EC9" w:rsidRPr="00071EFC">
        <w:rPr>
          <w:sz w:val="26"/>
          <w:szCs w:val="26"/>
          <w:lang w:val="lv-LV"/>
        </w:rPr>
        <w:t xml:space="preserve"> </w:t>
      </w:r>
      <w:r w:rsidR="0076040B" w:rsidRPr="00071EFC">
        <w:rPr>
          <w:sz w:val="26"/>
          <w:szCs w:val="26"/>
          <w:lang w:val="lv-LV"/>
        </w:rPr>
        <w:t xml:space="preserve">atlikušajā atbalsta periodā </w:t>
      </w:r>
      <w:r w:rsidR="00693EC9" w:rsidRPr="00071EFC">
        <w:rPr>
          <w:sz w:val="26"/>
          <w:szCs w:val="26"/>
          <w:lang w:val="lv-LV"/>
        </w:rPr>
        <w:t xml:space="preserve">par </w:t>
      </w:r>
      <w:r w:rsidR="00F7557E" w:rsidRPr="00071EFC">
        <w:rPr>
          <w:sz w:val="26"/>
          <w:szCs w:val="26"/>
          <w:lang w:val="lv-LV"/>
        </w:rPr>
        <w:t xml:space="preserve">akciju </w:t>
      </w:r>
      <w:r w:rsidR="00F7557E" w:rsidRPr="00CD6EEC">
        <w:rPr>
          <w:sz w:val="26"/>
          <w:szCs w:val="26"/>
          <w:lang w:val="lv-LV"/>
        </w:rPr>
        <w:t>sabiedrības</w:t>
      </w:r>
      <w:r w:rsidR="00E41057" w:rsidRPr="00CD6EEC">
        <w:rPr>
          <w:sz w:val="26"/>
          <w:szCs w:val="26"/>
          <w:lang w:val="lv-LV"/>
        </w:rPr>
        <w:t> </w:t>
      </w:r>
      <w:r w:rsidR="00693EC9" w:rsidRPr="00CD6EEC">
        <w:rPr>
          <w:sz w:val="26"/>
          <w:szCs w:val="26"/>
          <w:lang w:val="lv-LV"/>
        </w:rPr>
        <w:t xml:space="preserve">“Latvenergo” </w:t>
      </w:r>
      <w:r w:rsidR="00F7557E" w:rsidRPr="00CD6EEC">
        <w:rPr>
          <w:sz w:val="26"/>
          <w:szCs w:val="26"/>
          <w:lang w:val="lv-LV"/>
        </w:rPr>
        <w:t xml:space="preserve">Rīgas </w:t>
      </w:r>
      <w:r w:rsidR="00693EC9" w:rsidRPr="00CD6EEC">
        <w:rPr>
          <w:sz w:val="26"/>
          <w:szCs w:val="26"/>
          <w:lang w:val="lv-LV"/>
        </w:rPr>
        <w:t xml:space="preserve">TEC-1 un </w:t>
      </w:r>
      <w:r w:rsidR="00F7557E" w:rsidRPr="00CD6EEC">
        <w:rPr>
          <w:sz w:val="26"/>
          <w:szCs w:val="26"/>
          <w:lang w:val="lv-LV"/>
        </w:rPr>
        <w:t xml:space="preserve">Rīgas </w:t>
      </w:r>
      <w:r w:rsidR="00693EC9" w:rsidRPr="00CD6EEC">
        <w:rPr>
          <w:sz w:val="26"/>
          <w:szCs w:val="26"/>
          <w:lang w:val="lv-LV"/>
        </w:rPr>
        <w:t xml:space="preserve">TEC-2 </w:t>
      </w:r>
      <w:r w:rsidR="00693EC9" w:rsidRPr="00CD6EEC">
        <w:rPr>
          <w:sz w:val="26"/>
          <w:szCs w:val="26"/>
          <w:lang w:val="lv-LV"/>
        </w:rPr>
        <w:lastRenderedPageBreak/>
        <w:t xml:space="preserve">koģenerācijas </w:t>
      </w:r>
      <w:r w:rsidR="004A30B3" w:rsidRPr="00CD6EEC">
        <w:rPr>
          <w:sz w:val="26"/>
          <w:szCs w:val="26"/>
          <w:lang w:val="lv-LV"/>
        </w:rPr>
        <w:t xml:space="preserve">elektrostacijās </w:t>
      </w:r>
      <w:r w:rsidR="00E41057" w:rsidRPr="00CD6EEC">
        <w:rPr>
          <w:sz w:val="26"/>
          <w:szCs w:val="26"/>
          <w:lang w:val="lv-LV"/>
        </w:rPr>
        <w:t xml:space="preserve">uzstādīto elektrisko jaudu, komersantam </w:t>
      </w:r>
      <w:r w:rsidR="009B3C7A" w:rsidRPr="00CD6EEC">
        <w:rPr>
          <w:sz w:val="26"/>
          <w:szCs w:val="26"/>
          <w:lang w:val="lv-LV"/>
        </w:rPr>
        <w:t>izmaksājot</w:t>
      </w:r>
      <w:r w:rsidR="00E41057" w:rsidRPr="00CD6EEC">
        <w:rPr>
          <w:sz w:val="26"/>
          <w:szCs w:val="26"/>
          <w:lang w:val="lv-LV"/>
        </w:rPr>
        <w:t xml:space="preserve"> vienreizēju </w:t>
      </w:r>
      <w:r w:rsidR="009B3C7A" w:rsidRPr="00CD6EEC">
        <w:rPr>
          <w:sz w:val="26"/>
          <w:szCs w:val="26"/>
          <w:lang w:val="lv-LV"/>
        </w:rPr>
        <w:t>maksājumu</w:t>
      </w:r>
      <w:r w:rsidR="00CD2714" w:rsidRPr="00CD6EEC">
        <w:rPr>
          <w:sz w:val="26"/>
          <w:szCs w:val="26"/>
          <w:lang w:val="lv-LV"/>
        </w:rPr>
        <w:t xml:space="preserve"> </w:t>
      </w:r>
      <w:r w:rsidR="00CA01B0" w:rsidRPr="00CD6EEC">
        <w:rPr>
          <w:sz w:val="26"/>
          <w:szCs w:val="26"/>
          <w:lang w:val="lv-LV"/>
        </w:rPr>
        <w:t>454 412</w:t>
      </w:r>
      <w:r w:rsidR="00D00417" w:rsidRPr="00CD6EEC">
        <w:rPr>
          <w:sz w:val="26"/>
          <w:szCs w:val="26"/>
          <w:lang w:val="lv-LV"/>
        </w:rPr>
        <w:t> </w:t>
      </w:r>
      <w:r w:rsidR="00CA01B0" w:rsidRPr="00CD6EEC">
        <w:rPr>
          <w:sz w:val="26"/>
          <w:szCs w:val="26"/>
          <w:lang w:val="lv-LV"/>
        </w:rPr>
        <w:t>749</w:t>
      </w:r>
      <w:r w:rsidR="00D00417" w:rsidRPr="00CD6EEC">
        <w:rPr>
          <w:sz w:val="26"/>
          <w:szCs w:val="26"/>
          <w:lang w:val="lv-LV"/>
        </w:rPr>
        <w:t xml:space="preserve">,00 </w:t>
      </w:r>
      <w:r w:rsidR="00CA01B0" w:rsidRPr="00CD6EEC">
        <w:rPr>
          <w:sz w:val="26"/>
          <w:szCs w:val="26"/>
          <w:lang w:val="lv-LV"/>
        </w:rPr>
        <w:t xml:space="preserve">EUR </w:t>
      </w:r>
      <w:r w:rsidR="00CD2714" w:rsidRPr="00CD6EEC">
        <w:rPr>
          <w:sz w:val="26"/>
          <w:szCs w:val="26"/>
          <w:lang w:val="lv-LV"/>
        </w:rPr>
        <w:t>apmērā</w:t>
      </w:r>
      <w:r w:rsidR="00F7586F" w:rsidRPr="00CD6EEC">
        <w:rPr>
          <w:sz w:val="26"/>
          <w:szCs w:val="26"/>
          <w:lang w:val="lv-LV"/>
        </w:rPr>
        <w:t>;</w:t>
      </w:r>
    </w:p>
    <w:p w14:paraId="177FA58A" w14:textId="1BC8CB43" w:rsidR="00693EC9" w:rsidRPr="00071EFC" w:rsidRDefault="00E41057" w:rsidP="00A81FAC">
      <w:pPr>
        <w:pStyle w:val="NoSpacing"/>
        <w:spacing w:after="60"/>
        <w:ind w:firstLine="709"/>
        <w:jc w:val="both"/>
        <w:rPr>
          <w:sz w:val="26"/>
          <w:szCs w:val="26"/>
          <w:lang w:val="lv-LV"/>
        </w:rPr>
      </w:pPr>
      <w:r w:rsidRPr="00071EFC">
        <w:rPr>
          <w:sz w:val="26"/>
          <w:szCs w:val="26"/>
          <w:lang w:val="lv-LV"/>
        </w:rPr>
        <w:t>2.2.</w:t>
      </w:r>
      <w:r w:rsidR="009868ED" w:rsidRPr="00071EFC">
        <w:rPr>
          <w:sz w:val="26"/>
          <w:szCs w:val="26"/>
          <w:lang w:val="lv-LV"/>
        </w:rPr>
        <w:t> </w:t>
      </w:r>
      <w:r w:rsidR="009622DD" w:rsidRPr="00071EFC">
        <w:rPr>
          <w:sz w:val="26"/>
          <w:szCs w:val="26"/>
          <w:lang w:val="lv-LV"/>
        </w:rPr>
        <w:t>vienreizēj</w:t>
      </w:r>
      <w:r w:rsidR="004726EF" w:rsidRPr="00071EFC">
        <w:rPr>
          <w:sz w:val="26"/>
          <w:szCs w:val="26"/>
          <w:lang w:val="lv-LV"/>
        </w:rPr>
        <w:t>o maksājumu</w:t>
      </w:r>
      <w:r w:rsidR="009622DD" w:rsidRPr="00071EFC">
        <w:rPr>
          <w:sz w:val="26"/>
          <w:szCs w:val="26"/>
          <w:lang w:val="lv-LV"/>
        </w:rPr>
        <w:t xml:space="preserve"> </w:t>
      </w:r>
      <w:r w:rsidR="004726EF" w:rsidRPr="00071EFC">
        <w:rPr>
          <w:sz w:val="26"/>
          <w:szCs w:val="26"/>
          <w:lang w:val="lv-LV"/>
        </w:rPr>
        <w:t>sadalīt</w:t>
      </w:r>
      <w:r w:rsidR="009622DD" w:rsidRPr="00071EFC">
        <w:rPr>
          <w:sz w:val="26"/>
          <w:szCs w:val="26"/>
          <w:lang w:val="lv-LV"/>
        </w:rPr>
        <w:t xml:space="preserve"> divās daļās</w:t>
      </w:r>
      <w:r w:rsidR="00E54C1A" w:rsidRPr="00071EFC">
        <w:rPr>
          <w:sz w:val="26"/>
          <w:szCs w:val="26"/>
          <w:lang w:val="lv-LV"/>
        </w:rPr>
        <w:t>, nosakot</w:t>
      </w:r>
      <w:r w:rsidR="008E4B24" w:rsidRPr="00071EFC">
        <w:rPr>
          <w:sz w:val="26"/>
          <w:szCs w:val="26"/>
          <w:lang w:val="lv-LV"/>
        </w:rPr>
        <w:t>, ka</w:t>
      </w:r>
      <w:r w:rsidR="009622DD" w:rsidRPr="00071EFC">
        <w:rPr>
          <w:sz w:val="26"/>
          <w:szCs w:val="26"/>
          <w:lang w:val="lv-LV"/>
        </w:rPr>
        <w:t xml:space="preserve"> </w:t>
      </w:r>
      <w:r w:rsidR="00CA01B0" w:rsidRPr="00071EFC">
        <w:rPr>
          <w:sz w:val="26"/>
          <w:szCs w:val="26"/>
          <w:lang w:val="lv-LV"/>
        </w:rPr>
        <w:t>140 </w:t>
      </w:r>
      <w:r w:rsidR="00F312F1" w:rsidRPr="00071EFC">
        <w:rPr>
          <w:sz w:val="26"/>
          <w:szCs w:val="26"/>
          <w:lang w:val="lv-LV"/>
        </w:rPr>
        <w:t>0</w:t>
      </w:r>
      <w:r w:rsidR="00CA01B0" w:rsidRPr="00071EFC">
        <w:rPr>
          <w:sz w:val="26"/>
          <w:szCs w:val="26"/>
          <w:lang w:val="lv-LV"/>
        </w:rPr>
        <w:t>0</w:t>
      </w:r>
      <w:r w:rsidR="00F312F1" w:rsidRPr="00071EFC">
        <w:rPr>
          <w:sz w:val="26"/>
          <w:szCs w:val="26"/>
          <w:lang w:val="lv-LV"/>
        </w:rPr>
        <w:t>0</w:t>
      </w:r>
      <w:r w:rsidR="00891507" w:rsidRPr="00071EFC">
        <w:rPr>
          <w:sz w:val="26"/>
          <w:szCs w:val="26"/>
          <w:lang w:val="lv-LV"/>
        </w:rPr>
        <w:t> </w:t>
      </w:r>
      <w:r w:rsidR="00CA01B0" w:rsidRPr="00071EFC">
        <w:rPr>
          <w:sz w:val="26"/>
          <w:szCs w:val="26"/>
          <w:lang w:val="lv-LV"/>
        </w:rPr>
        <w:t>000</w:t>
      </w:r>
      <w:r w:rsidR="00891507" w:rsidRPr="00071EFC">
        <w:rPr>
          <w:sz w:val="26"/>
          <w:szCs w:val="26"/>
          <w:lang w:val="lv-LV"/>
        </w:rPr>
        <w:t>,00</w:t>
      </w:r>
      <w:r w:rsidR="00CA01B0" w:rsidRPr="00071EFC">
        <w:rPr>
          <w:sz w:val="26"/>
          <w:szCs w:val="26"/>
          <w:lang w:val="lv-LV"/>
        </w:rPr>
        <w:t> EUR</w:t>
      </w:r>
      <w:r w:rsidR="00F312F1" w:rsidRPr="00071EFC">
        <w:rPr>
          <w:sz w:val="26"/>
          <w:szCs w:val="26"/>
          <w:lang w:val="lv-LV"/>
        </w:rPr>
        <w:t xml:space="preserve"> atzīstami kā vispārējās valdības </w:t>
      </w:r>
      <w:r w:rsidR="004726EF" w:rsidRPr="00071EFC">
        <w:rPr>
          <w:sz w:val="26"/>
          <w:szCs w:val="26"/>
          <w:lang w:val="lv-LV"/>
        </w:rPr>
        <w:t>2017. gada</w:t>
      </w:r>
      <w:r w:rsidR="0050632E" w:rsidRPr="00071EFC">
        <w:rPr>
          <w:sz w:val="26"/>
          <w:szCs w:val="26"/>
          <w:lang w:val="lv-LV"/>
        </w:rPr>
        <w:t xml:space="preserve"> </w:t>
      </w:r>
      <w:r w:rsidR="00F312F1" w:rsidRPr="00071EFC">
        <w:rPr>
          <w:sz w:val="26"/>
          <w:szCs w:val="26"/>
          <w:lang w:val="lv-LV"/>
        </w:rPr>
        <w:t>izdevumi</w:t>
      </w:r>
      <w:r w:rsidR="0007635E" w:rsidRPr="00071EFC">
        <w:rPr>
          <w:sz w:val="26"/>
          <w:szCs w:val="26"/>
          <w:lang w:val="lv-LV"/>
        </w:rPr>
        <w:t>,</w:t>
      </w:r>
      <w:r w:rsidR="00FE6A8F" w:rsidRPr="00071EFC">
        <w:rPr>
          <w:sz w:val="26"/>
          <w:szCs w:val="26"/>
          <w:lang w:val="lv-LV"/>
        </w:rPr>
        <w:t xml:space="preserve"> </w:t>
      </w:r>
      <w:r w:rsidR="00782768" w:rsidRPr="00071EFC">
        <w:rPr>
          <w:sz w:val="26"/>
          <w:szCs w:val="26"/>
          <w:lang w:val="lv-LV"/>
        </w:rPr>
        <w:t xml:space="preserve">bet </w:t>
      </w:r>
      <w:r w:rsidR="00CA01B0" w:rsidRPr="00071EFC">
        <w:rPr>
          <w:sz w:val="26"/>
          <w:szCs w:val="26"/>
          <w:lang w:val="lv-LV"/>
        </w:rPr>
        <w:t>314 412 749,</w:t>
      </w:r>
      <w:r w:rsidR="00011728">
        <w:rPr>
          <w:sz w:val="26"/>
          <w:szCs w:val="26"/>
          <w:lang w:val="lv-LV"/>
        </w:rPr>
        <w:t>00</w:t>
      </w:r>
      <w:r w:rsidR="00CA01B0" w:rsidRPr="00071EFC">
        <w:rPr>
          <w:sz w:val="26"/>
          <w:szCs w:val="26"/>
          <w:lang w:val="lv-LV"/>
        </w:rPr>
        <w:t xml:space="preserve"> EUR</w:t>
      </w:r>
      <w:r w:rsidR="002A7E27" w:rsidRPr="00071EFC">
        <w:rPr>
          <w:sz w:val="26"/>
          <w:szCs w:val="26"/>
          <w:lang w:val="lv-LV"/>
        </w:rPr>
        <w:t xml:space="preserve"> </w:t>
      </w:r>
      <w:r w:rsidR="005C4D43" w:rsidRPr="00071EFC">
        <w:rPr>
          <w:sz w:val="26"/>
          <w:szCs w:val="26"/>
          <w:lang w:val="lv-LV"/>
        </w:rPr>
        <w:t xml:space="preserve">atzīstami kā avansa </w:t>
      </w:r>
      <w:r w:rsidR="005C4D43" w:rsidRPr="00C759BF">
        <w:rPr>
          <w:sz w:val="26"/>
          <w:szCs w:val="26"/>
          <w:lang w:val="lv-LV"/>
        </w:rPr>
        <w:t xml:space="preserve">maksājums </w:t>
      </w:r>
      <w:r w:rsidR="00124F0B">
        <w:rPr>
          <w:rFonts w:eastAsiaTheme="minorHAnsi"/>
          <w:bCs/>
          <w:color w:val="000000"/>
          <w:sz w:val="26"/>
          <w:szCs w:val="26"/>
          <w:lang w:val="lv-LV" w:eastAsia="en-US"/>
        </w:rPr>
        <w:t>vienmērīgā</w:t>
      </w:r>
      <w:r w:rsidR="00407A9D">
        <w:rPr>
          <w:rFonts w:eastAsiaTheme="minorHAnsi"/>
          <w:bCs/>
          <w:color w:val="000000"/>
          <w:sz w:val="26"/>
          <w:szCs w:val="26"/>
          <w:lang w:val="lv-LV" w:eastAsia="en-US"/>
        </w:rPr>
        <w:t xml:space="preserve"> sadalījumā</w:t>
      </w:r>
      <w:r w:rsidR="00C759BF" w:rsidRPr="00C759BF">
        <w:rPr>
          <w:rFonts w:eastAsiaTheme="minorHAnsi"/>
          <w:bCs/>
          <w:color w:val="000000"/>
          <w:sz w:val="26"/>
          <w:szCs w:val="26"/>
          <w:lang w:val="lv-LV" w:eastAsia="en-US"/>
        </w:rPr>
        <w:t xml:space="preserve"> pa pārskata periodiem</w:t>
      </w:r>
      <w:r w:rsidR="00407A9D">
        <w:rPr>
          <w:rFonts w:eastAsiaTheme="minorHAnsi"/>
          <w:bCs/>
          <w:color w:val="000000"/>
          <w:sz w:val="26"/>
          <w:szCs w:val="26"/>
          <w:lang w:val="lv-LV" w:eastAsia="en-US"/>
        </w:rPr>
        <w:t xml:space="preserve"> līdz</w:t>
      </w:r>
      <w:r w:rsidR="005C4D43" w:rsidRPr="00071EFC">
        <w:rPr>
          <w:sz w:val="26"/>
          <w:szCs w:val="26"/>
          <w:lang w:val="lv-LV"/>
        </w:rPr>
        <w:t xml:space="preserve"> </w:t>
      </w:r>
      <w:r w:rsidR="00F7557E" w:rsidRPr="00071EFC">
        <w:rPr>
          <w:sz w:val="26"/>
          <w:szCs w:val="26"/>
          <w:lang w:val="lv-LV"/>
        </w:rPr>
        <w:t>akciju sabiedrības</w:t>
      </w:r>
      <w:r w:rsidR="0051682C" w:rsidRPr="00071EFC">
        <w:rPr>
          <w:sz w:val="26"/>
          <w:szCs w:val="26"/>
          <w:lang w:val="lv-LV"/>
        </w:rPr>
        <w:t> </w:t>
      </w:r>
      <w:r w:rsidR="005C4D43" w:rsidRPr="00071EFC">
        <w:rPr>
          <w:sz w:val="26"/>
          <w:szCs w:val="26"/>
          <w:lang w:val="lv-LV"/>
        </w:rPr>
        <w:t xml:space="preserve">“Latvenergo” saistību izpildei </w:t>
      </w:r>
      <w:r w:rsidR="008A14A2" w:rsidRPr="00071EFC">
        <w:rPr>
          <w:sz w:val="26"/>
          <w:szCs w:val="26"/>
          <w:lang w:val="lv-LV"/>
        </w:rPr>
        <w:t>atbalsta perioda beigā</w:t>
      </w:r>
      <w:r w:rsidR="00407A9D">
        <w:rPr>
          <w:sz w:val="26"/>
          <w:szCs w:val="26"/>
          <w:lang w:val="lv-LV"/>
        </w:rPr>
        <w:t>s</w:t>
      </w:r>
      <w:r w:rsidR="00684361" w:rsidRPr="00071EFC">
        <w:rPr>
          <w:sz w:val="26"/>
          <w:szCs w:val="26"/>
          <w:lang w:val="lv-LV"/>
        </w:rPr>
        <w:t xml:space="preserve"> 2028. </w:t>
      </w:r>
      <w:r w:rsidR="00011728" w:rsidRPr="00071EFC">
        <w:rPr>
          <w:sz w:val="26"/>
          <w:szCs w:val="26"/>
          <w:lang w:val="lv-LV"/>
        </w:rPr>
        <w:t>gad</w:t>
      </w:r>
      <w:r w:rsidR="00011728">
        <w:rPr>
          <w:sz w:val="26"/>
          <w:szCs w:val="26"/>
          <w:lang w:val="lv-LV"/>
        </w:rPr>
        <w:t>a 23.</w:t>
      </w:r>
      <w:r w:rsidR="00407A9D">
        <w:rPr>
          <w:sz w:val="26"/>
          <w:szCs w:val="26"/>
          <w:lang w:val="lv-LV"/>
        </w:rPr>
        <w:t> </w:t>
      </w:r>
      <w:r w:rsidR="00011728">
        <w:rPr>
          <w:sz w:val="26"/>
          <w:szCs w:val="26"/>
          <w:lang w:val="lv-LV"/>
        </w:rPr>
        <w:t>septembrī</w:t>
      </w:r>
      <w:r w:rsidR="008A14A2" w:rsidRPr="00071EFC">
        <w:rPr>
          <w:sz w:val="26"/>
          <w:szCs w:val="26"/>
          <w:lang w:val="lv-LV"/>
        </w:rPr>
        <w:t>;</w:t>
      </w:r>
    </w:p>
    <w:p w14:paraId="16FE6545" w14:textId="2FC39ED7" w:rsidR="008A14A2" w:rsidRPr="00071EFC" w:rsidRDefault="00585554" w:rsidP="00A81FAC">
      <w:pPr>
        <w:pStyle w:val="NoSpacing"/>
        <w:spacing w:after="60"/>
        <w:ind w:firstLine="709"/>
        <w:jc w:val="both"/>
        <w:rPr>
          <w:sz w:val="26"/>
          <w:szCs w:val="26"/>
          <w:lang w:val="lv-LV"/>
        </w:rPr>
      </w:pPr>
      <w:r w:rsidRPr="00071EFC">
        <w:rPr>
          <w:sz w:val="26"/>
          <w:szCs w:val="26"/>
          <w:lang w:val="lv-LV"/>
        </w:rPr>
        <w:t xml:space="preserve">2.3. atbalstīt </w:t>
      </w:r>
      <w:r w:rsidR="00083354" w:rsidRPr="00071EFC">
        <w:rPr>
          <w:sz w:val="26"/>
          <w:szCs w:val="26"/>
          <w:lang w:val="lv-LV"/>
        </w:rPr>
        <w:t>vienr</w:t>
      </w:r>
      <w:r w:rsidRPr="00071EFC">
        <w:rPr>
          <w:sz w:val="26"/>
          <w:szCs w:val="26"/>
          <w:lang w:val="lv-LV"/>
        </w:rPr>
        <w:t>eizējā maksājuma</w:t>
      </w:r>
      <w:r w:rsidR="00083354" w:rsidRPr="00071EFC">
        <w:rPr>
          <w:sz w:val="26"/>
          <w:szCs w:val="26"/>
          <w:lang w:val="lv-LV"/>
        </w:rPr>
        <w:t xml:space="preserve"> </w:t>
      </w:r>
      <w:r w:rsidR="00C759BF" w:rsidRPr="00C759BF">
        <w:rPr>
          <w:sz w:val="26"/>
          <w:szCs w:val="26"/>
          <w:lang w:val="lv-LV"/>
        </w:rPr>
        <w:t xml:space="preserve">īstenošanu </w:t>
      </w:r>
      <w:r w:rsidR="00083354" w:rsidRPr="00071EFC">
        <w:rPr>
          <w:sz w:val="26"/>
          <w:szCs w:val="26"/>
          <w:lang w:val="lv-LV"/>
        </w:rPr>
        <w:t xml:space="preserve">no </w:t>
      </w:r>
      <w:r w:rsidR="00F7557E" w:rsidRPr="00071EFC">
        <w:rPr>
          <w:sz w:val="26"/>
          <w:szCs w:val="26"/>
          <w:lang w:val="lv-LV"/>
        </w:rPr>
        <w:t>akciju sabiedrības</w:t>
      </w:r>
      <w:r w:rsidR="00083354" w:rsidRPr="00071EFC">
        <w:rPr>
          <w:sz w:val="26"/>
          <w:szCs w:val="26"/>
          <w:lang w:val="lv-LV"/>
        </w:rPr>
        <w:t xml:space="preserve"> “Latvenergo” pamatkapitāla samazināšanas.</w:t>
      </w:r>
    </w:p>
    <w:p w14:paraId="68CEAB43" w14:textId="587CE85D" w:rsidR="00F80652" w:rsidRDefault="00A81FAC" w:rsidP="00F80652">
      <w:pPr>
        <w:jc w:val="both"/>
        <w:rPr>
          <w:sz w:val="26"/>
          <w:szCs w:val="26"/>
          <w:lang w:val="lv-LV"/>
        </w:rPr>
      </w:pPr>
      <w:r w:rsidRPr="00071EFC">
        <w:rPr>
          <w:sz w:val="26"/>
          <w:szCs w:val="26"/>
          <w:lang w:val="lv-LV"/>
        </w:rPr>
        <w:tab/>
        <w:t>3. Šo rīkojumu saskaņā ar Administratīvā procesa likuma 76.</w:t>
      </w:r>
      <w:r w:rsidR="00F7557E" w:rsidRPr="00071EFC">
        <w:rPr>
          <w:sz w:val="26"/>
          <w:szCs w:val="26"/>
          <w:lang w:val="lv-LV"/>
        </w:rPr>
        <w:t> </w:t>
      </w:r>
      <w:r w:rsidRPr="00071EFC">
        <w:rPr>
          <w:sz w:val="26"/>
          <w:szCs w:val="26"/>
          <w:lang w:val="lv-LV"/>
        </w:rPr>
        <w:t>panta otro daļu, 188.</w:t>
      </w:r>
      <w:r w:rsidR="00F7557E" w:rsidRPr="00071EFC">
        <w:rPr>
          <w:sz w:val="26"/>
          <w:szCs w:val="26"/>
          <w:lang w:val="lv-LV"/>
        </w:rPr>
        <w:t> </w:t>
      </w:r>
      <w:r w:rsidRPr="00071EFC">
        <w:rPr>
          <w:sz w:val="26"/>
          <w:szCs w:val="26"/>
          <w:lang w:val="lv-LV"/>
        </w:rPr>
        <w:t>panta otro daļu un 189.</w:t>
      </w:r>
      <w:r w:rsidR="00F7557E" w:rsidRPr="00071EFC">
        <w:rPr>
          <w:sz w:val="26"/>
          <w:szCs w:val="26"/>
          <w:lang w:val="lv-LV"/>
        </w:rPr>
        <w:t> </w:t>
      </w:r>
      <w:r w:rsidRPr="00071EFC">
        <w:rPr>
          <w:sz w:val="26"/>
          <w:szCs w:val="26"/>
          <w:lang w:val="lv-LV"/>
        </w:rPr>
        <w:t>panta pirmo daļu var pārsūdzēt Administratīvajā rajona tiesā viena mēneša laikā no šī rīkojuma spēkā stāšanās dienas.</w:t>
      </w:r>
    </w:p>
    <w:p w14:paraId="311540B9" w14:textId="49D2A24C" w:rsidR="00900A17" w:rsidRPr="00F80652" w:rsidRDefault="00F80652" w:rsidP="00F80652">
      <w:pPr>
        <w:ind w:firstLine="720"/>
        <w:jc w:val="both"/>
        <w:rPr>
          <w:sz w:val="26"/>
          <w:szCs w:val="26"/>
          <w:lang w:val="lv-LV"/>
        </w:rPr>
      </w:pPr>
      <w:r w:rsidRPr="00F80652">
        <w:rPr>
          <w:sz w:val="26"/>
          <w:szCs w:val="26"/>
          <w:lang w:val="lv-LV"/>
        </w:rPr>
        <w:t xml:space="preserve">Lai novērstu elektroenerģijas kopējās cenas pieauguma risku, kas saistīts ar </w:t>
      </w:r>
      <w:r w:rsidR="00B571E7">
        <w:rPr>
          <w:sz w:val="26"/>
          <w:szCs w:val="26"/>
          <w:lang w:val="lv-LV"/>
        </w:rPr>
        <w:t>elektroenerģijas obligātā iepirkuma komponentes</w:t>
      </w:r>
      <w:r w:rsidRPr="00F80652">
        <w:rPr>
          <w:sz w:val="26"/>
          <w:szCs w:val="26"/>
          <w:lang w:val="lv-LV"/>
        </w:rPr>
        <w:t xml:space="preserve"> vidējās vērtības pieaugumu virs 26,79 EUR/MWh, un tās negatīvo ietekmi uz Latvijas tautsaimniecības attīstību un mājsaimniecību maksātspēju, kā arī nodrošinātu </w:t>
      </w:r>
      <w:r w:rsidR="00B571E7" w:rsidRPr="00F80652">
        <w:rPr>
          <w:sz w:val="26"/>
          <w:szCs w:val="26"/>
          <w:lang w:val="lv-LV"/>
        </w:rPr>
        <w:t xml:space="preserve">ikgadējā </w:t>
      </w:r>
      <w:r w:rsidRPr="00F80652">
        <w:rPr>
          <w:sz w:val="26"/>
          <w:szCs w:val="26"/>
          <w:lang w:val="lv-LV"/>
        </w:rPr>
        <w:t xml:space="preserve">valsts budžeta līdzekļu ekonomiju sākot ar 2018. gadu vairāk </w:t>
      </w:r>
      <w:r w:rsidRPr="001F65AE">
        <w:rPr>
          <w:sz w:val="26"/>
          <w:szCs w:val="26"/>
          <w:lang w:val="lv-LV"/>
        </w:rPr>
        <w:t xml:space="preserve">nekā </w:t>
      </w:r>
      <w:r w:rsidR="001F65AE" w:rsidRPr="001F65AE">
        <w:rPr>
          <w:sz w:val="26"/>
          <w:szCs w:val="26"/>
          <w:lang w:val="lv-LV"/>
        </w:rPr>
        <w:t>70 miljonu</w:t>
      </w:r>
      <w:r w:rsidRPr="001F65AE">
        <w:rPr>
          <w:sz w:val="26"/>
          <w:szCs w:val="26"/>
          <w:lang w:val="lv-LV"/>
        </w:rPr>
        <w:t xml:space="preserve"> EUR apmērā</w:t>
      </w:r>
      <w:r w:rsidRPr="00F80652">
        <w:rPr>
          <w:sz w:val="26"/>
          <w:szCs w:val="26"/>
          <w:lang w:val="lv-LV"/>
        </w:rPr>
        <w:t xml:space="preserve">, ir nosakāms, </w:t>
      </w:r>
      <w:r w:rsidR="00900A17" w:rsidRPr="00F80652">
        <w:rPr>
          <w:sz w:val="26"/>
          <w:szCs w:val="26"/>
          <w:lang w:val="lv-LV"/>
        </w:rPr>
        <w:t>ka saskaņā ar Administratīvā procesa likuma 185. panta ceturtās daļas 3. punktu pieteikuma iesniegšana tiesā par administratīvā akta atcelšanu, atzīšanu par spēku zaudējušu vai spēkā neesošu neaptur administratīvā akta darbību.</w:t>
      </w:r>
    </w:p>
    <w:p w14:paraId="17619423" w14:textId="36A0DB6F" w:rsidR="00A81FAC" w:rsidRPr="00071EFC" w:rsidRDefault="000C52E7" w:rsidP="000C52E7">
      <w:pPr>
        <w:pStyle w:val="NoSpacing"/>
        <w:tabs>
          <w:tab w:val="center" w:pos="8832"/>
        </w:tabs>
        <w:spacing w:before="480"/>
        <w:jc w:val="both"/>
        <w:rPr>
          <w:sz w:val="26"/>
          <w:szCs w:val="26"/>
          <w:lang w:val="lv-LV"/>
        </w:rPr>
      </w:pPr>
      <w:r>
        <w:rPr>
          <w:sz w:val="26"/>
          <w:szCs w:val="26"/>
          <w:lang w:val="lv-LV"/>
        </w:rPr>
        <w:t>Ministru prezidents</w:t>
      </w:r>
      <w:r>
        <w:rPr>
          <w:sz w:val="26"/>
          <w:szCs w:val="26"/>
          <w:lang w:val="lv-LV"/>
        </w:rPr>
        <w:tab/>
      </w:r>
      <w:r w:rsidR="00A81FAC" w:rsidRPr="00071EFC">
        <w:rPr>
          <w:sz w:val="26"/>
          <w:szCs w:val="26"/>
          <w:lang w:val="lv-LV"/>
        </w:rPr>
        <w:t>M. Kučinskis</w:t>
      </w:r>
    </w:p>
    <w:p w14:paraId="157CBB24" w14:textId="77777777" w:rsidR="00A81FAC" w:rsidRPr="00071EFC" w:rsidRDefault="00A81FAC" w:rsidP="003E2279">
      <w:pPr>
        <w:tabs>
          <w:tab w:val="left" w:pos="1560"/>
        </w:tabs>
        <w:spacing w:before="240"/>
        <w:jc w:val="both"/>
        <w:rPr>
          <w:sz w:val="26"/>
          <w:szCs w:val="26"/>
          <w:lang w:val="lv-LV"/>
        </w:rPr>
      </w:pPr>
      <w:r w:rsidRPr="00071EFC">
        <w:rPr>
          <w:sz w:val="26"/>
          <w:szCs w:val="26"/>
          <w:lang w:val="lv-LV"/>
        </w:rPr>
        <w:t>Ministru prezidenta biedrs,</w:t>
      </w:r>
    </w:p>
    <w:p w14:paraId="6D23FEEF" w14:textId="3FAAC02B" w:rsidR="00A81FAC" w:rsidRPr="00071EFC" w:rsidRDefault="000C52E7" w:rsidP="000C52E7">
      <w:pPr>
        <w:tabs>
          <w:tab w:val="center" w:pos="8832"/>
        </w:tabs>
        <w:jc w:val="both"/>
        <w:rPr>
          <w:sz w:val="26"/>
          <w:szCs w:val="26"/>
          <w:lang w:val="lv-LV"/>
        </w:rPr>
      </w:pPr>
      <w:r>
        <w:rPr>
          <w:sz w:val="26"/>
          <w:szCs w:val="26"/>
          <w:lang w:val="lv-LV"/>
        </w:rPr>
        <w:t>ekonomikas ministrs</w:t>
      </w:r>
      <w:r>
        <w:rPr>
          <w:sz w:val="26"/>
          <w:szCs w:val="26"/>
          <w:lang w:val="lv-LV"/>
        </w:rPr>
        <w:tab/>
      </w:r>
      <w:r w:rsidR="00A81FAC" w:rsidRPr="00071EFC">
        <w:rPr>
          <w:sz w:val="26"/>
          <w:szCs w:val="26"/>
          <w:lang w:val="lv-LV"/>
        </w:rPr>
        <w:t>A. Ašeradens</w:t>
      </w:r>
    </w:p>
    <w:p w14:paraId="18F81322" w14:textId="77777777" w:rsidR="00A81FAC" w:rsidRPr="00071EFC" w:rsidRDefault="00A81FAC" w:rsidP="003E2279">
      <w:pPr>
        <w:spacing w:before="240"/>
        <w:jc w:val="both"/>
        <w:rPr>
          <w:sz w:val="26"/>
          <w:szCs w:val="26"/>
          <w:lang w:val="lv-LV"/>
        </w:rPr>
      </w:pPr>
      <w:r w:rsidRPr="00071EFC">
        <w:rPr>
          <w:sz w:val="26"/>
          <w:szCs w:val="26"/>
          <w:lang w:val="lv-LV"/>
        </w:rPr>
        <w:t>Iesniedzējs:</w:t>
      </w:r>
    </w:p>
    <w:p w14:paraId="0002C005" w14:textId="77777777" w:rsidR="00A81FAC" w:rsidRPr="00071EFC" w:rsidRDefault="00A81FAC" w:rsidP="00A81FAC">
      <w:pPr>
        <w:jc w:val="both"/>
        <w:rPr>
          <w:sz w:val="26"/>
          <w:szCs w:val="26"/>
          <w:lang w:val="lv-LV"/>
        </w:rPr>
      </w:pPr>
      <w:r w:rsidRPr="00071EFC">
        <w:rPr>
          <w:sz w:val="26"/>
          <w:szCs w:val="26"/>
          <w:lang w:val="lv-LV"/>
        </w:rPr>
        <w:t>Ministru prezidenta biedrs,</w:t>
      </w:r>
    </w:p>
    <w:p w14:paraId="048D29EE" w14:textId="5F1B3D7F" w:rsidR="00A81FAC" w:rsidRPr="00071EFC" w:rsidRDefault="000C52E7" w:rsidP="000C52E7">
      <w:pPr>
        <w:tabs>
          <w:tab w:val="center" w:pos="8832"/>
        </w:tabs>
        <w:jc w:val="both"/>
        <w:rPr>
          <w:sz w:val="26"/>
          <w:szCs w:val="26"/>
          <w:lang w:val="lv-LV"/>
        </w:rPr>
      </w:pPr>
      <w:r>
        <w:rPr>
          <w:sz w:val="26"/>
          <w:szCs w:val="26"/>
          <w:lang w:val="lv-LV"/>
        </w:rPr>
        <w:t>ekonomikas ministrs</w:t>
      </w:r>
      <w:r>
        <w:rPr>
          <w:sz w:val="26"/>
          <w:szCs w:val="26"/>
          <w:lang w:val="lv-LV"/>
        </w:rPr>
        <w:tab/>
      </w:r>
      <w:r w:rsidR="00A81FAC" w:rsidRPr="00071EFC">
        <w:rPr>
          <w:sz w:val="26"/>
          <w:szCs w:val="26"/>
          <w:lang w:val="lv-LV"/>
        </w:rPr>
        <w:t>A. Ašeradens</w:t>
      </w:r>
    </w:p>
    <w:p w14:paraId="368E4616" w14:textId="77777777" w:rsidR="00A81FAC" w:rsidRPr="00071EFC" w:rsidRDefault="00A81FAC" w:rsidP="003E2279">
      <w:pPr>
        <w:spacing w:before="240"/>
        <w:jc w:val="both"/>
        <w:rPr>
          <w:sz w:val="26"/>
          <w:szCs w:val="26"/>
          <w:lang w:val="lv-LV"/>
        </w:rPr>
      </w:pPr>
      <w:r w:rsidRPr="00071EFC">
        <w:rPr>
          <w:sz w:val="26"/>
          <w:szCs w:val="26"/>
          <w:lang w:val="lv-LV"/>
        </w:rPr>
        <w:t>Vīza:</w:t>
      </w:r>
    </w:p>
    <w:p w14:paraId="0B238B44" w14:textId="0B41FE49" w:rsidR="00A81FAC" w:rsidRDefault="000C52E7" w:rsidP="000C52E7">
      <w:pPr>
        <w:tabs>
          <w:tab w:val="center" w:pos="8832"/>
        </w:tabs>
        <w:jc w:val="both"/>
        <w:rPr>
          <w:sz w:val="26"/>
          <w:szCs w:val="26"/>
          <w:lang w:val="lv-LV"/>
        </w:rPr>
      </w:pPr>
      <w:r>
        <w:rPr>
          <w:sz w:val="26"/>
          <w:szCs w:val="26"/>
          <w:lang w:val="lv-LV"/>
        </w:rPr>
        <w:t>Valsts sekretārs</w:t>
      </w:r>
      <w:r>
        <w:rPr>
          <w:sz w:val="26"/>
          <w:szCs w:val="26"/>
          <w:lang w:val="lv-LV"/>
        </w:rPr>
        <w:tab/>
      </w:r>
      <w:r w:rsidR="00A81FAC" w:rsidRPr="00071EFC">
        <w:rPr>
          <w:sz w:val="26"/>
          <w:szCs w:val="26"/>
          <w:lang w:val="lv-LV"/>
        </w:rPr>
        <w:t>J. Stinka</w:t>
      </w:r>
    </w:p>
    <w:p w14:paraId="7DC4F562" w14:textId="2E840BC1" w:rsidR="008C6F62" w:rsidRDefault="008C6F62" w:rsidP="000C52E7">
      <w:pPr>
        <w:tabs>
          <w:tab w:val="center" w:pos="8832"/>
        </w:tabs>
        <w:jc w:val="both"/>
        <w:rPr>
          <w:sz w:val="26"/>
          <w:szCs w:val="26"/>
          <w:lang w:val="lv-LV"/>
        </w:rPr>
      </w:pPr>
    </w:p>
    <w:p w14:paraId="16B621DA" w14:textId="6691EF56" w:rsidR="008C6F62" w:rsidRPr="000B549F" w:rsidRDefault="008C6F62" w:rsidP="008C6F62">
      <w:pPr>
        <w:tabs>
          <w:tab w:val="left" w:pos="1110"/>
        </w:tabs>
        <w:rPr>
          <w:color w:val="000000"/>
          <w:sz w:val="20"/>
        </w:rPr>
      </w:pPr>
      <w:r>
        <w:rPr>
          <w:color w:val="000000"/>
          <w:sz w:val="20"/>
        </w:rPr>
        <w:t>16</w:t>
      </w:r>
      <w:r w:rsidRPr="000B549F">
        <w:rPr>
          <w:color w:val="000000"/>
          <w:sz w:val="20"/>
        </w:rPr>
        <w:t>.1</w:t>
      </w:r>
      <w:r>
        <w:rPr>
          <w:color w:val="000000"/>
          <w:sz w:val="20"/>
        </w:rPr>
        <w:t>1</w:t>
      </w:r>
      <w:r w:rsidRPr="000B549F">
        <w:rPr>
          <w:color w:val="000000"/>
          <w:sz w:val="20"/>
        </w:rPr>
        <w:t xml:space="preserve">.2017. </w:t>
      </w:r>
      <w:r>
        <w:rPr>
          <w:color w:val="000000"/>
          <w:sz w:val="20"/>
        </w:rPr>
        <w:t>13</w:t>
      </w:r>
      <w:r>
        <w:rPr>
          <w:color w:val="000000"/>
          <w:sz w:val="20"/>
        </w:rPr>
        <w:t>:</w:t>
      </w:r>
      <w:r>
        <w:rPr>
          <w:color w:val="000000"/>
          <w:sz w:val="20"/>
        </w:rPr>
        <w:t>41</w:t>
      </w:r>
    </w:p>
    <w:p w14:paraId="643D6CC1" w14:textId="5A53318C" w:rsidR="008C6F62" w:rsidRDefault="008C6F62" w:rsidP="008C6F62">
      <w:pPr>
        <w:rPr>
          <w:color w:val="000000"/>
          <w:sz w:val="20"/>
        </w:rPr>
      </w:pPr>
      <w:r>
        <w:rPr>
          <w:color w:val="000000"/>
          <w:sz w:val="20"/>
        </w:rPr>
        <w:t>1483</w:t>
      </w:r>
    </w:p>
    <w:p w14:paraId="238209AC" w14:textId="77777777" w:rsidR="008C6F62" w:rsidRPr="000B549F" w:rsidRDefault="008C6F62" w:rsidP="008C6F62">
      <w:pPr>
        <w:jc w:val="both"/>
        <w:rPr>
          <w:sz w:val="20"/>
        </w:rPr>
      </w:pPr>
      <w:r w:rsidRPr="000B549F">
        <w:rPr>
          <w:sz w:val="20"/>
        </w:rPr>
        <w:t xml:space="preserve">A.Apaņuks, 67013009, </w:t>
      </w:r>
    </w:p>
    <w:p w14:paraId="1AC3B8F7" w14:textId="48A083DE" w:rsidR="008C6F62" w:rsidRPr="008C6F62" w:rsidRDefault="008C6F62" w:rsidP="008C6F62">
      <w:pPr>
        <w:widowControl w:val="0"/>
        <w:jc w:val="both"/>
      </w:pPr>
      <w:hyperlink r:id="rId6" w:history="1">
        <w:r w:rsidRPr="00B70FCC">
          <w:rPr>
            <w:rStyle w:val="Hyperlink"/>
            <w:sz w:val="20"/>
          </w:rPr>
          <w:t>Andrejs.Apanuks@em.gov.lv</w:t>
        </w:r>
      </w:hyperlink>
      <w:bookmarkStart w:id="0" w:name="_GoBack"/>
      <w:bookmarkEnd w:id="0"/>
    </w:p>
    <w:sectPr w:rsidR="008C6F62" w:rsidRPr="008C6F62" w:rsidSect="00AB1DF8">
      <w:headerReference w:type="default" r:id="rId7"/>
      <w:footerReference w:type="default" r:id="rId8"/>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0D0E" w14:textId="77777777" w:rsidR="00935831" w:rsidRDefault="00935831" w:rsidP="00E32004">
      <w:r>
        <w:separator/>
      </w:r>
    </w:p>
  </w:endnote>
  <w:endnote w:type="continuationSeparator" w:id="0">
    <w:p w14:paraId="1C6E7E07" w14:textId="77777777" w:rsidR="00935831" w:rsidRDefault="00935831" w:rsidP="00E3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AD16" w14:textId="1D4245E5" w:rsidR="004D60F4" w:rsidRPr="001977AD" w:rsidRDefault="001A43E7" w:rsidP="001A43E7">
    <w:pPr>
      <w:keepNext/>
      <w:shd w:val="clear" w:color="auto" w:fill="FFFFFF"/>
      <w:jc w:val="both"/>
      <w:rPr>
        <w:sz w:val="20"/>
        <w:lang w:val="lv-LV"/>
      </w:rPr>
    </w:pPr>
    <w:r w:rsidRPr="001977AD">
      <w:rPr>
        <w:sz w:val="20"/>
        <w:lang w:val="lv-LV"/>
      </w:rPr>
      <w:t>EMRik_</w:t>
    </w:r>
    <w:r w:rsidR="00066408">
      <w:rPr>
        <w:sz w:val="20"/>
        <w:lang w:val="lv-LV"/>
      </w:rPr>
      <w:t>15</w:t>
    </w:r>
    <w:r w:rsidRPr="001977AD">
      <w:rPr>
        <w:sz w:val="20"/>
        <w:lang w:val="lv-LV"/>
      </w:rPr>
      <w:t xml:space="preserve">1117_LATVENERGO; </w:t>
    </w:r>
    <w:bookmarkStart w:id="1" w:name="OLE_LINK1"/>
    <w:bookmarkStart w:id="2" w:name="OLE_LINK2"/>
    <w:r w:rsidRPr="001977AD">
      <w:rPr>
        <w:sz w:val="20"/>
        <w:lang w:val="lv-LV"/>
      </w:rPr>
      <w:t xml:space="preserve">Par garantētās maksas par koģenerācijas elektrostacijā uzstādīto elektrisko jaudu saistību samazināšanu AS “Latvenergo”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5C2C" w14:textId="77777777" w:rsidR="00935831" w:rsidRDefault="00935831" w:rsidP="00E32004">
      <w:r>
        <w:separator/>
      </w:r>
    </w:p>
  </w:footnote>
  <w:footnote w:type="continuationSeparator" w:id="0">
    <w:p w14:paraId="59955DFF" w14:textId="77777777" w:rsidR="00935831" w:rsidRDefault="00935831" w:rsidP="00E3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46544"/>
      <w:docPartObj>
        <w:docPartGallery w:val="Page Numbers (Top of Page)"/>
        <w:docPartUnique/>
      </w:docPartObj>
    </w:sdtPr>
    <w:sdtEndPr>
      <w:rPr>
        <w:noProof/>
      </w:rPr>
    </w:sdtEndPr>
    <w:sdtContent>
      <w:p w14:paraId="6417F86A" w14:textId="07CE1B8D" w:rsidR="00AB1DF8" w:rsidRDefault="00AB1DF8">
        <w:pPr>
          <w:pStyle w:val="Header"/>
          <w:jc w:val="center"/>
        </w:pPr>
        <w:r>
          <w:fldChar w:fldCharType="begin"/>
        </w:r>
        <w:r>
          <w:instrText xml:space="preserve"> PAGE   \* MERGEFORMAT </w:instrText>
        </w:r>
        <w:r>
          <w:fldChar w:fldCharType="separate"/>
        </w:r>
        <w:r w:rsidR="008C2112">
          <w:rPr>
            <w:noProof/>
          </w:rPr>
          <w:t>4</w:t>
        </w:r>
        <w:r>
          <w:rPr>
            <w:noProof/>
          </w:rPr>
          <w:fldChar w:fldCharType="end"/>
        </w:r>
      </w:p>
    </w:sdtContent>
  </w:sdt>
  <w:p w14:paraId="34B0A81F" w14:textId="77777777" w:rsidR="00AB1DF8" w:rsidRDefault="00AB1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C"/>
    <w:rsid w:val="00001521"/>
    <w:rsid w:val="00001A22"/>
    <w:rsid w:val="000072D5"/>
    <w:rsid w:val="00011728"/>
    <w:rsid w:val="00015061"/>
    <w:rsid w:val="00020AB0"/>
    <w:rsid w:val="00020ACD"/>
    <w:rsid w:val="00022632"/>
    <w:rsid w:val="00031159"/>
    <w:rsid w:val="00042162"/>
    <w:rsid w:val="00046BEC"/>
    <w:rsid w:val="000513F0"/>
    <w:rsid w:val="00054AF1"/>
    <w:rsid w:val="00056016"/>
    <w:rsid w:val="00066408"/>
    <w:rsid w:val="00067AFA"/>
    <w:rsid w:val="00071EFC"/>
    <w:rsid w:val="00074F39"/>
    <w:rsid w:val="0007635E"/>
    <w:rsid w:val="00083354"/>
    <w:rsid w:val="0009025D"/>
    <w:rsid w:val="00092E10"/>
    <w:rsid w:val="000A1933"/>
    <w:rsid w:val="000A6B40"/>
    <w:rsid w:val="000A757F"/>
    <w:rsid w:val="000B2550"/>
    <w:rsid w:val="000C52E7"/>
    <w:rsid w:val="000C5E0C"/>
    <w:rsid w:val="000C7125"/>
    <w:rsid w:val="000C7628"/>
    <w:rsid w:val="000E4D00"/>
    <w:rsid w:val="000F296F"/>
    <w:rsid w:val="00100403"/>
    <w:rsid w:val="00101BE4"/>
    <w:rsid w:val="00107AB0"/>
    <w:rsid w:val="001178BE"/>
    <w:rsid w:val="001234F2"/>
    <w:rsid w:val="00124F0B"/>
    <w:rsid w:val="00127358"/>
    <w:rsid w:val="00145C4A"/>
    <w:rsid w:val="00146C32"/>
    <w:rsid w:val="00147EAF"/>
    <w:rsid w:val="00161187"/>
    <w:rsid w:val="00163359"/>
    <w:rsid w:val="00165ABC"/>
    <w:rsid w:val="00170D11"/>
    <w:rsid w:val="00193016"/>
    <w:rsid w:val="0019310A"/>
    <w:rsid w:val="001977AD"/>
    <w:rsid w:val="001A43E7"/>
    <w:rsid w:val="001B2553"/>
    <w:rsid w:val="001B7B28"/>
    <w:rsid w:val="001C0C53"/>
    <w:rsid w:val="001C2B2C"/>
    <w:rsid w:val="001C6C55"/>
    <w:rsid w:val="001C6CF8"/>
    <w:rsid w:val="001D15A6"/>
    <w:rsid w:val="001D2A00"/>
    <w:rsid w:val="001D2B81"/>
    <w:rsid w:val="001D3126"/>
    <w:rsid w:val="001D46BA"/>
    <w:rsid w:val="001D6ABE"/>
    <w:rsid w:val="001D7638"/>
    <w:rsid w:val="001E2406"/>
    <w:rsid w:val="001E67F3"/>
    <w:rsid w:val="001F270E"/>
    <w:rsid w:val="001F3E05"/>
    <w:rsid w:val="001F65AE"/>
    <w:rsid w:val="00200671"/>
    <w:rsid w:val="002012E3"/>
    <w:rsid w:val="002056F7"/>
    <w:rsid w:val="00210450"/>
    <w:rsid w:val="002124E8"/>
    <w:rsid w:val="00213D43"/>
    <w:rsid w:val="002166F3"/>
    <w:rsid w:val="00221FD3"/>
    <w:rsid w:val="002321FC"/>
    <w:rsid w:val="0023517F"/>
    <w:rsid w:val="00246696"/>
    <w:rsid w:val="00246B2C"/>
    <w:rsid w:val="002535B2"/>
    <w:rsid w:val="002561EA"/>
    <w:rsid w:val="00271372"/>
    <w:rsid w:val="00275454"/>
    <w:rsid w:val="002763DB"/>
    <w:rsid w:val="0028159D"/>
    <w:rsid w:val="00281C82"/>
    <w:rsid w:val="00281DEA"/>
    <w:rsid w:val="0029247D"/>
    <w:rsid w:val="002945AF"/>
    <w:rsid w:val="002A2151"/>
    <w:rsid w:val="002A7E27"/>
    <w:rsid w:val="002C43C4"/>
    <w:rsid w:val="002D2549"/>
    <w:rsid w:val="002E377D"/>
    <w:rsid w:val="00311BCC"/>
    <w:rsid w:val="00316A8A"/>
    <w:rsid w:val="003210C0"/>
    <w:rsid w:val="00331FA1"/>
    <w:rsid w:val="003323EC"/>
    <w:rsid w:val="003325D0"/>
    <w:rsid w:val="00345B82"/>
    <w:rsid w:val="003623ED"/>
    <w:rsid w:val="00363182"/>
    <w:rsid w:val="003674E8"/>
    <w:rsid w:val="0037318D"/>
    <w:rsid w:val="003742BF"/>
    <w:rsid w:val="00376C9B"/>
    <w:rsid w:val="003848E0"/>
    <w:rsid w:val="00386258"/>
    <w:rsid w:val="0039221A"/>
    <w:rsid w:val="003974A8"/>
    <w:rsid w:val="003A4598"/>
    <w:rsid w:val="003A6615"/>
    <w:rsid w:val="003B4C71"/>
    <w:rsid w:val="003C25AC"/>
    <w:rsid w:val="003C33C6"/>
    <w:rsid w:val="003D42E8"/>
    <w:rsid w:val="003E2279"/>
    <w:rsid w:val="003E240F"/>
    <w:rsid w:val="003F07F5"/>
    <w:rsid w:val="003F25B3"/>
    <w:rsid w:val="003F614A"/>
    <w:rsid w:val="00402D69"/>
    <w:rsid w:val="00404BFF"/>
    <w:rsid w:val="00405028"/>
    <w:rsid w:val="00407A9D"/>
    <w:rsid w:val="00410C08"/>
    <w:rsid w:val="00412C4C"/>
    <w:rsid w:val="00416AF9"/>
    <w:rsid w:val="00422BF3"/>
    <w:rsid w:val="00432EE0"/>
    <w:rsid w:val="00456A02"/>
    <w:rsid w:val="00456BF3"/>
    <w:rsid w:val="004718A9"/>
    <w:rsid w:val="00472255"/>
    <w:rsid w:val="004726EF"/>
    <w:rsid w:val="004778DB"/>
    <w:rsid w:val="004826B1"/>
    <w:rsid w:val="004847C4"/>
    <w:rsid w:val="0049324A"/>
    <w:rsid w:val="00495DB8"/>
    <w:rsid w:val="00496AA0"/>
    <w:rsid w:val="004A1192"/>
    <w:rsid w:val="004A30B3"/>
    <w:rsid w:val="004A5534"/>
    <w:rsid w:val="004A561D"/>
    <w:rsid w:val="004B1882"/>
    <w:rsid w:val="004B71A8"/>
    <w:rsid w:val="004C45BD"/>
    <w:rsid w:val="004D042E"/>
    <w:rsid w:val="004D54A5"/>
    <w:rsid w:val="004D663E"/>
    <w:rsid w:val="004D6EF7"/>
    <w:rsid w:val="004E1FC3"/>
    <w:rsid w:val="004E7BB4"/>
    <w:rsid w:val="004F69A2"/>
    <w:rsid w:val="0050385B"/>
    <w:rsid w:val="0050632E"/>
    <w:rsid w:val="0050725B"/>
    <w:rsid w:val="0051385B"/>
    <w:rsid w:val="005157DD"/>
    <w:rsid w:val="0051682C"/>
    <w:rsid w:val="00516A47"/>
    <w:rsid w:val="00533211"/>
    <w:rsid w:val="00533A3F"/>
    <w:rsid w:val="00534EDD"/>
    <w:rsid w:val="00556EC3"/>
    <w:rsid w:val="00583501"/>
    <w:rsid w:val="00585554"/>
    <w:rsid w:val="00593A0E"/>
    <w:rsid w:val="005A0900"/>
    <w:rsid w:val="005A0C9D"/>
    <w:rsid w:val="005B6670"/>
    <w:rsid w:val="005C4D43"/>
    <w:rsid w:val="005C73F1"/>
    <w:rsid w:val="005D5FFA"/>
    <w:rsid w:val="005D65E7"/>
    <w:rsid w:val="005E0691"/>
    <w:rsid w:val="005E5E0F"/>
    <w:rsid w:val="005E6889"/>
    <w:rsid w:val="006019CA"/>
    <w:rsid w:val="006035CF"/>
    <w:rsid w:val="0060471E"/>
    <w:rsid w:val="00617038"/>
    <w:rsid w:val="00632E59"/>
    <w:rsid w:val="00633F7D"/>
    <w:rsid w:val="00635AEB"/>
    <w:rsid w:val="006364B0"/>
    <w:rsid w:val="006425CE"/>
    <w:rsid w:val="00647120"/>
    <w:rsid w:val="0065595C"/>
    <w:rsid w:val="00660476"/>
    <w:rsid w:val="006612F8"/>
    <w:rsid w:val="00661301"/>
    <w:rsid w:val="0066330E"/>
    <w:rsid w:val="00663881"/>
    <w:rsid w:val="00665219"/>
    <w:rsid w:val="006758E6"/>
    <w:rsid w:val="00684361"/>
    <w:rsid w:val="00686D93"/>
    <w:rsid w:val="006873F0"/>
    <w:rsid w:val="00687EF4"/>
    <w:rsid w:val="00690AF6"/>
    <w:rsid w:val="00693EC9"/>
    <w:rsid w:val="006A7615"/>
    <w:rsid w:val="006B0579"/>
    <w:rsid w:val="006B1903"/>
    <w:rsid w:val="006B20C7"/>
    <w:rsid w:val="006D0E74"/>
    <w:rsid w:val="006E3234"/>
    <w:rsid w:val="006E43DA"/>
    <w:rsid w:val="006E7944"/>
    <w:rsid w:val="006F29DB"/>
    <w:rsid w:val="00706A1F"/>
    <w:rsid w:val="00714B29"/>
    <w:rsid w:val="00715EB4"/>
    <w:rsid w:val="007202A8"/>
    <w:rsid w:val="00721154"/>
    <w:rsid w:val="00721861"/>
    <w:rsid w:val="00727338"/>
    <w:rsid w:val="0074088B"/>
    <w:rsid w:val="00741DF3"/>
    <w:rsid w:val="00743DF0"/>
    <w:rsid w:val="007465E8"/>
    <w:rsid w:val="00746663"/>
    <w:rsid w:val="00755AA4"/>
    <w:rsid w:val="0076040B"/>
    <w:rsid w:val="00761FF6"/>
    <w:rsid w:val="00762C01"/>
    <w:rsid w:val="0076410F"/>
    <w:rsid w:val="00782768"/>
    <w:rsid w:val="00793D91"/>
    <w:rsid w:val="00793F6D"/>
    <w:rsid w:val="00794CB5"/>
    <w:rsid w:val="007A7E66"/>
    <w:rsid w:val="007D147C"/>
    <w:rsid w:val="007D6D3C"/>
    <w:rsid w:val="007D78D5"/>
    <w:rsid w:val="007E0872"/>
    <w:rsid w:val="007E58C9"/>
    <w:rsid w:val="007F1768"/>
    <w:rsid w:val="007F250B"/>
    <w:rsid w:val="007F28E3"/>
    <w:rsid w:val="007F2A2A"/>
    <w:rsid w:val="007F50FE"/>
    <w:rsid w:val="007F7090"/>
    <w:rsid w:val="00805A7C"/>
    <w:rsid w:val="008061BD"/>
    <w:rsid w:val="00806A58"/>
    <w:rsid w:val="008127CA"/>
    <w:rsid w:val="0081471A"/>
    <w:rsid w:val="00815811"/>
    <w:rsid w:val="00821266"/>
    <w:rsid w:val="00822DC9"/>
    <w:rsid w:val="0083298D"/>
    <w:rsid w:val="00833413"/>
    <w:rsid w:val="008370C2"/>
    <w:rsid w:val="008619D0"/>
    <w:rsid w:val="00864184"/>
    <w:rsid w:val="00866228"/>
    <w:rsid w:val="0088023A"/>
    <w:rsid w:val="00881D4D"/>
    <w:rsid w:val="00891507"/>
    <w:rsid w:val="00894E1B"/>
    <w:rsid w:val="00897655"/>
    <w:rsid w:val="008A14A2"/>
    <w:rsid w:val="008C2112"/>
    <w:rsid w:val="008C3190"/>
    <w:rsid w:val="008C536E"/>
    <w:rsid w:val="008C6F62"/>
    <w:rsid w:val="008D16E4"/>
    <w:rsid w:val="008D5FD2"/>
    <w:rsid w:val="008E2408"/>
    <w:rsid w:val="008E31AA"/>
    <w:rsid w:val="008E48A0"/>
    <w:rsid w:val="008E4B24"/>
    <w:rsid w:val="008F1C76"/>
    <w:rsid w:val="008F4A42"/>
    <w:rsid w:val="00900A17"/>
    <w:rsid w:val="00901108"/>
    <w:rsid w:val="00911869"/>
    <w:rsid w:val="00914C68"/>
    <w:rsid w:val="00915FF0"/>
    <w:rsid w:val="00931E63"/>
    <w:rsid w:val="00935831"/>
    <w:rsid w:val="00941608"/>
    <w:rsid w:val="00941E42"/>
    <w:rsid w:val="0095498D"/>
    <w:rsid w:val="009614BD"/>
    <w:rsid w:val="009618B4"/>
    <w:rsid w:val="009622DD"/>
    <w:rsid w:val="00965497"/>
    <w:rsid w:val="00970E2B"/>
    <w:rsid w:val="009747FE"/>
    <w:rsid w:val="00980F29"/>
    <w:rsid w:val="009868ED"/>
    <w:rsid w:val="0098794D"/>
    <w:rsid w:val="009907D7"/>
    <w:rsid w:val="009A06FE"/>
    <w:rsid w:val="009A4FC6"/>
    <w:rsid w:val="009B3C7A"/>
    <w:rsid w:val="009B553F"/>
    <w:rsid w:val="009B55DF"/>
    <w:rsid w:val="009C00CA"/>
    <w:rsid w:val="009C0C1F"/>
    <w:rsid w:val="009C6569"/>
    <w:rsid w:val="009D71A1"/>
    <w:rsid w:val="009E1010"/>
    <w:rsid w:val="009E7D5E"/>
    <w:rsid w:val="00A00838"/>
    <w:rsid w:val="00A041BE"/>
    <w:rsid w:val="00A06BEC"/>
    <w:rsid w:val="00A07440"/>
    <w:rsid w:val="00A102BA"/>
    <w:rsid w:val="00A27C2D"/>
    <w:rsid w:val="00A420A9"/>
    <w:rsid w:val="00A44DE5"/>
    <w:rsid w:val="00A74B88"/>
    <w:rsid w:val="00A757CF"/>
    <w:rsid w:val="00A80039"/>
    <w:rsid w:val="00A81FAC"/>
    <w:rsid w:val="00AA519F"/>
    <w:rsid w:val="00AA72B8"/>
    <w:rsid w:val="00AB1DF8"/>
    <w:rsid w:val="00AC5B96"/>
    <w:rsid w:val="00AD0673"/>
    <w:rsid w:val="00AD2AE6"/>
    <w:rsid w:val="00AD5382"/>
    <w:rsid w:val="00AE105E"/>
    <w:rsid w:val="00AE5484"/>
    <w:rsid w:val="00AF3E9C"/>
    <w:rsid w:val="00B01BC3"/>
    <w:rsid w:val="00B11B60"/>
    <w:rsid w:val="00B14CA8"/>
    <w:rsid w:val="00B15F16"/>
    <w:rsid w:val="00B16C2F"/>
    <w:rsid w:val="00B16D98"/>
    <w:rsid w:val="00B23432"/>
    <w:rsid w:val="00B309B9"/>
    <w:rsid w:val="00B34A42"/>
    <w:rsid w:val="00B35C92"/>
    <w:rsid w:val="00B455E4"/>
    <w:rsid w:val="00B528A4"/>
    <w:rsid w:val="00B571E7"/>
    <w:rsid w:val="00B60203"/>
    <w:rsid w:val="00B63AAA"/>
    <w:rsid w:val="00B747E9"/>
    <w:rsid w:val="00B93394"/>
    <w:rsid w:val="00B9427C"/>
    <w:rsid w:val="00B97CDE"/>
    <w:rsid w:val="00BA1793"/>
    <w:rsid w:val="00BA2D2B"/>
    <w:rsid w:val="00BB67EE"/>
    <w:rsid w:val="00BC2F8E"/>
    <w:rsid w:val="00BC5C69"/>
    <w:rsid w:val="00BC6AEC"/>
    <w:rsid w:val="00BD2E2D"/>
    <w:rsid w:val="00BD449E"/>
    <w:rsid w:val="00BE7224"/>
    <w:rsid w:val="00BE73E2"/>
    <w:rsid w:val="00BF1298"/>
    <w:rsid w:val="00BF429F"/>
    <w:rsid w:val="00BF4AA2"/>
    <w:rsid w:val="00C02894"/>
    <w:rsid w:val="00C10B63"/>
    <w:rsid w:val="00C11D64"/>
    <w:rsid w:val="00C16EDD"/>
    <w:rsid w:val="00C20A88"/>
    <w:rsid w:val="00C23768"/>
    <w:rsid w:val="00C248C9"/>
    <w:rsid w:val="00C26814"/>
    <w:rsid w:val="00C309DA"/>
    <w:rsid w:val="00C30C61"/>
    <w:rsid w:val="00C36F58"/>
    <w:rsid w:val="00C443B2"/>
    <w:rsid w:val="00C50539"/>
    <w:rsid w:val="00C62DEC"/>
    <w:rsid w:val="00C648B3"/>
    <w:rsid w:val="00C64B72"/>
    <w:rsid w:val="00C759BF"/>
    <w:rsid w:val="00C767D8"/>
    <w:rsid w:val="00C86DC4"/>
    <w:rsid w:val="00C87BA3"/>
    <w:rsid w:val="00C941A5"/>
    <w:rsid w:val="00C9618A"/>
    <w:rsid w:val="00CA01B0"/>
    <w:rsid w:val="00CA46A3"/>
    <w:rsid w:val="00CA4D7A"/>
    <w:rsid w:val="00CA636B"/>
    <w:rsid w:val="00CB0346"/>
    <w:rsid w:val="00CB308B"/>
    <w:rsid w:val="00CB36C0"/>
    <w:rsid w:val="00CC0D8F"/>
    <w:rsid w:val="00CC5D78"/>
    <w:rsid w:val="00CC629F"/>
    <w:rsid w:val="00CD198F"/>
    <w:rsid w:val="00CD2714"/>
    <w:rsid w:val="00CD6EEC"/>
    <w:rsid w:val="00CE5087"/>
    <w:rsid w:val="00CF04C7"/>
    <w:rsid w:val="00CF15E0"/>
    <w:rsid w:val="00CF7FE6"/>
    <w:rsid w:val="00D00417"/>
    <w:rsid w:val="00D12617"/>
    <w:rsid w:val="00D1281D"/>
    <w:rsid w:val="00D34E4E"/>
    <w:rsid w:val="00D37638"/>
    <w:rsid w:val="00D55D04"/>
    <w:rsid w:val="00D65587"/>
    <w:rsid w:val="00D77E27"/>
    <w:rsid w:val="00D8792E"/>
    <w:rsid w:val="00D97AC7"/>
    <w:rsid w:val="00DB2B90"/>
    <w:rsid w:val="00DC7442"/>
    <w:rsid w:val="00DD2170"/>
    <w:rsid w:val="00DD296C"/>
    <w:rsid w:val="00DE076F"/>
    <w:rsid w:val="00DF169A"/>
    <w:rsid w:val="00E0047C"/>
    <w:rsid w:val="00E06144"/>
    <w:rsid w:val="00E12752"/>
    <w:rsid w:val="00E16DB1"/>
    <w:rsid w:val="00E22084"/>
    <w:rsid w:val="00E32004"/>
    <w:rsid w:val="00E40868"/>
    <w:rsid w:val="00E41057"/>
    <w:rsid w:val="00E42FCB"/>
    <w:rsid w:val="00E47D4B"/>
    <w:rsid w:val="00E505C8"/>
    <w:rsid w:val="00E53583"/>
    <w:rsid w:val="00E54C1A"/>
    <w:rsid w:val="00E55247"/>
    <w:rsid w:val="00E7053B"/>
    <w:rsid w:val="00E705A2"/>
    <w:rsid w:val="00E75130"/>
    <w:rsid w:val="00E858E9"/>
    <w:rsid w:val="00EA0D41"/>
    <w:rsid w:val="00EA15E0"/>
    <w:rsid w:val="00EA175C"/>
    <w:rsid w:val="00EB1279"/>
    <w:rsid w:val="00EB1977"/>
    <w:rsid w:val="00EB790D"/>
    <w:rsid w:val="00EC73A8"/>
    <w:rsid w:val="00EC75CB"/>
    <w:rsid w:val="00ED6F5E"/>
    <w:rsid w:val="00EE1301"/>
    <w:rsid w:val="00EE2383"/>
    <w:rsid w:val="00EE4E81"/>
    <w:rsid w:val="00EF7E56"/>
    <w:rsid w:val="00F01BCD"/>
    <w:rsid w:val="00F035ED"/>
    <w:rsid w:val="00F04F05"/>
    <w:rsid w:val="00F312F1"/>
    <w:rsid w:val="00F3664A"/>
    <w:rsid w:val="00F4113A"/>
    <w:rsid w:val="00F41955"/>
    <w:rsid w:val="00F44849"/>
    <w:rsid w:val="00F730A2"/>
    <w:rsid w:val="00F7557E"/>
    <w:rsid w:val="00F7586F"/>
    <w:rsid w:val="00F80652"/>
    <w:rsid w:val="00F84D67"/>
    <w:rsid w:val="00FC40CE"/>
    <w:rsid w:val="00FE6A8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A6ED9"/>
  <w15:docId w15:val="{1FD09EE9-FB66-4400-A126-347565EA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FAC"/>
    <w:rPr>
      <w:rFonts w:eastAsia="Times New Roman" w:cs="Times New Roman"/>
      <w:sz w:val="24"/>
      <w:szCs w:val="20"/>
      <w:lang w:val="en-AU" w:eastAsia="lv-LV"/>
    </w:rPr>
  </w:style>
  <w:style w:type="paragraph" w:styleId="Heading1">
    <w:name w:val="heading 1"/>
    <w:basedOn w:val="Normal"/>
    <w:next w:val="Normal"/>
    <w:link w:val="Heading1Char"/>
    <w:qFormat/>
    <w:rsid w:val="00A81FAC"/>
    <w:pPr>
      <w:keepNext/>
      <w:jc w:val="right"/>
      <w:outlineLvl w:val="0"/>
    </w:pPr>
    <w:rPr>
      <w:lang w:val="lv-LV"/>
    </w:rPr>
  </w:style>
  <w:style w:type="paragraph" w:styleId="Heading2">
    <w:name w:val="heading 2"/>
    <w:basedOn w:val="Normal"/>
    <w:next w:val="Normal"/>
    <w:link w:val="Heading2Char"/>
    <w:semiHidden/>
    <w:unhideWhenUsed/>
    <w:qFormat/>
    <w:rsid w:val="00A81FAC"/>
    <w:pPr>
      <w:keepNext/>
      <w:jc w:val="center"/>
      <w:outlineLvl w:val="1"/>
    </w:pPr>
    <w:rPr>
      <w:lang w:val="lv-LV"/>
    </w:rPr>
  </w:style>
  <w:style w:type="paragraph" w:styleId="Heading3">
    <w:name w:val="heading 3"/>
    <w:basedOn w:val="Normal"/>
    <w:next w:val="Normal"/>
    <w:link w:val="Heading3Char"/>
    <w:uiPriority w:val="9"/>
    <w:semiHidden/>
    <w:unhideWhenUsed/>
    <w:qFormat/>
    <w:rsid w:val="006364B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FAC"/>
    <w:rPr>
      <w:rFonts w:eastAsia="Times New Roman" w:cs="Times New Roman"/>
      <w:sz w:val="24"/>
      <w:szCs w:val="20"/>
      <w:lang w:eastAsia="lv-LV"/>
    </w:rPr>
  </w:style>
  <w:style w:type="character" w:customStyle="1" w:styleId="Heading2Char">
    <w:name w:val="Heading 2 Char"/>
    <w:basedOn w:val="DefaultParagraphFont"/>
    <w:link w:val="Heading2"/>
    <w:semiHidden/>
    <w:rsid w:val="00A81FAC"/>
    <w:rPr>
      <w:rFonts w:eastAsia="Times New Roman" w:cs="Times New Roman"/>
      <w:sz w:val="24"/>
      <w:szCs w:val="20"/>
      <w:lang w:eastAsia="lv-LV"/>
    </w:rPr>
  </w:style>
  <w:style w:type="character" w:styleId="Hyperlink">
    <w:name w:val="Hyperlink"/>
    <w:basedOn w:val="DefaultParagraphFont"/>
    <w:uiPriority w:val="99"/>
    <w:unhideWhenUsed/>
    <w:rsid w:val="00A81FAC"/>
    <w:rPr>
      <w:color w:val="0563C1" w:themeColor="hyperlink"/>
      <w:u w:val="single"/>
    </w:rPr>
  </w:style>
  <w:style w:type="paragraph" w:styleId="NoSpacing">
    <w:name w:val="No Spacing"/>
    <w:qFormat/>
    <w:rsid w:val="00A81FAC"/>
    <w:rPr>
      <w:rFonts w:eastAsia="Times New Roman" w:cs="Times New Roman"/>
      <w:sz w:val="24"/>
      <w:szCs w:val="20"/>
      <w:lang w:val="en-AU" w:eastAsia="lv-LV"/>
    </w:rPr>
  </w:style>
  <w:style w:type="paragraph" w:styleId="ListParagraph">
    <w:name w:val="List Paragraph"/>
    <w:basedOn w:val="Normal"/>
    <w:uiPriority w:val="34"/>
    <w:qFormat/>
    <w:rsid w:val="00A81FAC"/>
    <w:pPr>
      <w:ind w:left="720"/>
      <w:contextualSpacing/>
    </w:pPr>
  </w:style>
  <w:style w:type="paragraph" w:customStyle="1" w:styleId="naisf">
    <w:name w:val="naisf"/>
    <w:basedOn w:val="Normal"/>
    <w:rsid w:val="00A81FAC"/>
    <w:pPr>
      <w:spacing w:before="75" w:after="75"/>
      <w:ind w:firstLine="375"/>
      <w:jc w:val="both"/>
    </w:pPr>
    <w:rPr>
      <w:szCs w:val="24"/>
      <w:lang w:val="lv-LV"/>
    </w:rPr>
  </w:style>
  <w:style w:type="paragraph" w:styleId="Footer">
    <w:name w:val="footer"/>
    <w:basedOn w:val="Normal"/>
    <w:link w:val="FooterChar"/>
    <w:uiPriority w:val="99"/>
    <w:unhideWhenUsed/>
    <w:rsid w:val="00A81FAC"/>
    <w:pPr>
      <w:tabs>
        <w:tab w:val="center" w:pos="4153"/>
        <w:tab w:val="right" w:pos="8306"/>
      </w:tabs>
    </w:pPr>
  </w:style>
  <w:style w:type="character" w:customStyle="1" w:styleId="FooterChar">
    <w:name w:val="Footer Char"/>
    <w:basedOn w:val="DefaultParagraphFont"/>
    <w:link w:val="Footer"/>
    <w:uiPriority w:val="99"/>
    <w:rsid w:val="00A81FAC"/>
    <w:rPr>
      <w:rFonts w:eastAsia="Times New Roman" w:cs="Times New Roman"/>
      <w:sz w:val="24"/>
      <w:szCs w:val="20"/>
      <w:lang w:val="en-AU" w:eastAsia="lv-LV"/>
    </w:rPr>
  </w:style>
  <w:style w:type="paragraph" w:styleId="Header">
    <w:name w:val="header"/>
    <w:basedOn w:val="Normal"/>
    <w:link w:val="HeaderChar"/>
    <w:uiPriority w:val="99"/>
    <w:unhideWhenUsed/>
    <w:rsid w:val="00E32004"/>
    <w:pPr>
      <w:tabs>
        <w:tab w:val="center" w:pos="4153"/>
        <w:tab w:val="right" w:pos="8306"/>
      </w:tabs>
    </w:pPr>
  </w:style>
  <w:style w:type="character" w:customStyle="1" w:styleId="HeaderChar">
    <w:name w:val="Header Char"/>
    <w:basedOn w:val="DefaultParagraphFont"/>
    <w:link w:val="Header"/>
    <w:uiPriority w:val="99"/>
    <w:rsid w:val="00E32004"/>
    <w:rPr>
      <w:rFonts w:eastAsia="Times New Roman" w:cs="Times New Roman"/>
      <w:sz w:val="24"/>
      <w:szCs w:val="20"/>
      <w:lang w:val="en-AU" w:eastAsia="lv-LV"/>
    </w:rPr>
  </w:style>
  <w:style w:type="paragraph" w:styleId="BalloonText">
    <w:name w:val="Balloon Text"/>
    <w:basedOn w:val="Normal"/>
    <w:link w:val="BalloonTextChar"/>
    <w:uiPriority w:val="99"/>
    <w:semiHidden/>
    <w:unhideWhenUsed/>
    <w:rsid w:val="00022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32"/>
    <w:rPr>
      <w:rFonts w:ascii="Segoe UI" w:eastAsia="Times New Roman" w:hAnsi="Segoe UI" w:cs="Segoe UI"/>
      <w:sz w:val="18"/>
      <w:szCs w:val="18"/>
      <w:lang w:val="en-AU" w:eastAsia="lv-LV"/>
    </w:rPr>
  </w:style>
  <w:style w:type="character" w:customStyle="1" w:styleId="Heading3Char">
    <w:name w:val="Heading 3 Char"/>
    <w:basedOn w:val="DefaultParagraphFont"/>
    <w:link w:val="Heading3"/>
    <w:uiPriority w:val="9"/>
    <w:semiHidden/>
    <w:rsid w:val="006364B0"/>
    <w:rPr>
      <w:rFonts w:asciiTheme="majorHAnsi" w:eastAsiaTheme="majorEastAsia" w:hAnsiTheme="majorHAnsi" w:cstheme="majorBidi"/>
      <w:color w:val="1F3763" w:themeColor="accent1" w:themeShade="7F"/>
      <w:sz w:val="24"/>
      <w:szCs w:val="24"/>
      <w:lang w:val="en-AU" w:eastAsia="lv-LV"/>
    </w:rPr>
  </w:style>
  <w:style w:type="paragraph" w:styleId="NormalWeb">
    <w:name w:val="Normal (Web)"/>
    <w:basedOn w:val="Normal"/>
    <w:uiPriority w:val="99"/>
    <w:semiHidden/>
    <w:unhideWhenUsed/>
    <w:rsid w:val="00E705A2"/>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020ACD"/>
    <w:rPr>
      <w:sz w:val="16"/>
      <w:szCs w:val="16"/>
    </w:rPr>
  </w:style>
  <w:style w:type="paragraph" w:styleId="CommentText">
    <w:name w:val="annotation text"/>
    <w:basedOn w:val="Normal"/>
    <w:link w:val="CommentTextChar"/>
    <w:uiPriority w:val="99"/>
    <w:semiHidden/>
    <w:unhideWhenUsed/>
    <w:rsid w:val="00020ACD"/>
    <w:rPr>
      <w:sz w:val="20"/>
    </w:rPr>
  </w:style>
  <w:style w:type="character" w:customStyle="1" w:styleId="CommentTextChar">
    <w:name w:val="Comment Text Char"/>
    <w:basedOn w:val="DefaultParagraphFont"/>
    <w:link w:val="CommentText"/>
    <w:uiPriority w:val="99"/>
    <w:semiHidden/>
    <w:rsid w:val="00020ACD"/>
    <w:rPr>
      <w:rFonts w:eastAsia="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020ACD"/>
    <w:rPr>
      <w:b/>
      <w:bCs/>
    </w:rPr>
  </w:style>
  <w:style w:type="character" w:customStyle="1" w:styleId="CommentSubjectChar">
    <w:name w:val="Comment Subject Char"/>
    <w:basedOn w:val="CommentTextChar"/>
    <w:link w:val="CommentSubject"/>
    <w:uiPriority w:val="99"/>
    <w:semiHidden/>
    <w:rsid w:val="00020ACD"/>
    <w:rPr>
      <w:rFonts w:eastAsia="Times New Roman" w:cs="Times New Roman"/>
      <w:b/>
      <w:bCs/>
      <w:sz w:val="20"/>
      <w:szCs w:val="20"/>
      <w:lang w:val="en-AU" w:eastAsia="lv-LV"/>
    </w:rPr>
  </w:style>
  <w:style w:type="paragraph" w:customStyle="1" w:styleId="tv213">
    <w:name w:val="tv213"/>
    <w:basedOn w:val="Normal"/>
    <w:rsid w:val="00516A47"/>
    <w:pPr>
      <w:spacing w:before="100" w:beforeAutospacing="1" w:after="100" w:afterAutospacing="1"/>
    </w:pPr>
    <w:rPr>
      <w:szCs w:val="24"/>
      <w:lang w:val="lv-LV"/>
    </w:rPr>
  </w:style>
  <w:style w:type="paragraph" w:customStyle="1" w:styleId="naislab">
    <w:name w:val="naislab"/>
    <w:basedOn w:val="Normal"/>
    <w:rsid w:val="00193016"/>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704">
      <w:bodyDiv w:val="1"/>
      <w:marLeft w:val="0"/>
      <w:marRight w:val="0"/>
      <w:marTop w:val="0"/>
      <w:marBottom w:val="0"/>
      <w:divBdr>
        <w:top w:val="none" w:sz="0" w:space="0" w:color="auto"/>
        <w:left w:val="none" w:sz="0" w:space="0" w:color="auto"/>
        <w:bottom w:val="none" w:sz="0" w:space="0" w:color="auto"/>
        <w:right w:val="none" w:sz="0" w:space="0" w:color="auto"/>
      </w:divBdr>
    </w:div>
    <w:div w:id="97607955">
      <w:bodyDiv w:val="1"/>
      <w:marLeft w:val="0"/>
      <w:marRight w:val="0"/>
      <w:marTop w:val="0"/>
      <w:marBottom w:val="0"/>
      <w:divBdr>
        <w:top w:val="none" w:sz="0" w:space="0" w:color="auto"/>
        <w:left w:val="none" w:sz="0" w:space="0" w:color="auto"/>
        <w:bottom w:val="none" w:sz="0" w:space="0" w:color="auto"/>
        <w:right w:val="none" w:sz="0" w:space="0" w:color="auto"/>
      </w:divBdr>
    </w:div>
    <w:div w:id="111483381">
      <w:bodyDiv w:val="1"/>
      <w:marLeft w:val="0"/>
      <w:marRight w:val="0"/>
      <w:marTop w:val="0"/>
      <w:marBottom w:val="0"/>
      <w:divBdr>
        <w:top w:val="none" w:sz="0" w:space="0" w:color="auto"/>
        <w:left w:val="none" w:sz="0" w:space="0" w:color="auto"/>
        <w:bottom w:val="none" w:sz="0" w:space="0" w:color="auto"/>
        <w:right w:val="none" w:sz="0" w:space="0" w:color="auto"/>
      </w:divBdr>
    </w:div>
    <w:div w:id="1527913606">
      <w:bodyDiv w:val="1"/>
      <w:marLeft w:val="0"/>
      <w:marRight w:val="0"/>
      <w:marTop w:val="0"/>
      <w:marBottom w:val="0"/>
      <w:divBdr>
        <w:top w:val="none" w:sz="0" w:space="0" w:color="auto"/>
        <w:left w:val="none" w:sz="0" w:space="0" w:color="auto"/>
        <w:bottom w:val="none" w:sz="0" w:space="0" w:color="auto"/>
        <w:right w:val="none" w:sz="0" w:space="0" w:color="auto"/>
      </w:divBdr>
    </w:div>
    <w:div w:id="1901866638">
      <w:bodyDiv w:val="1"/>
      <w:marLeft w:val="0"/>
      <w:marRight w:val="0"/>
      <w:marTop w:val="0"/>
      <w:marBottom w:val="0"/>
      <w:divBdr>
        <w:top w:val="none" w:sz="0" w:space="0" w:color="auto"/>
        <w:left w:val="none" w:sz="0" w:space="0" w:color="auto"/>
        <w:bottom w:val="none" w:sz="0" w:space="0" w:color="auto"/>
        <w:right w:val="none" w:sz="0" w:space="0" w:color="auto"/>
      </w:divBdr>
      <w:divsChild>
        <w:div w:id="677123300">
          <w:marLeft w:val="0"/>
          <w:marRight w:val="0"/>
          <w:marTop w:val="0"/>
          <w:marBottom w:val="0"/>
          <w:divBdr>
            <w:top w:val="none" w:sz="0" w:space="0" w:color="auto"/>
            <w:left w:val="none" w:sz="0" w:space="0" w:color="auto"/>
            <w:bottom w:val="none" w:sz="0" w:space="0" w:color="auto"/>
            <w:right w:val="none" w:sz="0" w:space="0" w:color="auto"/>
          </w:divBdr>
          <w:divsChild>
            <w:div w:id="1448425206">
              <w:marLeft w:val="0"/>
              <w:marRight w:val="0"/>
              <w:marTop w:val="0"/>
              <w:marBottom w:val="0"/>
              <w:divBdr>
                <w:top w:val="none" w:sz="0" w:space="0" w:color="auto"/>
                <w:left w:val="none" w:sz="0" w:space="0" w:color="auto"/>
                <w:bottom w:val="none" w:sz="0" w:space="0" w:color="auto"/>
                <w:right w:val="none" w:sz="0" w:space="0" w:color="auto"/>
              </w:divBdr>
              <w:divsChild>
                <w:div w:id="1866406507">
                  <w:marLeft w:val="0"/>
                  <w:marRight w:val="0"/>
                  <w:marTop w:val="0"/>
                  <w:marBottom w:val="0"/>
                  <w:divBdr>
                    <w:top w:val="none" w:sz="0" w:space="0" w:color="auto"/>
                    <w:left w:val="none" w:sz="0" w:space="0" w:color="auto"/>
                    <w:bottom w:val="none" w:sz="0" w:space="0" w:color="auto"/>
                    <w:right w:val="none" w:sz="0" w:space="0" w:color="auto"/>
                  </w:divBdr>
                  <w:divsChild>
                    <w:div w:id="34432008">
                      <w:marLeft w:val="0"/>
                      <w:marRight w:val="0"/>
                      <w:marTop w:val="0"/>
                      <w:marBottom w:val="0"/>
                      <w:divBdr>
                        <w:top w:val="none" w:sz="0" w:space="0" w:color="auto"/>
                        <w:left w:val="none" w:sz="0" w:space="0" w:color="auto"/>
                        <w:bottom w:val="none" w:sz="0" w:space="0" w:color="auto"/>
                        <w:right w:val="none" w:sz="0" w:space="0" w:color="auto"/>
                      </w:divBdr>
                    </w:div>
                  </w:divsChild>
                </w:div>
                <w:div w:id="1484080123">
                  <w:marLeft w:val="0"/>
                  <w:marRight w:val="0"/>
                  <w:marTop w:val="0"/>
                  <w:marBottom w:val="0"/>
                  <w:divBdr>
                    <w:top w:val="none" w:sz="0" w:space="0" w:color="auto"/>
                    <w:left w:val="none" w:sz="0" w:space="0" w:color="auto"/>
                    <w:bottom w:val="none" w:sz="0" w:space="0" w:color="auto"/>
                    <w:right w:val="none" w:sz="0" w:space="0" w:color="auto"/>
                  </w:divBdr>
                  <w:divsChild>
                    <w:div w:id="2102068240">
                      <w:marLeft w:val="0"/>
                      <w:marRight w:val="0"/>
                      <w:marTop w:val="0"/>
                      <w:marBottom w:val="0"/>
                      <w:divBdr>
                        <w:top w:val="none" w:sz="0" w:space="0" w:color="auto"/>
                        <w:left w:val="none" w:sz="0" w:space="0" w:color="auto"/>
                        <w:bottom w:val="none" w:sz="0" w:space="0" w:color="auto"/>
                        <w:right w:val="none" w:sz="0" w:space="0" w:color="auto"/>
                      </w:divBdr>
                    </w:div>
                  </w:divsChild>
                </w:div>
                <w:div w:id="1066222589">
                  <w:marLeft w:val="0"/>
                  <w:marRight w:val="0"/>
                  <w:marTop w:val="0"/>
                  <w:marBottom w:val="0"/>
                  <w:divBdr>
                    <w:top w:val="none" w:sz="0" w:space="0" w:color="auto"/>
                    <w:left w:val="none" w:sz="0" w:space="0" w:color="auto"/>
                    <w:bottom w:val="none" w:sz="0" w:space="0" w:color="auto"/>
                    <w:right w:val="none" w:sz="0" w:space="0" w:color="auto"/>
                  </w:divBdr>
                  <w:divsChild>
                    <w:div w:id="2131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8090">
              <w:marLeft w:val="0"/>
              <w:marRight w:val="0"/>
              <w:marTop w:val="0"/>
              <w:marBottom w:val="0"/>
              <w:divBdr>
                <w:top w:val="none" w:sz="0" w:space="0" w:color="auto"/>
                <w:left w:val="none" w:sz="0" w:space="0" w:color="auto"/>
                <w:bottom w:val="none" w:sz="0" w:space="0" w:color="auto"/>
                <w:right w:val="none" w:sz="0" w:space="0" w:color="auto"/>
              </w:divBdr>
              <w:divsChild>
                <w:div w:id="213467435">
                  <w:marLeft w:val="0"/>
                  <w:marRight w:val="0"/>
                  <w:marTop w:val="0"/>
                  <w:marBottom w:val="0"/>
                  <w:divBdr>
                    <w:top w:val="none" w:sz="0" w:space="0" w:color="auto"/>
                    <w:left w:val="none" w:sz="0" w:space="0" w:color="auto"/>
                    <w:bottom w:val="none" w:sz="0" w:space="0" w:color="auto"/>
                    <w:right w:val="none" w:sz="0" w:space="0" w:color="auto"/>
                  </w:divBdr>
                  <w:divsChild>
                    <w:div w:id="399256331">
                      <w:marLeft w:val="0"/>
                      <w:marRight w:val="0"/>
                      <w:marTop w:val="0"/>
                      <w:marBottom w:val="0"/>
                      <w:divBdr>
                        <w:top w:val="none" w:sz="0" w:space="0" w:color="auto"/>
                        <w:left w:val="none" w:sz="0" w:space="0" w:color="auto"/>
                        <w:bottom w:val="none" w:sz="0" w:space="0" w:color="auto"/>
                        <w:right w:val="none" w:sz="0" w:space="0" w:color="auto"/>
                      </w:divBdr>
                    </w:div>
                    <w:div w:id="1626155999">
                      <w:marLeft w:val="0"/>
                      <w:marRight w:val="0"/>
                      <w:marTop w:val="0"/>
                      <w:marBottom w:val="0"/>
                      <w:divBdr>
                        <w:top w:val="none" w:sz="0" w:space="0" w:color="auto"/>
                        <w:left w:val="none" w:sz="0" w:space="0" w:color="auto"/>
                        <w:bottom w:val="none" w:sz="0" w:space="0" w:color="auto"/>
                        <w:right w:val="none" w:sz="0" w:space="0" w:color="auto"/>
                      </w:divBdr>
                      <w:divsChild>
                        <w:div w:id="1783259038">
                          <w:marLeft w:val="0"/>
                          <w:marRight w:val="0"/>
                          <w:marTop w:val="0"/>
                          <w:marBottom w:val="0"/>
                          <w:divBdr>
                            <w:top w:val="none" w:sz="0" w:space="0" w:color="auto"/>
                            <w:left w:val="none" w:sz="0" w:space="0" w:color="auto"/>
                            <w:bottom w:val="none" w:sz="0" w:space="0" w:color="auto"/>
                            <w:right w:val="none" w:sz="0" w:space="0" w:color="auto"/>
                          </w:divBdr>
                        </w:div>
                        <w:div w:id="1287661667">
                          <w:marLeft w:val="0"/>
                          <w:marRight w:val="0"/>
                          <w:marTop w:val="0"/>
                          <w:marBottom w:val="0"/>
                          <w:divBdr>
                            <w:top w:val="none" w:sz="0" w:space="0" w:color="auto"/>
                            <w:left w:val="none" w:sz="0" w:space="0" w:color="auto"/>
                            <w:bottom w:val="none" w:sz="0" w:space="0" w:color="auto"/>
                            <w:right w:val="none" w:sz="0" w:space="0" w:color="auto"/>
                          </w:divBdr>
                          <w:divsChild>
                            <w:div w:id="1483156644">
                              <w:marLeft w:val="0"/>
                              <w:marRight w:val="0"/>
                              <w:marTop w:val="0"/>
                              <w:marBottom w:val="0"/>
                              <w:divBdr>
                                <w:top w:val="none" w:sz="0" w:space="0" w:color="auto"/>
                                <w:left w:val="none" w:sz="0" w:space="0" w:color="auto"/>
                                <w:bottom w:val="none" w:sz="0" w:space="0" w:color="auto"/>
                                <w:right w:val="none" w:sz="0" w:space="0" w:color="auto"/>
                              </w:divBdr>
                            </w:div>
                            <w:div w:id="917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js.Apanuks@e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7435</Words>
  <Characters>4238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AEED</cp:lastModifiedBy>
  <cp:revision>8</cp:revision>
  <cp:lastPrinted>2017-11-06T11:41:00Z</cp:lastPrinted>
  <dcterms:created xsi:type="dcterms:W3CDTF">2017-11-16T10:19:00Z</dcterms:created>
  <dcterms:modified xsi:type="dcterms:W3CDTF">2017-11-16T11:41:00Z</dcterms:modified>
</cp:coreProperties>
</file>