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543"/>
        <w:gridCol w:w="1785"/>
        <w:gridCol w:w="708"/>
        <w:gridCol w:w="2127"/>
      </w:tblGrid>
      <w:tr w:rsidR="00124F93" w:rsidRPr="00C2393F" w:rsidTr="00124F93">
        <w:tc>
          <w:tcPr>
            <w:tcW w:w="450"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rPr>
                <w:sz w:val="28"/>
                <w:szCs w:val="28"/>
              </w:rPr>
            </w:pPr>
            <w:bookmarkStart w:id="0" w:name="_GoBack"/>
            <w:bookmarkEnd w:id="0"/>
          </w:p>
        </w:tc>
        <w:bookmarkStart w:id="1" w:name="reg_dat"/>
        <w:tc>
          <w:tcPr>
            <w:tcW w:w="1785" w:type="dxa"/>
            <w:tcBorders>
              <w:top w:val="nil"/>
              <w:left w:val="nil"/>
              <w:bottom w:val="single" w:sz="4" w:space="0" w:color="auto"/>
              <w:right w:val="nil"/>
            </w:tcBorders>
          </w:tcPr>
          <w:p w:rsidR="00124F93" w:rsidRPr="00C2393F" w:rsidRDefault="00755954" w:rsidP="00124F93">
            <w:pPr>
              <w:widowControl/>
              <w:tabs>
                <w:tab w:val="left" w:pos="3960"/>
              </w:tabs>
              <w:spacing w:before="0" w:after="0" w:line="240" w:lineRule="auto"/>
              <w:ind w:firstLine="0"/>
              <w:rPr>
                <w:sz w:val="28"/>
                <w:szCs w:val="28"/>
              </w:rPr>
            </w:pPr>
            <w:r w:rsidRPr="00C2393F">
              <w:rPr>
                <w:sz w:val="28"/>
                <w:szCs w:val="28"/>
              </w:rPr>
              <w:fldChar w:fldCharType="begin">
                <w:ffData>
                  <w:name w:val="reg_dat"/>
                  <w:enabled/>
                  <w:calcOnExit w:val="0"/>
                  <w:textInput>
                    <w:default w:val="                      "/>
                  </w:textInput>
                </w:ffData>
              </w:fldChar>
            </w:r>
            <w:r w:rsidR="00124F93" w:rsidRPr="00C2393F">
              <w:rPr>
                <w:sz w:val="28"/>
                <w:szCs w:val="28"/>
              </w:rPr>
              <w:instrText xml:space="preserve"> FORMTEXT </w:instrText>
            </w:r>
            <w:r w:rsidR="004C2EEE" w:rsidRPr="00C2393F">
              <w:rPr>
                <w:sz w:val="28"/>
                <w:szCs w:val="28"/>
              </w:rPr>
            </w:r>
            <w:r w:rsidRPr="00C2393F">
              <w:rPr>
                <w:sz w:val="28"/>
                <w:szCs w:val="28"/>
              </w:rPr>
              <w:fldChar w:fldCharType="separate"/>
            </w:r>
            <w:r w:rsidR="004C2EEE">
              <w:rPr>
                <w:sz w:val="28"/>
                <w:szCs w:val="28"/>
              </w:rPr>
              <w:t>24.10.2017</w:t>
            </w:r>
            <w:r w:rsidRPr="00C2393F">
              <w:rPr>
                <w:sz w:val="28"/>
                <w:szCs w:val="28"/>
              </w:rPr>
              <w:fldChar w:fldCharType="end"/>
            </w:r>
            <w:bookmarkEnd w:id="1"/>
          </w:p>
        </w:tc>
        <w:tc>
          <w:tcPr>
            <w:tcW w:w="708"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jc w:val="center"/>
              <w:rPr>
                <w:sz w:val="28"/>
                <w:szCs w:val="28"/>
              </w:rPr>
            </w:pPr>
            <w:r w:rsidRPr="00C2393F">
              <w:rPr>
                <w:sz w:val="28"/>
                <w:szCs w:val="28"/>
              </w:rPr>
              <w:t>Nr.</w:t>
            </w:r>
          </w:p>
        </w:tc>
        <w:bookmarkStart w:id="2" w:name="lietas_nr"/>
        <w:tc>
          <w:tcPr>
            <w:tcW w:w="2127" w:type="dxa"/>
            <w:tcBorders>
              <w:top w:val="nil"/>
              <w:left w:val="nil"/>
              <w:bottom w:val="single" w:sz="4" w:space="0" w:color="auto"/>
              <w:right w:val="nil"/>
            </w:tcBorders>
          </w:tcPr>
          <w:p w:rsidR="00124F93" w:rsidRPr="00C2393F" w:rsidRDefault="00755954" w:rsidP="00486307">
            <w:pPr>
              <w:widowControl/>
              <w:tabs>
                <w:tab w:val="left" w:pos="360"/>
                <w:tab w:val="left" w:pos="3960"/>
              </w:tabs>
              <w:spacing w:before="0" w:after="0" w:line="240" w:lineRule="auto"/>
              <w:ind w:firstLine="0"/>
              <w:rPr>
                <w:sz w:val="28"/>
                <w:szCs w:val="28"/>
              </w:rPr>
            </w:pPr>
            <w:r w:rsidRPr="00C2393F">
              <w:rPr>
                <w:sz w:val="28"/>
                <w:szCs w:val="28"/>
              </w:rPr>
              <w:fldChar w:fldCharType="begin">
                <w:ffData>
                  <w:name w:val="lietas_nr"/>
                  <w:enabled/>
                  <w:calcOnExit w:val="0"/>
                  <w:textInput>
                    <w:default w:val="                "/>
                  </w:textInput>
                </w:ffData>
              </w:fldChar>
            </w:r>
            <w:r w:rsidR="00124F93" w:rsidRPr="00C2393F">
              <w:rPr>
                <w:sz w:val="28"/>
                <w:szCs w:val="28"/>
              </w:rPr>
              <w:instrText xml:space="preserve"> FORMTEXT </w:instrText>
            </w:r>
            <w:r w:rsidRPr="00C2393F">
              <w:rPr>
                <w:sz w:val="28"/>
                <w:szCs w:val="28"/>
              </w:rPr>
            </w:r>
            <w:r w:rsidRPr="00C2393F">
              <w:rPr>
                <w:sz w:val="28"/>
                <w:szCs w:val="28"/>
              </w:rPr>
              <w:fldChar w:fldCharType="separate"/>
            </w:r>
            <w:r w:rsidR="000D4A09" w:rsidRPr="00C2393F">
              <w:rPr>
                <w:sz w:val="28"/>
                <w:szCs w:val="28"/>
              </w:rPr>
              <w:t>1</w:t>
            </w:r>
            <w:r w:rsidRPr="00C2393F">
              <w:rPr>
                <w:sz w:val="28"/>
                <w:szCs w:val="28"/>
              </w:rPr>
              <w:fldChar w:fldCharType="end"/>
            </w:r>
            <w:bookmarkEnd w:id="2"/>
            <w:r w:rsidR="0084447E" w:rsidRPr="00C2393F">
              <w:rPr>
                <w:sz w:val="28"/>
                <w:szCs w:val="28"/>
              </w:rPr>
              <w:t>-1</w:t>
            </w:r>
            <w:r w:rsidR="0085283D" w:rsidRPr="00C2393F">
              <w:rPr>
                <w:sz w:val="28"/>
                <w:szCs w:val="28"/>
              </w:rPr>
              <w:t>-</w:t>
            </w:r>
            <w:r w:rsidRPr="00C2393F">
              <w:rPr>
                <w:sz w:val="28"/>
                <w:szCs w:val="28"/>
              </w:rPr>
              <w:fldChar w:fldCharType="begin">
                <w:ffData>
                  <w:name w:val="reg_num"/>
                  <w:enabled/>
                  <w:calcOnExit w:val="0"/>
                  <w:textInput>
                    <w:default w:val="            "/>
                  </w:textInput>
                </w:ffData>
              </w:fldChar>
            </w:r>
            <w:bookmarkStart w:id="3" w:name="reg_num"/>
            <w:r w:rsidR="00486307" w:rsidRPr="00C2393F">
              <w:rPr>
                <w:sz w:val="28"/>
                <w:szCs w:val="28"/>
              </w:rPr>
              <w:instrText xml:space="preserve"> FORMTEXT </w:instrText>
            </w:r>
            <w:r w:rsidR="004C2EEE" w:rsidRPr="00C2393F">
              <w:rPr>
                <w:sz w:val="28"/>
                <w:szCs w:val="28"/>
              </w:rPr>
            </w:r>
            <w:r w:rsidRPr="00C2393F">
              <w:rPr>
                <w:sz w:val="28"/>
                <w:szCs w:val="28"/>
              </w:rPr>
              <w:fldChar w:fldCharType="separate"/>
            </w:r>
            <w:r w:rsidR="004C2EEE">
              <w:rPr>
                <w:sz w:val="28"/>
                <w:szCs w:val="28"/>
              </w:rPr>
              <w:t>7879</w:t>
            </w:r>
            <w:r w:rsidRPr="00C2393F">
              <w:rPr>
                <w:sz w:val="28"/>
                <w:szCs w:val="28"/>
              </w:rPr>
              <w:fldChar w:fldCharType="end"/>
            </w:r>
            <w:bookmarkEnd w:id="3"/>
          </w:p>
        </w:tc>
      </w:tr>
      <w:tr w:rsidR="00124F93" w:rsidRPr="00C2393F" w:rsidTr="00124F93">
        <w:trPr>
          <w:trHeight w:val="188"/>
        </w:trPr>
        <w:tc>
          <w:tcPr>
            <w:tcW w:w="450"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rPr>
                <w:sz w:val="28"/>
                <w:szCs w:val="28"/>
              </w:rPr>
            </w:pPr>
          </w:p>
        </w:tc>
        <w:tc>
          <w:tcPr>
            <w:tcW w:w="1785" w:type="dxa"/>
            <w:tcBorders>
              <w:top w:val="single" w:sz="4" w:space="0" w:color="auto"/>
              <w:left w:val="nil"/>
              <w:bottom w:val="nil"/>
              <w:right w:val="nil"/>
            </w:tcBorders>
          </w:tcPr>
          <w:p w:rsidR="00124F93" w:rsidRPr="00C2393F" w:rsidRDefault="00124F93" w:rsidP="00124F93">
            <w:pPr>
              <w:widowControl/>
              <w:tabs>
                <w:tab w:val="left" w:pos="360"/>
                <w:tab w:val="left" w:pos="3960"/>
              </w:tabs>
              <w:spacing w:before="0" w:after="0" w:line="240" w:lineRule="auto"/>
              <w:ind w:firstLine="0"/>
              <w:rPr>
                <w:sz w:val="28"/>
                <w:szCs w:val="28"/>
              </w:rPr>
            </w:pPr>
          </w:p>
        </w:tc>
        <w:tc>
          <w:tcPr>
            <w:tcW w:w="708"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jc w:val="center"/>
              <w:rPr>
                <w:sz w:val="28"/>
                <w:szCs w:val="28"/>
              </w:rPr>
            </w:pPr>
          </w:p>
        </w:tc>
        <w:tc>
          <w:tcPr>
            <w:tcW w:w="2127" w:type="dxa"/>
            <w:tcBorders>
              <w:top w:val="single" w:sz="4" w:space="0" w:color="auto"/>
              <w:left w:val="nil"/>
              <w:bottom w:val="nil"/>
              <w:right w:val="nil"/>
            </w:tcBorders>
          </w:tcPr>
          <w:p w:rsidR="00124F93" w:rsidRPr="00C2393F" w:rsidRDefault="00124F93" w:rsidP="00124F93">
            <w:pPr>
              <w:widowControl/>
              <w:tabs>
                <w:tab w:val="left" w:pos="360"/>
                <w:tab w:val="left" w:pos="3960"/>
              </w:tabs>
              <w:spacing w:before="0" w:after="0" w:line="240" w:lineRule="auto"/>
              <w:ind w:firstLine="0"/>
              <w:rPr>
                <w:sz w:val="28"/>
                <w:szCs w:val="28"/>
              </w:rPr>
            </w:pPr>
          </w:p>
        </w:tc>
      </w:tr>
      <w:tr w:rsidR="00124F93" w:rsidRPr="00C2393F" w:rsidTr="00124F93">
        <w:tc>
          <w:tcPr>
            <w:tcW w:w="450"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rPr>
                <w:sz w:val="28"/>
                <w:szCs w:val="28"/>
              </w:rPr>
            </w:pPr>
            <w:r w:rsidRPr="00C2393F">
              <w:rPr>
                <w:sz w:val="28"/>
                <w:szCs w:val="28"/>
              </w:rPr>
              <w:t>Uz</w:t>
            </w:r>
          </w:p>
        </w:tc>
        <w:tc>
          <w:tcPr>
            <w:tcW w:w="1785" w:type="dxa"/>
            <w:tcBorders>
              <w:top w:val="nil"/>
              <w:left w:val="nil"/>
              <w:bottom w:val="single" w:sz="4" w:space="0" w:color="auto"/>
              <w:right w:val="nil"/>
            </w:tcBorders>
          </w:tcPr>
          <w:p w:rsidR="00124F93" w:rsidRPr="00C2393F" w:rsidRDefault="003D70AD" w:rsidP="00124F93">
            <w:pPr>
              <w:widowControl/>
              <w:tabs>
                <w:tab w:val="left" w:pos="360"/>
                <w:tab w:val="left" w:pos="3960"/>
              </w:tabs>
              <w:spacing w:before="0" w:after="0" w:line="240" w:lineRule="auto"/>
              <w:ind w:firstLine="0"/>
              <w:rPr>
                <w:sz w:val="28"/>
                <w:szCs w:val="28"/>
              </w:rPr>
            </w:pPr>
            <w:r w:rsidRPr="00C2393F">
              <w:rPr>
                <w:sz w:val="28"/>
                <w:szCs w:val="28"/>
              </w:rPr>
              <w:t>05.04.2016.</w:t>
            </w:r>
          </w:p>
        </w:tc>
        <w:tc>
          <w:tcPr>
            <w:tcW w:w="708" w:type="dxa"/>
            <w:tcBorders>
              <w:top w:val="nil"/>
              <w:left w:val="nil"/>
              <w:bottom w:val="nil"/>
              <w:right w:val="nil"/>
            </w:tcBorders>
          </w:tcPr>
          <w:p w:rsidR="00124F93" w:rsidRPr="00C2393F" w:rsidRDefault="00124F93" w:rsidP="00124F93">
            <w:pPr>
              <w:widowControl/>
              <w:tabs>
                <w:tab w:val="left" w:pos="360"/>
                <w:tab w:val="left" w:pos="3960"/>
              </w:tabs>
              <w:spacing w:before="0" w:after="0" w:line="240" w:lineRule="auto"/>
              <w:ind w:firstLine="0"/>
              <w:jc w:val="center"/>
              <w:rPr>
                <w:sz w:val="28"/>
                <w:szCs w:val="28"/>
              </w:rPr>
            </w:pPr>
            <w:r w:rsidRPr="00C2393F">
              <w:rPr>
                <w:sz w:val="28"/>
                <w:szCs w:val="28"/>
              </w:rPr>
              <w:t>Nr.</w:t>
            </w:r>
          </w:p>
        </w:tc>
        <w:tc>
          <w:tcPr>
            <w:tcW w:w="2127" w:type="dxa"/>
            <w:tcBorders>
              <w:top w:val="nil"/>
              <w:left w:val="nil"/>
              <w:bottom w:val="single" w:sz="4" w:space="0" w:color="auto"/>
              <w:right w:val="nil"/>
            </w:tcBorders>
          </w:tcPr>
          <w:p w:rsidR="00124F93" w:rsidRPr="00C2393F" w:rsidRDefault="003D70AD" w:rsidP="00124F93">
            <w:pPr>
              <w:widowControl/>
              <w:tabs>
                <w:tab w:val="left" w:pos="360"/>
                <w:tab w:val="left" w:pos="3960"/>
              </w:tabs>
              <w:spacing w:before="0" w:after="0" w:line="240" w:lineRule="auto"/>
              <w:ind w:firstLine="0"/>
              <w:rPr>
                <w:sz w:val="28"/>
                <w:szCs w:val="28"/>
              </w:rPr>
            </w:pPr>
            <w:r w:rsidRPr="00C2393F">
              <w:rPr>
                <w:bCs/>
                <w:sz w:val="28"/>
                <w:szCs w:val="28"/>
              </w:rPr>
              <w:t>16, 5.§ 2.p.</w:t>
            </w:r>
          </w:p>
        </w:tc>
      </w:tr>
    </w:tbl>
    <w:p w:rsidR="00124F93" w:rsidRPr="00C2393F" w:rsidRDefault="00124F93" w:rsidP="00124F93">
      <w:pPr>
        <w:widowControl/>
        <w:tabs>
          <w:tab w:val="left" w:pos="4820"/>
        </w:tabs>
        <w:spacing w:before="0" w:after="0" w:line="240" w:lineRule="auto"/>
        <w:ind w:firstLine="0"/>
        <w:rPr>
          <w:sz w:val="20"/>
        </w:rPr>
      </w:pPr>
    </w:p>
    <w:p w:rsidR="00944EB5" w:rsidRPr="00C2393F" w:rsidRDefault="003D70AD">
      <w:pPr>
        <w:pStyle w:val="EnvelopeAddress"/>
        <w:widowControl/>
        <w:rPr>
          <w:b/>
          <w:sz w:val="28"/>
        </w:rPr>
      </w:pPr>
      <w:r w:rsidRPr="00C2393F">
        <w:rPr>
          <w:b/>
          <w:sz w:val="28"/>
        </w:rPr>
        <w:t>Valsts kancelejai</w:t>
      </w:r>
    </w:p>
    <w:p w:rsidR="00944EB5" w:rsidRPr="00C2393F" w:rsidRDefault="00944EB5">
      <w:pPr>
        <w:pStyle w:val="Subtitle"/>
        <w:widowControl/>
        <w:rPr>
          <w:sz w:val="28"/>
          <w:szCs w:val="28"/>
        </w:rPr>
      </w:pPr>
      <w:r w:rsidRPr="00C2393F">
        <w:rPr>
          <w:b w:val="0"/>
          <w:sz w:val="28"/>
          <w:szCs w:val="28"/>
        </w:rPr>
        <w:t xml:space="preserve">Par </w:t>
      </w:r>
      <w:r w:rsidR="003D70AD" w:rsidRPr="00C2393F">
        <w:rPr>
          <w:b w:val="0"/>
          <w:bCs/>
          <w:sz w:val="28"/>
          <w:szCs w:val="28"/>
        </w:rPr>
        <w:t>Ministru kabineta 2016. gada 5. aprīļa sēdes protokollēmuma (prot.Nr.16 5.§) “Noteikumu projekts “Liftu un to drošības sastāvdaļu projektēšanas, ražošanas un liftu uzstādīšanas un atbilstības novērtēšanas noteikumi”” 2. punktā dotā uzdevuma izpildi</w:t>
      </w:r>
    </w:p>
    <w:p w:rsidR="00C3704D" w:rsidRPr="00C2393F" w:rsidRDefault="003D70AD" w:rsidP="003D70AD">
      <w:pPr>
        <w:spacing w:line="240" w:lineRule="auto"/>
        <w:rPr>
          <w:sz w:val="28"/>
          <w:szCs w:val="28"/>
        </w:rPr>
      </w:pPr>
      <w:r w:rsidRPr="00C2393F">
        <w:rPr>
          <w:sz w:val="28"/>
          <w:szCs w:val="28"/>
        </w:rPr>
        <w:t>Pamatojoties uz Ministru kabineta 2009.gada 7.aprīļa noteikumu Nr.300 „Ministru kabineta kārtības rullis” 244.punktu, iesniedzu izskatīšanai Ministru kabineta sēdē protokollēmuma projektu “</w:t>
      </w:r>
      <w:r w:rsidRPr="00C2393F">
        <w:rPr>
          <w:bCs/>
          <w:sz w:val="28"/>
          <w:szCs w:val="28"/>
        </w:rPr>
        <w:t>Par Ministru kabineta 2017. gada 5.aprīļa sēdes protokollēmuma (prot.Nr.16 5.§) “Noteikumu projekts “Liftu un to drošības sastāvdaļu projektēšanas, ražošanas un liftu uzstādīšanas un atbilstības novērtēšanas noteikumi”” 2. punktā dotā uzdevuma izpildi</w:t>
      </w:r>
      <w:r w:rsidRPr="00C2393F">
        <w:rPr>
          <w:sz w:val="28"/>
          <w:szCs w:val="28"/>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3005"/>
        <w:gridCol w:w="5528"/>
      </w:tblGrid>
      <w:tr w:rsidR="003D70AD" w:rsidRPr="00C2393F" w:rsidTr="00FA0761">
        <w:tc>
          <w:tcPr>
            <w:tcW w:w="539" w:type="dxa"/>
            <w:tcBorders>
              <w:top w:val="single" w:sz="4" w:space="0" w:color="auto"/>
              <w:left w:val="single" w:sz="4" w:space="0" w:color="auto"/>
              <w:bottom w:val="single" w:sz="4" w:space="0" w:color="auto"/>
            </w:tcBorders>
          </w:tcPr>
          <w:p w:rsidR="003D70AD" w:rsidRPr="00C2393F" w:rsidRDefault="003D70AD" w:rsidP="00AE0629">
            <w:pPr>
              <w:widowControl/>
              <w:spacing w:after="0" w:line="240" w:lineRule="auto"/>
              <w:rPr>
                <w:sz w:val="28"/>
                <w:szCs w:val="28"/>
                <w:lang w:eastAsia="lv-LV"/>
              </w:rPr>
            </w:pPr>
            <w:r w:rsidRPr="00C2393F">
              <w:rPr>
                <w:sz w:val="28"/>
                <w:szCs w:val="28"/>
                <w:lang w:eastAsia="lv-LV"/>
              </w:rPr>
              <w:tab/>
              <w:t>1.</w:t>
            </w:r>
          </w:p>
        </w:tc>
        <w:tc>
          <w:tcPr>
            <w:tcW w:w="3005" w:type="dxa"/>
            <w:tcBorders>
              <w:top w:val="single" w:sz="4" w:space="0" w:color="auto"/>
              <w:bottom w:val="single" w:sz="4" w:space="0" w:color="auto"/>
            </w:tcBorders>
          </w:tcPr>
          <w:p w:rsidR="003D70AD" w:rsidRPr="00C2393F" w:rsidRDefault="003D70AD" w:rsidP="00FA0761">
            <w:pPr>
              <w:widowControl/>
              <w:spacing w:after="0" w:line="240" w:lineRule="auto"/>
              <w:ind w:firstLine="312"/>
              <w:jc w:val="left"/>
              <w:rPr>
                <w:sz w:val="28"/>
                <w:szCs w:val="28"/>
                <w:lang w:eastAsia="lv-LV"/>
              </w:rPr>
            </w:pPr>
            <w:r w:rsidRPr="00C2393F">
              <w:rPr>
                <w:sz w:val="28"/>
                <w:szCs w:val="28"/>
                <w:lang w:eastAsia="lv-LV"/>
              </w:rPr>
              <w:t>Iesniegšanas pamatojums</w:t>
            </w:r>
          </w:p>
        </w:tc>
        <w:tc>
          <w:tcPr>
            <w:tcW w:w="5528" w:type="dxa"/>
            <w:tcBorders>
              <w:top w:val="single" w:sz="4" w:space="0" w:color="auto"/>
              <w:bottom w:val="single" w:sz="4" w:space="0" w:color="auto"/>
              <w:right w:val="single" w:sz="4" w:space="0" w:color="auto"/>
            </w:tcBorders>
          </w:tcPr>
          <w:p w:rsidR="003D70AD" w:rsidRPr="00C2393F" w:rsidRDefault="003D70AD" w:rsidP="00AE0629">
            <w:pPr>
              <w:pStyle w:val="Footer"/>
              <w:spacing w:line="240" w:lineRule="auto"/>
              <w:ind w:firstLine="264"/>
              <w:rPr>
                <w:sz w:val="28"/>
                <w:szCs w:val="28"/>
                <w:lang w:eastAsia="lv-LV"/>
              </w:rPr>
            </w:pPr>
            <w:r w:rsidRPr="00C2393F">
              <w:rPr>
                <w:sz w:val="28"/>
                <w:szCs w:val="28"/>
              </w:rPr>
              <w:t xml:space="preserve">Ministru kabineta 2016. gada 5.aprīļa sēdes protokollēmuma (prot.Nr.16 5.§) “Noteikumu projekts “Liftu un to drošības sastāvdaļu projektēšanas, ražošanas un liftu uzstādīšanas un atbilstības novērtēšanas noteikumi”” 2. punktā dots uzdevums (turpmāk – Uzdevums) </w:t>
            </w:r>
            <w:r w:rsidRPr="00C2393F">
              <w:rPr>
                <w:sz w:val="28"/>
                <w:szCs w:val="28"/>
                <w:lang w:eastAsia="lv-LV"/>
              </w:rPr>
              <w:t xml:space="preserve">Ekonomikas ministrijai līdz 2017. gada 1. oktobrim iesniegt priekšlikumus normatīvajam regulējumam (likumprojekts) un saistošajiem grozījumiem tiesību aktos, kas ietvertu horizontālo regulējumu par vispārīgām prasībām precēm reglamentētajā jomā (preces </w:t>
            </w:r>
            <w:r w:rsidRPr="00C2393F">
              <w:rPr>
                <w:sz w:val="28"/>
                <w:szCs w:val="28"/>
                <w:lang w:eastAsia="lv-LV"/>
              </w:rPr>
              <w:lastRenderedPageBreak/>
              <w:t>laišana tirgū, preces piedāvāšana tirgū, preces nodošana ekspluatācijā, CE atbilstības marķējums), iesaistīto personu (komersantu) pienākumus un tirgus uzraudzības kārtību.</w:t>
            </w:r>
          </w:p>
          <w:p w:rsidR="003D70AD" w:rsidRPr="00C2393F" w:rsidRDefault="003D70AD" w:rsidP="00AE0629">
            <w:pPr>
              <w:pStyle w:val="Footer"/>
              <w:spacing w:line="240" w:lineRule="auto"/>
              <w:ind w:firstLine="264"/>
              <w:rPr>
                <w:sz w:val="28"/>
                <w:szCs w:val="28"/>
                <w:lang w:eastAsia="lv-LV"/>
              </w:rPr>
            </w:pPr>
            <w:r w:rsidRPr="00C2393F">
              <w:rPr>
                <w:sz w:val="28"/>
                <w:szCs w:val="28"/>
                <w:lang w:eastAsia="lv-LV"/>
              </w:rPr>
              <w:t xml:space="preserve">Minētais Uzdevums tapis saistībā ar to, ka, saskaņojot Ministru kabineta noteikumu projektu </w:t>
            </w:r>
            <w:r w:rsidRPr="00C2393F">
              <w:rPr>
                <w:bCs/>
                <w:sz w:val="28"/>
                <w:szCs w:val="28"/>
                <w:lang w:eastAsia="lv-LV"/>
              </w:rPr>
              <w:t>“Liftu un to drošības sastāvdaļu projektēšanas, ražošanas un liftu uzstādīšanas un atbilstības novērtēšanas noteikumi” (turpmāk – Noteikumi)</w:t>
            </w:r>
            <w:r w:rsidRPr="00C2393F">
              <w:rPr>
                <w:sz w:val="28"/>
                <w:szCs w:val="28"/>
                <w:lang w:eastAsia="lv-LV"/>
              </w:rPr>
              <w:t>, tika konstatēts, ka daļa no tajā ietvertā regulējuma (piemēram, atsevišķi termini) pēc būtības ir horizontāls regulējums, kas būtu attiecināms ne tikai uz liftiem, bet arī uz citām precēm un pakalpojumiem, un tādēļ šāds regulējums būtu jāparedz likumā. Saskaņošanas rezultātā tika panākta vienošanās, ka Noteikumi tiek virzīti apstiprināšanai, vienlaikus paredzot Ekonomikas ministrijai uzdevumu šāda regulējuma iestrādāšanai likumā (Tirgus uzraudzības likums) un attiecīgi tā izslēgšanai no Noteikumiem.</w:t>
            </w:r>
          </w:p>
          <w:p w:rsidR="003D70AD" w:rsidRPr="00C2393F" w:rsidRDefault="003D70AD" w:rsidP="00AE0629">
            <w:pPr>
              <w:pStyle w:val="Footer"/>
              <w:spacing w:line="240" w:lineRule="auto"/>
              <w:ind w:firstLine="264"/>
              <w:rPr>
                <w:sz w:val="28"/>
                <w:szCs w:val="28"/>
                <w:lang w:eastAsia="lv-LV"/>
              </w:rPr>
            </w:pPr>
            <w:r w:rsidRPr="00C2393F">
              <w:rPr>
                <w:sz w:val="28"/>
                <w:szCs w:val="28"/>
                <w:lang w:eastAsia="lv-LV"/>
              </w:rPr>
              <w:t>Šobrīd ir tapis zināms, ka Eiropas Komisija līdz 2017. gada beigām plāno publicēt jaunu Eiropas Savienības tiesību akta projektu, kurš paredzēs horizontālo regulējumu par vispārīgām prasībām precēm un to uzraudzībai, ar kuru cita starpā tiks ieviestas arī jaunas definīcijas.</w:t>
            </w:r>
          </w:p>
          <w:p w:rsidR="003D70AD" w:rsidRPr="00C2393F" w:rsidRDefault="003D70AD" w:rsidP="00AE0629">
            <w:pPr>
              <w:widowControl/>
              <w:spacing w:after="0" w:line="240" w:lineRule="auto"/>
              <w:ind w:firstLine="264"/>
              <w:rPr>
                <w:sz w:val="28"/>
                <w:szCs w:val="28"/>
                <w:lang w:eastAsia="lv-LV"/>
              </w:rPr>
            </w:pPr>
            <w:r w:rsidRPr="00C2393F">
              <w:rPr>
                <w:sz w:val="28"/>
                <w:szCs w:val="28"/>
                <w:lang w:eastAsia="lv-LV"/>
              </w:rPr>
              <w:t>Tā kā minētais Eiropas Savienības tiesību akta projekts tiešā veidā skars normatīvo regulējumu, ko ar Uzdevumu bija paredzēts iestrādāt Tirgus uzraudzības likumā, kā arī, ņemot vērā to, ka šāda normatīvā regulējuma nepieciešamība bija pamatota ar juridiskās tehnikas apsvērumiem, bet nevis normatīvā regulējuma trūkumu vispār (to šobrīd paredz Noteikumi)</w:t>
            </w:r>
            <w:r w:rsidRPr="00C2393F">
              <w:rPr>
                <w:sz w:val="28"/>
                <w:szCs w:val="28"/>
              </w:rPr>
              <w:t xml:space="preserve">, Uzdevuma izpilde šajā brīdī pirms sagaidāmā Eiropas Savienības tiesību akta projekta publicēšanas nav lietderīga. Ņemot vērā minēto, lūdzu pagarināt Ministru kabineta 2016. gada 5. aprīļa sēdes protokollēmuma (prot.Nr.16 5.§) 2. punktā dotā uzdevuma </w:t>
            </w:r>
            <w:r w:rsidRPr="00C2393F">
              <w:rPr>
                <w:color w:val="000000"/>
                <w:sz w:val="28"/>
                <w:szCs w:val="28"/>
              </w:rPr>
              <w:t xml:space="preserve">izpildes termiņu līdz </w:t>
            </w:r>
            <w:r w:rsidRPr="00C2393F">
              <w:rPr>
                <w:sz w:val="28"/>
                <w:szCs w:val="28"/>
              </w:rPr>
              <w:t>2018. gada 1. oktobrim.</w:t>
            </w:r>
          </w:p>
        </w:tc>
      </w:tr>
      <w:tr w:rsidR="003D70AD" w:rsidRPr="00C2393F" w:rsidTr="00FA0761">
        <w:tc>
          <w:tcPr>
            <w:tcW w:w="539" w:type="dxa"/>
            <w:tcBorders>
              <w:top w:val="single" w:sz="4" w:space="0" w:color="auto"/>
            </w:tcBorders>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lastRenderedPageBreak/>
              <w:t>2.</w:t>
            </w:r>
          </w:p>
        </w:tc>
        <w:tc>
          <w:tcPr>
            <w:tcW w:w="3005" w:type="dxa"/>
            <w:tcBorders>
              <w:top w:val="single" w:sz="4" w:space="0" w:color="auto"/>
            </w:tcBorders>
          </w:tcPr>
          <w:p w:rsidR="003D70AD" w:rsidRPr="00C2393F" w:rsidRDefault="003D70AD" w:rsidP="00FA0761">
            <w:pPr>
              <w:widowControl/>
              <w:spacing w:after="0" w:line="240" w:lineRule="auto"/>
              <w:ind w:firstLine="312"/>
              <w:jc w:val="left"/>
              <w:rPr>
                <w:sz w:val="28"/>
                <w:szCs w:val="28"/>
                <w:lang w:eastAsia="lv-LV"/>
              </w:rPr>
            </w:pPr>
            <w:r w:rsidRPr="00C2393F">
              <w:rPr>
                <w:sz w:val="28"/>
                <w:szCs w:val="28"/>
                <w:lang w:eastAsia="lv-LV"/>
              </w:rPr>
              <w:t>Valsts sekretāru sanāksmes datums un numurs</w:t>
            </w:r>
          </w:p>
        </w:tc>
        <w:tc>
          <w:tcPr>
            <w:tcW w:w="5528" w:type="dxa"/>
            <w:tcBorders>
              <w:top w:val="single" w:sz="4" w:space="0" w:color="auto"/>
            </w:tcBorders>
          </w:tcPr>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Saskaņā ar Ministru kabineta 2009. gada 7. aprīļa noteikumiem Nr. 300 „Ministru kabineta kārtības rullis” 73.1. apakšpunktu projekts nav izsludināms Valsts sekretāru sanāksmē.</w:t>
            </w:r>
          </w:p>
        </w:tc>
      </w:tr>
      <w:tr w:rsidR="003D70AD" w:rsidRPr="00C2393F" w:rsidTr="00FA0761">
        <w:tc>
          <w:tcPr>
            <w:tcW w:w="539" w:type="dxa"/>
            <w:tcBorders>
              <w:bottom w:val="single" w:sz="4" w:space="0" w:color="auto"/>
            </w:tcBorders>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3.</w:t>
            </w:r>
          </w:p>
        </w:tc>
        <w:tc>
          <w:tcPr>
            <w:tcW w:w="3005" w:type="dxa"/>
            <w:tcBorders>
              <w:bottom w:val="single" w:sz="4" w:space="0" w:color="auto"/>
            </w:tcBorders>
          </w:tcPr>
          <w:p w:rsidR="003D70AD" w:rsidRPr="00C2393F" w:rsidRDefault="003D70AD" w:rsidP="00FA0761">
            <w:pPr>
              <w:widowControl/>
              <w:spacing w:after="0" w:line="240" w:lineRule="auto"/>
              <w:ind w:firstLine="312"/>
              <w:jc w:val="left"/>
              <w:rPr>
                <w:sz w:val="28"/>
                <w:szCs w:val="28"/>
                <w:lang w:eastAsia="lv-LV"/>
              </w:rPr>
            </w:pPr>
            <w:r w:rsidRPr="00C2393F">
              <w:rPr>
                <w:sz w:val="28"/>
                <w:szCs w:val="28"/>
                <w:lang w:eastAsia="lv-LV"/>
              </w:rPr>
              <w:t>Informācija par saskaņojumiem</w:t>
            </w:r>
          </w:p>
        </w:tc>
        <w:tc>
          <w:tcPr>
            <w:tcW w:w="5528" w:type="dxa"/>
            <w:tcBorders>
              <w:bottom w:val="single" w:sz="4" w:space="0" w:color="auto"/>
            </w:tcBorders>
          </w:tcPr>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 xml:space="preserve">Saskaņā ar Ministru kabineta 2009. gada 7. aprīļa noteikumu Nr. 300 „Ministru kabineta kārtības rullis” 111.7. apakšpunktu </w:t>
            </w:r>
            <w:r w:rsidR="00450115" w:rsidRPr="00C2393F">
              <w:rPr>
                <w:sz w:val="28"/>
                <w:szCs w:val="28"/>
                <w:lang w:eastAsia="lv-LV"/>
              </w:rPr>
              <w:t xml:space="preserve">2017. gada 4. oktobrī </w:t>
            </w:r>
            <w:r w:rsidRPr="00C2393F">
              <w:rPr>
                <w:sz w:val="28"/>
                <w:szCs w:val="28"/>
                <w:lang w:eastAsia="lv-LV"/>
              </w:rPr>
              <w:t>nosūtīts Finanšu ministrijai, Tieslietu ministrijai, Iekšlietu ministrijai. Ņemts vērā Tieslietu ministrijas iebildums</w:t>
            </w:r>
            <w:r w:rsidR="00450115" w:rsidRPr="00C2393F">
              <w:rPr>
                <w:sz w:val="28"/>
                <w:szCs w:val="28"/>
                <w:lang w:eastAsia="lv-LV"/>
              </w:rPr>
              <w:t>, izziņa par sniegtajiem un vērā ņemtajiem iebildumiem un precizētais projekts 2017. gada 12. oktobrī nosūtīts elektroniskai saskaņošanai Finanšu ministrijai, Tieslietu ministrijai, Iekšlietu ministrijai un 2017. gada 13. oktobrī saņemts Tieslietu ministrijas saskaņojums.</w:t>
            </w:r>
          </w:p>
        </w:tc>
      </w:tr>
      <w:tr w:rsidR="003D70AD" w:rsidRPr="00C2393F" w:rsidTr="00FA0761">
        <w:tc>
          <w:tcPr>
            <w:tcW w:w="539" w:type="dxa"/>
            <w:tcBorders>
              <w:bottom w:val="single" w:sz="4" w:space="0" w:color="auto"/>
            </w:tcBorders>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4.</w:t>
            </w:r>
          </w:p>
        </w:tc>
        <w:tc>
          <w:tcPr>
            <w:tcW w:w="3005" w:type="dxa"/>
            <w:tcBorders>
              <w:bottom w:val="single" w:sz="4" w:space="0" w:color="auto"/>
            </w:tcBorders>
          </w:tcPr>
          <w:p w:rsidR="003D70AD" w:rsidRPr="00C2393F" w:rsidRDefault="003D70AD" w:rsidP="00FA0761">
            <w:pPr>
              <w:widowControl/>
              <w:spacing w:after="0" w:line="240" w:lineRule="auto"/>
              <w:ind w:firstLine="312"/>
              <w:contextualSpacing/>
              <w:jc w:val="left"/>
              <w:rPr>
                <w:sz w:val="28"/>
                <w:szCs w:val="28"/>
              </w:rPr>
            </w:pPr>
            <w:r w:rsidRPr="00C2393F">
              <w:rPr>
                <w:sz w:val="28"/>
                <w:szCs w:val="28"/>
              </w:rPr>
              <w:t>Ziņas par saskaņojumu ar Eiropas Savienības institūcijām</w:t>
            </w:r>
          </w:p>
        </w:tc>
        <w:tc>
          <w:tcPr>
            <w:tcW w:w="5528" w:type="dxa"/>
            <w:tcBorders>
              <w:bottom w:val="single" w:sz="4" w:space="0" w:color="auto"/>
            </w:tcBorders>
          </w:tcPr>
          <w:p w:rsidR="003D70AD" w:rsidRPr="00C2393F" w:rsidRDefault="003D70AD" w:rsidP="00AE0629">
            <w:pPr>
              <w:widowControl/>
              <w:spacing w:after="0" w:line="240" w:lineRule="auto"/>
              <w:ind w:firstLine="369"/>
              <w:rPr>
                <w:i/>
                <w:iCs/>
                <w:sz w:val="28"/>
                <w:szCs w:val="28"/>
                <w:lang w:eastAsia="lv-LV"/>
              </w:rPr>
            </w:pPr>
            <w:r w:rsidRPr="00C2393F">
              <w:rPr>
                <w:sz w:val="28"/>
                <w:szCs w:val="28"/>
                <w:lang w:eastAsia="lv-LV"/>
              </w:rPr>
              <w:t>Nav attiecināms.</w:t>
            </w:r>
          </w:p>
        </w:tc>
      </w:tr>
      <w:tr w:rsidR="003D70AD" w:rsidRPr="00C2393F" w:rsidTr="00FA0761">
        <w:tc>
          <w:tcPr>
            <w:tcW w:w="539" w:type="dxa"/>
            <w:tcBorders>
              <w:top w:val="single" w:sz="4" w:space="0" w:color="auto"/>
            </w:tcBorders>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5.</w:t>
            </w:r>
          </w:p>
        </w:tc>
        <w:tc>
          <w:tcPr>
            <w:tcW w:w="3005" w:type="dxa"/>
            <w:tcBorders>
              <w:top w:val="single" w:sz="4" w:space="0" w:color="auto"/>
            </w:tcBorders>
          </w:tcPr>
          <w:p w:rsidR="003D70AD" w:rsidRPr="00C2393F" w:rsidRDefault="003D70AD" w:rsidP="00AE0629">
            <w:pPr>
              <w:widowControl/>
              <w:spacing w:after="0" w:line="240" w:lineRule="auto"/>
              <w:ind w:firstLine="312"/>
              <w:rPr>
                <w:sz w:val="28"/>
                <w:szCs w:val="28"/>
                <w:lang w:eastAsia="lv-LV"/>
              </w:rPr>
            </w:pPr>
            <w:r w:rsidRPr="00C2393F">
              <w:rPr>
                <w:sz w:val="28"/>
                <w:szCs w:val="28"/>
                <w:lang w:eastAsia="lv-LV"/>
              </w:rPr>
              <w:t>Politikas joma</w:t>
            </w:r>
          </w:p>
        </w:tc>
        <w:tc>
          <w:tcPr>
            <w:tcW w:w="5528" w:type="dxa"/>
            <w:tcBorders>
              <w:top w:val="single" w:sz="4" w:space="0" w:color="auto"/>
            </w:tcBorders>
          </w:tcPr>
          <w:p w:rsidR="003D70AD" w:rsidRPr="00C2393F" w:rsidRDefault="003D70AD" w:rsidP="00AE0629">
            <w:pPr>
              <w:widowControl/>
              <w:spacing w:after="0" w:line="240" w:lineRule="auto"/>
              <w:ind w:firstLine="369"/>
              <w:rPr>
                <w:i/>
                <w:sz w:val="28"/>
                <w:szCs w:val="28"/>
                <w:lang w:eastAsia="lv-LV"/>
              </w:rPr>
            </w:pPr>
            <w:r w:rsidRPr="00C2393F">
              <w:rPr>
                <w:sz w:val="28"/>
                <w:szCs w:val="28"/>
                <w:lang w:eastAsia="lv-LV"/>
              </w:rPr>
              <w:t>Industrijas un pakalpojumu politika.</w:t>
            </w:r>
          </w:p>
        </w:tc>
      </w:tr>
      <w:tr w:rsidR="003D70AD" w:rsidRPr="00C2393F" w:rsidTr="00FA0761">
        <w:tc>
          <w:tcPr>
            <w:tcW w:w="539" w:type="dxa"/>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6.</w:t>
            </w:r>
          </w:p>
        </w:tc>
        <w:tc>
          <w:tcPr>
            <w:tcW w:w="3005" w:type="dxa"/>
          </w:tcPr>
          <w:p w:rsidR="003D70AD" w:rsidRPr="00C2393F" w:rsidRDefault="003D70AD" w:rsidP="00AE0629">
            <w:pPr>
              <w:widowControl/>
              <w:spacing w:after="0" w:line="240" w:lineRule="auto"/>
              <w:ind w:firstLine="312"/>
              <w:rPr>
                <w:sz w:val="28"/>
                <w:szCs w:val="28"/>
                <w:lang w:eastAsia="lv-LV"/>
              </w:rPr>
            </w:pPr>
            <w:r w:rsidRPr="00C2393F">
              <w:rPr>
                <w:sz w:val="28"/>
                <w:szCs w:val="28"/>
                <w:lang w:eastAsia="lv-LV"/>
              </w:rPr>
              <w:t>Atbildīgā amatpersona</w:t>
            </w:r>
          </w:p>
        </w:tc>
        <w:tc>
          <w:tcPr>
            <w:tcW w:w="5528" w:type="dxa"/>
          </w:tcPr>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Ekonomikas ministrijas Iekšējā tirgus departamenta Konkurences, tirdzniecības un patērētāju tiesību nodaļas juriskonsults Juris Bulāns</w:t>
            </w:r>
          </w:p>
        </w:tc>
      </w:tr>
      <w:tr w:rsidR="003D70AD" w:rsidRPr="00C2393F" w:rsidTr="00FA0761">
        <w:tc>
          <w:tcPr>
            <w:tcW w:w="539" w:type="dxa"/>
            <w:tcBorders>
              <w:bottom w:val="single" w:sz="4" w:space="0" w:color="auto"/>
            </w:tcBorders>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7.</w:t>
            </w:r>
          </w:p>
        </w:tc>
        <w:tc>
          <w:tcPr>
            <w:tcW w:w="3005" w:type="dxa"/>
            <w:tcBorders>
              <w:bottom w:val="single" w:sz="4" w:space="0" w:color="auto"/>
            </w:tcBorders>
          </w:tcPr>
          <w:p w:rsidR="003D70AD" w:rsidRPr="00C2393F" w:rsidRDefault="003D70AD" w:rsidP="00AE0629">
            <w:pPr>
              <w:widowControl/>
              <w:spacing w:after="0" w:line="240" w:lineRule="auto"/>
              <w:ind w:firstLine="312"/>
              <w:rPr>
                <w:sz w:val="28"/>
                <w:szCs w:val="28"/>
                <w:lang w:eastAsia="lv-LV"/>
              </w:rPr>
            </w:pPr>
            <w:r w:rsidRPr="00C2393F">
              <w:rPr>
                <w:sz w:val="28"/>
                <w:szCs w:val="28"/>
                <w:lang w:eastAsia="lv-LV"/>
              </w:rPr>
              <w:t>Uzaicināmās personas</w:t>
            </w:r>
          </w:p>
        </w:tc>
        <w:tc>
          <w:tcPr>
            <w:tcW w:w="5528" w:type="dxa"/>
            <w:tcBorders>
              <w:bottom w:val="single" w:sz="4" w:space="0" w:color="auto"/>
            </w:tcBorders>
          </w:tcPr>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 xml:space="preserve">Ekonomikas ministrijas Iekšējā tirgus departamenta direktore Inga Apsīte; </w:t>
            </w:r>
          </w:p>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Ekonomikas ministrijas Iekšējā tirgus departamenta direktores vietniece, Konkurences, tirdzniecības un patērētāju tiesību nodaļas vadītāja Anna Upena</w:t>
            </w:r>
          </w:p>
        </w:tc>
      </w:tr>
      <w:tr w:rsidR="003D70AD" w:rsidRPr="00C2393F" w:rsidTr="00FA0761">
        <w:tc>
          <w:tcPr>
            <w:tcW w:w="539" w:type="dxa"/>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8.</w:t>
            </w:r>
          </w:p>
        </w:tc>
        <w:tc>
          <w:tcPr>
            <w:tcW w:w="3005" w:type="dxa"/>
          </w:tcPr>
          <w:p w:rsidR="003D70AD" w:rsidRPr="00C2393F" w:rsidRDefault="003D70AD" w:rsidP="00FA0761">
            <w:pPr>
              <w:widowControl/>
              <w:spacing w:after="0" w:line="240" w:lineRule="auto"/>
              <w:ind w:firstLine="349"/>
              <w:jc w:val="left"/>
              <w:rPr>
                <w:sz w:val="28"/>
                <w:szCs w:val="28"/>
                <w:lang w:eastAsia="lv-LV"/>
              </w:rPr>
            </w:pPr>
            <w:r w:rsidRPr="00C2393F">
              <w:rPr>
                <w:sz w:val="28"/>
                <w:szCs w:val="28"/>
                <w:lang w:eastAsia="lv-LV"/>
              </w:rPr>
              <w:t>Projekta ierobežotas pieejamības statuss</w:t>
            </w:r>
          </w:p>
        </w:tc>
        <w:tc>
          <w:tcPr>
            <w:tcW w:w="5528" w:type="dxa"/>
          </w:tcPr>
          <w:p w:rsidR="003D70AD" w:rsidRPr="00C2393F" w:rsidRDefault="003D70AD" w:rsidP="00AE0629">
            <w:pPr>
              <w:widowControl/>
              <w:spacing w:after="0" w:line="240" w:lineRule="auto"/>
              <w:ind w:firstLine="369"/>
              <w:rPr>
                <w:sz w:val="28"/>
                <w:szCs w:val="28"/>
                <w:lang w:eastAsia="lv-LV"/>
              </w:rPr>
            </w:pPr>
            <w:r w:rsidRPr="00C2393F">
              <w:rPr>
                <w:sz w:val="28"/>
                <w:szCs w:val="28"/>
                <w:lang w:eastAsia="lv-LV"/>
              </w:rPr>
              <w:t>Nav noteikts ierobežotas pieejamības statuss.</w:t>
            </w:r>
          </w:p>
        </w:tc>
      </w:tr>
      <w:tr w:rsidR="003D70AD" w:rsidRPr="00C2393F" w:rsidTr="00FA0761">
        <w:tc>
          <w:tcPr>
            <w:tcW w:w="539" w:type="dxa"/>
          </w:tcPr>
          <w:p w:rsidR="003D70AD" w:rsidRPr="00C2393F" w:rsidRDefault="003D70AD" w:rsidP="00AE0629">
            <w:pPr>
              <w:widowControl/>
              <w:spacing w:after="0" w:line="240" w:lineRule="auto"/>
              <w:ind w:firstLine="0"/>
              <w:rPr>
                <w:sz w:val="28"/>
                <w:szCs w:val="28"/>
                <w:lang w:eastAsia="lv-LV"/>
              </w:rPr>
            </w:pPr>
            <w:r w:rsidRPr="00C2393F">
              <w:rPr>
                <w:sz w:val="28"/>
                <w:szCs w:val="28"/>
                <w:lang w:eastAsia="lv-LV"/>
              </w:rPr>
              <w:t>9.</w:t>
            </w:r>
          </w:p>
        </w:tc>
        <w:tc>
          <w:tcPr>
            <w:tcW w:w="3005" w:type="dxa"/>
          </w:tcPr>
          <w:p w:rsidR="003D70AD" w:rsidRPr="00C2393F" w:rsidRDefault="003D70AD" w:rsidP="00FA0761">
            <w:pPr>
              <w:widowControl/>
              <w:spacing w:after="0" w:line="240" w:lineRule="auto"/>
              <w:ind w:firstLine="349"/>
              <w:rPr>
                <w:sz w:val="28"/>
                <w:szCs w:val="28"/>
                <w:lang w:eastAsia="lv-LV"/>
              </w:rPr>
            </w:pPr>
            <w:r w:rsidRPr="00C2393F">
              <w:rPr>
                <w:sz w:val="28"/>
                <w:szCs w:val="28"/>
                <w:lang w:eastAsia="lv-LV"/>
              </w:rPr>
              <w:t>Cita informācija</w:t>
            </w:r>
          </w:p>
        </w:tc>
        <w:tc>
          <w:tcPr>
            <w:tcW w:w="5528" w:type="dxa"/>
          </w:tcPr>
          <w:p w:rsidR="003D70AD" w:rsidRPr="00C2393F" w:rsidRDefault="003D70AD" w:rsidP="00AE0629">
            <w:pPr>
              <w:pStyle w:val="Footer"/>
              <w:ind w:firstLine="369"/>
              <w:rPr>
                <w:color w:val="000000"/>
                <w:sz w:val="28"/>
                <w:szCs w:val="28"/>
              </w:rPr>
            </w:pPr>
            <w:r w:rsidRPr="00C2393F">
              <w:rPr>
                <w:color w:val="000000"/>
                <w:sz w:val="28"/>
                <w:szCs w:val="28"/>
              </w:rPr>
              <w:t>Nav attiecināms.</w:t>
            </w:r>
          </w:p>
        </w:tc>
      </w:tr>
    </w:tbl>
    <w:p w:rsidR="003D70AD" w:rsidRPr="00C2393F" w:rsidRDefault="003D70AD" w:rsidP="003D70AD">
      <w:pPr>
        <w:widowControl/>
        <w:spacing w:after="0" w:line="240" w:lineRule="auto"/>
        <w:ind w:firstLine="567"/>
        <w:rPr>
          <w:color w:val="0070C0"/>
          <w:sz w:val="28"/>
          <w:szCs w:val="28"/>
          <w:lang w:eastAsia="lv-LV"/>
        </w:rPr>
      </w:pPr>
    </w:p>
    <w:p w:rsidR="00450115" w:rsidRPr="00C2393F" w:rsidRDefault="003D70AD" w:rsidP="00FA0761">
      <w:pPr>
        <w:widowControl/>
        <w:spacing w:before="75" w:after="75" w:line="240" w:lineRule="auto"/>
        <w:rPr>
          <w:sz w:val="28"/>
          <w:szCs w:val="28"/>
          <w:lang w:eastAsia="lv-LV"/>
        </w:rPr>
      </w:pPr>
      <w:r w:rsidRPr="00C2393F">
        <w:rPr>
          <w:sz w:val="28"/>
          <w:szCs w:val="28"/>
          <w:lang w:eastAsia="lv-LV"/>
        </w:rPr>
        <w:t>Pielikumā:</w:t>
      </w:r>
      <w:r w:rsidR="00FA0761" w:rsidRPr="00C2393F">
        <w:rPr>
          <w:sz w:val="28"/>
          <w:szCs w:val="28"/>
          <w:lang w:eastAsia="lv-LV"/>
        </w:rPr>
        <w:t xml:space="preserve"> </w:t>
      </w:r>
    </w:p>
    <w:p w:rsidR="003D70AD" w:rsidRPr="00C2393F" w:rsidRDefault="003D70AD"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t>Ministru kabineta sēdes pr</w:t>
      </w:r>
      <w:r w:rsidR="00FA0761" w:rsidRPr="00C2393F">
        <w:rPr>
          <w:sz w:val="28"/>
          <w:szCs w:val="28"/>
          <w:lang w:eastAsia="lv-LV"/>
        </w:rPr>
        <w:t>otokollēmuma projekts (EMProt_12</w:t>
      </w:r>
      <w:r w:rsidRPr="00C2393F">
        <w:rPr>
          <w:sz w:val="28"/>
          <w:szCs w:val="28"/>
          <w:lang w:eastAsia="lv-LV"/>
        </w:rPr>
        <w:t>1017_TUL) uz 1</w:t>
      </w:r>
      <w:r w:rsidR="00FA0761" w:rsidRPr="00C2393F">
        <w:rPr>
          <w:sz w:val="28"/>
          <w:szCs w:val="28"/>
          <w:lang w:eastAsia="lv-LV"/>
        </w:rPr>
        <w:t> </w:t>
      </w:r>
      <w:r w:rsidRPr="00C2393F">
        <w:rPr>
          <w:sz w:val="28"/>
          <w:szCs w:val="28"/>
          <w:lang w:eastAsia="lv-LV"/>
        </w:rPr>
        <w:t>lapas</w:t>
      </w:r>
      <w:r w:rsidR="00450115" w:rsidRPr="00C2393F">
        <w:rPr>
          <w:sz w:val="28"/>
          <w:szCs w:val="28"/>
          <w:lang w:eastAsia="lv-LV"/>
        </w:rPr>
        <w:t>;</w:t>
      </w:r>
    </w:p>
    <w:p w:rsidR="00450115" w:rsidRPr="00C2393F" w:rsidRDefault="00450115"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t>Tieslietu ministrijas atzinums (TMAtz_061017_EM_MKPL) uz 1 lapas;</w:t>
      </w:r>
    </w:p>
    <w:p w:rsidR="00450115" w:rsidRPr="00C2393F" w:rsidRDefault="00450115"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lastRenderedPageBreak/>
        <w:t>Finanšu ministrijas atzinums (FMnos_111017_7296) uz 1 lapas;</w:t>
      </w:r>
    </w:p>
    <w:p w:rsidR="00450115" w:rsidRPr="00C2393F" w:rsidRDefault="00450115"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t>Iekšlietu ministrijas atzinums (IeMAtz_101017_MK protok_proj) uz 1 lapas;</w:t>
      </w:r>
    </w:p>
    <w:p w:rsidR="00450115" w:rsidRPr="00C2393F" w:rsidRDefault="00450115"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t>Izziņa par sniegtajiem un vērā ņemtajiem iebildumiem (EMIzz_121017_TUL) uz 2 lapām.</w:t>
      </w:r>
    </w:p>
    <w:p w:rsidR="008703FD" w:rsidRPr="00C2393F" w:rsidRDefault="008703FD" w:rsidP="00450115">
      <w:pPr>
        <w:pStyle w:val="ListParagraph"/>
        <w:widowControl/>
        <w:numPr>
          <w:ilvl w:val="0"/>
          <w:numId w:val="1"/>
        </w:numPr>
        <w:spacing w:before="75" w:after="75" w:line="240" w:lineRule="auto"/>
        <w:rPr>
          <w:sz w:val="28"/>
          <w:szCs w:val="28"/>
          <w:lang w:eastAsia="lv-LV"/>
        </w:rPr>
      </w:pPr>
      <w:r w:rsidRPr="00C2393F">
        <w:rPr>
          <w:sz w:val="28"/>
          <w:szCs w:val="28"/>
          <w:lang w:eastAsia="lv-LV"/>
        </w:rPr>
        <w:t>Tieslietu ministrijas atkārtoti sniegtais atzinums (TMAtz2_131017_EM_MKPL) par elektroniskai saskaņošanai nosūtīto precizēto projektu uz 1 lapas.</w:t>
      </w:r>
    </w:p>
    <w:p w:rsidR="00FA0761" w:rsidRPr="00C2393F" w:rsidRDefault="00FA0761" w:rsidP="00FA0761">
      <w:pPr>
        <w:widowControl/>
        <w:spacing w:before="75" w:after="75" w:line="240" w:lineRule="auto"/>
        <w:rPr>
          <w:sz w:val="28"/>
          <w:szCs w:val="28"/>
        </w:rPr>
      </w:pPr>
    </w:p>
    <w:p w:rsidR="00FA0761" w:rsidRPr="00C2393F" w:rsidRDefault="00FA0761" w:rsidP="00AE0629">
      <w:pPr>
        <w:spacing w:line="240" w:lineRule="auto"/>
        <w:ind w:firstLine="0"/>
        <w:contextualSpacing/>
        <w:rPr>
          <w:bCs/>
          <w:sz w:val="28"/>
          <w:szCs w:val="28"/>
        </w:rPr>
      </w:pPr>
      <w:r w:rsidRPr="00C2393F">
        <w:rPr>
          <w:bCs/>
          <w:sz w:val="28"/>
          <w:szCs w:val="28"/>
        </w:rPr>
        <w:t>Ministru prezidenta biedrs,</w:t>
      </w:r>
    </w:p>
    <w:p w:rsidR="00FA0761" w:rsidRPr="00C2393F" w:rsidRDefault="00FA0761" w:rsidP="00FA0761">
      <w:pPr>
        <w:ind w:firstLine="0"/>
        <w:rPr>
          <w:sz w:val="28"/>
          <w:szCs w:val="28"/>
        </w:rPr>
      </w:pPr>
      <w:r w:rsidRPr="00C2393F">
        <w:rPr>
          <w:bCs/>
          <w:sz w:val="28"/>
          <w:szCs w:val="28"/>
        </w:rPr>
        <w:t>ekonomikas ministrs</w:t>
      </w:r>
      <w:r w:rsidRPr="00C2393F">
        <w:rPr>
          <w:bCs/>
          <w:sz w:val="28"/>
          <w:szCs w:val="28"/>
        </w:rPr>
        <w:tab/>
      </w:r>
      <w:r w:rsidRPr="00C2393F">
        <w:rPr>
          <w:bCs/>
          <w:sz w:val="28"/>
          <w:szCs w:val="28"/>
        </w:rPr>
        <w:tab/>
      </w:r>
      <w:r w:rsidRPr="00C2393F">
        <w:rPr>
          <w:bCs/>
          <w:sz w:val="28"/>
          <w:szCs w:val="28"/>
        </w:rPr>
        <w:tab/>
      </w:r>
      <w:r w:rsidRPr="00C2393F">
        <w:rPr>
          <w:bCs/>
          <w:sz w:val="28"/>
          <w:szCs w:val="28"/>
        </w:rPr>
        <w:tab/>
      </w:r>
      <w:r w:rsidRPr="00C2393F">
        <w:rPr>
          <w:bCs/>
          <w:sz w:val="28"/>
          <w:szCs w:val="28"/>
        </w:rPr>
        <w:tab/>
      </w:r>
      <w:r w:rsidRPr="00C2393F">
        <w:rPr>
          <w:bCs/>
          <w:sz w:val="28"/>
          <w:szCs w:val="28"/>
        </w:rPr>
        <w:tab/>
      </w:r>
      <w:r w:rsidRPr="00C2393F">
        <w:rPr>
          <w:bCs/>
          <w:sz w:val="28"/>
          <w:szCs w:val="28"/>
        </w:rPr>
        <w:tab/>
      </w:r>
      <w:r w:rsidRPr="00C2393F">
        <w:rPr>
          <w:sz w:val="28"/>
          <w:szCs w:val="28"/>
        </w:rPr>
        <w:t>A. Ašeradens</w:t>
      </w:r>
    </w:p>
    <w:tbl>
      <w:tblPr>
        <w:tblW w:w="0" w:type="auto"/>
        <w:tblInd w:w="108" w:type="dxa"/>
        <w:tblLook w:val="04A0" w:firstRow="1" w:lastRow="0" w:firstColumn="1" w:lastColumn="0" w:noHBand="0" w:noVBand="1"/>
      </w:tblPr>
      <w:tblGrid>
        <w:gridCol w:w="8222"/>
      </w:tblGrid>
      <w:tr w:rsidR="004B4A0E" w:rsidRPr="00C2393F" w:rsidTr="002A7E15">
        <w:trPr>
          <w:cantSplit/>
          <w:trHeight w:val="579"/>
        </w:trPr>
        <w:tc>
          <w:tcPr>
            <w:tcW w:w="8222" w:type="dxa"/>
          </w:tcPr>
          <w:p w:rsidR="004B4A0E" w:rsidRPr="00C2393F" w:rsidRDefault="004B4A0E" w:rsidP="00A061AF">
            <w:pPr>
              <w:pStyle w:val="BodyTextIndent"/>
              <w:ind w:left="0"/>
            </w:pPr>
            <w:bookmarkStart w:id="4" w:name="edoc_info" w:colFirst="0" w:colLast="0"/>
            <w:r w:rsidRPr="00C2393F">
              <w:t>ŠIS DOKUMENTS IR ELEKTRONISKI PARAKSTĪTS AR DROŠU ELEKTRONISKO PARAKSTU UN SATUR LAIKA ZĪMOGU</w:t>
            </w:r>
          </w:p>
        </w:tc>
      </w:tr>
      <w:bookmarkEnd w:id="4"/>
    </w:tbl>
    <w:p w:rsidR="004B4A0E" w:rsidRPr="00C2393F" w:rsidRDefault="004B4A0E" w:rsidP="00C50FDA">
      <w:pPr>
        <w:pStyle w:val="BodyText"/>
        <w:spacing w:before="0" w:after="0" w:line="240" w:lineRule="auto"/>
        <w:ind w:firstLine="0"/>
        <w:jc w:val="left"/>
        <w:rPr>
          <w:sz w:val="20"/>
        </w:rPr>
      </w:pPr>
    </w:p>
    <w:p w:rsidR="00C50FDA" w:rsidRPr="00C2393F" w:rsidRDefault="00C50FDA" w:rsidP="00C50FDA">
      <w:pPr>
        <w:pStyle w:val="BodyText"/>
        <w:spacing w:before="0" w:after="0" w:line="240" w:lineRule="auto"/>
        <w:ind w:firstLine="0"/>
        <w:jc w:val="left"/>
        <w:rPr>
          <w:sz w:val="20"/>
        </w:rPr>
      </w:pPr>
    </w:p>
    <w:p w:rsidR="00C50FDA" w:rsidRPr="00C2393F" w:rsidRDefault="000D4A09" w:rsidP="00C50FDA">
      <w:pPr>
        <w:pStyle w:val="BodyText"/>
        <w:spacing w:before="0" w:after="0" w:line="240" w:lineRule="auto"/>
        <w:ind w:firstLine="0"/>
        <w:jc w:val="left"/>
        <w:rPr>
          <w:sz w:val="20"/>
        </w:rPr>
      </w:pPr>
      <w:r w:rsidRPr="00C2393F">
        <w:rPr>
          <w:sz w:val="20"/>
        </w:rPr>
        <w:t>Bulāns, 67013156</w:t>
      </w:r>
      <w:r w:rsidRPr="00C2393F">
        <w:rPr>
          <w:sz w:val="20"/>
        </w:rPr>
        <w:br/>
        <w:t>Juris.Bulans@em.gov.lv</w:t>
      </w:r>
    </w:p>
    <w:p w:rsidR="00C50FDA" w:rsidRPr="00C2393F" w:rsidRDefault="00C50FDA" w:rsidP="00C50FDA">
      <w:pPr>
        <w:pStyle w:val="BodyText"/>
        <w:spacing w:before="0" w:after="0" w:line="240" w:lineRule="auto"/>
        <w:ind w:firstLine="0"/>
        <w:jc w:val="left"/>
        <w:rPr>
          <w:sz w:val="20"/>
        </w:rPr>
      </w:pPr>
    </w:p>
    <w:sectPr w:rsidR="00C50FDA" w:rsidRPr="00C2393F" w:rsidSect="00FA0761">
      <w:headerReference w:type="even" r:id="rId8"/>
      <w:headerReference w:type="default" r:id="rId9"/>
      <w:footerReference w:type="default" r:id="rId10"/>
      <w:headerReference w:type="first" r:id="rId11"/>
      <w:footerReference w:type="first" r:id="rId12"/>
      <w:endnotePr>
        <w:numFmt w:val="decimal"/>
      </w:endnotePr>
      <w:pgSz w:w="11907" w:h="16840"/>
      <w:pgMar w:top="1418"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7F4" w:rsidRDefault="00BE47F4">
      <w:r>
        <w:separator/>
      </w:r>
    </w:p>
  </w:endnote>
  <w:endnote w:type="continuationSeparator" w:id="0">
    <w:p w:rsidR="00BE47F4" w:rsidRDefault="00BE4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ED" w:rsidRDefault="005D7190">
    <w:pPr>
      <w:pStyle w:val="Footer"/>
    </w:pPr>
    <w:r>
      <w:t>EMPav_171017_TUL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Pr="005D7190" w:rsidRDefault="005D7190" w:rsidP="005D7190">
    <w:pPr>
      <w:pStyle w:val="Footer"/>
    </w:pPr>
    <w:r>
      <w:t>EMPav_171017_TUL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7F4" w:rsidRDefault="00BE47F4">
      <w:r>
        <w:separator/>
      </w:r>
    </w:p>
  </w:footnote>
  <w:footnote w:type="continuationSeparator" w:id="0">
    <w:p w:rsidR="00BE47F4" w:rsidRDefault="00BE4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944EB5">
      <w:rPr>
        <w:rStyle w:val="PageNumber"/>
        <w:noProof/>
        <w:sz w:val="24"/>
      </w:rPr>
      <w:t>1</w:t>
    </w:r>
    <w:r>
      <w:rPr>
        <w:rStyle w:val="PageNumber"/>
        <w:sz w:val="24"/>
      </w:rPr>
      <w:fldChar w:fldCharType="end"/>
    </w:r>
  </w:p>
  <w:p w:rsidR="00944EB5" w:rsidRDefault="00944EB5">
    <w:pPr>
      <w:pStyle w:val="Heade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EB5" w:rsidRDefault="00755954">
    <w:pPr>
      <w:pStyle w:val="Header"/>
      <w:framePr w:wrap="auto" w:vAnchor="text" w:hAnchor="margin" w:xAlign="center" w:y="1"/>
      <w:widowControl/>
      <w:spacing w:line="240" w:lineRule="auto"/>
      <w:ind w:firstLine="0"/>
      <w:rPr>
        <w:rStyle w:val="PageNumber"/>
        <w:sz w:val="24"/>
      </w:rPr>
    </w:pPr>
    <w:r>
      <w:rPr>
        <w:rStyle w:val="PageNumber"/>
        <w:sz w:val="24"/>
      </w:rPr>
      <w:fldChar w:fldCharType="begin"/>
    </w:r>
    <w:r w:rsidR="00944EB5">
      <w:rPr>
        <w:rStyle w:val="PageNumber"/>
        <w:sz w:val="24"/>
      </w:rPr>
      <w:instrText xml:space="preserve">page  </w:instrText>
    </w:r>
    <w:r>
      <w:rPr>
        <w:rStyle w:val="PageNumber"/>
        <w:sz w:val="24"/>
      </w:rPr>
      <w:fldChar w:fldCharType="separate"/>
    </w:r>
    <w:r w:rsidR="004C2EEE">
      <w:rPr>
        <w:rStyle w:val="PageNumber"/>
        <w:noProof/>
        <w:sz w:val="24"/>
      </w:rPr>
      <w:t>4</w:t>
    </w:r>
    <w:r>
      <w:rPr>
        <w:rStyle w:val="PageNumber"/>
        <w:sz w:val="24"/>
      </w:rPr>
      <w:fldChar w:fldCharType="end"/>
    </w:r>
  </w:p>
  <w:p w:rsidR="00944EB5" w:rsidRDefault="00944EB5">
    <w:pPr>
      <w:pStyle w:val="Header"/>
      <w:widowControl/>
      <w:spacing w:before="0" w:after="0" w:line="240" w:lineRule="auto"/>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16" w:rsidRDefault="00332916">
    <w:pPr>
      <w:pStyle w:val="Header"/>
      <w:widowControl/>
      <w:tabs>
        <w:tab w:val="clear" w:pos="4153"/>
        <w:tab w:val="center" w:pos="4536"/>
      </w:tabs>
      <w:spacing w:before="0" w:after="0" w:line="240" w:lineRule="auto"/>
      <w:ind w:firstLine="0"/>
      <w:jc w:val="center"/>
    </w:pPr>
  </w:p>
  <w:p w:rsidR="00332916" w:rsidRDefault="00336FED">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9776" behindDoc="1" locked="0" layoutInCell="1" allowOverlap="1" wp14:anchorId="6A9B14DB" wp14:editId="5A7BFA90">
          <wp:simplePos x="0" y="0"/>
          <wp:positionH relativeFrom="column">
            <wp:posOffset>0</wp:posOffset>
          </wp:positionH>
          <wp:positionV relativeFrom="paragraph">
            <wp:posOffset>57785</wp:posOffset>
          </wp:positionV>
          <wp:extent cx="5913120" cy="1061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332916">
    <w:pPr>
      <w:pStyle w:val="Header"/>
      <w:widowControl/>
      <w:tabs>
        <w:tab w:val="clear" w:pos="4153"/>
        <w:tab w:val="center" w:pos="4536"/>
      </w:tabs>
      <w:spacing w:before="0" w:after="0" w:line="240" w:lineRule="auto"/>
      <w:ind w:firstLine="0"/>
      <w:jc w:val="center"/>
    </w:pPr>
  </w:p>
  <w:p w:rsidR="00332916"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60288" behindDoc="1" locked="0" layoutInCell="1" allowOverlap="1">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EBA53" id="Group 41" o:spid="_x0000_s1026" style="position:absolute;margin-left:145.7pt;margin-top:149.75pt;width:346.25pt;height:.1pt;z-index:-25165619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332916" w:rsidRDefault="00332916">
    <w:pPr>
      <w:pStyle w:val="Header"/>
      <w:widowControl/>
      <w:tabs>
        <w:tab w:val="clear" w:pos="4153"/>
        <w:tab w:val="center" w:pos="4536"/>
      </w:tabs>
      <w:spacing w:before="0" w:after="0" w:line="240" w:lineRule="auto"/>
      <w:ind w:firstLine="0"/>
      <w:jc w:val="center"/>
    </w:pPr>
  </w:p>
  <w:p w:rsidR="00944EB5" w:rsidRDefault="00783EF2">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fwrgIAAKo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" filled="f" stroked="f">
              <v:textbox inset="0,0,0,0">
                <w:txbxContent>
                  <w:p w:rsidR="00332916" w:rsidRDefault="00332916"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rsidR="00332916" w:rsidRPr="00332916" w:rsidRDefault="00332916" w:rsidP="00332916">
    <w:pPr>
      <w:pStyle w:val="Header"/>
      <w:widowControl/>
      <w:tabs>
        <w:tab w:val="clear" w:pos="4153"/>
        <w:tab w:val="center" w:pos="4536"/>
      </w:tabs>
      <w:spacing w:before="240" w:after="240" w:line="240" w:lineRule="auto"/>
      <w:ind w:firstLine="0"/>
      <w:jc w:val="center"/>
      <w:rPr>
        <w:sz w:val="24"/>
      </w:rPr>
    </w:pPr>
    <w:r>
      <w:rPr>
        <w:sz w:val="24"/>
      </w:rPr>
      <w:t>Rīgā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1B20"/>
    <w:multiLevelType w:val="hybridMultilevel"/>
    <w:tmpl w:val="DE18DE30"/>
    <w:lvl w:ilvl="0" w:tplc="29E45A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84DE0"/>
    <w:rsid w:val="0008627C"/>
    <w:rsid w:val="000B779F"/>
    <w:rsid w:val="000D4A09"/>
    <w:rsid w:val="00117951"/>
    <w:rsid w:val="00124F93"/>
    <w:rsid w:val="0014205C"/>
    <w:rsid w:val="00143C1A"/>
    <w:rsid w:val="00153F75"/>
    <w:rsid w:val="0019563F"/>
    <w:rsid w:val="00276B3B"/>
    <w:rsid w:val="002A43BF"/>
    <w:rsid w:val="002B52B0"/>
    <w:rsid w:val="00321535"/>
    <w:rsid w:val="0032212B"/>
    <w:rsid w:val="00332916"/>
    <w:rsid w:val="00336FED"/>
    <w:rsid w:val="0034211B"/>
    <w:rsid w:val="003541FC"/>
    <w:rsid w:val="003641CA"/>
    <w:rsid w:val="00376BCB"/>
    <w:rsid w:val="003D70AD"/>
    <w:rsid w:val="00421538"/>
    <w:rsid w:val="00450115"/>
    <w:rsid w:val="00463C79"/>
    <w:rsid w:val="004831B1"/>
    <w:rsid w:val="00486307"/>
    <w:rsid w:val="004B4A0E"/>
    <w:rsid w:val="004C2EEE"/>
    <w:rsid w:val="00510703"/>
    <w:rsid w:val="00527F02"/>
    <w:rsid w:val="005D7190"/>
    <w:rsid w:val="005E2AB7"/>
    <w:rsid w:val="006071D9"/>
    <w:rsid w:val="00614C26"/>
    <w:rsid w:val="0065032B"/>
    <w:rsid w:val="00666B0A"/>
    <w:rsid w:val="006956F2"/>
    <w:rsid w:val="006D654D"/>
    <w:rsid w:val="007412BD"/>
    <w:rsid w:val="00744444"/>
    <w:rsid w:val="00755954"/>
    <w:rsid w:val="00783EF2"/>
    <w:rsid w:val="007E06CF"/>
    <w:rsid w:val="007E4862"/>
    <w:rsid w:val="0084447E"/>
    <w:rsid w:val="0085283D"/>
    <w:rsid w:val="008703FD"/>
    <w:rsid w:val="0089520F"/>
    <w:rsid w:val="008D2711"/>
    <w:rsid w:val="009237AE"/>
    <w:rsid w:val="00944EB5"/>
    <w:rsid w:val="009C7B8B"/>
    <w:rsid w:val="00A061AF"/>
    <w:rsid w:val="00AA152A"/>
    <w:rsid w:val="00AB6AE3"/>
    <w:rsid w:val="00AC4AC4"/>
    <w:rsid w:val="00AF2B0C"/>
    <w:rsid w:val="00B60691"/>
    <w:rsid w:val="00B9369A"/>
    <w:rsid w:val="00BD0610"/>
    <w:rsid w:val="00BE47F4"/>
    <w:rsid w:val="00C2393F"/>
    <w:rsid w:val="00C3704D"/>
    <w:rsid w:val="00C50FDA"/>
    <w:rsid w:val="00C94296"/>
    <w:rsid w:val="00CC572C"/>
    <w:rsid w:val="00D03489"/>
    <w:rsid w:val="00D04E09"/>
    <w:rsid w:val="00D6505A"/>
    <w:rsid w:val="00DB704F"/>
    <w:rsid w:val="00DE099D"/>
    <w:rsid w:val="00DF6300"/>
    <w:rsid w:val="00E05D1D"/>
    <w:rsid w:val="00E40AA6"/>
    <w:rsid w:val="00E84D46"/>
    <w:rsid w:val="00F24B61"/>
    <w:rsid w:val="00FA0761"/>
    <w:rsid w:val="00FB3A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link w:val="FooterChar"/>
    <w:uiPriority w:val="99"/>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character" w:customStyle="1" w:styleId="FooterChar">
    <w:name w:val="Footer Char"/>
    <w:basedOn w:val="DefaultParagraphFont"/>
    <w:link w:val="Footer"/>
    <w:uiPriority w:val="99"/>
    <w:rsid w:val="003D70AD"/>
    <w:rPr>
      <w:sz w:val="26"/>
      <w:lang w:eastAsia="en-US"/>
    </w:rPr>
  </w:style>
  <w:style w:type="paragraph" w:styleId="NormalWeb">
    <w:name w:val="Normal (Web)"/>
    <w:basedOn w:val="Normal"/>
    <w:rsid w:val="003D70AD"/>
    <w:pPr>
      <w:widowControl/>
      <w:spacing w:before="100" w:beforeAutospacing="1" w:after="100" w:afterAutospacing="1" w:line="240" w:lineRule="auto"/>
      <w:ind w:firstLine="0"/>
      <w:jc w:val="left"/>
    </w:pPr>
    <w:rPr>
      <w:sz w:val="24"/>
      <w:szCs w:val="24"/>
      <w:lang w:eastAsia="lv-LV"/>
    </w:rPr>
  </w:style>
  <w:style w:type="paragraph" w:styleId="ListParagraph">
    <w:name w:val="List Paragraph"/>
    <w:basedOn w:val="Normal"/>
    <w:uiPriority w:val="34"/>
    <w:qFormat/>
    <w:rsid w:val="0045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9975-2981-4D67-9A37-BE2EF574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3440</Words>
  <Characters>1962</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Ekonomikas ministrija</Company>
  <LinksUpToDate>false</LinksUpToDate>
  <CharactersWithSpaces>5392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Ministru kabineta 2016. gada 5.aprīļa sēdes pr</dc:subject>
  <dc:creator>Bulāns J.</dc:creator>
  <dc:description>Sagatavots ALS E-aprites vidē.</dc:description>
  <cp:lastModifiedBy>Arvils Ašeradens</cp:lastModifiedBy>
  <cp:revision>5</cp:revision>
  <cp:lastPrinted>1998-02-25T09:00:00Z</cp:lastPrinted>
  <dcterms:created xsi:type="dcterms:W3CDTF">2017-10-17T06:50:00Z</dcterms:created>
  <dcterms:modified xsi:type="dcterms:W3CDTF">2017-10-24T14:17:00Z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