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4145" w14:textId="77777777" w:rsidR="004C2632" w:rsidRPr="004C2632" w:rsidRDefault="004C2632" w:rsidP="004C2632">
      <w:pPr>
        <w:tabs>
          <w:tab w:val="left" w:pos="7088"/>
        </w:tabs>
        <w:ind w:firstLine="720"/>
        <w:jc w:val="right"/>
        <w:rPr>
          <w:iCs/>
          <w:sz w:val="28"/>
          <w:szCs w:val="28"/>
        </w:rPr>
      </w:pPr>
      <w:r w:rsidRPr="004C2632">
        <w:rPr>
          <w:sz w:val="28"/>
          <w:szCs w:val="28"/>
        </w:rPr>
        <w:t>Projekts</w:t>
      </w:r>
    </w:p>
    <w:p w14:paraId="7290C5CF" w14:textId="77777777" w:rsidR="00323ADE" w:rsidRDefault="00323ADE" w:rsidP="00D175E9">
      <w:pPr>
        <w:pStyle w:val="naislab"/>
        <w:jc w:val="center"/>
        <w:rPr>
          <w:b/>
          <w:sz w:val="28"/>
          <w:szCs w:val="28"/>
        </w:rPr>
      </w:pPr>
    </w:p>
    <w:p w14:paraId="37019CEC" w14:textId="77777777" w:rsidR="00D175E9" w:rsidRPr="00E26158" w:rsidRDefault="00A32D3A" w:rsidP="00D175E9">
      <w:pPr>
        <w:pStyle w:val="naislab"/>
        <w:jc w:val="center"/>
        <w:rPr>
          <w:b/>
          <w:sz w:val="28"/>
          <w:szCs w:val="28"/>
        </w:rPr>
      </w:pPr>
      <w:r w:rsidRPr="00A32D3A">
        <w:rPr>
          <w:b/>
          <w:sz w:val="28"/>
          <w:szCs w:val="28"/>
        </w:rPr>
        <w:t xml:space="preserve">Ministru kabineta noteikumu projekta </w:t>
      </w:r>
      <w:r w:rsidRPr="00A32D3A">
        <w:rPr>
          <w:b/>
          <w:sz w:val="28"/>
          <w:szCs w:val="28"/>
        </w:rPr>
        <w:br/>
        <w:t xml:space="preserve">“Grozījumi Ministru kabineta 2008.gada 25.augusta noteikumos Nr.677 “Noteikumi par iedzīvotāju ienākuma nodokļa paziņojumiem”” </w:t>
      </w:r>
      <w:r w:rsidRPr="00A32D3A">
        <w:rPr>
          <w:b/>
          <w:sz w:val="28"/>
          <w:szCs w:val="28"/>
        </w:rPr>
        <w:br/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968"/>
        <w:gridCol w:w="5944"/>
      </w:tblGrid>
      <w:tr w:rsidR="004B4045" w:rsidRPr="004B4045" w14:paraId="65EA6AF9" w14:textId="77777777" w:rsidTr="003419EB">
        <w:trPr>
          <w:trHeight w:val="419"/>
        </w:trPr>
        <w:tc>
          <w:tcPr>
            <w:tcW w:w="5000" w:type="pct"/>
            <w:gridSpan w:val="3"/>
            <w:vAlign w:val="center"/>
          </w:tcPr>
          <w:p w14:paraId="53EDD3FD" w14:textId="77777777" w:rsidR="00D175E9" w:rsidRPr="00FC4195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FC4195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E5118C" w:rsidRPr="003B0FFB" w14:paraId="718B3B8D" w14:textId="77777777" w:rsidTr="003419EB">
        <w:trPr>
          <w:trHeight w:val="415"/>
        </w:trPr>
        <w:tc>
          <w:tcPr>
            <w:tcW w:w="370" w:type="pct"/>
          </w:tcPr>
          <w:p w14:paraId="6D16B908" w14:textId="77777777" w:rsidR="00E5118C" w:rsidRPr="00E26158" w:rsidRDefault="00E5118C" w:rsidP="003419EB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E26158">
              <w:rPr>
                <w:sz w:val="26"/>
                <w:szCs w:val="26"/>
              </w:rPr>
              <w:t>1.</w:t>
            </w:r>
          </w:p>
        </w:tc>
        <w:tc>
          <w:tcPr>
            <w:tcW w:w="1542" w:type="pct"/>
          </w:tcPr>
          <w:p w14:paraId="1BC55B4C" w14:textId="77777777" w:rsidR="00E5118C" w:rsidRPr="00E26158" w:rsidRDefault="00E5118C" w:rsidP="003419EB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E26158">
              <w:rPr>
                <w:sz w:val="26"/>
                <w:szCs w:val="26"/>
              </w:rPr>
              <w:t>Pamatojums</w:t>
            </w:r>
          </w:p>
        </w:tc>
        <w:tc>
          <w:tcPr>
            <w:tcW w:w="3087" w:type="pct"/>
          </w:tcPr>
          <w:p w14:paraId="7D4C41F4" w14:textId="77777777" w:rsidR="00B54A0E" w:rsidRPr="003B0FFB" w:rsidRDefault="00DE42AD" w:rsidP="007114FD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DE42AD">
              <w:rPr>
                <w:sz w:val="26"/>
                <w:szCs w:val="26"/>
              </w:rPr>
              <w:t>Saeimā 2017.gada 28.jūlijā pieņemtais likums „Grozījumi likumā „Par iedzīvotāju ienākuma nodokli””, kurš stāsies spēkā 2018.gada 1.janvārī.</w:t>
            </w:r>
          </w:p>
        </w:tc>
      </w:tr>
      <w:tr w:rsidR="003F17C8" w:rsidRPr="003B0FFB" w14:paraId="6D36481F" w14:textId="77777777" w:rsidTr="003419EB">
        <w:trPr>
          <w:trHeight w:val="472"/>
        </w:trPr>
        <w:tc>
          <w:tcPr>
            <w:tcW w:w="370" w:type="pct"/>
          </w:tcPr>
          <w:p w14:paraId="057891A1" w14:textId="77777777" w:rsidR="003F17C8" w:rsidRPr="003B0FFB" w:rsidRDefault="003F17C8" w:rsidP="003419EB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3B0FFB">
              <w:rPr>
                <w:sz w:val="26"/>
                <w:szCs w:val="26"/>
              </w:rPr>
              <w:t>2.</w:t>
            </w:r>
          </w:p>
        </w:tc>
        <w:tc>
          <w:tcPr>
            <w:tcW w:w="1542" w:type="pct"/>
          </w:tcPr>
          <w:p w14:paraId="7D777546" w14:textId="77777777" w:rsidR="003F17C8" w:rsidRPr="003B0FFB" w:rsidRDefault="003F17C8" w:rsidP="003419EB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3B0FFB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87" w:type="pct"/>
          </w:tcPr>
          <w:p w14:paraId="6ADAE993" w14:textId="77777777" w:rsidR="00FC70C1" w:rsidRDefault="00FC70C1" w:rsidP="00FC7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Šobrīd </w:t>
            </w:r>
            <w:r w:rsidRPr="00EB2F55">
              <w:rPr>
                <w:sz w:val="26"/>
                <w:szCs w:val="26"/>
              </w:rPr>
              <w:t>Ministru kabinet</w:t>
            </w:r>
            <w:r>
              <w:rPr>
                <w:sz w:val="26"/>
                <w:szCs w:val="26"/>
              </w:rPr>
              <w:t>a 2008.gada 25.augusta noteikumu</w:t>
            </w:r>
            <w:r w:rsidRPr="00EB2F55">
              <w:rPr>
                <w:sz w:val="26"/>
                <w:szCs w:val="26"/>
              </w:rPr>
              <w:t xml:space="preserve"> Nr.677 </w:t>
            </w:r>
            <w:r>
              <w:rPr>
                <w:sz w:val="26"/>
                <w:szCs w:val="26"/>
              </w:rPr>
              <w:t>“</w:t>
            </w:r>
            <w:r w:rsidRPr="00EB2F55">
              <w:rPr>
                <w:sz w:val="26"/>
                <w:szCs w:val="26"/>
              </w:rPr>
              <w:t>Noteikumi par iedzīvotāju ienākuma nodokļa paziņo</w:t>
            </w:r>
            <w:r>
              <w:rPr>
                <w:sz w:val="26"/>
                <w:szCs w:val="26"/>
              </w:rPr>
              <w:t xml:space="preserve">jumiem” </w:t>
            </w:r>
            <w:r w:rsidRPr="00FC70C1">
              <w:rPr>
                <w:sz w:val="26"/>
                <w:szCs w:val="26"/>
              </w:rPr>
              <w:t xml:space="preserve">(turpmāk – </w:t>
            </w:r>
            <w:r w:rsidR="00356426">
              <w:rPr>
                <w:sz w:val="26"/>
                <w:szCs w:val="26"/>
              </w:rPr>
              <w:t>MK</w:t>
            </w:r>
            <w:r w:rsidRPr="00FC70C1">
              <w:rPr>
                <w:sz w:val="26"/>
                <w:szCs w:val="26"/>
              </w:rPr>
              <w:t xml:space="preserve"> 2008.gada 25.augusta noteikumi Nr.677) </w:t>
            </w:r>
            <w:r>
              <w:rPr>
                <w:sz w:val="26"/>
                <w:szCs w:val="26"/>
              </w:rPr>
              <w:t xml:space="preserve">9.punktā </w:t>
            </w:r>
            <w:r w:rsidR="00AF4BFC">
              <w:rPr>
                <w:sz w:val="26"/>
                <w:szCs w:val="26"/>
              </w:rPr>
              <w:t xml:space="preserve">ir </w:t>
            </w:r>
            <w:r>
              <w:rPr>
                <w:sz w:val="26"/>
                <w:szCs w:val="26"/>
              </w:rPr>
              <w:t>noteikts, ka ienākuma veida “</w:t>
            </w:r>
            <w:r w:rsidRPr="00EB2F55">
              <w:rPr>
                <w:sz w:val="26"/>
                <w:szCs w:val="26"/>
              </w:rPr>
              <w:t>Dividendes vai dividendēm pielīdzināms ienākums</w:t>
            </w:r>
            <w:r>
              <w:rPr>
                <w:sz w:val="26"/>
                <w:szCs w:val="26"/>
              </w:rPr>
              <w:t>”</w:t>
            </w:r>
            <w:r w:rsidRPr="00EB2F55">
              <w:rPr>
                <w:sz w:val="26"/>
                <w:szCs w:val="26"/>
              </w:rPr>
              <w:t xml:space="preserve"> kodu </w:t>
            </w:r>
            <w:r>
              <w:rPr>
                <w:sz w:val="26"/>
                <w:szCs w:val="26"/>
              </w:rPr>
              <w:t>“3011”</w:t>
            </w:r>
            <w:r w:rsidRPr="00EB2F55">
              <w:rPr>
                <w:sz w:val="26"/>
                <w:szCs w:val="26"/>
              </w:rPr>
              <w:t xml:space="preserve"> piemēro attiecībā uz izmaksātajām dividendēm, kuras aprēķinātas līdz 2009.gada 31.decembrim.</w:t>
            </w:r>
            <w:r>
              <w:rPr>
                <w:sz w:val="26"/>
                <w:szCs w:val="26"/>
              </w:rPr>
              <w:t xml:space="preserve"> Atbilstoši likuma “Par iedzīvotāju ienākuma nodokli” </w:t>
            </w:r>
            <w:r w:rsidRPr="00E07ABC">
              <w:rPr>
                <w:i/>
                <w:sz w:val="26"/>
                <w:szCs w:val="26"/>
              </w:rPr>
              <w:t>(redakcijā, kas stāsies spēkā 2018.gada 1.janvārī)</w:t>
            </w:r>
            <w:r>
              <w:rPr>
                <w:sz w:val="26"/>
                <w:szCs w:val="26"/>
              </w:rPr>
              <w:t xml:space="preserve"> 3.panta trešās daļas 10. un 10.</w:t>
            </w:r>
            <w:r w:rsidRPr="00552E06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 punktam un 8.panta trešās daļas 12. un 12.</w:t>
            </w:r>
            <w:r w:rsidRPr="00552E06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 punktam dividendes, dividendēm pielīdzināms ienākums un nosacītās dividendes ir ar iedzīvotāju ienākuma nodokli apliekams ienākums, ja šā likuma 9.pantā nav noteikts citādi, savukārt šā likuma 9.panta pirmās daļas 2.</w:t>
            </w:r>
            <w:r w:rsidRPr="00DB3FF3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  <w:vertAlign w:val="superscript"/>
              </w:rPr>
              <w:t> </w:t>
            </w:r>
            <w:r>
              <w:rPr>
                <w:sz w:val="26"/>
                <w:szCs w:val="26"/>
              </w:rPr>
              <w:t xml:space="preserve">punktā </w:t>
            </w:r>
            <w:r w:rsidR="00AF4BFC">
              <w:rPr>
                <w:sz w:val="26"/>
                <w:szCs w:val="26"/>
              </w:rPr>
              <w:t xml:space="preserve">ir </w:t>
            </w:r>
            <w:r>
              <w:rPr>
                <w:sz w:val="26"/>
                <w:szCs w:val="26"/>
              </w:rPr>
              <w:t>noteikts, ka minētais ienākums nav apliekams ar iedzīvotāju ienākuma nodokli, ja nodoklis ir samaksāts uzņēmuma līmenī.</w:t>
            </w:r>
          </w:p>
          <w:p w14:paraId="6B3FA303" w14:textId="77777777" w:rsidR="00FC70C1" w:rsidRDefault="00FB3308" w:rsidP="00FC7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Likuma “Par iedzīvotāju ienākuma nodokli” </w:t>
            </w:r>
            <w:r w:rsidRPr="00FB3308">
              <w:rPr>
                <w:sz w:val="26"/>
                <w:szCs w:val="26"/>
              </w:rPr>
              <w:t xml:space="preserve">9.panta pirmās daļas </w:t>
            </w:r>
            <w:r>
              <w:rPr>
                <w:sz w:val="26"/>
                <w:szCs w:val="26"/>
              </w:rPr>
              <w:t>5.</w:t>
            </w:r>
            <w:r w:rsidRPr="00FB3308">
              <w:rPr>
                <w:sz w:val="26"/>
                <w:szCs w:val="26"/>
              </w:rPr>
              <w:t>punkt</w:t>
            </w:r>
            <w:r w:rsidR="00AF4BFC">
              <w:rPr>
                <w:sz w:val="26"/>
                <w:szCs w:val="26"/>
              </w:rPr>
              <w:t>ā ir</w:t>
            </w:r>
            <w:r>
              <w:rPr>
                <w:sz w:val="26"/>
                <w:szCs w:val="26"/>
              </w:rPr>
              <w:t xml:space="preserve"> no</w:t>
            </w:r>
            <w:r w:rsidR="00AF4BFC">
              <w:rPr>
                <w:sz w:val="26"/>
                <w:szCs w:val="26"/>
              </w:rPr>
              <w:t>teikts</w:t>
            </w:r>
            <w:r>
              <w:rPr>
                <w:sz w:val="26"/>
                <w:szCs w:val="26"/>
              </w:rPr>
              <w:t>, ka g</w:t>
            </w:r>
            <w:r w:rsidRPr="00FB3308">
              <w:rPr>
                <w:sz w:val="26"/>
                <w:szCs w:val="26"/>
              </w:rPr>
              <w:t xml:space="preserve">ada apliekamajā ienākumā netiek ietverti un ar nodokli netiek aplikti </w:t>
            </w:r>
            <w:r>
              <w:rPr>
                <w:sz w:val="26"/>
                <w:szCs w:val="26"/>
              </w:rPr>
              <w:t>i</w:t>
            </w:r>
            <w:r w:rsidRPr="00FB3308">
              <w:rPr>
                <w:sz w:val="26"/>
                <w:szCs w:val="26"/>
              </w:rPr>
              <w:t>zložu un azartspēļu laimesti</w:t>
            </w:r>
            <w:r>
              <w:rPr>
                <w:sz w:val="26"/>
                <w:szCs w:val="26"/>
              </w:rPr>
              <w:t xml:space="preserve">. </w:t>
            </w:r>
            <w:r w:rsidR="00FC70C1">
              <w:rPr>
                <w:sz w:val="26"/>
                <w:szCs w:val="26"/>
              </w:rPr>
              <w:t xml:space="preserve">Atbilstoši likuma “Par iedzīvotāju ienākuma nodokli” </w:t>
            </w:r>
            <w:r w:rsidR="00FC70C1" w:rsidRPr="00E07ABC">
              <w:rPr>
                <w:i/>
                <w:sz w:val="26"/>
                <w:szCs w:val="26"/>
              </w:rPr>
              <w:t>(redakcijā, kas stāsies spēkā 2018.gada 1.janvārī)</w:t>
            </w:r>
            <w:r w:rsidR="00FC70C1">
              <w:rPr>
                <w:sz w:val="26"/>
                <w:szCs w:val="26"/>
              </w:rPr>
              <w:t xml:space="preserve"> </w:t>
            </w:r>
            <w:r w:rsidRPr="00FB3308">
              <w:rPr>
                <w:sz w:val="26"/>
                <w:szCs w:val="26"/>
              </w:rPr>
              <w:t>8.panta trešās daļas 20.</w:t>
            </w:r>
            <w:r w:rsidRPr="00FB3308">
              <w:rPr>
                <w:sz w:val="26"/>
                <w:szCs w:val="26"/>
                <w:vertAlign w:val="superscript"/>
              </w:rPr>
              <w:t>4</w:t>
            </w:r>
            <w:r w:rsidRPr="00FB3308">
              <w:rPr>
                <w:sz w:val="26"/>
                <w:szCs w:val="26"/>
              </w:rPr>
              <w:t> punkt</w:t>
            </w:r>
            <w:r>
              <w:rPr>
                <w:sz w:val="26"/>
                <w:szCs w:val="26"/>
              </w:rPr>
              <w:t>am</w:t>
            </w:r>
            <w:r w:rsidRPr="00FB3308">
              <w:rPr>
                <w:sz w:val="26"/>
                <w:szCs w:val="26"/>
              </w:rPr>
              <w:t xml:space="preserve">, 9.panta pirmās daļas </w:t>
            </w:r>
            <w:r>
              <w:rPr>
                <w:sz w:val="26"/>
                <w:szCs w:val="26"/>
              </w:rPr>
              <w:t>5.</w:t>
            </w:r>
            <w:r w:rsidRPr="00FB3308">
              <w:rPr>
                <w:sz w:val="26"/>
                <w:szCs w:val="26"/>
              </w:rPr>
              <w:t>punkt</w:t>
            </w:r>
            <w:r>
              <w:rPr>
                <w:sz w:val="26"/>
                <w:szCs w:val="26"/>
              </w:rPr>
              <w:t>am un</w:t>
            </w:r>
            <w:r w:rsidRPr="00FB3308">
              <w:rPr>
                <w:sz w:val="26"/>
                <w:szCs w:val="26"/>
              </w:rPr>
              <w:t xml:space="preserve"> </w:t>
            </w:r>
            <w:r w:rsidR="008C60F0">
              <w:rPr>
                <w:sz w:val="26"/>
                <w:szCs w:val="26"/>
              </w:rPr>
              <w:t xml:space="preserve">17.panta desmitās daļas 22.punktam </w:t>
            </w:r>
            <w:r w:rsidRPr="008C60F0">
              <w:rPr>
                <w:sz w:val="26"/>
                <w:szCs w:val="26"/>
              </w:rPr>
              <w:t>izložu un azartspēļu laimesti, kuri pārsniedz 3000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8C60F0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8C60F0">
              <w:rPr>
                <w:sz w:val="26"/>
                <w:szCs w:val="26"/>
              </w:rPr>
              <w:t>, izņemot preču un pakalpojumu loteriju laimestus</w:t>
            </w:r>
            <w:r>
              <w:rPr>
                <w:sz w:val="26"/>
                <w:szCs w:val="26"/>
              </w:rPr>
              <w:t xml:space="preserve">, ir ar nodokli apliekams ienākums, no kura </w:t>
            </w:r>
            <w:r w:rsidR="008C60F0">
              <w:rPr>
                <w:sz w:val="26"/>
                <w:szCs w:val="26"/>
              </w:rPr>
              <w:t xml:space="preserve">ienākuma izmaksātājam ir pienākums ieturēt </w:t>
            </w:r>
            <w:r>
              <w:rPr>
                <w:sz w:val="26"/>
                <w:szCs w:val="26"/>
              </w:rPr>
              <w:t xml:space="preserve">iedzīvotāju ienākuma </w:t>
            </w:r>
            <w:r w:rsidR="008C60F0">
              <w:rPr>
                <w:sz w:val="26"/>
                <w:szCs w:val="26"/>
              </w:rPr>
              <w:t>nodokli ienākuma izmaksas vietā,</w:t>
            </w:r>
            <w:r w:rsidR="008C60F0" w:rsidRPr="008C60F0">
              <w:rPr>
                <w:sz w:val="26"/>
                <w:szCs w:val="26"/>
              </w:rPr>
              <w:t xml:space="preserve"> </w:t>
            </w:r>
            <w:r w:rsidR="008C60F0">
              <w:rPr>
                <w:sz w:val="26"/>
                <w:szCs w:val="26"/>
              </w:rPr>
              <w:t xml:space="preserve">iemaksāt to budžetā un </w:t>
            </w:r>
            <w:r w:rsidR="008C60F0" w:rsidRPr="008C60F0">
              <w:rPr>
                <w:sz w:val="26"/>
                <w:szCs w:val="26"/>
              </w:rPr>
              <w:t>nosūt</w:t>
            </w:r>
            <w:r w:rsidR="008C60F0">
              <w:rPr>
                <w:sz w:val="26"/>
                <w:szCs w:val="26"/>
              </w:rPr>
              <w:t>īt</w:t>
            </w:r>
            <w:r w:rsidR="008C60F0" w:rsidRPr="008C60F0">
              <w:rPr>
                <w:sz w:val="26"/>
                <w:szCs w:val="26"/>
              </w:rPr>
              <w:t xml:space="preserve"> paziņojumu</w:t>
            </w:r>
            <w:r w:rsidR="008C60F0">
              <w:rPr>
                <w:sz w:val="26"/>
                <w:szCs w:val="26"/>
              </w:rPr>
              <w:t xml:space="preserve"> par fiziskajām personām izmaksātajām summām</w:t>
            </w:r>
            <w:r w:rsidR="008C60F0" w:rsidRPr="008C60F0">
              <w:rPr>
                <w:sz w:val="26"/>
                <w:szCs w:val="26"/>
              </w:rPr>
              <w:t xml:space="preserve"> Valsts ieņēmumu dienestam</w:t>
            </w:r>
            <w:r w:rsidR="008C60F0">
              <w:rPr>
                <w:sz w:val="26"/>
                <w:szCs w:val="26"/>
              </w:rPr>
              <w:t xml:space="preserve">. </w:t>
            </w:r>
          </w:p>
          <w:p w14:paraId="035D989D" w14:textId="77777777" w:rsidR="000F6CD9" w:rsidRDefault="000F6CD9" w:rsidP="000F6C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Atbilstoši likuma</w:t>
            </w:r>
            <w:r w:rsidR="00AF4BFC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“Par iedzīvotāju ienākuma nodokli” </w:t>
            </w:r>
            <w:r w:rsidRPr="00E07ABC">
              <w:rPr>
                <w:i/>
                <w:sz w:val="26"/>
                <w:szCs w:val="26"/>
              </w:rPr>
              <w:t>(redakcijā, kas stāsies spēkā 2018.gada 1.janvārī)</w:t>
            </w:r>
            <w:r w:rsidR="007910C5">
              <w:rPr>
                <w:sz w:val="26"/>
                <w:szCs w:val="26"/>
              </w:rPr>
              <w:t xml:space="preserve"> ar iedzīvotāju ienākuma nodokli nav apliekams ienākums no </w:t>
            </w:r>
            <w:r w:rsidRPr="000F6CD9">
              <w:rPr>
                <w:sz w:val="26"/>
                <w:szCs w:val="26"/>
              </w:rPr>
              <w:t>likvidācijas kvota</w:t>
            </w:r>
            <w:r w:rsidR="007910C5">
              <w:rPr>
                <w:sz w:val="26"/>
                <w:szCs w:val="26"/>
              </w:rPr>
              <w:t>s</w:t>
            </w:r>
            <w:r w:rsidRPr="000F6CD9">
              <w:rPr>
                <w:sz w:val="26"/>
                <w:szCs w:val="26"/>
              </w:rPr>
              <w:t>, ja Latvijas Republikā ir samaksāts uzņēmumu ienākuma nodoklis saskaņā ar U</w:t>
            </w:r>
            <w:r w:rsidR="007910C5">
              <w:rPr>
                <w:sz w:val="26"/>
                <w:szCs w:val="26"/>
              </w:rPr>
              <w:t xml:space="preserve">zņēmumu </w:t>
            </w:r>
            <w:r w:rsidR="007910C5">
              <w:rPr>
                <w:sz w:val="26"/>
                <w:szCs w:val="26"/>
              </w:rPr>
              <w:lastRenderedPageBreak/>
              <w:t xml:space="preserve">ienākuma nodokļa likumu vai </w:t>
            </w:r>
            <w:r w:rsidRPr="000F6CD9">
              <w:rPr>
                <w:sz w:val="26"/>
                <w:szCs w:val="26"/>
              </w:rPr>
              <w:t>ārvalstī ir samaksāts uzņēmumu ienākuma nodoklis vai tam pielīdzināms nodoklis vai ārvalstī no likvidācijas kvotas ir ieturēts iedzīvotāju ienākuma nodoklis vai tam pielīdzināms nodoklis.</w:t>
            </w:r>
          </w:p>
          <w:p w14:paraId="38B46F84" w14:textId="77777777" w:rsidR="005571A7" w:rsidRPr="000B5BC7" w:rsidRDefault="005571A7" w:rsidP="005571A7">
            <w:pPr>
              <w:jc w:val="both"/>
              <w:rPr>
                <w:i/>
                <w:sz w:val="26"/>
                <w:szCs w:val="26"/>
              </w:rPr>
            </w:pPr>
            <w:r w:rsidRPr="00976F57">
              <w:rPr>
                <w:sz w:val="26"/>
                <w:szCs w:val="26"/>
              </w:rPr>
              <w:t>Noteikumu projekt</w:t>
            </w:r>
            <w:r w:rsidR="007910C5">
              <w:rPr>
                <w:sz w:val="26"/>
                <w:szCs w:val="26"/>
              </w:rPr>
              <w:t>a mērķis ir</w:t>
            </w:r>
            <w:r>
              <w:rPr>
                <w:sz w:val="26"/>
                <w:szCs w:val="26"/>
              </w:rPr>
              <w:t xml:space="preserve"> saskaņot </w:t>
            </w:r>
            <w:r w:rsidR="00356426">
              <w:rPr>
                <w:sz w:val="26"/>
                <w:szCs w:val="26"/>
              </w:rPr>
              <w:t>MK</w:t>
            </w:r>
            <w:r w:rsidRPr="005073F6">
              <w:rPr>
                <w:sz w:val="26"/>
                <w:szCs w:val="26"/>
              </w:rPr>
              <w:t xml:space="preserve"> 2008.gada 25.augusta noteikumu Nr.677 1.pielikuma “Paziņojums par fiziskai personai izmaksātajām summām” un 2.pielikuma “Paziņojums par fiziskajām personām izmaksātajām summām (kopsavilkums)” tabulā “1.* Ienākuma veida kodi” norādītos ienākuma veida kodus atbilstoši likum</w:t>
            </w:r>
            <w:r>
              <w:rPr>
                <w:sz w:val="26"/>
                <w:szCs w:val="26"/>
              </w:rPr>
              <w:t>ā</w:t>
            </w:r>
            <w:r w:rsidRPr="005073F6">
              <w:rPr>
                <w:sz w:val="26"/>
                <w:szCs w:val="26"/>
              </w:rPr>
              <w:t xml:space="preserve"> “Par iedzīvotāju ienākuma nodokli”</w:t>
            </w:r>
            <w:r>
              <w:rPr>
                <w:i/>
                <w:sz w:val="26"/>
                <w:szCs w:val="26"/>
              </w:rPr>
              <w:t xml:space="preserve"> (redakcijā, kas stāsies spēkā 2018.gada 1.janvārī)</w:t>
            </w:r>
            <w:r>
              <w:rPr>
                <w:sz w:val="26"/>
                <w:szCs w:val="26"/>
              </w:rPr>
              <w:t xml:space="preserve"> noteiktajiem ar iedzīvotāju ienākuma nodokli apliekamajiem un neapliekamajiem ienākumiem </w:t>
            </w:r>
            <w:r w:rsidRPr="00827827">
              <w:rPr>
                <w:sz w:val="26"/>
                <w:szCs w:val="26"/>
              </w:rPr>
              <w:t xml:space="preserve">attiecībā uz </w:t>
            </w:r>
            <w:r w:rsidR="00487E92">
              <w:rPr>
                <w:sz w:val="26"/>
                <w:szCs w:val="26"/>
              </w:rPr>
              <w:t xml:space="preserve">dividendēm, dividendēm pielīdzināmu ienākumu un nosacītajām dividendēm, </w:t>
            </w:r>
            <w:r w:rsidR="00487E92" w:rsidRPr="000F6CD9">
              <w:rPr>
                <w:sz w:val="26"/>
                <w:szCs w:val="26"/>
              </w:rPr>
              <w:t>likvidācijas kvot</w:t>
            </w:r>
            <w:r w:rsidR="00487E92">
              <w:rPr>
                <w:sz w:val="26"/>
                <w:szCs w:val="26"/>
              </w:rPr>
              <w:t xml:space="preserve">u, kā arī </w:t>
            </w:r>
            <w:r w:rsidR="00487E92" w:rsidRPr="00827827">
              <w:rPr>
                <w:sz w:val="26"/>
                <w:szCs w:val="26"/>
              </w:rPr>
              <w:t xml:space="preserve"> </w:t>
            </w:r>
            <w:r w:rsidRPr="00827827">
              <w:rPr>
                <w:sz w:val="26"/>
                <w:szCs w:val="26"/>
              </w:rPr>
              <w:t>izložu un azartspēļu laimestiem</w:t>
            </w:r>
            <w:r w:rsidR="00487E92">
              <w:rPr>
                <w:sz w:val="26"/>
                <w:szCs w:val="26"/>
              </w:rPr>
              <w:t>.</w:t>
            </w:r>
          </w:p>
          <w:p w14:paraId="7D26E26E" w14:textId="77777777" w:rsidR="002B0C9D" w:rsidRDefault="005571A7" w:rsidP="00CF639D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Vienlaikus noteikumu projekts paredz saskaņot un nodrošināt </w:t>
            </w:r>
            <w:r w:rsidR="00356426">
              <w:rPr>
                <w:sz w:val="26"/>
                <w:szCs w:val="26"/>
              </w:rPr>
              <w:t>MK</w:t>
            </w:r>
            <w:r w:rsidRPr="00252C56">
              <w:rPr>
                <w:sz w:val="26"/>
                <w:szCs w:val="26"/>
              </w:rPr>
              <w:t xml:space="preserve"> 2008.gada 25.augusta noteikumu Nr.677 1.pielikum</w:t>
            </w:r>
            <w:r>
              <w:rPr>
                <w:sz w:val="26"/>
                <w:szCs w:val="26"/>
              </w:rPr>
              <w:t>ā</w:t>
            </w:r>
            <w:r w:rsidRPr="00252C56">
              <w:rPr>
                <w:sz w:val="26"/>
                <w:szCs w:val="26"/>
              </w:rPr>
              <w:t xml:space="preserve"> “Paziņojums par fiziskai personai izmaksātajām summām” un 2.pielikum</w:t>
            </w:r>
            <w:r>
              <w:rPr>
                <w:sz w:val="26"/>
                <w:szCs w:val="26"/>
              </w:rPr>
              <w:t>ā</w:t>
            </w:r>
            <w:r w:rsidRPr="00252C56">
              <w:rPr>
                <w:sz w:val="26"/>
                <w:szCs w:val="26"/>
              </w:rPr>
              <w:t xml:space="preserve"> “Paziņojums par fiziskajām personām izmaksātajām summām (kopsavilkums)”</w:t>
            </w:r>
            <w:r>
              <w:rPr>
                <w:sz w:val="26"/>
                <w:szCs w:val="26"/>
              </w:rPr>
              <w:t xml:space="preserve"> sniegtās informācijas apstrādi saskaņā ar likumā “Par iedzīvotāju ienākuma nodokli” </w:t>
            </w:r>
            <w:r w:rsidRPr="00BE7427">
              <w:rPr>
                <w:i/>
                <w:sz w:val="26"/>
                <w:szCs w:val="26"/>
              </w:rPr>
              <w:t>(redakcijā, kas stāsies spēkā 2018</w:t>
            </w:r>
            <w:r>
              <w:rPr>
                <w:i/>
                <w:sz w:val="26"/>
                <w:szCs w:val="26"/>
              </w:rPr>
              <w:t>.</w:t>
            </w:r>
            <w:r w:rsidRPr="00BE7427">
              <w:rPr>
                <w:i/>
                <w:sz w:val="26"/>
                <w:szCs w:val="26"/>
              </w:rPr>
              <w:t>gada 1.janvārī</w:t>
            </w:r>
            <w:r w:rsidRPr="00252C5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12.panta pirmo daļu, kurā noteikts Valsts ieņēmumu dienesta prognozētais mēneša neapliekamais minimums.</w:t>
            </w:r>
          </w:p>
          <w:p w14:paraId="57C9A11A" w14:textId="77777777" w:rsidR="00DE290F" w:rsidRPr="00904E39" w:rsidRDefault="00904E39" w:rsidP="0023380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Ievērojot</w:t>
            </w:r>
            <w:r w:rsidR="00DE290F">
              <w:rPr>
                <w:sz w:val="26"/>
                <w:szCs w:val="26"/>
              </w:rPr>
              <w:t xml:space="preserve"> </w:t>
            </w:r>
            <w:r w:rsidR="00DE290F" w:rsidRPr="001A001F">
              <w:rPr>
                <w:sz w:val="26"/>
                <w:szCs w:val="26"/>
              </w:rPr>
              <w:t>2016.gadā izstrādāt</w:t>
            </w:r>
            <w:r>
              <w:rPr>
                <w:sz w:val="26"/>
                <w:szCs w:val="26"/>
              </w:rPr>
              <w:t>os</w:t>
            </w:r>
            <w:r w:rsidR="00DE290F" w:rsidRPr="001A001F">
              <w:rPr>
                <w:sz w:val="26"/>
                <w:szCs w:val="26"/>
              </w:rPr>
              <w:t xml:space="preserve"> grozījum</w:t>
            </w:r>
            <w:r>
              <w:rPr>
                <w:sz w:val="26"/>
                <w:szCs w:val="26"/>
              </w:rPr>
              <w:t>us</w:t>
            </w:r>
            <w:r w:rsidR="00DE290F" w:rsidRPr="001A001F">
              <w:rPr>
                <w:sz w:val="26"/>
                <w:szCs w:val="26"/>
              </w:rPr>
              <w:t xml:space="preserve"> likumā “Par iedzīvotāju ienākuma nodokli”, likum</w:t>
            </w:r>
            <w:r>
              <w:rPr>
                <w:sz w:val="26"/>
                <w:szCs w:val="26"/>
              </w:rPr>
              <w:t>s tika papildināts</w:t>
            </w:r>
            <w:r w:rsidR="00DE290F" w:rsidRPr="001A001F">
              <w:rPr>
                <w:sz w:val="26"/>
                <w:szCs w:val="26"/>
              </w:rPr>
              <w:t xml:space="preserve"> ar 8.panta piecpadsmito, sešpadsmito, septiņpadsmito, astoņpadsmito un deviņpadsmito daļu, kas paredz no maksātāja ienākumiem, par kuriem maksā algas nodokli, izslēgt darba devēja apmaksātos darba līgumā noteiktos darbinieka ēdināšanas izdevumus (</w:t>
            </w:r>
            <w:r w:rsidR="00DE290F" w:rsidRPr="001A001F">
              <w:rPr>
                <w:i/>
                <w:sz w:val="26"/>
                <w:szCs w:val="26"/>
              </w:rPr>
              <w:t>spēkā ar 2017.gada 1.janvāri</w:t>
            </w:r>
            <w:r w:rsidR="00DE290F" w:rsidRPr="001A001F">
              <w:rPr>
                <w:sz w:val="26"/>
                <w:szCs w:val="26"/>
              </w:rPr>
              <w:t xml:space="preserve">). </w:t>
            </w:r>
            <w:r>
              <w:rPr>
                <w:sz w:val="26"/>
                <w:szCs w:val="26"/>
              </w:rPr>
              <w:t>Lai nodrošinātu</w:t>
            </w:r>
            <w:r w:rsidR="00DE290F">
              <w:rPr>
                <w:sz w:val="26"/>
                <w:szCs w:val="26"/>
              </w:rPr>
              <w:t xml:space="preserve"> informācij</w:t>
            </w:r>
            <w:r>
              <w:rPr>
                <w:sz w:val="26"/>
                <w:szCs w:val="26"/>
              </w:rPr>
              <w:t>u</w:t>
            </w:r>
            <w:r w:rsidR="00DE290F">
              <w:rPr>
                <w:sz w:val="26"/>
                <w:szCs w:val="26"/>
              </w:rPr>
              <w:t xml:space="preserve"> par </w:t>
            </w:r>
            <w:r w:rsidR="00DE290F" w:rsidRPr="001A001F">
              <w:rPr>
                <w:sz w:val="26"/>
                <w:szCs w:val="26"/>
              </w:rPr>
              <w:t xml:space="preserve">minētās normas piemērošanu </w:t>
            </w:r>
            <w:r w:rsidR="00DE290F">
              <w:rPr>
                <w:sz w:val="26"/>
                <w:szCs w:val="26"/>
              </w:rPr>
              <w:t>(</w:t>
            </w:r>
            <w:r w:rsidR="00DE290F" w:rsidRPr="001A001F">
              <w:rPr>
                <w:sz w:val="26"/>
                <w:szCs w:val="26"/>
              </w:rPr>
              <w:t>darbiniekiem, kuriem darba devējs apmaksā ēdināšanas izdevumus, izdevumu apmēru, darba devēju skaitu</w:t>
            </w:r>
            <w:r w:rsidR="00DE290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kura </w:t>
            </w:r>
            <w:r w:rsidR="00DE290F" w:rsidRPr="001A001F">
              <w:rPr>
                <w:sz w:val="26"/>
                <w:szCs w:val="26"/>
              </w:rPr>
              <w:t xml:space="preserve">nepieciešama analītiskiem mērķiem, lai novērtētu minētā atvieglojuma fiskālo ietekmi, </w:t>
            </w:r>
            <w:r w:rsidR="00DE290F">
              <w:rPr>
                <w:sz w:val="26"/>
                <w:szCs w:val="26"/>
              </w:rPr>
              <w:t xml:space="preserve">noteikumu </w:t>
            </w:r>
            <w:r w:rsidR="001A001F">
              <w:rPr>
                <w:sz w:val="26"/>
                <w:szCs w:val="26"/>
              </w:rPr>
              <w:t xml:space="preserve">projekts </w:t>
            </w:r>
            <w:r>
              <w:rPr>
                <w:sz w:val="26"/>
                <w:szCs w:val="26"/>
              </w:rPr>
              <w:t xml:space="preserve">papildus </w:t>
            </w:r>
            <w:r w:rsidR="001A001F">
              <w:rPr>
                <w:sz w:val="26"/>
                <w:szCs w:val="26"/>
              </w:rPr>
              <w:t xml:space="preserve">paredz </w:t>
            </w:r>
            <w:r w:rsidR="00DE290F">
              <w:rPr>
                <w:sz w:val="26"/>
                <w:szCs w:val="26"/>
              </w:rPr>
              <w:t>MK</w:t>
            </w:r>
            <w:r w:rsidR="00DE290F" w:rsidRPr="00252C56">
              <w:rPr>
                <w:sz w:val="26"/>
                <w:szCs w:val="26"/>
              </w:rPr>
              <w:t xml:space="preserve"> 2008.gada 25.augusta noteikumu Nr.677 1.pielikum</w:t>
            </w:r>
            <w:r w:rsidR="00DE290F">
              <w:rPr>
                <w:sz w:val="26"/>
                <w:szCs w:val="26"/>
              </w:rPr>
              <w:t>a</w:t>
            </w:r>
            <w:r w:rsidR="00DE290F" w:rsidRPr="00252C56">
              <w:rPr>
                <w:sz w:val="26"/>
                <w:szCs w:val="26"/>
              </w:rPr>
              <w:t xml:space="preserve"> “Paziņojums par fiziskai personai izmaksātajām summām” un 2.pielikum</w:t>
            </w:r>
            <w:r w:rsidR="00DE290F">
              <w:rPr>
                <w:sz w:val="26"/>
                <w:szCs w:val="26"/>
              </w:rPr>
              <w:t>a</w:t>
            </w:r>
            <w:r w:rsidR="00DE290F" w:rsidRPr="00252C56">
              <w:rPr>
                <w:sz w:val="26"/>
                <w:szCs w:val="26"/>
              </w:rPr>
              <w:t xml:space="preserve"> “Paziņojums par fiziskajām personām izmaksātajām summām (kopsavilkums)”</w:t>
            </w:r>
            <w:r w:rsidR="00DE290F">
              <w:rPr>
                <w:sz w:val="26"/>
                <w:szCs w:val="26"/>
              </w:rPr>
              <w:t xml:space="preserve"> </w:t>
            </w:r>
            <w:r w:rsidR="00DE290F" w:rsidRPr="00DE290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DE290F" w:rsidRPr="00DE290F">
              <w:rPr>
                <w:bCs/>
                <w:sz w:val="26"/>
                <w:szCs w:val="26"/>
              </w:rPr>
              <w:t>tabulu “1.* Ienākuma veida kodi”</w:t>
            </w:r>
            <w:r w:rsidR="00DE290F">
              <w:rPr>
                <w:bCs/>
                <w:sz w:val="26"/>
                <w:szCs w:val="26"/>
              </w:rPr>
              <w:t xml:space="preserve"> papildināt</w:t>
            </w:r>
            <w:r w:rsidR="00DE290F" w:rsidRPr="00DE290F">
              <w:rPr>
                <w:bCs/>
                <w:sz w:val="26"/>
                <w:szCs w:val="26"/>
              </w:rPr>
              <w:t xml:space="preserve"> ar</w:t>
            </w:r>
            <w:r w:rsidR="00DE290F">
              <w:rPr>
                <w:bCs/>
                <w:sz w:val="26"/>
                <w:szCs w:val="26"/>
              </w:rPr>
              <w:t xml:space="preserve"> jaunu ienākuma veidu “</w:t>
            </w:r>
            <w:r w:rsidR="00DE290F" w:rsidRPr="00DE290F">
              <w:rPr>
                <w:bCs/>
                <w:sz w:val="26"/>
                <w:szCs w:val="26"/>
              </w:rPr>
              <w:t>Darba devēja apmaksātie darba koplīgumā noteiktie darbinieka ēdināšanas izdevumi, kas nepārsniedz 480</w:t>
            </w:r>
            <w:r w:rsidR="00DE290F">
              <w:rPr>
                <w:bCs/>
                <w:sz w:val="26"/>
                <w:szCs w:val="26"/>
              </w:rPr>
              <w:t> </w:t>
            </w:r>
            <w:proofErr w:type="spellStart"/>
            <w:r w:rsidR="00DE290F" w:rsidRPr="00DE290F">
              <w:rPr>
                <w:bCs/>
                <w:i/>
                <w:sz w:val="26"/>
                <w:szCs w:val="26"/>
              </w:rPr>
              <w:t>euro</w:t>
            </w:r>
            <w:proofErr w:type="spellEnd"/>
            <w:r w:rsidR="00DE290F" w:rsidRPr="00DE290F">
              <w:rPr>
                <w:bCs/>
                <w:sz w:val="26"/>
                <w:szCs w:val="26"/>
              </w:rPr>
              <w:t xml:space="preserve"> gadā</w:t>
            </w:r>
            <w:r w:rsidR="00DE290F">
              <w:rPr>
                <w:bCs/>
                <w:sz w:val="26"/>
                <w:szCs w:val="26"/>
              </w:rPr>
              <w:t>” un tā kodu “30</w:t>
            </w:r>
            <w:r w:rsidR="00DE290F" w:rsidRPr="00DE290F">
              <w:rPr>
                <w:bCs/>
                <w:sz w:val="26"/>
                <w:szCs w:val="26"/>
              </w:rPr>
              <w:t>59</w:t>
            </w:r>
            <w:r w:rsidR="00DE290F">
              <w:rPr>
                <w:bCs/>
                <w:sz w:val="26"/>
                <w:szCs w:val="26"/>
              </w:rPr>
              <w:t>”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3F17C8" w:rsidRPr="00E5118C" w14:paraId="38C1D199" w14:textId="77777777" w:rsidTr="003419EB">
        <w:trPr>
          <w:trHeight w:val="476"/>
        </w:trPr>
        <w:tc>
          <w:tcPr>
            <w:tcW w:w="370" w:type="pct"/>
          </w:tcPr>
          <w:p w14:paraId="5679B9C2" w14:textId="77777777" w:rsidR="003F17C8" w:rsidRPr="00E2012F" w:rsidRDefault="003F17C8" w:rsidP="003F17C8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E2012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542" w:type="pct"/>
          </w:tcPr>
          <w:p w14:paraId="16D821EB" w14:textId="77777777" w:rsidR="003F17C8" w:rsidRPr="00E2012F" w:rsidRDefault="003F17C8" w:rsidP="003F17C8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E2012F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087" w:type="pct"/>
          </w:tcPr>
          <w:p w14:paraId="7C99F10F" w14:textId="77777777" w:rsidR="003F17C8" w:rsidRPr="00E2012F" w:rsidRDefault="003F17C8" w:rsidP="003F17C8">
            <w:pPr>
              <w:ind w:left="57" w:right="57"/>
              <w:rPr>
                <w:b/>
                <w:sz w:val="26"/>
                <w:szCs w:val="26"/>
              </w:rPr>
            </w:pPr>
            <w:r w:rsidRPr="00E2012F">
              <w:rPr>
                <w:sz w:val="26"/>
                <w:szCs w:val="26"/>
              </w:rPr>
              <w:t>Valsts ieņēmumu dienests</w:t>
            </w:r>
          </w:p>
        </w:tc>
      </w:tr>
      <w:tr w:rsidR="003F17C8" w:rsidRPr="00E5118C" w14:paraId="39076A98" w14:textId="77777777" w:rsidTr="003419EB">
        <w:tc>
          <w:tcPr>
            <w:tcW w:w="370" w:type="pct"/>
          </w:tcPr>
          <w:p w14:paraId="7E92ABE0" w14:textId="77777777" w:rsidR="003F17C8" w:rsidRPr="00E2012F" w:rsidRDefault="003F17C8" w:rsidP="003F17C8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E2012F">
              <w:rPr>
                <w:sz w:val="26"/>
                <w:szCs w:val="26"/>
              </w:rPr>
              <w:t>4.</w:t>
            </w:r>
          </w:p>
        </w:tc>
        <w:tc>
          <w:tcPr>
            <w:tcW w:w="1542" w:type="pct"/>
          </w:tcPr>
          <w:p w14:paraId="5BD8B3A6" w14:textId="77777777" w:rsidR="003F17C8" w:rsidRPr="00E2012F" w:rsidRDefault="003F17C8" w:rsidP="003F17C8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E2012F">
              <w:rPr>
                <w:sz w:val="26"/>
                <w:szCs w:val="26"/>
              </w:rPr>
              <w:t>Cita informācija</w:t>
            </w:r>
          </w:p>
        </w:tc>
        <w:tc>
          <w:tcPr>
            <w:tcW w:w="3087" w:type="pct"/>
          </w:tcPr>
          <w:p w14:paraId="2370CA23" w14:textId="77777777" w:rsidR="003F17C8" w:rsidRPr="00E2012F" w:rsidRDefault="003F17C8" w:rsidP="003F17C8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E2012F">
              <w:rPr>
                <w:sz w:val="26"/>
                <w:szCs w:val="26"/>
              </w:rPr>
              <w:t>Nav</w:t>
            </w:r>
          </w:p>
        </w:tc>
      </w:tr>
    </w:tbl>
    <w:p w14:paraId="6C9126CD" w14:textId="77777777" w:rsidR="00D175E9" w:rsidRPr="003419EB" w:rsidRDefault="00D175E9" w:rsidP="00D175E9">
      <w:pPr>
        <w:rPr>
          <w:color w:val="C00000"/>
          <w:sz w:val="16"/>
          <w:szCs w:val="16"/>
        </w:rPr>
      </w:pPr>
    </w:p>
    <w:tbl>
      <w:tblPr>
        <w:tblpPr w:leftFromText="180" w:rightFromText="180" w:vertAnchor="text" w:horzAnchor="margin" w:tblpXSpec="center" w:tblpY="119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795"/>
        <w:gridCol w:w="6316"/>
      </w:tblGrid>
      <w:tr w:rsidR="00E5118C" w:rsidRPr="00E5118C" w14:paraId="16AB4D09" w14:textId="77777777" w:rsidTr="00102A21">
        <w:trPr>
          <w:trHeight w:val="556"/>
        </w:trPr>
        <w:tc>
          <w:tcPr>
            <w:tcW w:w="9523" w:type="dxa"/>
            <w:gridSpan w:val="3"/>
            <w:vAlign w:val="center"/>
          </w:tcPr>
          <w:p w14:paraId="178A81A8" w14:textId="77777777" w:rsidR="00D175E9" w:rsidRPr="00763B52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763B52">
              <w:rPr>
                <w:sz w:val="26"/>
                <w:szCs w:val="26"/>
              </w:rPr>
              <w:t>II. Tiesību akta projekta ietekme uz sabiedrību, tautsaimniecības attīstību</w:t>
            </w:r>
            <w:r w:rsidR="002E50FD" w:rsidRPr="00763B52">
              <w:rPr>
                <w:sz w:val="26"/>
                <w:szCs w:val="26"/>
              </w:rPr>
              <w:t xml:space="preserve"> un</w:t>
            </w:r>
          </w:p>
          <w:p w14:paraId="379CD52F" w14:textId="77777777" w:rsidR="00D175E9" w:rsidRPr="00763B52" w:rsidRDefault="00D175E9" w:rsidP="002E50FD">
            <w:pPr>
              <w:pStyle w:val="naisnod"/>
              <w:spacing w:before="0" w:after="0"/>
              <w:ind w:left="57" w:right="57"/>
              <w:rPr>
                <w:b w:val="0"/>
                <w:sz w:val="26"/>
                <w:szCs w:val="26"/>
              </w:rPr>
            </w:pPr>
            <w:r w:rsidRPr="00763B52">
              <w:rPr>
                <w:sz w:val="26"/>
                <w:szCs w:val="26"/>
              </w:rPr>
              <w:t>administratīvo slogu</w:t>
            </w:r>
          </w:p>
        </w:tc>
      </w:tr>
      <w:tr w:rsidR="00E5118C" w:rsidRPr="00E5118C" w14:paraId="233974CB" w14:textId="77777777" w:rsidTr="00102A21">
        <w:trPr>
          <w:trHeight w:val="467"/>
        </w:trPr>
        <w:tc>
          <w:tcPr>
            <w:tcW w:w="412" w:type="dxa"/>
          </w:tcPr>
          <w:p w14:paraId="44B70765" w14:textId="77777777" w:rsidR="00D175E9" w:rsidRPr="00E5118C" w:rsidRDefault="00D175E9" w:rsidP="003419EB">
            <w:pPr>
              <w:pStyle w:val="naiskr"/>
              <w:spacing w:before="0" w:after="0"/>
              <w:ind w:left="57" w:right="57"/>
              <w:jc w:val="center"/>
              <w:rPr>
                <w:color w:val="C00000"/>
                <w:sz w:val="26"/>
                <w:szCs w:val="26"/>
              </w:rPr>
            </w:pPr>
            <w:r w:rsidRPr="00763B52">
              <w:rPr>
                <w:sz w:val="26"/>
                <w:szCs w:val="26"/>
              </w:rPr>
              <w:t>1.</w:t>
            </w:r>
          </w:p>
        </w:tc>
        <w:tc>
          <w:tcPr>
            <w:tcW w:w="2795" w:type="dxa"/>
          </w:tcPr>
          <w:p w14:paraId="3CA37F37" w14:textId="77777777" w:rsidR="00D175E9" w:rsidRPr="00763B52" w:rsidRDefault="00D175E9" w:rsidP="00291043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763B52">
              <w:rPr>
                <w:sz w:val="26"/>
                <w:szCs w:val="26"/>
              </w:rPr>
              <w:t xml:space="preserve">Sabiedrības </w:t>
            </w:r>
            <w:proofErr w:type="spellStart"/>
            <w:r w:rsidRPr="00763B52">
              <w:rPr>
                <w:sz w:val="26"/>
                <w:szCs w:val="26"/>
              </w:rPr>
              <w:t>mērķgrupas</w:t>
            </w:r>
            <w:proofErr w:type="spellEnd"/>
            <w:r w:rsidRPr="00763B52">
              <w:rPr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6316" w:type="dxa"/>
          </w:tcPr>
          <w:p w14:paraId="67542C6E" w14:textId="77777777" w:rsidR="00341250" w:rsidRPr="00291043" w:rsidRDefault="00FA0C1C" w:rsidP="00291043">
            <w:pPr>
              <w:shd w:val="clear" w:color="auto" w:fill="FFFFFF"/>
              <w:ind w:left="57" w:right="57"/>
              <w:jc w:val="both"/>
              <w:rPr>
                <w:sz w:val="26"/>
                <w:szCs w:val="26"/>
              </w:rPr>
            </w:pPr>
            <w:bookmarkStart w:id="0" w:name="p21"/>
            <w:bookmarkEnd w:id="0"/>
            <w:r w:rsidRPr="00464FDC">
              <w:rPr>
                <w:sz w:val="26"/>
                <w:szCs w:val="26"/>
              </w:rPr>
              <w:t>Juridiskās personas un fiziskās personas, kuras reģistrējušās Valsts ieņēmumu dienestā kā saimnieciskās darbības veicējas</w:t>
            </w:r>
            <w:r w:rsidR="006C55F6">
              <w:rPr>
                <w:sz w:val="26"/>
                <w:szCs w:val="26"/>
              </w:rPr>
              <w:t>,</w:t>
            </w:r>
            <w:r w:rsidR="002529AD" w:rsidRPr="00464FDC">
              <w:rPr>
                <w:sz w:val="26"/>
                <w:szCs w:val="26"/>
              </w:rPr>
              <w:t xml:space="preserve"> un </w:t>
            </w:r>
            <w:r w:rsidR="000C331B" w:rsidRPr="00464FDC">
              <w:rPr>
                <w:sz w:val="26"/>
                <w:szCs w:val="26"/>
              </w:rPr>
              <w:t>izmaksā</w:t>
            </w:r>
            <w:r w:rsidR="002529AD" w:rsidRPr="00464FDC">
              <w:rPr>
                <w:sz w:val="26"/>
                <w:szCs w:val="26"/>
              </w:rPr>
              <w:t xml:space="preserve"> fiziskām personām </w:t>
            </w:r>
            <w:r w:rsidR="00341250" w:rsidRPr="00464FDC">
              <w:rPr>
                <w:sz w:val="26"/>
                <w:szCs w:val="26"/>
              </w:rPr>
              <w:t>ienākumu</w:t>
            </w:r>
          </w:p>
        </w:tc>
      </w:tr>
      <w:tr w:rsidR="00E5118C" w:rsidRPr="003B0FFB" w14:paraId="14B095B2" w14:textId="77777777" w:rsidTr="00102A21">
        <w:trPr>
          <w:trHeight w:val="523"/>
        </w:trPr>
        <w:tc>
          <w:tcPr>
            <w:tcW w:w="412" w:type="dxa"/>
          </w:tcPr>
          <w:p w14:paraId="6E425ABF" w14:textId="77777777" w:rsidR="00D175E9" w:rsidRPr="003B0FFB" w:rsidRDefault="00D175E9" w:rsidP="003419EB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3B0FFB">
              <w:rPr>
                <w:sz w:val="26"/>
                <w:szCs w:val="26"/>
              </w:rPr>
              <w:t>2.</w:t>
            </w:r>
          </w:p>
        </w:tc>
        <w:tc>
          <w:tcPr>
            <w:tcW w:w="2795" w:type="dxa"/>
          </w:tcPr>
          <w:p w14:paraId="02A04AC6" w14:textId="77777777" w:rsidR="00D175E9" w:rsidRPr="003B0FFB" w:rsidRDefault="00D175E9" w:rsidP="003419EB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3B0FFB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6316" w:type="dxa"/>
          </w:tcPr>
          <w:p w14:paraId="5A614B4B" w14:textId="77777777" w:rsidR="009C7FC3" w:rsidRPr="00E45A48" w:rsidRDefault="00FA0C1C" w:rsidP="00381F1B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E45A48">
              <w:rPr>
                <w:bCs/>
                <w:sz w:val="26"/>
                <w:szCs w:val="26"/>
              </w:rPr>
              <w:t>Sabiedrības grupām un institūcijām projekta tiesiskais regulējums nemaina tiesības un pienākumus</w:t>
            </w:r>
            <w:r w:rsidR="00317D21" w:rsidRPr="00E45A48">
              <w:rPr>
                <w:bCs/>
                <w:sz w:val="26"/>
                <w:szCs w:val="26"/>
              </w:rPr>
              <w:t>, jo</w:t>
            </w:r>
            <w:r w:rsidR="009C7FC3" w:rsidRPr="00E45A48">
              <w:rPr>
                <w:bCs/>
                <w:sz w:val="26"/>
                <w:szCs w:val="26"/>
              </w:rPr>
              <w:t>:</w:t>
            </w:r>
          </w:p>
          <w:p w14:paraId="61927362" w14:textId="77777777" w:rsidR="004C290F" w:rsidRDefault="009C7FC3" w:rsidP="00381F1B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E45A48">
              <w:rPr>
                <w:bCs/>
                <w:sz w:val="26"/>
                <w:szCs w:val="26"/>
              </w:rPr>
              <w:t>-</w:t>
            </w:r>
            <w:r w:rsidR="00190D50" w:rsidRPr="00E45A48">
              <w:rPr>
                <w:bCs/>
                <w:sz w:val="26"/>
                <w:szCs w:val="26"/>
              </w:rPr>
              <w:t xml:space="preserve"> paziņojumu par fiziskajām personām izmaksātajām summām attiecībā uz dividendēm, dividendēm pielīdzināmiem ienākumiem, izložu un azartspēļu laimestiem, kā arī ienākumiem</w:t>
            </w:r>
            <w:r w:rsidR="00AF4BFC">
              <w:rPr>
                <w:bCs/>
                <w:sz w:val="26"/>
                <w:szCs w:val="26"/>
              </w:rPr>
              <w:t>,</w:t>
            </w:r>
            <w:r w:rsidR="00190D50" w:rsidRPr="00E45A48">
              <w:rPr>
                <w:bCs/>
                <w:sz w:val="26"/>
                <w:szCs w:val="26"/>
              </w:rPr>
              <w:t xml:space="preserve"> ko fiziskā persona saņem likvidācijas kvotas vai reorganizācijas gadījumā, </w:t>
            </w:r>
            <w:r w:rsidRPr="00E45A48">
              <w:rPr>
                <w:bCs/>
                <w:sz w:val="26"/>
                <w:szCs w:val="26"/>
              </w:rPr>
              <w:t xml:space="preserve">Valsts ieņēmumu dienestam </w:t>
            </w:r>
            <w:r w:rsidR="00190D50" w:rsidRPr="00E45A48">
              <w:rPr>
                <w:bCs/>
                <w:sz w:val="26"/>
                <w:szCs w:val="26"/>
              </w:rPr>
              <w:t>bija jā</w:t>
            </w:r>
            <w:r w:rsidRPr="00E45A48">
              <w:rPr>
                <w:bCs/>
                <w:sz w:val="26"/>
                <w:szCs w:val="26"/>
              </w:rPr>
              <w:t>ie</w:t>
            </w:r>
            <w:r w:rsidR="00190D50" w:rsidRPr="00E45A48">
              <w:rPr>
                <w:bCs/>
                <w:sz w:val="26"/>
                <w:szCs w:val="26"/>
              </w:rPr>
              <w:t>sniedz arī iepriek</w:t>
            </w:r>
            <w:r w:rsidR="00381F1B" w:rsidRPr="00E45A48">
              <w:rPr>
                <w:bCs/>
                <w:sz w:val="26"/>
                <w:szCs w:val="26"/>
              </w:rPr>
              <w:t>š</w:t>
            </w:r>
            <w:r w:rsidR="00AF4BFC">
              <w:rPr>
                <w:bCs/>
                <w:sz w:val="26"/>
                <w:szCs w:val="26"/>
              </w:rPr>
              <w:t>;</w:t>
            </w:r>
            <w:r w:rsidR="00381F1B" w:rsidRPr="00E45A48">
              <w:rPr>
                <w:bCs/>
                <w:sz w:val="26"/>
                <w:szCs w:val="26"/>
              </w:rPr>
              <w:t xml:space="preserve"> </w:t>
            </w:r>
          </w:p>
          <w:p w14:paraId="4A61601A" w14:textId="77777777" w:rsidR="00381F1B" w:rsidRPr="003419EB" w:rsidRDefault="009C7FC3" w:rsidP="00AF4BFC">
            <w:pPr>
              <w:shd w:val="clear" w:color="auto" w:fill="FFFFFF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381F1B">
              <w:rPr>
                <w:bCs/>
                <w:sz w:val="26"/>
                <w:szCs w:val="26"/>
              </w:rPr>
              <w:t>taksācijas gadā piemērot</w:t>
            </w:r>
            <w:r w:rsidR="00AF4BFC">
              <w:rPr>
                <w:bCs/>
                <w:sz w:val="26"/>
                <w:szCs w:val="26"/>
              </w:rPr>
              <w:t>ais</w:t>
            </w:r>
            <w:r w:rsidR="00E45A48">
              <w:rPr>
                <w:bCs/>
                <w:sz w:val="26"/>
                <w:szCs w:val="26"/>
              </w:rPr>
              <w:t xml:space="preserve"> neapliekam</w:t>
            </w:r>
            <w:r w:rsidR="00AF4BFC">
              <w:rPr>
                <w:bCs/>
                <w:sz w:val="26"/>
                <w:szCs w:val="26"/>
              </w:rPr>
              <w:t>ais</w:t>
            </w:r>
            <w:r w:rsidR="00E45A48">
              <w:rPr>
                <w:bCs/>
                <w:sz w:val="26"/>
                <w:szCs w:val="26"/>
              </w:rPr>
              <w:t xml:space="preserve"> minimum</w:t>
            </w:r>
            <w:r w:rsidR="00AF4BFC">
              <w:rPr>
                <w:bCs/>
                <w:sz w:val="26"/>
                <w:szCs w:val="26"/>
              </w:rPr>
              <w:t>s</w:t>
            </w:r>
            <w:r w:rsidR="00E45A48">
              <w:rPr>
                <w:bCs/>
                <w:sz w:val="26"/>
                <w:szCs w:val="26"/>
              </w:rPr>
              <w:t xml:space="preserve"> būs jānorāda kā līdz šim, t.i., faktiski gada laikā piemērot</w:t>
            </w:r>
            <w:r w:rsidR="00AF4BFC">
              <w:rPr>
                <w:bCs/>
                <w:sz w:val="26"/>
                <w:szCs w:val="26"/>
              </w:rPr>
              <w:t>ā</w:t>
            </w:r>
            <w:r w:rsidRPr="00381F1B">
              <w:rPr>
                <w:bCs/>
                <w:sz w:val="26"/>
                <w:szCs w:val="26"/>
              </w:rPr>
              <w:t xml:space="preserve"> </w:t>
            </w:r>
            <w:r w:rsidR="00381F1B" w:rsidRPr="00381F1B">
              <w:rPr>
                <w:bCs/>
                <w:sz w:val="26"/>
                <w:szCs w:val="26"/>
              </w:rPr>
              <w:t>Valsts ieņēmumu dienesta prognozēt</w:t>
            </w:r>
            <w:r w:rsidR="00AF4BFC">
              <w:rPr>
                <w:bCs/>
                <w:sz w:val="26"/>
                <w:szCs w:val="26"/>
              </w:rPr>
              <w:t>ā</w:t>
            </w:r>
            <w:r w:rsidR="00381F1B" w:rsidRPr="00381F1B">
              <w:rPr>
                <w:bCs/>
                <w:sz w:val="26"/>
                <w:szCs w:val="26"/>
              </w:rPr>
              <w:t xml:space="preserve"> mēneša neapliekam</w:t>
            </w:r>
            <w:r w:rsidR="00AF4BFC">
              <w:rPr>
                <w:bCs/>
                <w:sz w:val="26"/>
                <w:szCs w:val="26"/>
              </w:rPr>
              <w:t>ā</w:t>
            </w:r>
            <w:r w:rsidR="00381F1B" w:rsidRPr="00381F1B">
              <w:rPr>
                <w:bCs/>
                <w:sz w:val="26"/>
                <w:szCs w:val="26"/>
              </w:rPr>
              <w:t xml:space="preserve"> minimum</w:t>
            </w:r>
            <w:r w:rsidR="00AF4BFC">
              <w:rPr>
                <w:bCs/>
                <w:sz w:val="26"/>
                <w:szCs w:val="26"/>
              </w:rPr>
              <w:t>a</w:t>
            </w:r>
            <w:r w:rsidR="00E45A48">
              <w:rPr>
                <w:bCs/>
                <w:sz w:val="26"/>
                <w:szCs w:val="26"/>
              </w:rPr>
              <w:t xml:space="preserve"> summ</w:t>
            </w:r>
            <w:r w:rsidR="00AF4BFC">
              <w:rPr>
                <w:bCs/>
                <w:sz w:val="26"/>
                <w:szCs w:val="26"/>
              </w:rPr>
              <w:t>a</w:t>
            </w:r>
            <w:r w:rsidR="00E45A48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5118C" w:rsidRPr="00E5118C" w14:paraId="29D10911" w14:textId="77777777" w:rsidTr="00102A21">
        <w:trPr>
          <w:trHeight w:val="523"/>
        </w:trPr>
        <w:tc>
          <w:tcPr>
            <w:tcW w:w="412" w:type="dxa"/>
          </w:tcPr>
          <w:p w14:paraId="556B95BE" w14:textId="77777777" w:rsidR="00D175E9" w:rsidRPr="004C290F" w:rsidRDefault="00D175E9" w:rsidP="003419EB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4C290F">
              <w:rPr>
                <w:sz w:val="26"/>
                <w:szCs w:val="26"/>
              </w:rPr>
              <w:t>3.</w:t>
            </w:r>
          </w:p>
        </w:tc>
        <w:tc>
          <w:tcPr>
            <w:tcW w:w="2795" w:type="dxa"/>
          </w:tcPr>
          <w:p w14:paraId="1B5C9030" w14:textId="77777777" w:rsidR="00D175E9" w:rsidRPr="004C290F" w:rsidRDefault="00D175E9" w:rsidP="003419EB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4C290F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6316" w:type="dxa"/>
          </w:tcPr>
          <w:p w14:paraId="49144612" w14:textId="77777777" w:rsidR="008C2091" w:rsidRPr="00291043" w:rsidRDefault="004C290F" w:rsidP="00291043">
            <w:pPr>
              <w:shd w:val="clear" w:color="auto" w:fill="FFFFFF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3419EB">
              <w:rPr>
                <w:sz w:val="26"/>
                <w:szCs w:val="26"/>
              </w:rPr>
              <w:t>Projekts šo jomu neskar</w:t>
            </w:r>
          </w:p>
        </w:tc>
      </w:tr>
      <w:tr w:rsidR="004C290F" w:rsidRPr="004C290F" w14:paraId="0072A337" w14:textId="77777777" w:rsidTr="00102A21">
        <w:trPr>
          <w:trHeight w:val="357"/>
        </w:trPr>
        <w:tc>
          <w:tcPr>
            <w:tcW w:w="412" w:type="dxa"/>
          </w:tcPr>
          <w:p w14:paraId="53559390" w14:textId="77777777" w:rsidR="00D175E9" w:rsidRPr="004C290F" w:rsidRDefault="00D175E9" w:rsidP="003419EB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4C290F">
              <w:rPr>
                <w:sz w:val="26"/>
                <w:szCs w:val="26"/>
              </w:rPr>
              <w:t>4.</w:t>
            </w:r>
          </w:p>
        </w:tc>
        <w:tc>
          <w:tcPr>
            <w:tcW w:w="2795" w:type="dxa"/>
          </w:tcPr>
          <w:p w14:paraId="150AD29B" w14:textId="77777777" w:rsidR="00D175E9" w:rsidRPr="004C290F" w:rsidRDefault="00D175E9" w:rsidP="003419EB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4C290F">
              <w:rPr>
                <w:sz w:val="26"/>
                <w:szCs w:val="26"/>
              </w:rPr>
              <w:t>Cita informācija</w:t>
            </w:r>
          </w:p>
        </w:tc>
        <w:tc>
          <w:tcPr>
            <w:tcW w:w="6316" w:type="dxa"/>
          </w:tcPr>
          <w:p w14:paraId="5B3E4F3C" w14:textId="77777777" w:rsidR="00D175E9" w:rsidRPr="00291043" w:rsidRDefault="00D175E9" w:rsidP="00CE5203">
            <w:pPr>
              <w:shd w:val="clear" w:color="auto" w:fill="FFFFFF"/>
              <w:ind w:left="57" w:right="57"/>
              <w:rPr>
                <w:sz w:val="26"/>
                <w:szCs w:val="26"/>
              </w:rPr>
            </w:pPr>
            <w:r w:rsidRPr="00291043">
              <w:rPr>
                <w:sz w:val="26"/>
                <w:szCs w:val="26"/>
              </w:rPr>
              <w:t>Nav</w:t>
            </w:r>
          </w:p>
        </w:tc>
      </w:tr>
    </w:tbl>
    <w:p w14:paraId="48EC3678" w14:textId="77777777" w:rsidR="00323ADE" w:rsidRPr="003419EB" w:rsidRDefault="00323ADE">
      <w:pPr>
        <w:rPr>
          <w:color w:val="C00000"/>
          <w:sz w:val="16"/>
          <w:szCs w:val="16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241"/>
        <w:gridCol w:w="1469"/>
        <w:gridCol w:w="1307"/>
        <w:gridCol w:w="1307"/>
        <w:gridCol w:w="1307"/>
      </w:tblGrid>
      <w:tr w:rsidR="00060439" w:rsidRPr="00060439" w14:paraId="76D916C1" w14:textId="77777777" w:rsidTr="0089091C">
        <w:trPr>
          <w:trHeight w:val="361"/>
          <w:jc w:val="center"/>
        </w:trPr>
        <w:tc>
          <w:tcPr>
            <w:tcW w:w="9513" w:type="dxa"/>
            <w:gridSpan w:val="6"/>
            <w:vAlign w:val="center"/>
          </w:tcPr>
          <w:p w14:paraId="28F269FF" w14:textId="77777777" w:rsidR="00D175E9" w:rsidRPr="00060439" w:rsidRDefault="00D175E9" w:rsidP="0089091C">
            <w:pPr>
              <w:pStyle w:val="naisnod"/>
              <w:spacing w:before="0" w:after="0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br w:type="page"/>
              <w:t>III. Tiesību akta projekta ietekme uz valsts budžetu un pašvaldību budžetiem</w:t>
            </w:r>
          </w:p>
        </w:tc>
      </w:tr>
      <w:tr w:rsidR="00060439" w:rsidRPr="00060439" w14:paraId="4AD42B83" w14:textId="77777777" w:rsidTr="0089091C">
        <w:trPr>
          <w:jc w:val="center"/>
        </w:trPr>
        <w:tc>
          <w:tcPr>
            <w:tcW w:w="3199" w:type="dxa"/>
            <w:vMerge w:val="restart"/>
            <w:vAlign w:val="center"/>
          </w:tcPr>
          <w:p w14:paraId="014AD005" w14:textId="77777777" w:rsidR="00D175E9" w:rsidRPr="00060439" w:rsidRDefault="00D175E9" w:rsidP="0089091C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060439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2819" w:type="dxa"/>
            <w:gridSpan w:val="2"/>
            <w:vMerge w:val="restart"/>
            <w:vAlign w:val="center"/>
          </w:tcPr>
          <w:p w14:paraId="2E1B047E" w14:textId="77777777" w:rsidR="00D175E9" w:rsidRPr="00060439" w:rsidRDefault="00772AF4" w:rsidP="00CF639D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3495" w:type="dxa"/>
            <w:gridSpan w:val="3"/>
            <w:vAlign w:val="center"/>
          </w:tcPr>
          <w:p w14:paraId="5D8823D9" w14:textId="77777777" w:rsidR="00D175E9" w:rsidRPr="00060439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Turpmākie trīs gadi (</w:t>
            </w:r>
            <w:proofErr w:type="spellStart"/>
            <w:r w:rsidRPr="00060439">
              <w:rPr>
                <w:i/>
                <w:sz w:val="26"/>
                <w:szCs w:val="26"/>
              </w:rPr>
              <w:t>euro</w:t>
            </w:r>
            <w:proofErr w:type="spellEnd"/>
            <w:r w:rsidRPr="00060439">
              <w:rPr>
                <w:sz w:val="26"/>
                <w:szCs w:val="26"/>
              </w:rPr>
              <w:t>)</w:t>
            </w:r>
          </w:p>
        </w:tc>
      </w:tr>
      <w:tr w:rsidR="00060439" w:rsidRPr="00060439" w14:paraId="68D4D485" w14:textId="77777777" w:rsidTr="0089091C">
        <w:trPr>
          <w:jc w:val="center"/>
        </w:trPr>
        <w:tc>
          <w:tcPr>
            <w:tcW w:w="3199" w:type="dxa"/>
            <w:vMerge/>
            <w:vAlign w:val="center"/>
          </w:tcPr>
          <w:p w14:paraId="4896237F" w14:textId="77777777" w:rsidR="00D175E9" w:rsidRPr="00060439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9" w:type="dxa"/>
            <w:gridSpan w:val="2"/>
            <w:vMerge/>
            <w:vAlign w:val="center"/>
          </w:tcPr>
          <w:p w14:paraId="42DC8FFC" w14:textId="77777777" w:rsidR="00D175E9" w:rsidRPr="00060439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14:paraId="228C9003" w14:textId="77777777" w:rsidR="00D175E9" w:rsidRPr="00060439" w:rsidRDefault="00772AF4" w:rsidP="00CF639D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195" w:type="dxa"/>
            <w:vAlign w:val="center"/>
          </w:tcPr>
          <w:p w14:paraId="057D984A" w14:textId="77777777" w:rsidR="00D175E9" w:rsidRPr="00060439" w:rsidRDefault="00772AF4" w:rsidP="00CF639D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150" w:type="dxa"/>
            <w:vAlign w:val="center"/>
          </w:tcPr>
          <w:p w14:paraId="3E47F027" w14:textId="77777777" w:rsidR="00D175E9" w:rsidRPr="00060439" w:rsidRDefault="00772AF4" w:rsidP="00CF639D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060439" w:rsidRPr="00060439" w14:paraId="311FBF7D" w14:textId="77777777" w:rsidTr="0089091C">
        <w:trPr>
          <w:jc w:val="center"/>
        </w:trPr>
        <w:tc>
          <w:tcPr>
            <w:tcW w:w="3199" w:type="dxa"/>
            <w:vMerge/>
            <w:vAlign w:val="center"/>
          </w:tcPr>
          <w:p w14:paraId="47E9CFAD" w14:textId="77777777" w:rsidR="00D175E9" w:rsidRPr="00060439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FD1061F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543" w:type="dxa"/>
            <w:vAlign w:val="center"/>
          </w:tcPr>
          <w:p w14:paraId="40E4D124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1150" w:type="dxa"/>
            <w:vAlign w:val="center"/>
          </w:tcPr>
          <w:p w14:paraId="253831EA" w14:textId="77777777" w:rsidR="00D175E9" w:rsidRPr="00060439" w:rsidRDefault="00D175E9" w:rsidP="000B26A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 xml:space="preserve">izmaiņas, salīdzinot ar kārtējo </w:t>
            </w:r>
            <w:r w:rsidR="00C77320">
              <w:rPr>
                <w:sz w:val="26"/>
                <w:szCs w:val="26"/>
              </w:rPr>
              <w:t>2017</w:t>
            </w:r>
            <w:r w:rsidR="000B26AC">
              <w:rPr>
                <w:sz w:val="26"/>
                <w:szCs w:val="26"/>
              </w:rPr>
              <w:t>.</w:t>
            </w:r>
            <w:r w:rsidRPr="00060439">
              <w:rPr>
                <w:sz w:val="26"/>
                <w:szCs w:val="26"/>
              </w:rPr>
              <w:t>gadu</w:t>
            </w:r>
          </w:p>
        </w:tc>
        <w:tc>
          <w:tcPr>
            <w:tcW w:w="1195" w:type="dxa"/>
            <w:vAlign w:val="center"/>
          </w:tcPr>
          <w:p w14:paraId="77DF9DB2" w14:textId="77777777" w:rsidR="00D175E9" w:rsidRPr="00060439" w:rsidRDefault="00D175E9" w:rsidP="000B26A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 xml:space="preserve">izmaiņas, salīdzinot ar kārtējo </w:t>
            </w:r>
            <w:r w:rsidR="00C77320">
              <w:rPr>
                <w:sz w:val="26"/>
                <w:szCs w:val="26"/>
              </w:rPr>
              <w:t>2017</w:t>
            </w:r>
            <w:r w:rsidR="000B26AC">
              <w:rPr>
                <w:sz w:val="26"/>
                <w:szCs w:val="26"/>
              </w:rPr>
              <w:t>.</w:t>
            </w:r>
            <w:r w:rsidRPr="00060439">
              <w:rPr>
                <w:sz w:val="26"/>
                <w:szCs w:val="26"/>
              </w:rPr>
              <w:t>gadu</w:t>
            </w:r>
          </w:p>
        </w:tc>
        <w:tc>
          <w:tcPr>
            <w:tcW w:w="1150" w:type="dxa"/>
            <w:vAlign w:val="center"/>
          </w:tcPr>
          <w:p w14:paraId="58B19EA3" w14:textId="77777777" w:rsidR="00D175E9" w:rsidRPr="00060439" w:rsidRDefault="00D175E9" w:rsidP="000B26A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 xml:space="preserve">izmaiņas, salīdzinot ar kārtējo </w:t>
            </w:r>
            <w:r w:rsidR="00C77320">
              <w:rPr>
                <w:sz w:val="26"/>
                <w:szCs w:val="26"/>
              </w:rPr>
              <w:t>2017</w:t>
            </w:r>
            <w:r w:rsidR="000B26AC">
              <w:rPr>
                <w:sz w:val="26"/>
                <w:szCs w:val="26"/>
              </w:rPr>
              <w:t>.</w:t>
            </w:r>
            <w:r w:rsidRPr="00060439">
              <w:rPr>
                <w:sz w:val="26"/>
                <w:szCs w:val="26"/>
              </w:rPr>
              <w:t>gadu</w:t>
            </w:r>
          </w:p>
        </w:tc>
      </w:tr>
      <w:tr w:rsidR="00060439" w:rsidRPr="00060439" w14:paraId="0FB8A8DB" w14:textId="77777777" w:rsidTr="0089091C">
        <w:trPr>
          <w:jc w:val="center"/>
        </w:trPr>
        <w:tc>
          <w:tcPr>
            <w:tcW w:w="3199" w:type="dxa"/>
            <w:vAlign w:val="center"/>
          </w:tcPr>
          <w:p w14:paraId="2A01E3F2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043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14:paraId="259283F9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043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43" w:type="dxa"/>
            <w:vAlign w:val="center"/>
          </w:tcPr>
          <w:p w14:paraId="00DD9EC2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043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50" w:type="dxa"/>
            <w:vAlign w:val="center"/>
          </w:tcPr>
          <w:p w14:paraId="51202DE6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043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14:paraId="5A8DBDF3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043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50" w:type="dxa"/>
            <w:vAlign w:val="center"/>
          </w:tcPr>
          <w:p w14:paraId="0ABD0014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60439">
              <w:rPr>
                <w:bCs/>
                <w:sz w:val="26"/>
                <w:szCs w:val="26"/>
              </w:rPr>
              <w:t>6</w:t>
            </w:r>
          </w:p>
        </w:tc>
      </w:tr>
      <w:tr w:rsidR="00060439" w:rsidRPr="00060439" w14:paraId="2A70B92F" w14:textId="77777777" w:rsidTr="0089091C">
        <w:trPr>
          <w:jc w:val="center"/>
        </w:trPr>
        <w:tc>
          <w:tcPr>
            <w:tcW w:w="3199" w:type="dxa"/>
          </w:tcPr>
          <w:p w14:paraId="3A3285C4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1. Budžeta ieņēmumi:</w:t>
            </w:r>
          </w:p>
        </w:tc>
        <w:tc>
          <w:tcPr>
            <w:tcW w:w="1276" w:type="dxa"/>
          </w:tcPr>
          <w:p w14:paraId="3F42907D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77ADCE8B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61D9A11B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75067753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141CA849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0B88DCCB" w14:textId="77777777" w:rsidTr="0089091C">
        <w:trPr>
          <w:jc w:val="center"/>
        </w:trPr>
        <w:tc>
          <w:tcPr>
            <w:tcW w:w="3199" w:type="dxa"/>
          </w:tcPr>
          <w:p w14:paraId="417D108C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1.1. valsts pamatbudžets, tai skaitā ieņēmumi no maksas pakalpojumiem un citi pašu ieņēmumi</w:t>
            </w:r>
          </w:p>
        </w:tc>
        <w:tc>
          <w:tcPr>
            <w:tcW w:w="1276" w:type="dxa"/>
          </w:tcPr>
          <w:p w14:paraId="75F0A7D8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2C63F345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117863D4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529A739D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0A521F56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60DF6337" w14:textId="77777777" w:rsidTr="0089091C">
        <w:trPr>
          <w:jc w:val="center"/>
        </w:trPr>
        <w:tc>
          <w:tcPr>
            <w:tcW w:w="3199" w:type="dxa"/>
          </w:tcPr>
          <w:p w14:paraId="1C8B1437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1.2. valsts speciālais budžets</w:t>
            </w:r>
          </w:p>
        </w:tc>
        <w:tc>
          <w:tcPr>
            <w:tcW w:w="1276" w:type="dxa"/>
          </w:tcPr>
          <w:p w14:paraId="1E934BDD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13D21483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7D69940B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56615B83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7000919F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5D40B956" w14:textId="77777777" w:rsidTr="0089091C">
        <w:trPr>
          <w:jc w:val="center"/>
        </w:trPr>
        <w:tc>
          <w:tcPr>
            <w:tcW w:w="3199" w:type="dxa"/>
          </w:tcPr>
          <w:p w14:paraId="74EE28E4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1276" w:type="dxa"/>
          </w:tcPr>
          <w:p w14:paraId="6FA3B2F4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76152BDB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25405C15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31195E48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3542C307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08627A9A" w14:textId="77777777" w:rsidTr="0089091C">
        <w:trPr>
          <w:jc w:val="center"/>
        </w:trPr>
        <w:tc>
          <w:tcPr>
            <w:tcW w:w="3199" w:type="dxa"/>
          </w:tcPr>
          <w:p w14:paraId="1712F143" w14:textId="77777777" w:rsidR="00D175E9" w:rsidRPr="00060439" w:rsidRDefault="00D175E9" w:rsidP="001942D4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2. Budžeta izdevumi:</w:t>
            </w:r>
          </w:p>
        </w:tc>
        <w:tc>
          <w:tcPr>
            <w:tcW w:w="1276" w:type="dxa"/>
          </w:tcPr>
          <w:p w14:paraId="4CBE42B9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3A129391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75B3EBC7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126923C9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668E9E79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0574BCB1" w14:textId="77777777" w:rsidTr="0089091C">
        <w:trPr>
          <w:jc w:val="center"/>
        </w:trPr>
        <w:tc>
          <w:tcPr>
            <w:tcW w:w="3199" w:type="dxa"/>
          </w:tcPr>
          <w:p w14:paraId="450615F9" w14:textId="77777777" w:rsidR="00D175E9" w:rsidRPr="00060439" w:rsidRDefault="00D175E9" w:rsidP="001942D4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276" w:type="dxa"/>
          </w:tcPr>
          <w:p w14:paraId="1585DBDC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4B5037B3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5F75B161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4122D0E5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6FB4C84A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7D9AC6D2" w14:textId="77777777" w:rsidTr="0089091C">
        <w:trPr>
          <w:jc w:val="center"/>
        </w:trPr>
        <w:tc>
          <w:tcPr>
            <w:tcW w:w="3199" w:type="dxa"/>
          </w:tcPr>
          <w:p w14:paraId="6A7784E0" w14:textId="77777777" w:rsidR="00D175E9" w:rsidRPr="00060439" w:rsidRDefault="00D175E9" w:rsidP="001942D4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276" w:type="dxa"/>
          </w:tcPr>
          <w:p w14:paraId="06317685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329C8A6F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3A778E0E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17917EBD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43B7CF5C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65A547BE" w14:textId="77777777" w:rsidTr="0089091C">
        <w:trPr>
          <w:jc w:val="center"/>
        </w:trPr>
        <w:tc>
          <w:tcPr>
            <w:tcW w:w="3199" w:type="dxa"/>
          </w:tcPr>
          <w:p w14:paraId="35CA74A7" w14:textId="77777777" w:rsidR="00D175E9" w:rsidRPr="00060439" w:rsidRDefault="00D175E9" w:rsidP="001942D4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lastRenderedPageBreak/>
              <w:t xml:space="preserve">2.3. pašvaldību budžets </w:t>
            </w:r>
          </w:p>
        </w:tc>
        <w:tc>
          <w:tcPr>
            <w:tcW w:w="1276" w:type="dxa"/>
          </w:tcPr>
          <w:p w14:paraId="32EA0901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57683923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5464E262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3D4DAE4E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6824C4F8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25B8DF92" w14:textId="77777777" w:rsidTr="00F53350">
        <w:trPr>
          <w:jc w:val="center"/>
        </w:trPr>
        <w:tc>
          <w:tcPr>
            <w:tcW w:w="3199" w:type="dxa"/>
          </w:tcPr>
          <w:p w14:paraId="10BE2236" w14:textId="77777777" w:rsidR="00CE5203" w:rsidRPr="00060439" w:rsidRDefault="00CE5203" w:rsidP="001942D4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1276" w:type="dxa"/>
            <w:shd w:val="clear" w:color="auto" w:fill="auto"/>
          </w:tcPr>
          <w:p w14:paraId="69333174" w14:textId="77777777" w:rsidR="00CE5203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6BFD260D" w14:textId="77777777" w:rsidR="00CE5203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69A9A4AD" w14:textId="77777777" w:rsidR="00CE5203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2C1F66AD" w14:textId="77777777" w:rsidR="00CE5203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4BB2CEEB" w14:textId="77777777" w:rsidR="00CE5203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5A35E8AD" w14:textId="77777777" w:rsidTr="0089091C">
        <w:trPr>
          <w:jc w:val="center"/>
        </w:trPr>
        <w:tc>
          <w:tcPr>
            <w:tcW w:w="3199" w:type="dxa"/>
          </w:tcPr>
          <w:p w14:paraId="4065A17B" w14:textId="77777777" w:rsidR="00D175E9" w:rsidRPr="00060439" w:rsidRDefault="00D175E9" w:rsidP="001942D4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1276" w:type="dxa"/>
            <w:shd w:val="clear" w:color="auto" w:fill="auto"/>
          </w:tcPr>
          <w:p w14:paraId="15F0C36D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5085FAF9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3EF9FC26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174B018B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3386ECC4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51AD8833" w14:textId="77777777" w:rsidTr="0089091C">
        <w:trPr>
          <w:jc w:val="center"/>
        </w:trPr>
        <w:tc>
          <w:tcPr>
            <w:tcW w:w="3199" w:type="dxa"/>
          </w:tcPr>
          <w:p w14:paraId="612C2E01" w14:textId="77777777" w:rsidR="00D175E9" w:rsidRPr="00060439" w:rsidRDefault="00D175E9" w:rsidP="0089091C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1276" w:type="dxa"/>
            <w:shd w:val="clear" w:color="auto" w:fill="auto"/>
          </w:tcPr>
          <w:p w14:paraId="76EDD18C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1C8CEB5C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652DF9DE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2FD7A47F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7ECE76B9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1EF8E0A2" w14:textId="77777777" w:rsidTr="0089091C">
        <w:trPr>
          <w:jc w:val="center"/>
        </w:trPr>
        <w:tc>
          <w:tcPr>
            <w:tcW w:w="3199" w:type="dxa"/>
          </w:tcPr>
          <w:p w14:paraId="094EE313" w14:textId="77777777" w:rsidR="00D175E9" w:rsidRPr="00060439" w:rsidRDefault="00D175E9" w:rsidP="0089091C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276" w:type="dxa"/>
            <w:shd w:val="clear" w:color="auto" w:fill="auto"/>
          </w:tcPr>
          <w:p w14:paraId="3269FB83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14:paraId="26E29F7E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5F0D6283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1F892F35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6CE4C224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7BFD7303" w14:textId="77777777" w:rsidTr="0089091C">
        <w:trPr>
          <w:jc w:val="center"/>
        </w:trPr>
        <w:tc>
          <w:tcPr>
            <w:tcW w:w="3199" w:type="dxa"/>
            <w:vMerge w:val="restart"/>
          </w:tcPr>
          <w:p w14:paraId="4CCE5C93" w14:textId="77777777" w:rsidR="00D175E9" w:rsidRPr="00060439" w:rsidRDefault="00D175E9" w:rsidP="0089091C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76" w:type="dxa"/>
            <w:vMerge w:val="restart"/>
          </w:tcPr>
          <w:p w14:paraId="23C2564F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X</w:t>
            </w:r>
          </w:p>
        </w:tc>
        <w:tc>
          <w:tcPr>
            <w:tcW w:w="1543" w:type="dxa"/>
          </w:tcPr>
          <w:p w14:paraId="7175E58B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52F40553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767D167E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37D4DBB5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060D45D6" w14:textId="77777777" w:rsidTr="0089091C">
        <w:trPr>
          <w:jc w:val="center"/>
        </w:trPr>
        <w:tc>
          <w:tcPr>
            <w:tcW w:w="3199" w:type="dxa"/>
            <w:vMerge/>
          </w:tcPr>
          <w:p w14:paraId="45322623" w14:textId="77777777" w:rsidR="00D175E9" w:rsidRPr="00060439" w:rsidRDefault="00D175E9" w:rsidP="0089091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FEDE3DC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</w:tcPr>
          <w:p w14:paraId="544B2BEA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</w:tcPr>
          <w:p w14:paraId="62E0844D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95" w:type="dxa"/>
          </w:tcPr>
          <w:p w14:paraId="5A406513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</w:tcPr>
          <w:p w14:paraId="73726157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0439" w:rsidRPr="00060439" w14:paraId="26BE95B2" w14:textId="77777777" w:rsidTr="0089091C">
        <w:trPr>
          <w:jc w:val="center"/>
        </w:trPr>
        <w:tc>
          <w:tcPr>
            <w:tcW w:w="3199" w:type="dxa"/>
            <w:vMerge/>
          </w:tcPr>
          <w:p w14:paraId="463CE6B4" w14:textId="77777777" w:rsidR="00D175E9" w:rsidRPr="00060439" w:rsidRDefault="00D175E9" w:rsidP="0089091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96B5791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</w:tcPr>
          <w:p w14:paraId="160B16CB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</w:tcPr>
          <w:p w14:paraId="4276174D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95" w:type="dxa"/>
          </w:tcPr>
          <w:p w14:paraId="4768CF98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</w:tcPr>
          <w:p w14:paraId="1AF0E645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0439" w:rsidRPr="00060439" w14:paraId="4372C219" w14:textId="77777777" w:rsidTr="0089091C">
        <w:trPr>
          <w:jc w:val="center"/>
        </w:trPr>
        <w:tc>
          <w:tcPr>
            <w:tcW w:w="3199" w:type="dxa"/>
          </w:tcPr>
          <w:p w14:paraId="7881A314" w14:textId="77777777" w:rsidR="00D175E9" w:rsidRPr="00060439" w:rsidRDefault="00D175E9" w:rsidP="0089091C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1276" w:type="dxa"/>
            <w:vMerge w:val="restart"/>
          </w:tcPr>
          <w:p w14:paraId="205A392B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X</w:t>
            </w:r>
          </w:p>
        </w:tc>
        <w:tc>
          <w:tcPr>
            <w:tcW w:w="1543" w:type="dxa"/>
          </w:tcPr>
          <w:p w14:paraId="404FE6AF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5451AD07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5C67BD22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12CFA828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475D0144" w14:textId="77777777" w:rsidTr="0089091C">
        <w:trPr>
          <w:jc w:val="center"/>
        </w:trPr>
        <w:tc>
          <w:tcPr>
            <w:tcW w:w="3199" w:type="dxa"/>
          </w:tcPr>
          <w:p w14:paraId="248D226F" w14:textId="77777777" w:rsidR="00D175E9" w:rsidRPr="00060439" w:rsidRDefault="00D175E9" w:rsidP="0089091C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1276" w:type="dxa"/>
            <w:vMerge/>
            <w:vAlign w:val="center"/>
          </w:tcPr>
          <w:p w14:paraId="556EBEA3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</w:tcPr>
          <w:p w14:paraId="1494438A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16EFD42F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09ABDAC1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20F3E320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4BA20915" w14:textId="77777777" w:rsidTr="0089091C">
        <w:trPr>
          <w:jc w:val="center"/>
        </w:trPr>
        <w:tc>
          <w:tcPr>
            <w:tcW w:w="3199" w:type="dxa"/>
          </w:tcPr>
          <w:p w14:paraId="560661D9" w14:textId="77777777" w:rsidR="00D175E9" w:rsidRPr="00060439" w:rsidRDefault="00D175E9" w:rsidP="0089091C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1276" w:type="dxa"/>
            <w:vMerge/>
            <w:vAlign w:val="center"/>
          </w:tcPr>
          <w:p w14:paraId="4DE49AFF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</w:tcPr>
          <w:p w14:paraId="561B0852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661B09E7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14:paraId="3657D423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14:paraId="627207CC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62BFE3BB" w14:textId="77777777" w:rsidTr="00CE5203">
        <w:trPr>
          <w:jc w:val="center"/>
        </w:trPr>
        <w:tc>
          <w:tcPr>
            <w:tcW w:w="3199" w:type="dxa"/>
          </w:tcPr>
          <w:p w14:paraId="22433AA8" w14:textId="77777777" w:rsidR="00D175E9" w:rsidRPr="00060439" w:rsidRDefault="00D175E9" w:rsidP="0089091C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82DF236" w14:textId="77777777" w:rsidR="00D175E9" w:rsidRPr="00060439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5B1B76A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6DD64761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507D4754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1263B5A" w14:textId="77777777" w:rsidR="00D175E9" w:rsidRPr="00060439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0</w:t>
            </w:r>
          </w:p>
        </w:tc>
      </w:tr>
      <w:tr w:rsidR="00060439" w:rsidRPr="00060439" w14:paraId="5FD934EC" w14:textId="77777777" w:rsidTr="00F53350">
        <w:trPr>
          <w:jc w:val="center"/>
        </w:trPr>
        <w:tc>
          <w:tcPr>
            <w:tcW w:w="3199" w:type="dxa"/>
          </w:tcPr>
          <w:p w14:paraId="76905678" w14:textId="77777777" w:rsidR="00CE5203" w:rsidRPr="00060439" w:rsidRDefault="00CE5203" w:rsidP="00E52D24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6.</w:t>
            </w:r>
            <w:r w:rsidR="00E52D24" w:rsidRPr="00060439">
              <w:rPr>
                <w:sz w:val="26"/>
                <w:szCs w:val="26"/>
              </w:rPr>
              <w:t xml:space="preserve"> </w:t>
            </w:r>
            <w:r w:rsidRPr="00060439">
              <w:rPr>
                <w:sz w:val="26"/>
                <w:szCs w:val="26"/>
              </w:rPr>
              <w:t>Detalizēts ieņēmumu un izdevumu aprēķins (ja nepieciešams, detalizētu ieņēmumu un izdevumu aprēķinu var pievienot anotācijas pielikumā):</w:t>
            </w:r>
          </w:p>
        </w:tc>
        <w:tc>
          <w:tcPr>
            <w:tcW w:w="6314" w:type="dxa"/>
            <w:gridSpan w:val="5"/>
            <w:vAlign w:val="center"/>
          </w:tcPr>
          <w:p w14:paraId="1A523C1F" w14:textId="77777777" w:rsidR="00CE5203" w:rsidRPr="00060439" w:rsidRDefault="00267970" w:rsidP="00267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</w:t>
            </w:r>
          </w:p>
        </w:tc>
      </w:tr>
      <w:tr w:rsidR="00060439" w:rsidRPr="00060439" w14:paraId="46494717" w14:textId="77777777" w:rsidTr="00F53350">
        <w:trPr>
          <w:jc w:val="center"/>
        </w:trPr>
        <w:tc>
          <w:tcPr>
            <w:tcW w:w="3199" w:type="dxa"/>
          </w:tcPr>
          <w:p w14:paraId="2AD01C66" w14:textId="77777777" w:rsidR="00CE5203" w:rsidRPr="00060439" w:rsidRDefault="00CE5203" w:rsidP="00E52D24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6.1.</w:t>
            </w:r>
            <w:r w:rsidR="00E52D24" w:rsidRPr="00060439">
              <w:rPr>
                <w:sz w:val="26"/>
                <w:szCs w:val="26"/>
              </w:rPr>
              <w:t xml:space="preserve"> </w:t>
            </w:r>
            <w:r w:rsidRPr="00060439">
              <w:rPr>
                <w:sz w:val="26"/>
                <w:szCs w:val="26"/>
              </w:rPr>
              <w:t>detalizēts ieņēmumu aprēķins</w:t>
            </w:r>
          </w:p>
        </w:tc>
        <w:tc>
          <w:tcPr>
            <w:tcW w:w="6314" w:type="dxa"/>
            <w:gridSpan w:val="5"/>
          </w:tcPr>
          <w:p w14:paraId="0CDE46A8" w14:textId="77777777" w:rsidR="00CE5203" w:rsidRPr="00267970" w:rsidRDefault="00CE5203" w:rsidP="00267970">
            <w:pPr>
              <w:rPr>
                <w:sz w:val="26"/>
                <w:szCs w:val="26"/>
              </w:rPr>
            </w:pPr>
          </w:p>
        </w:tc>
      </w:tr>
      <w:tr w:rsidR="00060439" w:rsidRPr="00060439" w14:paraId="01945012" w14:textId="77777777" w:rsidTr="00CE5203">
        <w:trPr>
          <w:jc w:val="center"/>
        </w:trPr>
        <w:tc>
          <w:tcPr>
            <w:tcW w:w="3199" w:type="dxa"/>
          </w:tcPr>
          <w:p w14:paraId="04390FB5" w14:textId="77777777" w:rsidR="00696E84" w:rsidRPr="00060439" w:rsidRDefault="00696E84" w:rsidP="0089091C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1C1C37C5" w14:textId="77777777" w:rsidR="00696E84" w:rsidRPr="00060439" w:rsidRDefault="00696E84" w:rsidP="00970357">
            <w:pPr>
              <w:rPr>
                <w:sz w:val="26"/>
                <w:szCs w:val="26"/>
              </w:rPr>
            </w:pPr>
          </w:p>
        </w:tc>
      </w:tr>
      <w:tr w:rsidR="00060439" w:rsidRPr="00060439" w14:paraId="4AD718D5" w14:textId="77777777" w:rsidTr="00CE5203">
        <w:trPr>
          <w:trHeight w:val="556"/>
          <w:jc w:val="center"/>
        </w:trPr>
        <w:tc>
          <w:tcPr>
            <w:tcW w:w="3199" w:type="dxa"/>
          </w:tcPr>
          <w:p w14:paraId="31D06B4D" w14:textId="77777777" w:rsidR="00696E84" w:rsidRPr="00060439" w:rsidRDefault="00696E84" w:rsidP="0089091C">
            <w:pPr>
              <w:rPr>
                <w:sz w:val="26"/>
                <w:szCs w:val="26"/>
              </w:rPr>
            </w:pPr>
            <w:r w:rsidRPr="00060439">
              <w:rPr>
                <w:sz w:val="26"/>
                <w:szCs w:val="26"/>
              </w:rPr>
              <w:t>7. Cita informācija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</w:tcBorders>
          </w:tcPr>
          <w:p w14:paraId="23B13B9F" w14:textId="77777777" w:rsidR="007F6F0D" w:rsidRPr="007F6F0D" w:rsidRDefault="007F6F0D" w:rsidP="007F6F0D">
            <w:pPr>
              <w:pStyle w:val="naisf"/>
              <w:tabs>
                <w:tab w:val="left" w:pos="4644"/>
              </w:tabs>
              <w:ind w:firstLine="0"/>
              <w:rPr>
                <w:sz w:val="26"/>
                <w:szCs w:val="26"/>
              </w:rPr>
            </w:pPr>
            <w:r w:rsidRPr="007F6F0D">
              <w:rPr>
                <w:sz w:val="26"/>
                <w:szCs w:val="26"/>
              </w:rPr>
              <w:t xml:space="preserve">Noteikumu projekta </w:t>
            </w:r>
            <w:r w:rsidR="00AF4BFC">
              <w:rPr>
                <w:sz w:val="26"/>
                <w:szCs w:val="26"/>
              </w:rPr>
              <w:t>īstenošanai</w:t>
            </w:r>
            <w:r w:rsidRPr="007F6F0D">
              <w:rPr>
                <w:sz w:val="26"/>
                <w:szCs w:val="26"/>
              </w:rPr>
              <w:t xml:space="preserve"> V</w:t>
            </w:r>
            <w:r w:rsidR="00AF4BFC">
              <w:rPr>
                <w:sz w:val="26"/>
                <w:szCs w:val="26"/>
              </w:rPr>
              <w:t>alsts ieņēmumu dienesta</w:t>
            </w:r>
            <w:r w:rsidRPr="007F6F0D">
              <w:rPr>
                <w:sz w:val="26"/>
                <w:szCs w:val="26"/>
              </w:rPr>
              <w:t xml:space="preserve"> </w:t>
            </w:r>
            <w:r w:rsidR="00AF4BFC">
              <w:rPr>
                <w:sz w:val="26"/>
                <w:szCs w:val="26"/>
              </w:rPr>
              <w:t>i</w:t>
            </w:r>
            <w:r w:rsidRPr="007F6F0D">
              <w:rPr>
                <w:sz w:val="26"/>
                <w:szCs w:val="26"/>
              </w:rPr>
              <w:t>nformācijas sistēmās nepieciešams finansējums 6351</w:t>
            </w:r>
            <w:r w:rsidR="00AF4BFC">
              <w:rPr>
                <w:sz w:val="26"/>
                <w:szCs w:val="26"/>
              </w:rPr>
              <w:t> </w:t>
            </w:r>
            <w:proofErr w:type="spellStart"/>
            <w:r w:rsidRPr="006C55F6">
              <w:rPr>
                <w:i/>
                <w:sz w:val="26"/>
                <w:szCs w:val="26"/>
              </w:rPr>
              <w:t>euro</w:t>
            </w:r>
            <w:proofErr w:type="spellEnd"/>
            <w:r w:rsidRPr="007F6F0D">
              <w:rPr>
                <w:sz w:val="26"/>
                <w:szCs w:val="26"/>
              </w:rPr>
              <w:t xml:space="preserve"> apmērā, tajā skaitā izmaiņām Nodokļu informācijas sistēmā (izmaiņas paziņojuma rindiņu vērtības korektuma pazīmes noteikšanā)</w:t>
            </w:r>
            <w:r w:rsidR="00AF4BFC">
              <w:rPr>
                <w:sz w:val="26"/>
                <w:szCs w:val="26"/>
              </w:rPr>
              <w:t> </w:t>
            </w:r>
            <w:r w:rsidRPr="007F6F0D">
              <w:rPr>
                <w:sz w:val="26"/>
                <w:szCs w:val="26"/>
              </w:rPr>
              <w:t>– 2615</w:t>
            </w:r>
            <w:r w:rsidR="00AF4BFC">
              <w:rPr>
                <w:sz w:val="26"/>
                <w:szCs w:val="26"/>
              </w:rPr>
              <w:t> </w:t>
            </w:r>
            <w:proofErr w:type="spellStart"/>
            <w:r w:rsidRPr="006C55F6">
              <w:rPr>
                <w:i/>
                <w:sz w:val="26"/>
                <w:szCs w:val="26"/>
              </w:rPr>
              <w:t>euro</w:t>
            </w:r>
            <w:proofErr w:type="spellEnd"/>
            <w:r w:rsidRPr="007F6F0D">
              <w:rPr>
                <w:sz w:val="26"/>
                <w:szCs w:val="26"/>
              </w:rPr>
              <w:t>, Elektroniskās deklarēšanas sistēmā (jaunas kontroles un brīdinājumi vai aizliegumi iesniegt paziņojumu)</w:t>
            </w:r>
            <w:r w:rsidR="00AF4BFC">
              <w:rPr>
                <w:sz w:val="26"/>
                <w:szCs w:val="26"/>
              </w:rPr>
              <w:t> </w:t>
            </w:r>
            <w:r w:rsidRPr="007F6F0D">
              <w:rPr>
                <w:sz w:val="26"/>
                <w:szCs w:val="26"/>
              </w:rPr>
              <w:t>– 3736</w:t>
            </w:r>
            <w:r w:rsidR="00AF4BFC">
              <w:rPr>
                <w:sz w:val="26"/>
                <w:szCs w:val="26"/>
              </w:rPr>
              <w:t> </w:t>
            </w:r>
            <w:proofErr w:type="spellStart"/>
            <w:r w:rsidRPr="00FA6244">
              <w:rPr>
                <w:i/>
                <w:sz w:val="26"/>
                <w:szCs w:val="26"/>
              </w:rPr>
              <w:t>euro</w:t>
            </w:r>
            <w:proofErr w:type="spellEnd"/>
            <w:r w:rsidRPr="007F6F0D">
              <w:rPr>
                <w:sz w:val="26"/>
                <w:szCs w:val="26"/>
              </w:rPr>
              <w:t>.</w:t>
            </w:r>
          </w:p>
          <w:p w14:paraId="61490F26" w14:textId="77777777" w:rsidR="00060439" w:rsidRPr="00C31F25" w:rsidRDefault="00CF639D" w:rsidP="00AF4BFC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  <w:highlight w:val="yellow"/>
              </w:rPr>
            </w:pPr>
            <w:r w:rsidRPr="00CF639D">
              <w:rPr>
                <w:sz w:val="26"/>
                <w:szCs w:val="26"/>
              </w:rPr>
              <w:t>Valsts ieņēmumu dienesta informācijas sistēmu izmaiņām nepieciešamais finansējums piešķirts ar Ministru kabineta 2017.gada 22.augusta sēdes protokola Nr.40 43.§ 11.1.punktu.</w:t>
            </w:r>
          </w:p>
        </w:tc>
      </w:tr>
    </w:tbl>
    <w:p w14:paraId="38E07474" w14:textId="77777777" w:rsidR="00742A33" w:rsidRDefault="00742A33">
      <w:pPr>
        <w:rPr>
          <w:color w:val="C00000"/>
          <w:sz w:val="22"/>
          <w:szCs w:val="22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1213F" w14:paraId="5922D0A2" w14:textId="77777777" w:rsidTr="0011213F">
        <w:tc>
          <w:tcPr>
            <w:tcW w:w="9640" w:type="dxa"/>
          </w:tcPr>
          <w:p w14:paraId="15E04E26" w14:textId="77777777" w:rsidR="0011213F" w:rsidRPr="00AA2C93" w:rsidRDefault="0011213F" w:rsidP="0013775A">
            <w:pPr>
              <w:rPr>
                <w:b/>
                <w:sz w:val="26"/>
                <w:szCs w:val="26"/>
              </w:rPr>
            </w:pPr>
            <w:r w:rsidRPr="00AA2C93">
              <w:rPr>
                <w:b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11213F" w14:paraId="5D79A33E" w14:textId="77777777" w:rsidTr="0011213F">
        <w:tc>
          <w:tcPr>
            <w:tcW w:w="9640" w:type="dxa"/>
          </w:tcPr>
          <w:p w14:paraId="27AAC5F9" w14:textId="77777777" w:rsidR="0011213F" w:rsidRDefault="0011213F" w:rsidP="00137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</w:t>
            </w:r>
          </w:p>
        </w:tc>
      </w:tr>
    </w:tbl>
    <w:p w14:paraId="1E786DCC" w14:textId="77777777" w:rsidR="0011213F" w:rsidRDefault="0011213F" w:rsidP="0011213F">
      <w:pPr>
        <w:rPr>
          <w:sz w:val="26"/>
          <w:szCs w:val="26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1213F" w14:paraId="10D4B300" w14:textId="77777777" w:rsidTr="0011213F">
        <w:tc>
          <w:tcPr>
            <w:tcW w:w="9640" w:type="dxa"/>
          </w:tcPr>
          <w:p w14:paraId="0D18F0A5" w14:textId="77777777" w:rsidR="0011213F" w:rsidRPr="00AA2C93" w:rsidRDefault="0011213F" w:rsidP="0013775A">
            <w:pPr>
              <w:jc w:val="center"/>
              <w:rPr>
                <w:b/>
                <w:sz w:val="26"/>
                <w:szCs w:val="26"/>
              </w:rPr>
            </w:pPr>
            <w:r w:rsidRPr="00AA2C93">
              <w:rPr>
                <w:b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11213F" w14:paraId="1E084566" w14:textId="77777777" w:rsidTr="0011213F">
        <w:tc>
          <w:tcPr>
            <w:tcW w:w="9640" w:type="dxa"/>
          </w:tcPr>
          <w:p w14:paraId="4AE3BE4C" w14:textId="77777777" w:rsidR="0011213F" w:rsidRDefault="0011213F" w:rsidP="00137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</w:t>
            </w:r>
          </w:p>
        </w:tc>
      </w:tr>
    </w:tbl>
    <w:p w14:paraId="3E5B2116" w14:textId="77777777" w:rsidR="0011213F" w:rsidRDefault="0011213F" w:rsidP="0011213F">
      <w:pPr>
        <w:ind w:left="-142"/>
        <w:rPr>
          <w:color w:val="C00000"/>
          <w:sz w:val="22"/>
          <w:szCs w:val="22"/>
        </w:rPr>
      </w:pPr>
    </w:p>
    <w:p w14:paraId="49112A53" w14:textId="77777777" w:rsidR="0011213F" w:rsidRDefault="0011213F">
      <w:pPr>
        <w:rPr>
          <w:color w:val="C00000"/>
          <w:sz w:val="22"/>
          <w:szCs w:val="22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E5118C" w:rsidRPr="00E5118C" w14:paraId="146C842E" w14:textId="77777777" w:rsidTr="00F14184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32918A1F" w14:textId="77777777" w:rsidR="00594655" w:rsidRPr="00267970" w:rsidRDefault="00594655" w:rsidP="00F14184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267970">
              <w:rPr>
                <w:sz w:val="26"/>
                <w:szCs w:val="26"/>
              </w:rPr>
              <w:t>VI. Sabiedrības līdzdalība un komunikācijas aktivitātes</w:t>
            </w:r>
          </w:p>
        </w:tc>
      </w:tr>
      <w:tr w:rsidR="00E5118C" w:rsidRPr="00E5118C" w14:paraId="7BB75E92" w14:textId="77777777" w:rsidTr="00F14184">
        <w:trPr>
          <w:trHeight w:val="427"/>
          <w:jc w:val="center"/>
        </w:trPr>
        <w:tc>
          <w:tcPr>
            <w:tcW w:w="437" w:type="dxa"/>
          </w:tcPr>
          <w:p w14:paraId="2217A60A" w14:textId="77777777" w:rsidR="00594655" w:rsidRPr="00E5118C" w:rsidRDefault="00594655" w:rsidP="003419EB">
            <w:pPr>
              <w:pStyle w:val="naisnod"/>
              <w:spacing w:before="0" w:after="0"/>
              <w:ind w:left="57" w:right="57"/>
              <w:rPr>
                <w:color w:val="C00000"/>
                <w:sz w:val="26"/>
                <w:szCs w:val="26"/>
              </w:rPr>
            </w:pPr>
            <w:r w:rsidRPr="00F67A0B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14:paraId="0049927F" w14:textId="77777777" w:rsidR="00594655" w:rsidRPr="00267970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267970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5466" w:type="dxa"/>
          </w:tcPr>
          <w:p w14:paraId="2185C2D8" w14:textId="77777777" w:rsidR="00847FA2" w:rsidRPr="00F67A0B" w:rsidRDefault="006162DA" w:rsidP="003419EB">
            <w:pPr>
              <w:ind w:left="57" w:right="57"/>
              <w:jc w:val="both"/>
              <w:rPr>
                <w:sz w:val="26"/>
                <w:szCs w:val="26"/>
              </w:rPr>
            </w:pPr>
            <w:r w:rsidRPr="00F67A0B">
              <w:rPr>
                <w:sz w:val="26"/>
                <w:szCs w:val="26"/>
              </w:rPr>
              <w:t>Informācija par</w:t>
            </w:r>
            <w:r w:rsidR="00847FA2" w:rsidRPr="00F67A0B">
              <w:rPr>
                <w:sz w:val="26"/>
                <w:szCs w:val="26"/>
              </w:rPr>
              <w:t xml:space="preserve"> </w:t>
            </w:r>
            <w:r w:rsidR="00267970" w:rsidRPr="00F67A0B">
              <w:rPr>
                <w:sz w:val="26"/>
                <w:szCs w:val="26"/>
              </w:rPr>
              <w:t xml:space="preserve">noteikumu </w:t>
            </w:r>
            <w:r w:rsidR="00847FA2" w:rsidRPr="00F67A0B">
              <w:rPr>
                <w:sz w:val="26"/>
                <w:szCs w:val="26"/>
              </w:rPr>
              <w:t>projekt</w:t>
            </w:r>
            <w:r w:rsidRPr="00F67A0B">
              <w:rPr>
                <w:sz w:val="26"/>
                <w:szCs w:val="26"/>
              </w:rPr>
              <w:t>a izstrādi</w:t>
            </w:r>
            <w:r w:rsidR="00847FA2" w:rsidRPr="00F67A0B">
              <w:rPr>
                <w:sz w:val="26"/>
                <w:szCs w:val="26"/>
              </w:rPr>
              <w:t xml:space="preserve"> 201</w:t>
            </w:r>
            <w:r w:rsidR="00F67A0B" w:rsidRPr="00F67A0B">
              <w:rPr>
                <w:sz w:val="26"/>
                <w:szCs w:val="26"/>
              </w:rPr>
              <w:t>7</w:t>
            </w:r>
            <w:r w:rsidR="00847FA2" w:rsidRPr="00F67A0B">
              <w:rPr>
                <w:sz w:val="26"/>
                <w:szCs w:val="26"/>
              </w:rPr>
              <w:t xml:space="preserve">.gada </w:t>
            </w:r>
            <w:r w:rsidR="00791895">
              <w:rPr>
                <w:sz w:val="26"/>
                <w:szCs w:val="26"/>
              </w:rPr>
              <w:t>26</w:t>
            </w:r>
            <w:r w:rsidR="00B11C1B" w:rsidRPr="00791895">
              <w:rPr>
                <w:sz w:val="26"/>
                <w:szCs w:val="26"/>
              </w:rPr>
              <w:t>.</w:t>
            </w:r>
            <w:r w:rsidR="00F67A0B" w:rsidRPr="00791895">
              <w:rPr>
                <w:sz w:val="26"/>
                <w:szCs w:val="26"/>
              </w:rPr>
              <w:t>septembrī</w:t>
            </w:r>
            <w:r w:rsidR="00847FA2" w:rsidRPr="00F67A0B">
              <w:rPr>
                <w:sz w:val="26"/>
                <w:szCs w:val="26"/>
              </w:rPr>
              <w:t xml:space="preserve"> tika publicēt</w:t>
            </w:r>
            <w:r w:rsidRPr="00F67A0B">
              <w:rPr>
                <w:sz w:val="26"/>
                <w:szCs w:val="26"/>
              </w:rPr>
              <w:t>a</w:t>
            </w:r>
            <w:r w:rsidR="00847FA2" w:rsidRPr="00F67A0B">
              <w:rPr>
                <w:sz w:val="26"/>
                <w:szCs w:val="26"/>
              </w:rPr>
              <w:t xml:space="preserve"> </w:t>
            </w:r>
            <w:r w:rsidRPr="00F67A0B">
              <w:rPr>
                <w:sz w:val="26"/>
                <w:szCs w:val="26"/>
              </w:rPr>
              <w:t>Finanšu</w:t>
            </w:r>
            <w:r w:rsidR="00847FA2" w:rsidRPr="00F67A0B">
              <w:rPr>
                <w:sz w:val="26"/>
                <w:szCs w:val="26"/>
              </w:rPr>
              <w:t xml:space="preserve"> </w:t>
            </w:r>
            <w:r w:rsidR="00847FA2" w:rsidRPr="00F67A0B">
              <w:rPr>
                <w:sz w:val="26"/>
                <w:szCs w:val="26"/>
              </w:rPr>
              <w:lastRenderedPageBreak/>
              <w:t xml:space="preserve">ministrijas </w:t>
            </w:r>
            <w:r w:rsidR="00AF4BFC">
              <w:rPr>
                <w:sz w:val="26"/>
                <w:szCs w:val="26"/>
              </w:rPr>
              <w:t>tīmekļa vietnē</w:t>
            </w:r>
            <w:r w:rsidR="00847FA2" w:rsidRPr="00F67A0B">
              <w:rPr>
                <w:sz w:val="26"/>
                <w:szCs w:val="26"/>
              </w:rPr>
              <w:t xml:space="preserve"> </w:t>
            </w:r>
            <w:r w:rsidRPr="00F67A0B">
              <w:rPr>
                <w:sz w:val="26"/>
                <w:szCs w:val="26"/>
              </w:rPr>
              <w:t>sadaļā “Sabiedrības līdzdalība”.</w:t>
            </w:r>
          </w:p>
          <w:p w14:paraId="23908E7F" w14:textId="77777777" w:rsidR="006F6B4C" w:rsidRPr="00F67A0B" w:rsidRDefault="00847FA2" w:rsidP="00F67A0B">
            <w:pPr>
              <w:shd w:val="clear" w:color="auto" w:fill="FFFFFF"/>
              <w:ind w:left="57" w:right="57"/>
              <w:jc w:val="both"/>
              <w:rPr>
                <w:sz w:val="26"/>
                <w:szCs w:val="26"/>
              </w:rPr>
            </w:pPr>
            <w:r w:rsidRPr="00F67A0B">
              <w:rPr>
                <w:sz w:val="26"/>
                <w:szCs w:val="26"/>
              </w:rPr>
              <w:t xml:space="preserve">Noteikumu projekts pēc tā pieņemšanas tiks publicēts oficiālajā izdevumā </w:t>
            </w:r>
            <w:r w:rsidR="006162DA" w:rsidRPr="00F67A0B">
              <w:rPr>
                <w:sz w:val="26"/>
                <w:szCs w:val="26"/>
              </w:rPr>
              <w:t>“</w:t>
            </w:r>
            <w:r w:rsidRPr="00F67A0B">
              <w:rPr>
                <w:sz w:val="26"/>
                <w:szCs w:val="26"/>
              </w:rPr>
              <w:t xml:space="preserve">Latvijas Vēstnesis”, kā arī </w:t>
            </w:r>
            <w:r w:rsidR="00F67A0B" w:rsidRPr="00F67A0B">
              <w:rPr>
                <w:sz w:val="26"/>
                <w:szCs w:val="26"/>
              </w:rPr>
              <w:t>tīmekļa vietnē</w:t>
            </w:r>
            <w:r w:rsidRPr="00F67A0B">
              <w:rPr>
                <w:sz w:val="26"/>
                <w:szCs w:val="26"/>
              </w:rPr>
              <w:t xml:space="preserve"> </w:t>
            </w:r>
            <w:hyperlink r:id="rId11" w:history="1">
              <w:r w:rsidRPr="00F67A0B">
                <w:rPr>
                  <w:rStyle w:val="Hyperlink"/>
                  <w:color w:val="auto"/>
                  <w:sz w:val="26"/>
                  <w:szCs w:val="26"/>
                  <w:u w:val="none"/>
                </w:rPr>
                <w:t>www.likumi.lv</w:t>
              </w:r>
            </w:hyperlink>
            <w:r w:rsidR="00AF4BFC">
              <w:rPr>
                <w:rStyle w:val="Hyperlink"/>
                <w:color w:val="auto"/>
                <w:sz w:val="26"/>
                <w:szCs w:val="26"/>
                <w:u w:val="none"/>
              </w:rPr>
              <w:t>.</w:t>
            </w:r>
          </w:p>
        </w:tc>
      </w:tr>
      <w:tr w:rsidR="00377970" w:rsidRPr="00377970" w14:paraId="05EC0F9B" w14:textId="77777777" w:rsidTr="00F14184">
        <w:trPr>
          <w:trHeight w:val="463"/>
          <w:jc w:val="center"/>
        </w:trPr>
        <w:tc>
          <w:tcPr>
            <w:tcW w:w="437" w:type="dxa"/>
          </w:tcPr>
          <w:p w14:paraId="44B40F55" w14:textId="77777777" w:rsidR="00594655" w:rsidRPr="00377970" w:rsidRDefault="00594655" w:rsidP="003419EB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377970">
              <w:rPr>
                <w:b w:val="0"/>
                <w:bCs w:val="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15" w:type="dxa"/>
          </w:tcPr>
          <w:p w14:paraId="4ABD194D" w14:textId="77777777" w:rsidR="00594655" w:rsidRPr="00377970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377970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5466" w:type="dxa"/>
          </w:tcPr>
          <w:p w14:paraId="53808E9D" w14:textId="77777777" w:rsidR="008C3135" w:rsidRPr="00F67A0B" w:rsidRDefault="00B52900" w:rsidP="00754CA4">
            <w:pPr>
              <w:shd w:val="clear" w:color="auto" w:fill="FFFFFF"/>
              <w:ind w:left="57" w:right="57"/>
              <w:jc w:val="both"/>
              <w:rPr>
                <w:sz w:val="26"/>
                <w:szCs w:val="26"/>
              </w:rPr>
            </w:pPr>
            <w:r w:rsidRPr="00F67A0B">
              <w:rPr>
                <w:sz w:val="26"/>
                <w:szCs w:val="26"/>
              </w:rPr>
              <w:t xml:space="preserve">Par noteikumu projekta izstrādi atbilstoši </w:t>
            </w:r>
            <w:r w:rsidR="00AF4BFC">
              <w:rPr>
                <w:sz w:val="26"/>
                <w:szCs w:val="26"/>
              </w:rPr>
              <w:t>tīmekļa vietnē</w:t>
            </w:r>
            <w:r w:rsidRPr="00F67A0B">
              <w:rPr>
                <w:sz w:val="26"/>
                <w:szCs w:val="26"/>
              </w:rPr>
              <w:t xml:space="preserve"> ievietotajai informācijai sabiedrības viedoklis nav saņemts</w:t>
            </w:r>
          </w:p>
        </w:tc>
      </w:tr>
      <w:tr w:rsidR="00377970" w:rsidRPr="00377970" w14:paraId="3DA29B58" w14:textId="77777777" w:rsidTr="00F14184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65E" w14:textId="77777777" w:rsidR="00594655" w:rsidRPr="00377970" w:rsidRDefault="00594655" w:rsidP="003419EB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377970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2AA" w14:textId="77777777" w:rsidR="00594655" w:rsidRPr="00377970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377970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0E4" w14:textId="77777777" w:rsidR="00594655" w:rsidRPr="00377970" w:rsidRDefault="00754CA4" w:rsidP="00323ADE">
            <w:pPr>
              <w:ind w:left="57" w:right="57"/>
              <w:jc w:val="both"/>
              <w:rPr>
                <w:sz w:val="26"/>
                <w:szCs w:val="26"/>
              </w:rPr>
            </w:pPr>
            <w:r w:rsidRPr="00754CA4">
              <w:rPr>
                <w:sz w:val="26"/>
                <w:szCs w:val="26"/>
              </w:rPr>
              <w:t>Projekts šo jomu neskar</w:t>
            </w:r>
          </w:p>
        </w:tc>
      </w:tr>
      <w:tr w:rsidR="00F60F76" w:rsidRPr="00F60F76" w14:paraId="1B5E4096" w14:textId="77777777" w:rsidTr="00F14184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182" w14:textId="77777777" w:rsidR="00594655" w:rsidRPr="00F60F76" w:rsidRDefault="00594655" w:rsidP="003419EB">
            <w:pPr>
              <w:pStyle w:val="naisnod"/>
              <w:spacing w:before="0" w:after="0"/>
              <w:ind w:left="57" w:right="57"/>
              <w:rPr>
                <w:b w:val="0"/>
                <w:bCs w:val="0"/>
                <w:sz w:val="26"/>
                <w:szCs w:val="26"/>
              </w:rPr>
            </w:pPr>
            <w:r w:rsidRPr="00F60F76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717" w14:textId="77777777" w:rsidR="00594655" w:rsidRPr="00F60F76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F60F76">
              <w:rPr>
                <w:sz w:val="26"/>
                <w:szCs w:val="26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668" w14:textId="77777777" w:rsidR="00594655" w:rsidRPr="00F60F76" w:rsidRDefault="00594655" w:rsidP="00323ADE">
            <w:pPr>
              <w:ind w:left="57" w:right="57"/>
              <w:jc w:val="both"/>
              <w:rPr>
                <w:sz w:val="26"/>
                <w:szCs w:val="26"/>
              </w:rPr>
            </w:pPr>
            <w:r w:rsidRPr="00F60F76">
              <w:rPr>
                <w:sz w:val="26"/>
                <w:szCs w:val="26"/>
              </w:rPr>
              <w:t>Nav</w:t>
            </w:r>
          </w:p>
        </w:tc>
      </w:tr>
    </w:tbl>
    <w:p w14:paraId="09E074F1" w14:textId="77777777" w:rsidR="00594655" w:rsidRPr="003419EB" w:rsidRDefault="00594655">
      <w:pPr>
        <w:rPr>
          <w:color w:val="C00000"/>
          <w:sz w:val="16"/>
          <w:szCs w:val="16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E5118C" w:rsidRPr="00E5118C" w14:paraId="3BD7746D" w14:textId="77777777" w:rsidTr="00EE5A4F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02F2E8BE" w14:textId="77777777" w:rsidR="00D175E9" w:rsidRPr="001E20DD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1E20DD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E5118C" w:rsidRPr="00E5118C" w14:paraId="32EA1043" w14:textId="77777777" w:rsidTr="00EE5A4F">
        <w:trPr>
          <w:trHeight w:val="427"/>
          <w:jc w:val="center"/>
        </w:trPr>
        <w:tc>
          <w:tcPr>
            <w:tcW w:w="437" w:type="dxa"/>
          </w:tcPr>
          <w:p w14:paraId="539A444D" w14:textId="77777777" w:rsidR="00D175E9" w:rsidRPr="00E5118C" w:rsidRDefault="00D175E9" w:rsidP="003419EB">
            <w:pPr>
              <w:pStyle w:val="naisnod"/>
              <w:spacing w:before="0" w:after="0"/>
              <w:ind w:left="57" w:right="57"/>
              <w:rPr>
                <w:color w:val="C00000"/>
                <w:sz w:val="26"/>
                <w:szCs w:val="26"/>
              </w:rPr>
            </w:pPr>
            <w:r w:rsidRPr="001E20DD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14:paraId="603B327C" w14:textId="77777777" w:rsidR="00D175E9" w:rsidRPr="001E20DD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1E20DD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5466" w:type="dxa"/>
          </w:tcPr>
          <w:p w14:paraId="5A0CAA31" w14:textId="77777777" w:rsidR="00D175E9" w:rsidRPr="001E20DD" w:rsidRDefault="004943A0" w:rsidP="0089091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 w:rsidRPr="001E20DD">
              <w:rPr>
                <w:sz w:val="26"/>
                <w:szCs w:val="26"/>
              </w:rPr>
              <w:t>Normatīvā akta izpildi nodrošinās Valsts ieņēmumu dienests</w:t>
            </w:r>
          </w:p>
        </w:tc>
      </w:tr>
      <w:tr w:rsidR="00E61A3B" w:rsidRPr="00E61A3B" w14:paraId="14EECA19" w14:textId="77777777" w:rsidTr="00EE5A4F">
        <w:trPr>
          <w:trHeight w:val="463"/>
          <w:jc w:val="center"/>
        </w:trPr>
        <w:tc>
          <w:tcPr>
            <w:tcW w:w="437" w:type="dxa"/>
          </w:tcPr>
          <w:p w14:paraId="587EBAD9" w14:textId="77777777" w:rsidR="00D175E9" w:rsidRPr="00E61A3B" w:rsidRDefault="00D175E9" w:rsidP="003419EB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E61A3B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3615" w:type="dxa"/>
          </w:tcPr>
          <w:p w14:paraId="10D2EEE0" w14:textId="77777777" w:rsidR="00D175E9" w:rsidRPr="00E61A3B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E61A3B">
              <w:rPr>
                <w:sz w:val="26"/>
                <w:szCs w:val="26"/>
              </w:rPr>
              <w:t>Projekta izpildes ietekme uz pārvaldes funkcijām un institucionālo struktūru</w:t>
            </w:r>
          </w:p>
          <w:p w14:paraId="0722CB44" w14:textId="77777777" w:rsidR="00D175E9" w:rsidRPr="00E61A3B" w:rsidRDefault="00D175E9" w:rsidP="00BF246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E61A3B">
              <w:rPr>
                <w:sz w:val="26"/>
                <w:szCs w:val="26"/>
              </w:rPr>
              <w:t>Jaunu institūciju izveide, esošu institūciju likvidācija vai reorga</w:t>
            </w:r>
            <w:r w:rsidRPr="00E61A3B">
              <w:rPr>
                <w:sz w:val="26"/>
                <w:szCs w:val="26"/>
              </w:rPr>
              <w:softHyphen/>
              <w:t>nizācija, to ietekme uz institūcijas cilvēkresursiem</w:t>
            </w:r>
          </w:p>
        </w:tc>
        <w:tc>
          <w:tcPr>
            <w:tcW w:w="5466" w:type="dxa"/>
          </w:tcPr>
          <w:p w14:paraId="5CDC928B" w14:textId="77777777" w:rsidR="00D175E9" w:rsidRPr="00E61A3B" w:rsidRDefault="007A0296" w:rsidP="00A438B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67A0B">
              <w:rPr>
                <w:sz w:val="26"/>
                <w:szCs w:val="26"/>
              </w:rPr>
              <w:t xml:space="preserve">Noteikumu projekta izpilde </w:t>
            </w:r>
            <w:r w:rsidR="004B1A0A" w:rsidRPr="00F67A0B">
              <w:rPr>
                <w:sz w:val="26"/>
                <w:szCs w:val="26"/>
              </w:rPr>
              <w:t>nepaplašina un nesašaurina V</w:t>
            </w:r>
            <w:r w:rsidRPr="00F67A0B">
              <w:rPr>
                <w:sz w:val="26"/>
                <w:szCs w:val="26"/>
              </w:rPr>
              <w:t>alsts ieņēmumu dienesta</w:t>
            </w:r>
            <w:r w:rsidR="004B1A0A" w:rsidRPr="00F67A0B">
              <w:rPr>
                <w:sz w:val="26"/>
                <w:szCs w:val="26"/>
              </w:rPr>
              <w:t xml:space="preserve"> līdzšinējās</w:t>
            </w:r>
            <w:r w:rsidRPr="00F67A0B">
              <w:rPr>
                <w:sz w:val="26"/>
                <w:szCs w:val="26"/>
              </w:rPr>
              <w:t xml:space="preserve"> fun</w:t>
            </w:r>
            <w:r w:rsidR="004B1A0A" w:rsidRPr="00F67A0B">
              <w:rPr>
                <w:sz w:val="26"/>
                <w:szCs w:val="26"/>
              </w:rPr>
              <w:t xml:space="preserve">kcijas un </w:t>
            </w:r>
            <w:r w:rsidRPr="00F67A0B">
              <w:rPr>
                <w:sz w:val="26"/>
                <w:szCs w:val="26"/>
              </w:rPr>
              <w:t>uzdevumus</w:t>
            </w:r>
            <w:r w:rsidR="004B1A0A" w:rsidRPr="00F67A0B">
              <w:rPr>
                <w:sz w:val="26"/>
                <w:szCs w:val="26"/>
              </w:rPr>
              <w:t>, neietekmē pieejamos cilvēkresursus</w:t>
            </w:r>
            <w:r w:rsidR="00A438B6" w:rsidRPr="00F67A0B">
              <w:rPr>
                <w:sz w:val="26"/>
                <w:szCs w:val="26"/>
              </w:rPr>
              <w:t>.</w:t>
            </w:r>
            <w:r w:rsidR="004B1A0A" w:rsidRPr="00F67A0B">
              <w:rPr>
                <w:sz w:val="26"/>
                <w:szCs w:val="26"/>
              </w:rPr>
              <w:t xml:space="preserve"> </w:t>
            </w:r>
            <w:r w:rsidR="00A438B6" w:rsidRPr="00F67A0B">
              <w:rPr>
                <w:sz w:val="26"/>
                <w:szCs w:val="26"/>
              </w:rPr>
              <w:t>N</w:t>
            </w:r>
            <w:r w:rsidR="004B1A0A" w:rsidRPr="00F67A0B">
              <w:rPr>
                <w:sz w:val="26"/>
                <w:szCs w:val="26"/>
              </w:rPr>
              <w:t>oteikumu projekts nenosaka jaunas institūcijas veidošanu vai institūciju reorganizāciju un likvidāciju</w:t>
            </w:r>
          </w:p>
        </w:tc>
      </w:tr>
      <w:tr w:rsidR="00D61D6C" w:rsidRPr="00E5118C" w14:paraId="2C0AC95D" w14:textId="77777777" w:rsidTr="00EE5A4F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E44" w14:textId="77777777" w:rsidR="00D175E9" w:rsidRPr="004B5373" w:rsidRDefault="00D175E9" w:rsidP="003419EB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4B5373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E7C" w14:textId="77777777" w:rsidR="00D175E9" w:rsidRPr="004B5373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4B5373">
              <w:rPr>
                <w:sz w:val="26"/>
                <w:szCs w:val="26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556" w14:textId="77777777" w:rsidR="00D175E9" w:rsidRPr="004B5373" w:rsidRDefault="00D175E9" w:rsidP="004943A0">
            <w:pPr>
              <w:ind w:left="57" w:right="57"/>
              <w:jc w:val="both"/>
              <w:rPr>
                <w:sz w:val="26"/>
                <w:szCs w:val="26"/>
              </w:rPr>
            </w:pPr>
            <w:r w:rsidRPr="004B5373">
              <w:rPr>
                <w:sz w:val="26"/>
                <w:szCs w:val="26"/>
              </w:rPr>
              <w:t>Nav</w:t>
            </w:r>
          </w:p>
        </w:tc>
      </w:tr>
    </w:tbl>
    <w:p w14:paraId="34DBB573" w14:textId="77777777" w:rsidR="00EE5A4F" w:rsidRPr="007C3D6C" w:rsidRDefault="00EE5A4F" w:rsidP="007756FB">
      <w:pPr>
        <w:rPr>
          <w:sz w:val="28"/>
          <w:szCs w:val="28"/>
        </w:rPr>
      </w:pPr>
    </w:p>
    <w:p w14:paraId="6BCCCD3F" w14:textId="77777777" w:rsidR="002B1E83" w:rsidRPr="007C3D6C" w:rsidRDefault="002B1E83" w:rsidP="007756FB">
      <w:pPr>
        <w:rPr>
          <w:sz w:val="28"/>
          <w:szCs w:val="28"/>
        </w:rPr>
      </w:pPr>
    </w:p>
    <w:p w14:paraId="2AEAED3D" w14:textId="77777777" w:rsidR="00EE5A4F" w:rsidRPr="00D912EE" w:rsidRDefault="00EE5A4F" w:rsidP="00EE5A4F">
      <w:pPr>
        <w:tabs>
          <w:tab w:val="right" w:pos="9071"/>
        </w:tabs>
        <w:rPr>
          <w:sz w:val="28"/>
          <w:szCs w:val="28"/>
        </w:rPr>
      </w:pPr>
      <w:r w:rsidRPr="00D912EE">
        <w:rPr>
          <w:sz w:val="28"/>
          <w:szCs w:val="28"/>
        </w:rPr>
        <w:t>Finanšu ministr</w:t>
      </w:r>
      <w:r w:rsidR="00D912EE">
        <w:rPr>
          <w:sz w:val="28"/>
          <w:szCs w:val="28"/>
        </w:rPr>
        <w:t>e</w:t>
      </w:r>
      <w:r w:rsidRPr="00D912EE">
        <w:rPr>
          <w:sz w:val="28"/>
          <w:szCs w:val="28"/>
        </w:rPr>
        <w:tab/>
      </w:r>
      <w:proofErr w:type="spellStart"/>
      <w:r w:rsidR="00D912EE" w:rsidRPr="00D912EE">
        <w:rPr>
          <w:sz w:val="28"/>
          <w:szCs w:val="28"/>
        </w:rPr>
        <w:t>D</w:t>
      </w:r>
      <w:r w:rsidR="00D912EE">
        <w:rPr>
          <w:sz w:val="28"/>
          <w:szCs w:val="28"/>
        </w:rPr>
        <w:t>.</w:t>
      </w:r>
      <w:r w:rsidR="00D912EE" w:rsidRPr="00D912EE">
        <w:rPr>
          <w:sz w:val="28"/>
          <w:szCs w:val="28"/>
        </w:rPr>
        <w:t>Reizniece</w:t>
      </w:r>
      <w:proofErr w:type="spellEnd"/>
      <w:r w:rsidR="00D912EE" w:rsidRPr="00D912EE">
        <w:rPr>
          <w:sz w:val="28"/>
          <w:szCs w:val="28"/>
        </w:rPr>
        <w:t>-Ozola</w:t>
      </w:r>
    </w:p>
    <w:p w14:paraId="119C00AC" w14:textId="77777777" w:rsidR="00EE5A4F" w:rsidRPr="00F07288" w:rsidRDefault="00EE5A4F" w:rsidP="007756FB">
      <w:pPr>
        <w:rPr>
          <w:sz w:val="28"/>
          <w:szCs w:val="28"/>
        </w:rPr>
      </w:pPr>
    </w:p>
    <w:p w14:paraId="28D29336" w14:textId="77777777" w:rsidR="00E04EB1" w:rsidRPr="00F07288" w:rsidRDefault="00E04EB1" w:rsidP="007756FB">
      <w:pPr>
        <w:rPr>
          <w:sz w:val="28"/>
          <w:szCs w:val="28"/>
        </w:rPr>
      </w:pPr>
    </w:p>
    <w:p w14:paraId="31665875" w14:textId="77777777" w:rsidR="006C55F6" w:rsidRPr="008365B3" w:rsidRDefault="00C31F25" w:rsidP="00C31F25">
      <w:bookmarkStart w:id="5" w:name="_GoBack"/>
      <w:r w:rsidRPr="008365B3">
        <w:t>Riekstiņa</w:t>
      </w:r>
      <w:r w:rsidR="006C55F6" w:rsidRPr="008365B3">
        <w:t xml:space="preserve"> </w:t>
      </w:r>
      <w:r w:rsidRPr="008365B3">
        <w:t>67121816</w:t>
      </w:r>
    </w:p>
    <w:p w14:paraId="3E5C522D" w14:textId="77777777" w:rsidR="00C31F25" w:rsidRPr="008365B3" w:rsidRDefault="00A437C1" w:rsidP="00C31F25">
      <w:hyperlink r:id="rId12" w:history="1">
        <w:r w:rsidR="00C31F25" w:rsidRPr="008365B3">
          <w:rPr>
            <w:rStyle w:val="Hyperlink"/>
            <w:color w:val="auto"/>
            <w:u w:val="none"/>
          </w:rPr>
          <w:t>Inese.Riekstina@vid.gov.lv</w:t>
        </w:r>
      </w:hyperlink>
      <w:r w:rsidR="00C31F25" w:rsidRPr="008365B3">
        <w:rPr>
          <w:rStyle w:val="Hyperlink"/>
          <w:color w:val="auto"/>
          <w:u w:val="none"/>
        </w:rPr>
        <w:t xml:space="preserve"> </w:t>
      </w:r>
    </w:p>
    <w:bookmarkEnd w:id="5"/>
    <w:p w14:paraId="76C961BC" w14:textId="77777777" w:rsidR="00C31F25" w:rsidRPr="00520FFA" w:rsidRDefault="00C31F25" w:rsidP="00C31F25"/>
    <w:p w14:paraId="26B75DE3" w14:textId="77777777" w:rsidR="00977D49" w:rsidRPr="00FC4195" w:rsidRDefault="00977D49" w:rsidP="00C31F25">
      <w:pPr>
        <w:rPr>
          <w:rStyle w:val="Hyperlink"/>
          <w:color w:val="auto"/>
          <w:u w:val="none"/>
        </w:rPr>
      </w:pPr>
    </w:p>
    <w:sectPr w:rsidR="00977D49" w:rsidRPr="00FC4195" w:rsidSect="003419EB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851" w:right="851" w:bottom="567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22C12" w14:textId="77777777" w:rsidR="00A437C1" w:rsidRDefault="00A437C1">
      <w:r>
        <w:separator/>
      </w:r>
    </w:p>
  </w:endnote>
  <w:endnote w:type="continuationSeparator" w:id="0">
    <w:p w14:paraId="52C3C71B" w14:textId="77777777" w:rsidR="00A437C1" w:rsidRDefault="00A4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005B" w14:textId="6C3C5F42" w:rsidR="00F14184" w:rsidRPr="00E26158" w:rsidRDefault="00A32D3A" w:rsidP="00FC4195">
    <w:pPr>
      <w:pStyle w:val="Footer"/>
      <w:jc w:val="both"/>
    </w:pPr>
    <w:r w:rsidRPr="00846DA7">
      <w:rPr>
        <w:sz w:val="20"/>
        <w:szCs w:val="20"/>
      </w:rPr>
      <w:t>FM</w:t>
    </w:r>
    <w:r w:rsidR="00AF4BFC">
      <w:rPr>
        <w:sz w:val="20"/>
        <w:szCs w:val="20"/>
      </w:rPr>
      <w:t>a</w:t>
    </w:r>
    <w:r w:rsidRPr="00846DA7">
      <w:rPr>
        <w:sz w:val="20"/>
        <w:szCs w:val="20"/>
      </w:rPr>
      <w:t>not_</w:t>
    </w:r>
    <w:r w:rsidR="00BC239C">
      <w:rPr>
        <w:sz w:val="20"/>
        <w:szCs w:val="20"/>
      </w:rPr>
      <w:t>23</w:t>
    </w:r>
    <w:r w:rsidR="00382800">
      <w:rPr>
        <w:sz w:val="20"/>
        <w:szCs w:val="20"/>
      </w:rPr>
      <w:t>10</w:t>
    </w:r>
    <w:r w:rsidR="007F6F0D">
      <w:rPr>
        <w:sz w:val="20"/>
        <w:szCs w:val="20"/>
      </w:rPr>
      <w:t>17</w:t>
    </w:r>
    <w:r w:rsidRPr="00846DA7">
      <w:rPr>
        <w:sz w:val="20"/>
        <w:szCs w:val="20"/>
      </w:rPr>
      <w:t>_MK</w:t>
    </w:r>
    <w:r w:rsidR="00AF4BFC">
      <w:rPr>
        <w:sz w:val="20"/>
        <w:szCs w:val="20"/>
      </w:rPr>
      <w:t>_</w:t>
    </w:r>
    <w:r w:rsidRPr="00846DA7">
      <w:rPr>
        <w:sz w:val="20"/>
        <w:szCs w:val="20"/>
      </w:rPr>
      <w:t>677_groz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B7BD" w14:textId="31685BB1" w:rsidR="00F14184" w:rsidRPr="00846DA7" w:rsidRDefault="00A32D3A" w:rsidP="00846DA7">
    <w:pPr>
      <w:pStyle w:val="Footer"/>
      <w:jc w:val="both"/>
      <w:rPr>
        <w:sz w:val="20"/>
        <w:szCs w:val="20"/>
      </w:rPr>
    </w:pPr>
    <w:r w:rsidRPr="00846DA7">
      <w:rPr>
        <w:sz w:val="20"/>
        <w:szCs w:val="20"/>
      </w:rPr>
      <w:t>FM</w:t>
    </w:r>
    <w:r w:rsidR="00AF4BFC">
      <w:rPr>
        <w:sz w:val="20"/>
        <w:szCs w:val="20"/>
      </w:rPr>
      <w:t>a</w:t>
    </w:r>
    <w:r w:rsidRPr="00846DA7">
      <w:rPr>
        <w:sz w:val="20"/>
        <w:szCs w:val="20"/>
      </w:rPr>
      <w:t>not_</w:t>
    </w:r>
    <w:r w:rsidR="00BC239C">
      <w:rPr>
        <w:sz w:val="20"/>
        <w:szCs w:val="20"/>
      </w:rPr>
      <w:t>23</w:t>
    </w:r>
    <w:r w:rsidR="00382800">
      <w:rPr>
        <w:sz w:val="20"/>
        <w:szCs w:val="20"/>
      </w:rPr>
      <w:t>10</w:t>
    </w:r>
    <w:r w:rsidR="007F6F0D">
      <w:rPr>
        <w:sz w:val="20"/>
        <w:szCs w:val="20"/>
      </w:rPr>
      <w:t>17</w:t>
    </w:r>
    <w:r w:rsidRPr="00846DA7">
      <w:rPr>
        <w:sz w:val="20"/>
        <w:szCs w:val="20"/>
      </w:rPr>
      <w:t>_MK</w:t>
    </w:r>
    <w:r w:rsidR="00AF4BFC">
      <w:rPr>
        <w:sz w:val="20"/>
        <w:szCs w:val="20"/>
      </w:rPr>
      <w:t>_</w:t>
    </w:r>
    <w:r w:rsidRPr="00846DA7">
      <w:rPr>
        <w:sz w:val="20"/>
        <w:szCs w:val="20"/>
      </w:rPr>
      <w:t>677_groz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059D" w14:textId="77777777" w:rsidR="00A437C1" w:rsidRDefault="00A437C1">
      <w:r>
        <w:separator/>
      </w:r>
    </w:p>
  </w:footnote>
  <w:footnote w:type="continuationSeparator" w:id="0">
    <w:p w14:paraId="56E8CB85" w14:textId="77777777" w:rsidR="00A437C1" w:rsidRDefault="00A4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4455" w14:textId="77777777" w:rsidR="00F14184" w:rsidRDefault="00F14184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666BE" w14:textId="77777777" w:rsidR="00F14184" w:rsidRDefault="00F14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C273" w14:textId="404A97FA" w:rsidR="00F14184" w:rsidRDefault="00F14184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5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719D07" w14:textId="77777777" w:rsidR="00F14184" w:rsidRDefault="00F14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A83"/>
    <w:multiLevelType w:val="hybridMultilevel"/>
    <w:tmpl w:val="21620D9A"/>
    <w:lvl w:ilvl="0" w:tplc="A66CF7BA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C4FA6"/>
    <w:multiLevelType w:val="hybridMultilevel"/>
    <w:tmpl w:val="C8BEC9FC"/>
    <w:lvl w:ilvl="0" w:tplc="835E1E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453"/>
    <w:multiLevelType w:val="hybridMultilevel"/>
    <w:tmpl w:val="B2527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E42"/>
    <w:multiLevelType w:val="hybridMultilevel"/>
    <w:tmpl w:val="9378E524"/>
    <w:lvl w:ilvl="0" w:tplc="4AC4D930">
      <w:start w:val="1"/>
      <w:numFmt w:val="decimal"/>
      <w:lvlText w:val="%1)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06B1484"/>
    <w:multiLevelType w:val="hybridMultilevel"/>
    <w:tmpl w:val="1E10A724"/>
    <w:lvl w:ilvl="0" w:tplc="1FBCE5EC">
      <w:start w:val="1"/>
      <w:numFmt w:val="decimal"/>
      <w:lvlText w:val="%1)"/>
      <w:lvlJc w:val="left"/>
      <w:pPr>
        <w:ind w:left="1561" w:hanging="9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5" w15:restartNumberingAfterBreak="0">
    <w:nsid w:val="1909278D"/>
    <w:multiLevelType w:val="hybridMultilevel"/>
    <w:tmpl w:val="38EE7E92"/>
    <w:lvl w:ilvl="0" w:tplc="7BAE2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7002"/>
    <w:multiLevelType w:val="hybridMultilevel"/>
    <w:tmpl w:val="81367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2250"/>
    <w:multiLevelType w:val="hybridMultilevel"/>
    <w:tmpl w:val="341213E0"/>
    <w:lvl w:ilvl="0" w:tplc="AB9AA5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415791B"/>
    <w:multiLevelType w:val="hybridMultilevel"/>
    <w:tmpl w:val="5C127EDE"/>
    <w:lvl w:ilvl="0" w:tplc="5DD0738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2DF5394A"/>
    <w:multiLevelType w:val="hybridMultilevel"/>
    <w:tmpl w:val="129C4436"/>
    <w:lvl w:ilvl="0" w:tplc="D34A6F1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312E74FF"/>
    <w:multiLevelType w:val="hybridMultilevel"/>
    <w:tmpl w:val="AC722432"/>
    <w:lvl w:ilvl="0" w:tplc="3B0C8F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5" w:hanging="360"/>
      </w:pPr>
    </w:lvl>
    <w:lvl w:ilvl="2" w:tplc="0426001B" w:tentative="1">
      <w:start w:val="1"/>
      <w:numFmt w:val="lowerRoman"/>
      <w:lvlText w:val="%3."/>
      <w:lvlJc w:val="right"/>
      <w:pPr>
        <w:ind w:left="2055" w:hanging="180"/>
      </w:pPr>
    </w:lvl>
    <w:lvl w:ilvl="3" w:tplc="0426000F" w:tentative="1">
      <w:start w:val="1"/>
      <w:numFmt w:val="decimal"/>
      <w:lvlText w:val="%4."/>
      <w:lvlJc w:val="left"/>
      <w:pPr>
        <w:ind w:left="2775" w:hanging="360"/>
      </w:pPr>
    </w:lvl>
    <w:lvl w:ilvl="4" w:tplc="04260019" w:tentative="1">
      <w:start w:val="1"/>
      <w:numFmt w:val="lowerLetter"/>
      <w:lvlText w:val="%5."/>
      <w:lvlJc w:val="left"/>
      <w:pPr>
        <w:ind w:left="3495" w:hanging="360"/>
      </w:pPr>
    </w:lvl>
    <w:lvl w:ilvl="5" w:tplc="0426001B" w:tentative="1">
      <w:start w:val="1"/>
      <w:numFmt w:val="lowerRoman"/>
      <w:lvlText w:val="%6."/>
      <w:lvlJc w:val="right"/>
      <w:pPr>
        <w:ind w:left="4215" w:hanging="180"/>
      </w:pPr>
    </w:lvl>
    <w:lvl w:ilvl="6" w:tplc="0426000F" w:tentative="1">
      <w:start w:val="1"/>
      <w:numFmt w:val="decimal"/>
      <w:lvlText w:val="%7."/>
      <w:lvlJc w:val="left"/>
      <w:pPr>
        <w:ind w:left="4935" w:hanging="360"/>
      </w:pPr>
    </w:lvl>
    <w:lvl w:ilvl="7" w:tplc="04260019" w:tentative="1">
      <w:start w:val="1"/>
      <w:numFmt w:val="lowerLetter"/>
      <w:lvlText w:val="%8."/>
      <w:lvlJc w:val="left"/>
      <w:pPr>
        <w:ind w:left="5655" w:hanging="360"/>
      </w:pPr>
    </w:lvl>
    <w:lvl w:ilvl="8" w:tplc="042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15269E"/>
    <w:multiLevelType w:val="hybridMultilevel"/>
    <w:tmpl w:val="5E068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03AF0"/>
    <w:multiLevelType w:val="hybridMultilevel"/>
    <w:tmpl w:val="08A4F5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F3FC2"/>
    <w:multiLevelType w:val="hybridMultilevel"/>
    <w:tmpl w:val="C870EDA2"/>
    <w:lvl w:ilvl="0" w:tplc="0818C7AA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 w15:restartNumberingAfterBreak="0">
    <w:nsid w:val="5E9B3391"/>
    <w:multiLevelType w:val="hybridMultilevel"/>
    <w:tmpl w:val="04F479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2352"/>
    <w:multiLevelType w:val="hybridMultilevel"/>
    <w:tmpl w:val="D5A4B682"/>
    <w:lvl w:ilvl="0" w:tplc="18EA453E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D035A99"/>
    <w:multiLevelType w:val="hybridMultilevel"/>
    <w:tmpl w:val="D818B846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4"/>
  </w:num>
  <w:num w:numId="14">
    <w:abstractNumId w:val="7"/>
  </w:num>
  <w:num w:numId="15">
    <w:abstractNumId w:val="3"/>
  </w:num>
  <w:num w:numId="16">
    <w:abstractNumId w:val="1"/>
  </w:num>
  <w:num w:numId="17">
    <w:abstractNumId w:val="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4F"/>
    <w:rsid w:val="000038BE"/>
    <w:rsid w:val="00003F31"/>
    <w:rsid w:val="000109DF"/>
    <w:rsid w:val="00016353"/>
    <w:rsid w:val="00020477"/>
    <w:rsid w:val="00020DED"/>
    <w:rsid w:val="0002259A"/>
    <w:rsid w:val="00024A53"/>
    <w:rsid w:val="00024D4A"/>
    <w:rsid w:val="00026D67"/>
    <w:rsid w:val="000316AE"/>
    <w:rsid w:val="00032C63"/>
    <w:rsid w:val="00036DE7"/>
    <w:rsid w:val="00037A67"/>
    <w:rsid w:val="000422AE"/>
    <w:rsid w:val="0004241A"/>
    <w:rsid w:val="000431B7"/>
    <w:rsid w:val="00044F33"/>
    <w:rsid w:val="00045255"/>
    <w:rsid w:val="00055B0A"/>
    <w:rsid w:val="00057A61"/>
    <w:rsid w:val="00060439"/>
    <w:rsid w:val="00060CF4"/>
    <w:rsid w:val="00062813"/>
    <w:rsid w:val="00062D2A"/>
    <w:rsid w:val="00067667"/>
    <w:rsid w:val="00073551"/>
    <w:rsid w:val="00073FF0"/>
    <w:rsid w:val="00074692"/>
    <w:rsid w:val="00074D5A"/>
    <w:rsid w:val="00074F27"/>
    <w:rsid w:val="00075879"/>
    <w:rsid w:val="000758B5"/>
    <w:rsid w:val="00076A27"/>
    <w:rsid w:val="00076B39"/>
    <w:rsid w:val="00076C42"/>
    <w:rsid w:val="00077288"/>
    <w:rsid w:val="00077296"/>
    <w:rsid w:val="000814F3"/>
    <w:rsid w:val="00081DAB"/>
    <w:rsid w:val="00085BB0"/>
    <w:rsid w:val="00093D0E"/>
    <w:rsid w:val="000A0B63"/>
    <w:rsid w:val="000A234E"/>
    <w:rsid w:val="000A5D45"/>
    <w:rsid w:val="000A646D"/>
    <w:rsid w:val="000B26AC"/>
    <w:rsid w:val="000B29B9"/>
    <w:rsid w:val="000B3304"/>
    <w:rsid w:val="000B528C"/>
    <w:rsid w:val="000B558D"/>
    <w:rsid w:val="000B6BEE"/>
    <w:rsid w:val="000C2F8D"/>
    <w:rsid w:val="000C331B"/>
    <w:rsid w:val="000C3DD5"/>
    <w:rsid w:val="000C73F6"/>
    <w:rsid w:val="000D6F83"/>
    <w:rsid w:val="000E06A4"/>
    <w:rsid w:val="000E1960"/>
    <w:rsid w:val="000E1B0D"/>
    <w:rsid w:val="000E1F16"/>
    <w:rsid w:val="000E2FFA"/>
    <w:rsid w:val="000E4755"/>
    <w:rsid w:val="000E4A41"/>
    <w:rsid w:val="000F148C"/>
    <w:rsid w:val="000F3065"/>
    <w:rsid w:val="000F5625"/>
    <w:rsid w:val="000F6CD9"/>
    <w:rsid w:val="000F7CD5"/>
    <w:rsid w:val="00100989"/>
    <w:rsid w:val="001012AA"/>
    <w:rsid w:val="00101510"/>
    <w:rsid w:val="00102A21"/>
    <w:rsid w:val="00103675"/>
    <w:rsid w:val="001065FC"/>
    <w:rsid w:val="00107902"/>
    <w:rsid w:val="00107D9C"/>
    <w:rsid w:val="0011213F"/>
    <w:rsid w:val="00112EFA"/>
    <w:rsid w:val="001166D1"/>
    <w:rsid w:val="0012193A"/>
    <w:rsid w:val="001257C8"/>
    <w:rsid w:val="001320BD"/>
    <w:rsid w:val="0013216F"/>
    <w:rsid w:val="001350E3"/>
    <w:rsid w:val="00142AB7"/>
    <w:rsid w:val="00144CDD"/>
    <w:rsid w:val="001469F3"/>
    <w:rsid w:val="0015172F"/>
    <w:rsid w:val="00151DD1"/>
    <w:rsid w:val="00152C84"/>
    <w:rsid w:val="00152D5E"/>
    <w:rsid w:val="00153263"/>
    <w:rsid w:val="0015482E"/>
    <w:rsid w:val="001572FA"/>
    <w:rsid w:val="0015730F"/>
    <w:rsid w:val="00157510"/>
    <w:rsid w:val="00161814"/>
    <w:rsid w:val="00164AB4"/>
    <w:rsid w:val="00170AC9"/>
    <w:rsid w:val="001755AD"/>
    <w:rsid w:val="0017729A"/>
    <w:rsid w:val="00187174"/>
    <w:rsid w:val="00190D50"/>
    <w:rsid w:val="00193ECF"/>
    <w:rsid w:val="001942D4"/>
    <w:rsid w:val="00196D4F"/>
    <w:rsid w:val="001975C7"/>
    <w:rsid w:val="001A001F"/>
    <w:rsid w:val="001A0CD1"/>
    <w:rsid w:val="001A0D5C"/>
    <w:rsid w:val="001A36A4"/>
    <w:rsid w:val="001A3877"/>
    <w:rsid w:val="001B0F07"/>
    <w:rsid w:val="001B2712"/>
    <w:rsid w:val="001B33E1"/>
    <w:rsid w:val="001B4056"/>
    <w:rsid w:val="001B530E"/>
    <w:rsid w:val="001B6E27"/>
    <w:rsid w:val="001B76CE"/>
    <w:rsid w:val="001B7D81"/>
    <w:rsid w:val="001C063D"/>
    <w:rsid w:val="001C1C28"/>
    <w:rsid w:val="001C4CFE"/>
    <w:rsid w:val="001C5A91"/>
    <w:rsid w:val="001C7060"/>
    <w:rsid w:val="001D168F"/>
    <w:rsid w:val="001D73D4"/>
    <w:rsid w:val="001E20DD"/>
    <w:rsid w:val="001F0353"/>
    <w:rsid w:val="001F23CC"/>
    <w:rsid w:val="001F3AC9"/>
    <w:rsid w:val="001F648E"/>
    <w:rsid w:val="002007A1"/>
    <w:rsid w:val="00200CBA"/>
    <w:rsid w:val="00210113"/>
    <w:rsid w:val="0021077B"/>
    <w:rsid w:val="00210A0F"/>
    <w:rsid w:val="00220085"/>
    <w:rsid w:val="00221630"/>
    <w:rsid w:val="0022276C"/>
    <w:rsid w:val="002230C9"/>
    <w:rsid w:val="00223CF6"/>
    <w:rsid w:val="002268EF"/>
    <w:rsid w:val="002300CB"/>
    <w:rsid w:val="00230AA5"/>
    <w:rsid w:val="00231433"/>
    <w:rsid w:val="00231E45"/>
    <w:rsid w:val="00233809"/>
    <w:rsid w:val="00233BD0"/>
    <w:rsid w:val="00234DD2"/>
    <w:rsid w:val="002359C6"/>
    <w:rsid w:val="00235A8C"/>
    <w:rsid w:val="0024124F"/>
    <w:rsid w:val="00242F3A"/>
    <w:rsid w:val="00243CFE"/>
    <w:rsid w:val="0024446B"/>
    <w:rsid w:val="00246D9C"/>
    <w:rsid w:val="00250107"/>
    <w:rsid w:val="002515C2"/>
    <w:rsid w:val="002516FD"/>
    <w:rsid w:val="002529AD"/>
    <w:rsid w:val="00254C81"/>
    <w:rsid w:val="0025607A"/>
    <w:rsid w:val="00257B71"/>
    <w:rsid w:val="002641E8"/>
    <w:rsid w:val="00267711"/>
    <w:rsid w:val="00267970"/>
    <w:rsid w:val="002709FF"/>
    <w:rsid w:val="00270C83"/>
    <w:rsid w:val="00270F4A"/>
    <w:rsid w:val="00271A80"/>
    <w:rsid w:val="0027384B"/>
    <w:rsid w:val="002757DE"/>
    <w:rsid w:val="00275C11"/>
    <w:rsid w:val="002829BB"/>
    <w:rsid w:val="00282D0F"/>
    <w:rsid w:val="002840C2"/>
    <w:rsid w:val="00284B7C"/>
    <w:rsid w:val="00284F4A"/>
    <w:rsid w:val="0028503A"/>
    <w:rsid w:val="00291043"/>
    <w:rsid w:val="0029379E"/>
    <w:rsid w:val="00293C07"/>
    <w:rsid w:val="00294287"/>
    <w:rsid w:val="00294A3C"/>
    <w:rsid w:val="00296449"/>
    <w:rsid w:val="002A0ADC"/>
    <w:rsid w:val="002A154B"/>
    <w:rsid w:val="002A16F5"/>
    <w:rsid w:val="002A72E4"/>
    <w:rsid w:val="002B0C9D"/>
    <w:rsid w:val="002B106A"/>
    <w:rsid w:val="002B19AB"/>
    <w:rsid w:val="002B1E83"/>
    <w:rsid w:val="002B367E"/>
    <w:rsid w:val="002B7E98"/>
    <w:rsid w:val="002C0A21"/>
    <w:rsid w:val="002C0F02"/>
    <w:rsid w:val="002C2088"/>
    <w:rsid w:val="002C25E3"/>
    <w:rsid w:val="002C5BD5"/>
    <w:rsid w:val="002C6D1F"/>
    <w:rsid w:val="002D019E"/>
    <w:rsid w:val="002D7D23"/>
    <w:rsid w:val="002E0EA9"/>
    <w:rsid w:val="002E1ABA"/>
    <w:rsid w:val="002E257A"/>
    <w:rsid w:val="002E3E26"/>
    <w:rsid w:val="002E4893"/>
    <w:rsid w:val="002E50FD"/>
    <w:rsid w:val="002E629C"/>
    <w:rsid w:val="002F0CB3"/>
    <w:rsid w:val="002F28C8"/>
    <w:rsid w:val="002F4B88"/>
    <w:rsid w:val="002F4C6B"/>
    <w:rsid w:val="002F6E8B"/>
    <w:rsid w:val="00301A82"/>
    <w:rsid w:val="0030284B"/>
    <w:rsid w:val="00304A8A"/>
    <w:rsid w:val="00307F62"/>
    <w:rsid w:val="0031278B"/>
    <w:rsid w:val="003131FF"/>
    <w:rsid w:val="003170E0"/>
    <w:rsid w:val="00317D21"/>
    <w:rsid w:val="0032116B"/>
    <w:rsid w:val="003231F5"/>
    <w:rsid w:val="00323ADE"/>
    <w:rsid w:val="00324570"/>
    <w:rsid w:val="00324A5D"/>
    <w:rsid w:val="003260B9"/>
    <w:rsid w:val="00330826"/>
    <w:rsid w:val="00331A57"/>
    <w:rsid w:val="00332845"/>
    <w:rsid w:val="003372D0"/>
    <w:rsid w:val="00337422"/>
    <w:rsid w:val="00341250"/>
    <w:rsid w:val="003419EB"/>
    <w:rsid w:val="00341EC3"/>
    <w:rsid w:val="00343F57"/>
    <w:rsid w:val="00345B4C"/>
    <w:rsid w:val="003479EE"/>
    <w:rsid w:val="00352217"/>
    <w:rsid w:val="003522DE"/>
    <w:rsid w:val="003537C1"/>
    <w:rsid w:val="00355774"/>
    <w:rsid w:val="00356426"/>
    <w:rsid w:val="00357EBA"/>
    <w:rsid w:val="00357F7C"/>
    <w:rsid w:val="00366209"/>
    <w:rsid w:val="0037109E"/>
    <w:rsid w:val="00372823"/>
    <w:rsid w:val="0037290F"/>
    <w:rsid w:val="003746C8"/>
    <w:rsid w:val="00376F0E"/>
    <w:rsid w:val="00377970"/>
    <w:rsid w:val="00377BE7"/>
    <w:rsid w:val="003804CD"/>
    <w:rsid w:val="00381F1B"/>
    <w:rsid w:val="00382800"/>
    <w:rsid w:val="0038306F"/>
    <w:rsid w:val="00387B30"/>
    <w:rsid w:val="00390C7C"/>
    <w:rsid w:val="003916EE"/>
    <w:rsid w:val="00396B11"/>
    <w:rsid w:val="003979C7"/>
    <w:rsid w:val="003A0C5F"/>
    <w:rsid w:val="003A419C"/>
    <w:rsid w:val="003A7FB5"/>
    <w:rsid w:val="003B031C"/>
    <w:rsid w:val="003B0FFB"/>
    <w:rsid w:val="003B3655"/>
    <w:rsid w:val="003B3E89"/>
    <w:rsid w:val="003B411A"/>
    <w:rsid w:val="003B790B"/>
    <w:rsid w:val="003C237A"/>
    <w:rsid w:val="003C642A"/>
    <w:rsid w:val="003D0712"/>
    <w:rsid w:val="003D0CFE"/>
    <w:rsid w:val="003D1240"/>
    <w:rsid w:val="003D35D3"/>
    <w:rsid w:val="003D5A01"/>
    <w:rsid w:val="003D71EE"/>
    <w:rsid w:val="003D7C05"/>
    <w:rsid w:val="003E3BB1"/>
    <w:rsid w:val="003E49A8"/>
    <w:rsid w:val="003E659D"/>
    <w:rsid w:val="003F015E"/>
    <w:rsid w:val="003F0C46"/>
    <w:rsid w:val="003F17C8"/>
    <w:rsid w:val="003F25A3"/>
    <w:rsid w:val="003F2E64"/>
    <w:rsid w:val="003F3DA5"/>
    <w:rsid w:val="003F3F16"/>
    <w:rsid w:val="003F5A1B"/>
    <w:rsid w:val="003F5B66"/>
    <w:rsid w:val="003F5FAF"/>
    <w:rsid w:val="003F74B6"/>
    <w:rsid w:val="00401BE8"/>
    <w:rsid w:val="00403090"/>
    <w:rsid w:val="00403704"/>
    <w:rsid w:val="004041F4"/>
    <w:rsid w:val="004068E5"/>
    <w:rsid w:val="00406DEA"/>
    <w:rsid w:val="004103AA"/>
    <w:rsid w:val="00411DBE"/>
    <w:rsid w:val="00415204"/>
    <w:rsid w:val="00417597"/>
    <w:rsid w:val="00417F66"/>
    <w:rsid w:val="004204CB"/>
    <w:rsid w:val="004216A8"/>
    <w:rsid w:val="00424902"/>
    <w:rsid w:val="00424DC6"/>
    <w:rsid w:val="004271EC"/>
    <w:rsid w:val="00432F00"/>
    <w:rsid w:val="004337BA"/>
    <w:rsid w:val="00434DC0"/>
    <w:rsid w:val="004402AD"/>
    <w:rsid w:val="004404BD"/>
    <w:rsid w:val="00441C05"/>
    <w:rsid w:val="00442157"/>
    <w:rsid w:val="0044251A"/>
    <w:rsid w:val="004453FB"/>
    <w:rsid w:val="00446EAC"/>
    <w:rsid w:val="00452F83"/>
    <w:rsid w:val="00454C08"/>
    <w:rsid w:val="004551B7"/>
    <w:rsid w:val="00457BF8"/>
    <w:rsid w:val="00460694"/>
    <w:rsid w:val="00462036"/>
    <w:rsid w:val="0046217D"/>
    <w:rsid w:val="004634B3"/>
    <w:rsid w:val="00464FDC"/>
    <w:rsid w:val="004672AB"/>
    <w:rsid w:val="00470034"/>
    <w:rsid w:val="00474685"/>
    <w:rsid w:val="004800A1"/>
    <w:rsid w:val="00482DEA"/>
    <w:rsid w:val="0048311F"/>
    <w:rsid w:val="00483499"/>
    <w:rsid w:val="00484439"/>
    <w:rsid w:val="004876C0"/>
    <w:rsid w:val="00487E92"/>
    <w:rsid w:val="00490E60"/>
    <w:rsid w:val="00492699"/>
    <w:rsid w:val="00493009"/>
    <w:rsid w:val="004933D4"/>
    <w:rsid w:val="00493932"/>
    <w:rsid w:val="004943A0"/>
    <w:rsid w:val="004969A9"/>
    <w:rsid w:val="004A79ED"/>
    <w:rsid w:val="004B1061"/>
    <w:rsid w:val="004B19EE"/>
    <w:rsid w:val="004B1A0A"/>
    <w:rsid w:val="004B4045"/>
    <w:rsid w:val="004B4667"/>
    <w:rsid w:val="004B4F88"/>
    <w:rsid w:val="004B5373"/>
    <w:rsid w:val="004C2632"/>
    <w:rsid w:val="004C2705"/>
    <w:rsid w:val="004C290F"/>
    <w:rsid w:val="004C64A4"/>
    <w:rsid w:val="004D04AA"/>
    <w:rsid w:val="004D1C84"/>
    <w:rsid w:val="004D42EC"/>
    <w:rsid w:val="004D76A5"/>
    <w:rsid w:val="004E0951"/>
    <w:rsid w:val="004E4573"/>
    <w:rsid w:val="004E5F1F"/>
    <w:rsid w:val="004E6076"/>
    <w:rsid w:val="004E683A"/>
    <w:rsid w:val="004F053D"/>
    <w:rsid w:val="004F1B4F"/>
    <w:rsid w:val="004F22CC"/>
    <w:rsid w:val="004F56AF"/>
    <w:rsid w:val="004F7777"/>
    <w:rsid w:val="004F7B81"/>
    <w:rsid w:val="005032A7"/>
    <w:rsid w:val="00503871"/>
    <w:rsid w:val="005048F8"/>
    <w:rsid w:val="0050566C"/>
    <w:rsid w:val="005103BA"/>
    <w:rsid w:val="00517046"/>
    <w:rsid w:val="00527E2A"/>
    <w:rsid w:val="005356A0"/>
    <w:rsid w:val="00541893"/>
    <w:rsid w:val="0054217C"/>
    <w:rsid w:val="005450C8"/>
    <w:rsid w:val="00547F35"/>
    <w:rsid w:val="005519A9"/>
    <w:rsid w:val="005524C9"/>
    <w:rsid w:val="00556C36"/>
    <w:rsid w:val="005571A7"/>
    <w:rsid w:val="005571CE"/>
    <w:rsid w:val="005652D9"/>
    <w:rsid w:val="0057002D"/>
    <w:rsid w:val="00570C0F"/>
    <w:rsid w:val="00571950"/>
    <w:rsid w:val="00577AEB"/>
    <w:rsid w:val="005823A4"/>
    <w:rsid w:val="00584DAB"/>
    <w:rsid w:val="005863AB"/>
    <w:rsid w:val="005864CF"/>
    <w:rsid w:val="00590AD2"/>
    <w:rsid w:val="005910B1"/>
    <w:rsid w:val="005917C0"/>
    <w:rsid w:val="00594655"/>
    <w:rsid w:val="00595415"/>
    <w:rsid w:val="005A020D"/>
    <w:rsid w:val="005C17D4"/>
    <w:rsid w:val="005C1EEC"/>
    <w:rsid w:val="005C3FD7"/>
    <w:rsid w:val="005C40D4"/>
    <w:rsid w:val="005C49BE"/>
    <w:rsid w:val="005C5803"/>
    <w:rsid w:val="005C584D"/>
    <w:rsid w:val="005C7E95"/>
    <w:rsid w:val="005D2404"/>
    <w:rsid w:val="005D35F5"/>
    <w:rsid w:val="005D4E24"/>
    <w:rsid w:val="005D7032"/>
    <w:rsid w:val="005E0FE3"/>
    <w:rsid w:val="005E2AEA"/>
    <w:rsid w:val="005E72E7"/>
    <w:rsid w:val="005F1981"/>
    <w:rsid w:val="005F3353"/>
    <w:rsid w:val="005F58F3"/>
    <w:rsid w:val="00600EB2"/>
    <w:rsid w:val="0060204F"/>
    <w:rsid w:val="00603BC1"/>
    <w:rsid w:val="0061103D"/>
    <w:rsid w:val="00611A56"/>
    <w:rsid w:val="00612351"/>
    <w:rsid w:val="0061368D"/>
    <w:rsid w:val="006162DA"/>
    <w:rsid w:val="00621AD7"/>
    <w:rsid w:val="00624E57"/>
    <w:rsid w:val="0062656C"/>
    <w:rsid w:val="00630A87"/>
    <w:rsid w:val="00631D1D"/>
    <w:rsid w:val="00641C87"/>
    <w:rsid w:val="00643EAB"/>
    <w:rsid w:val="00646DD6"/>
    <w:rsid w:val="00647CF2"/>
    <w:rsid w:val="0065188A"/>
    <w:rsid w:val="00651F03"/>
    <w:rsid w:val="00652498"/>
    <w:rsid w:val="006554B1"/>
    <w:rsid w:val="00656019"/>
    <w:rsid w:val="00656882"/>
    <w:rsid w:val="00657D42"/>
    <w:rsid w:val="00660223"/>
    <w:rsid w:val="006608FB"/>
    <w:rsid w:val="00664CDE"/>
    <w:rsid w:val="006655C3"/>
    <w:rsid w:val="00666B6A"/>
    <w:rsid w:val="00672284"/>
    <w:rsid w:val="00672839"/>
    <w:rsid w:val="00677437"/>
    <w:rsid w:val="00682D3B"/>
    <w:rsid w:val="00684766"/>
    <w:rsid w:val="006855E7"/>
    <w:rsid w:val="00686CAE"/>
    <w:rsid w:val="006909A4"/>
    <w:rsid w:val="006924F7"/>
    <w:rsid w:val="00694740"/>
    <w:rsid w:val="00696E84"/>
    <w:rsid w:val="006A58A9"/>
    <w:rsid w:val="006A6EE7"/>
    <w:rsid w:val="006A7A60"/>
    <w:rsid w:val="006B0D28"/>
    <w:rsid w:val="006B1B31"/>
    <w:rsid w:val="006B1B83"/>
    <w:rsid w:val="006B5AEE"/>
    <w:rsid w:val="006C120F"/>
    <w:rsid w:val="006C1CF4"/>
    <w:rsid w:val="006C4098"/>
    <w:rsid w:val="006C55F6"/>
    <w:rsid w:val="006C5BB3"/>
    <w:rsid w:val="006C7023"/>
    <w:rsid w:val="006D27B2"/>
    <w:rsid w:val="006E2B8F"/>
    <w:rsid w:val="006E2C46"/>
    <w:rsid w:val="006E3BF2"/>
    <w:rsid w:val="006F2BD0"/>
    <w:rsid w:val="006F4081"/>
    <w:rsid w:val="006F6B4C"/>
    <w:rsid w:val="006F701B"/>
    <w:rsid w:val="007007BD"/>
    <w:rsid w:val="00702067"/>
    <w:rsid w:val="00702A49"/>
    <w:rsid w:val="00705412"/>
    <w:rsid w:val="00705659"/>
    <w:rsid w:val="00706328"/>
    <w:rsid w:val="00706B39"/>
    <w:rsid w:val="00707703"/>
    <w:rsid w:val="007114FD"/>
    <w:rsid w:val="007118F7"/>
    <w:rsid w:val="007146F2"/>
    <w:rsid w:val="00714D1B"/>
    <w:rsid w:val="0071539B"/>
    <w:rsid w:val="00721137"/>
    <w:rsid w:val="00721844"/>
    <w:rsid w:val="00722201"/>
    <w:rsid w:val="007259F1"/>
    <w:rsid w:val="00725FDC"/>
    <w:rsid w:val="00732450"/>
    <w:rsid w:val="00734B57"/>
    <w:rsid w:val="00735A85"/>
    <w:rsid w:val="00735EF4"/>
    <w:rsid w:val="007401FE"/>
    <w:rsid w:val="00742A33"/>
    <w:rsid w:val="00743410"/>
    <w:rsid w:val="0075262D"/>
    <w:rsid w:val="00754CA4"/>
    <w:rsid w:val="0075503B"/>
    <w:rsid w:val="00760640"/>
    <w:rsid w:val="00762522"/>
    <w:rsid w:val="00763B52"/>
    <w:rsid w:val="0076494E"/>
    <w:rsid w:val="00764F14"/>
    <w:rsid w:val="007705E7"/>
    <w:rsid w:val="00772AA7"/>
    <w:rsid w:val="00772AF4"/>
    <w:rsid w:val="00772C67"/>
    <w:rsid w:val="00774CA6"/>
    <w:rsid w:val="007756FB"/>
    <w:rsid w:val="007833F0"/>
    <w:rsid w:val="0078381A"/>
    <w:rsid w:val="007839EA"/>
    <w:rsid w:val="00784135"/>
    <w:rsid w:val="00784D84"/>
    <w:rsid w:val="00785F87"/>
    <w:rsid w:val="007910C5"/>
    <w:rsid w:val="00791547"/>
    <w:rsid w:val="00791895"/>
    <w:rsid w:val="00791CD9"/>
    <w:rsid w:val="00792283"/>
    <w:rsid w:val="007935FC"/>
    <w:rsid w:val="007939C8"/>
    <w:rsid w:val="007961CD"/>
    <w:rsid w:val="007A0296"/>
    <w:rsid w:val="007A07C5"/>
    <w:rsid w:val="007A3DA0"/>
    <w:rsid w:val="007B066B"/>
    <w:rsid w:val="007B0D47"/>
    <w:rsid w:val="007B1AE4"/>
    <w:rsid w:val="007B2E8C"/>
    <w:rsid w:val="007B41AF"/>
    <w:rsid w:val="007B6FC2"/>
    <w:rsid w:val="007C0002"/>
    <w:rsid w:val="007C0EB8"/>
    <w:rsid w:val="007C1DD6"/>
    <w:rsid w:val="007C3D6C"/>
    <w:rsid w:val="007C4653"/>
    <w:rsid w:val="007D0663"/>
    <w:rsid w:val="007D1767"/>
    <w:rsid w:val="007D1A10"/>
    <w:rsid w:val="007D2FBF"/>
    <w:rsid w:val="007D5F85"/>
    <w:rsid w:val="007D6B8D"/>
    <w:rsid w:val="007E7AF1"/>
    <w:rsid w:val="007F0F57"/>
    <w:rsid w:val="007F2674"/>
    <w:rsid w:val="007F37B3"/>
    <w:rsid w:val="007F6F0D"/>
    <w:rsid w:val="007F7DF0"/>
    <w:rsid w:val="008017E8"/>
    <w:rsid w:val="00804750"/>
    <w:rsid w:val="008060DA"/>
    <w:rsid w:val="008105C4"/>
    <w:rsid w:val="00810BAF"/>
    <w:rsid w:val="008149A2"/>
    <w:rsid w:val="00814B30"/>
    <w:rsid w:val="00815277"/>
    <w:rsid w:val="008161B8"/>
    <w:rsid w:val="008203B4"/>
    <w:rsid w:val="008210C7"/>
    <w:rsid w:val="00822CC1"/>
    <w:rsid w:val="008245D9"/>
    <w:rsid w:val="008270B3"/>
    <w:rsid w:val="00827512"/>
    <w:rsid w:val="0082754E"/>
    <w:rsid w:val="00830D41"/>
    <w:rsid w:val="008313CA"/>
    <w:rsid w:val="008365B3"/>
    <w:rsid w:val="00836BAA"/>
    <w:rsid w:val="008437A6"/>
    <w:rsid w:val="008441C4"/>
    <w:rsid w:val="008452B7"/>
    <w:rsid w:val="00845DF7"/>
    <w:rsid w:val="00846DA7"/>
    <w:rsid w:val="00847043"/>
    <w:rsid w:val="00847FA2"/>
    <w:rsid w:val="00851A6B"/>
    <w:rsid w:val="00852E08"/>
    <w:rsid w:val="00857022"/>
    <w:rsid w:val="00860A98"/>
    <w:rsid w:val="00861079"/>
    <w:rsid w:val="00861465"/>
    <w:rsid w:val="00862020"/>
    <w:rsid w:val="00864042"/>
    <w:rsid w:val="0086438E"/>
    <w:rsid w:val="00864BA4"/>
    <w:rsid w:val="008774C5"/>
    <w:rsid w:val="00883606"/>
    <w:rsid w:val="00885D0C"/>
    <w:rsid w:val="00887D10"/>
    <w:rsid w:val="0089091C"/>
    <w:rsid w:val="0089247C"/>
    <w:rsid w:val="00894E8F"/>
    <w:rsid w:val="00895969"/>
    <w:rsid w:val="008961E6"/>
    <w:rsid w:val="008A0A13"/>
    <w:rsid w:val="008A13A8"/>
    <w:rsid w:val="008A2B45"/>
    <w:rsid w:val="008A2DC3"/>
    <w:rsid w:val="008B3977"/>
    <w:rsid w:val="008C19D3"/>
    <w:rsid w:val="008C2091"/>
    <w:rsid w:val="008C3135"/>
    <w:rsid w:val="008C3B87"/>
    <w:rsid w:val="008C4142"/>
    <w:rsid w:val="008C5D6A"/>
    <w:rsid w:val="008C60F0"/>
    <w:rsid w:val="008C7093"/>
    <w:rsid w:val="008C7D3D"/>
    <w:rsid w:val="008D09E5"/>
    <w:rsid w:val="008D3A7B"/>
    <w:rsid w:val="008D409E"/>
    <w:rsid w:val="008D4A96"/>
    <w:rsid w:val="008E090E"/>
    <w:rsid w:val="008E1241"/>
    <w:rsid w:val="008E1EB5"/>
    <w:rsid w:val="008E2D18"/>
    <w:rsid w:val="008E59E5"/>
    <w:rsid w:val="008E682B"/>
    <w:rsid w:val="008E76BF"/>
    <w:rsid w:val="008E7763"/>
    <w:rsid w:val="008F4499"/>
    <w:rsid w:val="008F5DED"/>
    <w:rsid w:val="008F618C"/>
    <w:rsid w:val="008F7DF2"/>
    <w:rsid w:val="009003E8"/>
    <w:rsid w:val="00904E39"/>
    <w:rsid w:val="00906DD8"/>
    <w:rsid w:val="00910DAA"/>
    <w:rsid w:val="00910EA9"/>
    <w:rsid w:val="0091278B"/>
    <w:rsid w:val="00913C8C"/>
    <w:rsid w:val="00915C60"/>
    <w:rsid w:val="00925880"/>
    <w:rsid w:val="00927EC1"/>
    <w:rsid w:val="009316B0"/>
    <w:rsid w:val="00934026"/>
    <w:rsid w:val="00934215"/>
    <w:rsid w:val="00936425"/>
    <w:rsid w:val="0094519D"/>
    <w:rsid w:val="00945850"/>
    <w:rsid w:val="0094681F"/>
    <w:rsid w:val="009525A0"/>
    <w:rsid w:val="00952705"/>
    <w:rsid w:val="00953BB7"/>
    <w:rsid w:val="009545D1"/>
    <w:rsid w:val="00954D03"/>
    <w:rsid w:val="009562EA"/>
    <w:rsid w:val="00960E57"/>
    <w:rsid w:val="009633FD"/>
    <w:rsid w:val="00964D1D"/>
    <w:rsid w:val="00964E64"/>
    <w:rsid w:val="00970357"/>
    <w:rsid w:val="00976323"/>
    <w:rsid w:val="00977398"/>
    <w:rsid w:val="00977D49"/>
    <w:rsid w:val="00977DD4"/>
    <w:rsid w:val="00980171"/>
    <w:rsid w:val="00981B9B"/>
    <w:rsid w:val="00983328"/>
    <w:rsid w:val="00983706"/>
    <w:rsid w:val="009839F3"/>
    <w:rsid w:val="00984778"/>
    <w:rsid w:val="00990ED9"/>
    <w:rsid w:val="009920E0"/>
    <w:rsid w:val="0099362B"/>
    <w:rsid w:val="009947FA"/>
    <w:rsid w:val="00994A1A"/>
    <w:rsid w:val="00997C98"/>
    <w:rsid w:val="009A0F50"/>
    <w:rsid w:val="009A1F3D"/>
    <w:rsid w:val="009A4C32"/>
    <w:rsid w:val="009A4D3D"/>
    <w:rsid w:val="009A5814"/>
    <w:rsid w:val="009A66B2"/>
    <w:rsid w:val="009A7E0F"/>
    <w:rsid w:val="009B0FD6"/>
    <w:rsid w:val="009C1F85"/>
    <w:rsid w:val="009C52C1"/>
    <w:rsid w:val="009C6D55"/>
    <w:rsid w:val="009C737B"/>
    <w:rsid w:val="009C7397"/>
    <w:rsid w:val="009C7BED"/>
    <w:rsid w:val="009C7FC3"/>
    <w:rsid w:val="009D4290"/>
    <w:rsid w:val="009D4DAE"/>
    <w:rsid w:val="009E38A2"/>
    <w:rsid w:val="009E5CF3"/>
    <w:rsid w:val="009F1159"/>
    <w:rsid w:val="009F2EC3"/>
    <w:rsid w:val="009F5EEF"/>
    <w:rsid w:val="009F693E"/>
    <w:rsid w:val="00A00266"/>
    <w:rsid w:val="00A10EC3"/>
    <w:rsid w:val="00A119B1"/>
    <w:rsid w:val="00A11D5F"/>
    <w:rsid w:val="00A12488"/>
    <w:rsid w:val="00A13EC7"/>
    <w:rsid w:val="00A14341"/>
    <w:rsid w:val="00A24013"/>
    <w:rsid w:val="00A3208E"/>
    <w:rsid w:val="00A322A8"/>
    <w:rsid w:val="00A32C96"/>
    <w:rsid w:val="00A32D3A"/>
    <w:rsid w:val="00A34424"/>
    <w:rsid w:val="00A37D5A"/>
    <w:rsid w:val="00A409A8"/>
    <w:rsid w:val="00A425AB"/>
    <w:rsid w:val="00A43282"/>
    <w:rsid w:val="00A437C1"/>
    <w:rsid w:val="00A438B6"/>
    <w:rsid w:val="00A4459A"/>
    <w:rsid w:val="00A44C40"/>
    <w:rsid w:val="00A45861"/>
    <w:rsid w:val="00A51D5B"/>
    <w:rsid w:val="00A5290C"/>
    <w:rsid w:val="00A54408"/>
    <w:rsid w:val="00A56AC4"/>
    <w:rsid w:val="00A57B9F"/>
    <w:rsid w:val="00A643E2"/>
    <w:rsid w:val="00A70A89"/>
    <w:rsid w:val="00A77BD9"/>
    <w:rsid w:val="00A77DC1"/>
    <w:rsid w:val="00A81301"/>
    <w:rsid w:val="00A8203F"/>
    <w:rsid w:val="00A909D4"/>
    <w:rsid w:val="00A9178E"/>
    <w:rsid w:val="00A94429"/>
    <w:rsid w:val="00A97D33"/>
    <w:rsid w:val="00AA1128"/>
    <w:rsid w:val="00AA1964"/>
    <w:rsid w:val="00AA1B49"/>
    <w:rsid w:val="00AA415B"/>
    <w:rsid w:val="00AA7A62"/>
    <w:rsid w:val="00AB01EB"/>
    <w:rsid w:val="00AB25B1"/>
    <w:rsid w:val="00AB27AD"/>
    <w:rsid w:val="00AB3C3A"/>
    <w:rsid w:val="00AB4549"/>
    <w:rsid w:val="00AB458D"/>
    <w:rsid w:val="00AB57C7"/>
    <w:rsid w:val="00AB7F36"/>
    <w:rsid w:val="00AC0A8C"/>
    <w:rsid w:val="00AD1C9F"/>
    <w:rsid w:val="00AD3225"/>
    <w:rsid w:val="00AD3AB6"/>
    <w:rsid w:val="00AD45E2"/>
    <w:rsid w:val="00AD4B36"/>
    <w:rsid w:val="00AD583F"/>
    <w:rsid w:val="00AD7150"/>
    <w:rsid w:val="00AD79EA"/>
    <w:rsid w:val="00AE0431"/>
    <w:rsid w:val="00AE168A"/>
    <w:rsid w:val="00AE2902"/>
    <w:rsid w:val="00AE2CB6"/>
    <w:rsid w:val="00AE3F15"/>
    <w:rsid w:val="00AE4E30"/>
    <w:rsid w:val="00AF4BFC"/>
    <w:rsid w:val="00AF51EF"/>
    <w:rsid w:val="00AF60B0"/>
    <w:rsid w:val="00AF6BB4"/>
    <w:rsid w:val="00AF7071"/>
    <w:rsid w:val="00B02BFC"/>
    <w:rsid w:val="00B04BD4"/>
    <w:rsid w:val="00B0580B"/>
    <w:rsid w:val="00B11C1B"/>
    <w:rsid w:val="00B1580C"/>
    <w:rsid w:val="00B16E3B"/>
    <w:rsid w:val="00B25026"/>
    <w:rsid w:val="00B260CB"/>
    <w:rsid w:val="00B274A6"/>
    <w:rsid w:val="00B30B67"/>
    <w:rsid w:val="00B30C45"/>
    <w:rsid w:val="00B3130F"/>
    <w:rsid w:val="00B32363"/>
    <w:rsid w:val="00B32A57"/>
    <w:rsid w:val="00B3508F"/>
    <w:rsid w:val="00B35925"/>
    <w:rsid w:val="00B406B7"/>
    <w:rsid w:val="00B42BE1"/>
    <w:rsid w:val="00B44248"/>
    <w:rsid w:val="00B50153"/>
    <w:rsid w:val="00B5183D"/>
    <w:rsid w:val="00B51BD2"/>
    <w:rsid w:val="00B52900"/>
    <w:rsid w:val="00B54A0E"/>
    <w:rsid w:val="00B555AC"/>
    <w:rsid w:val="00B66AF8"/>
    <w:rsid w:val="00B66E8F"/>
    <w:rsid w:val="00B71218"/>
    <w:rsid w:val="00B7396A"/>
    <w:rsid w:val="00B741D1"/>
    <w:rsid w:val="00B7606A"/>
    <w:rsid w:val="00B7703D"/>
    <w:rsid w:val="00B85AE4"/>
    <w:rsid w:val="00B86095"/>
    <w:rsid w:val="00B93767"/>
    <w:rsid w:val="00B939CD"/>
    <w:rsid w:val="00B94BFC"/>
    <w:rsid w:val="00B95661"/>
    <w:rsid w:val="00BA1618"/>
    <w:rsid w:val="00BA496B"/>
    <w:rsid w:val="00BA7295"/>
    <w:rsid w:val="00BA79D6"/>
    <w:rsid w:val="00BB060F"/>
    <w:rsid w:val="00BC13A4"/>
    <w:rsid w:val="00BC1D26"/>
    <w:rsid w:val="00BC2110"/>
    <w:rsid w:val="00BC239C"/>
    <w:rsid w:val="00BC6114"/>
    <w:rsid w:val="00BC775C"/>
    <w:rsid w:val="00BD2E79"/>
    <w:rsid w:val="00BE2689"/>
    <w:rsid w:val="00BE42B7"/>
    <w:rsid w:val="00BE5982"/>
    <w:rsid w:val="00BF1CC1"/>
    <w:rsid w:val="00BF2464"/>
    <w:rsid w:val="00BF4C77"/>
    <w:rsid w:val="00BF6851"/>
    <w:rsid w:val="00C0209A"/>
    <w:rsid w:val="00C03B08"/>
    <w:rsid w:val="00C13D69"/>
    <w:rsid w:val="00C15214"/>
    <w:rsid w:val="00C154F6"/>
    <w:rsid w:val="00C1653F"/>
    <w:rsid w:val="00C21036"/>
    <w:rsid w:val="00C264BA"/>
    <w:rsid w:val="00C31F25"/>
    <w:rsid w:val="00C32BE4"/>
    <w:rsid w:val="00C40B0C"/>
    <w:rsid w:val="00C40BD0"/>
    <w:rsid w:val="00C424F0"/>
    <w:rsid w:val="00C432B7"/>
    <w:rsid w:val="00C432D7"/>
    <w:rsid w:val="00C451F1"/>
    <w:rsid w:val="00C47F1B"/>
    <w:rsid w:val="00C51A9F"/>
    <w:rsid w:val="00C51D89"/>
    <w:rsid w:val="00C52494"/>
    <w:rsid w:val="00C52901"/>
    <w:rsid w:val="00C5383C"/>
    <w:rsid w:val="00C541D6"/>
    <w:rsid w:val="00C5459D"/>
    <w:rsid w:val="00C54928"/>
    <w:rsid w:val="00C55FB9"/>
    <w:rsid w:val="00C60089"/>
    <w:rsid w:val="00C61924"/>
    <w:rsid w:val="00C6730D"/>
    <w:rsid w:val="00C67531"/>
    <w:rsid w:val="00C72A21"/>
    <w:rsid w:val="00C74583"/>
    <w:rsid w:val="00C757AE"/>
    <w:rsid w:val="00C77320"/>
    <w:rsid w:val="00C77A11"/>
    <w:rsid w:val="00C832E5"/>
    <w:rsid w:val="00C837B1"/>
    <w:rsid w:val="00C8559A"/>
    <w:rsid w:val="00C86AC2"/>
    <w:rsid w:val="00C9021E"/>
    <w:rsid w:val="00C9114D"/>
    <w:rsid w:val="00C91BBC"/>
    <w:rsid w:val="00C934E4"/>
    <w:rsid w:val="00C94829"/>
    <w:rsid w:val="00C96E98"/>
    <w:rsid w:val="00CA23A1"/>
    <w:rsid w:val="00CA3A25"/>
    <w:rsid w:val="00CA3FFA"/>
    <w:rsid w:val="00CB3C74"/>
    <w:rsid w:val="00CB4CC7"/>
    <w:rsid w:val="00CC0E3A"/>
    <w:rsid w:val="00CD06FB"/>
    <w:rsid w:val="00CD125F"/>
    <w:rsid w:val="00CD28F8"/>
    <w:rsid w:val="00CD2A2E"/>
    <w:rsid w:val="00CD3CD6"/>
    <w:rsid w:val="00CE0080"/>
    <w:rsid w:val="00CE07AD"/>
    <w:rsid w:val="00CE1881"/>
    <w:rsid w:val="00CE2005"/>
    <w:rsid w:val="00CE5203"/>
    <w:rsid w:val="00CE53AA"/>
    <w:rsid w:val="00CE6188"/>
    <w:rsid w:val="00CF01E4"/>
    <w:rsid w:val="00CF2DDB"/>
    <w:rsid w:val="00CF5BDC"/>
    <w:rsid w:val="00CF639D"/>
    <w:rsid w:val="00D02168"/>
    <w:rsid w:val="00D05BE3"/>
    <w:rsid w:val="00D06937"/>
    <w:rsid w:val="00D13CF7"/>
    <w:rsid w:val="00D15A36"/>
    <w:rsid w:val="00D171D7"/>
    <w:rsid w:val="00D175E9"/>
    <w:rsid w:val="00D22CE1"/>
    <w:rsid w:val="00D237D9"/>
    <w:rsid w:val="00D238CD"/>
    <w:rsid w:val="00D26D28"/>
    <w:rsid w:val="00D27150"/>
    <w:rsid w:val="00D3032B"/>
    <w:rsid w:val="00D36D69"/>
    <w:rsid w:val="00D45322"/>
    <w:rsid w:val="00D45730"/>
    <w:rsid w:val="00D52EA6"/>
    <w:rsid w:val="00D531B8"/>
    <w:rsid w:val="00D564B1"/>
    <w:rsid w:val="00D57C0A"/>
    <w:rsid w:val="00D57E14"/>
    <w:rsid w:val="00D60652"/>
    <w:rsid w:val="00D61D6C"/>
    <w:rsid w:val="00D65B64"/>
    <w:rsid w:val="00D66311"/>
    <w:rsid w:val="00D67B5A"/>
    <w:rsid w:val="00D722A3"/>
    <w:rsid w:val="00D72CB0"/>
    <w:rsid w:val="00D744B6"/>
    <w:rsid w:val="00D75003"/>
    <w:rsid w:val="00D80B20"/>
    <w:rsid w:val="00D81140"/>
    <w:rsid w:val="00D812E4"/>
    <w:rsid w:val="00D839A3"/>
    <w:rsid w:val="00D84D6D"/>
    <w:rsid w:val="00D859EE"/>
    <w:rsid w:val="00D863B4"/>
    <w:rsid w:val="00D874C6"/>
    <w:rsid w:val="00D9110B"/>
    <w:rsid w:val="00D912EE"/>
    <w:rsid w:val="00D91E04"/>
    <w:rsid w:val="00D92FB0"/>
    <w:rsid w:val="00DA111F"/>
    <w:rsid w:val="00DA236D"/>
    <w:rsid w:val="00DA60F4"/>
    <w:rsid w:val="00DA779E"/>
    <w:rsid w:val="00DA7C17"/>
    <w:rsid w:val="00DB00DC"/>
    <w:rsid w:val="00DB0B72"/>
    <w:rsid w:val="00DC0231"/>
    <w:rsid w:val="00DC5106"/>
    <w:rsid w:val="00DD0108"/>
    <w:rsid w:val="00DD10D9"/>
    <w:rsid w:val="00DD13E0"/>
    <w:rsid w:val="00DD175F"/>
    <w:rsid w:val="00DD2A13"/>
    <w:rsid w:val="00DD38EC"/>
    <w:rsid w:val="00DD54E5"/>
    <w:rsid w:val="00DD63DA"/>
    <w:rsid w:val="00DD74DC"/>
    <w:rsid w:val="00DE0625"/>
    <w:rsid w:val="00DE1124"/>
    <w:rsid w:val="00DE290F"/>
    <w:rsid w:val="00DE3821"/>
    <w:rsid w:val="00DE3D90"/>
    <w:rsid w:val="00DE42AD"/>
    <w:rsid w:val="00DE521C"/>
    <w:rsid w:val="00DF07AD"/>
    <w:rsid w:val="00DF18FC"/>
    <w:rsid w:val="00DF3289"/>
    <w:rsid w:val="00DF3CBC"/>
    <w:rsid w:val="00DF4FC9"/>
    <w:rsid w:val="00DF5CE2"/>
    <w:rsid w:val="00E00069"/>
    <w:rsid w:val="00E0169F"/>
    <w:rsid w:val="00E04D6F"/>
    <w:rsid w:val="00E04EB1"/>
    <w:rsid w:val="00E07878"/>
    <w:rsid w:val="00E11110"/>
    <w:rsid w:val="00E12C89"/>
    <w:rsid w:val="00E158EC"/>
    <w:rsid w:val="00E162CA"/>
    <w:rsid w:val="00E2012F"/>
    <w:rsid w:val="00E20AE9"/>
    <w:rsid w:val="00E21835"/>
    <w:rsid w:val="00E22BB2"/>
    <w:rsid w:val="00E2443B"/>
    <w:rsid w:val="00E26158"/>
    <w:rsid w:val="00E30105"/>
    <w:rsid w:val="00E316DA"/>
    <w:rsid w:val="00E31D77"/>
    <w:rsid w:val="00E37A47"/>
    <w:rsid w:val="00E42F8A"/>
    <w:rsid w:val="00E4382C"/>
    <w:rsid w:val="00E45A48"/>
    <w:rsid w:val="00E47181"/>
    <w:rsid w:val="00E5118C"/>
    <w:rsid w:val="00E51879"/>
    <w:rsid w:val="00E52762"/>
    <w:rsid w:val="00E52D24"/>
    <w:rsid w:val="00E60D8F"/>
    <w:rsid w:val="00E61A3B"/>
    <w:rsid w:val="00E63872"/>
    <w:rsid w:val="00E65575"/>
    <w:rsid w:val="00E72C8B"/>
    <w:rsid w:val="00E72CB8"/>
    <w:rsid w:val="00E74D8B"/>
    <w:rsid w:val="00E74E77"/>
    <w:rsid w:val="00E76EB0"/>
    <w:rsid w:val="00E773F9"/>
    <w:rsid w:val="00E82843"/>
    <w:rsid w:val="00E82CCB"/>
    <w:rsid w:val="00E8624E"/>
    <w:rsid w:val="00E87604"/>
    <w:rsid w:val="00E90A57"/>
    <w:rsid w:val="00E93F94"/>
    <w:rsid w:val="00E94830"/>
    <w:rsid w:val="00E961D5"/>
    <w:rsid w:val="00EA1287"/>
    <w:rsid w:val="00EA232C"/>
    <w:rsid w:val="00EA527E"/>
    <w:rsid w:val="00EA5C53"/>
    <w:rsid w:val="00EA5FA1"/>
    <w:rsid w:val="00EB050E"/>
    <w:rsid w:val="00EB1818"/>
    <w:rsid w:val="00EB24F9"/>
    <w:rsid w:val="00EB2BF6"/>
    <w:rsid w:val="00EB36F8"/>
    <w:rsid w:val="00EC2392"/>
    <w:rsid w:val="00EC4E42"/>
    <w:rsid w:val="00EE5A4F"/>
    <w:rsid w:val="00EE5DD3"/>
    <w:rsid w:val="00EF0B31"/>
    <w:rsid w:val="00EF1B0C"/>
    <w:rsid w:val="00EF3C4D"/>
    <w:rsid w:val="00EF54F9"/>
    <w:rsid w:val="00EF6D54"/>
    <w:rsid w:val="00F0480D"/>
    <w:rsid w:val="00F061C7"/>
    <w:rsid w:val="00F06673"/>
    <w:rsid w:val="00F07288"/>
    <w:rsid w:val="00F1055D"/>
    <w:rsid w:val="00F14184"/>
    <w:rsid w:val="00F141B8"/>
    <w:rsid w:val="00F144B1"/>
    <w:rsid w:val="00F17D52"/>
    <w:rsid w:val="00F2219A"/>
    <w:rsid w:val="00F22ACC"/>
    <w:rsid w:val="00F24904"/>
    <w:rsid w:val="00F251B2"/>
    <w:rsid w:val="00F2666A"/>
    <w:rsid w:val="00F2683C"/>
    <w:rsid w:val="00F309B7"/>
    <w:rsid w:val="00F32197"/>
    <w:rsid w:val="00F34E2D"/>
    <w:rsid w:val="00F40D44"/>
    <w:rsid w:val="00F41E94"/>
    <w:rsid w:val="00F420C0"/>
    <w:rsid w:val="00F43911"/>
    <w:rsid w:val="00F454F5"/>
    <w:rsid w:val="00F46C4F"/>
    <w:rsid w:val="00F47011"/>
    <w:rsid w:val="00F472D9"/>
    <w:rsid w:val="00F50932"/>
    <w:rsid w:val="00F50E37"/>
    <w:rsid w:val="00F50F65"/>
    <w:rsid w:val="00F524C0"/>
    <w:rsid w:val="00F53350"/>
    <w:rsid w:val="00F5515A"/>
    <w:rsid w:val="00F57180"/>
    <w:rsid w:val="00F5723C"/>
    <w:rsid w:val="00F57AA7"/>
    <w:rsid w:val="00F602BC"/>
    <w:rsid w:val="00F60792"/>
    <w:rsid w:val="00F60F76"/>
    <w:rsid w:val="00F629BC"/>
    <w:rsid w:val="00F65706"/>
    <w:rsid w:val="00F65903"/>
    <w:rsid w:val="00F67A0B"/>
    <w:rsid w:val="00F707A9"/>
    <w:rsid w:val="00F71206"/>
    <w:rsid w:val="00F72A5F"/>
    <w:rsid w:val="00F81DAE"/>
    <w:rsid w:val="00F83BFD"/>
    <w:rsid w:val="00F85846"/>
    <w:rsid w:val="00F9122C"/>
    <w:rsid w:val="00F9296D"/>
    <w:rsid w:val="00F970AA"/>
    <w:rsid w:val="00FA0C1C"/>
    <w:rsid w:val="00FA35FE"/>
    <w:rsid w:val="00FA51B1"/>
    <w:rsid w:val="00FA61B7"/>
    <w:rsid w:val="00FA6244"/>
    <w:rsid w:val="00FA728C"/>
    <w:rsid w:val="00FA72C7"/>
    <w:rsid w:val="00FB0C45"/>
    <w:rsid w:val="00FB10E3"/>
    <w:rsid w:val="00FB3308"/>
    <w:rsid w:val="00FB4789"/>
    <w:rsid w:val="00FB5AD9"/>
    <w:rsid w:val="00FB5DDA"/>
    <w:rsid w:val="00FC4195"/>
    <w:rsid w:val="00FC70C1"/>
    <w:rsid w:val="00FD0B0A"/>
    <w:rsid w:val="00FD13B6"/>
    <w:rsid w:val="00FD2229"/>
    <w:rsid w:val="00FD27DC"/>
    <w:rsid w:val="00FD414B"/>
    <w:rsid w:val="00FD4443"/>
    <w:rsid w:val="00FD5C9B"/>
    <w:rsid w:val="00FD6F89"/>
    <w:rsid w:val="00FE294F"/>
    <w:rsid w:val="00FE2DE7"/>
    <w:rsid w:val="00FE6B83"/>
    <w:rsid w:val="00FE779F"/>
    <w:rsid w:val="00FF28D3"/>
    <w:rsid w:val="00FF2D35"/>
    <w:rsid w:val="00FF593A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EB503"/>
  <w15:docId w15:val="{AFA1F3FF-C14A-40C6-9D22-8FC37694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37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39"/>
    <w:locked/>
    <w:rsid w:val="00FD222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5270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5A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4">
    <w:name w:val="c4"/>
    <w:basedOn w:val="DefaultParagraphFont"/>
    <w:rsid w:val="0082754E"/>
  </w:style>
  <w:style w:type="character" w:customStyle="1" w:styleId="Heading2Char">
    <w:name w:val="Heading 2 Char"/>
    <w:basedOn w:val="DefaultParagraphFont"/>
    <w:link w:val="Heading2"/>
    <w:semiHidden/>
    <w:rsid w:val="00337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e.Riekstina@vid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kumi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94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71F2-B5D3-42C0-BE92-6EAAB8A349BF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1BE98176-B9D9-4839-9ACF-813F34F48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228FB-BAAF-433A-93B7-ADE543B5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4193C2-23E2-49ED-85FE-1A662F49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6243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2008.gada 25.augusta noteikumos Nr.677 “Noteikumi par iedzīvotāju ienākuma nodokļa paziņojumiem”” sākotnējās ietekmes novērtējuma ziņojums (anotācija)</vt:lpstr>
    </vt:vector>
  </TitlesOfParts>
  <Company>Valsts ieņēmumu dienests</Company>
  <LinksUpToDate>false</LinksUpToDate>
  <CharactersWithSpaces>9784</CharactersWithSpaces>
  <SharedDoc>false</SharedDoc>
  <HLinks>
    <vt:vector size="18" baseType="variant">
      <vt:variant>
        <vt:i4>524559</vt:i4>
      </vt:variant>
      <vt:variant>
        <vt:i4>6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>p6</vt:lpwstr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2008.gada 25.augusta noteikumos Nr.677 “Noteikumi par iedzīvotāju ienākuma nodokļa paziņojumiem”” sākotnējās ietekmes novērtējuma ziņojums (anotācija)</dc:title>
  <dc:subject>anotācija</dc:subject>
  <dc:creator>I.Riekstiņa</dc:creator>
  <dc:description>67121816, Inese.Riekstina@vid.gov.lv</dc:description>
  <cp:lastModifiedBy>Inese Riekstiņa</cp:lastModifiedBy>
  <cp:revision>6</cp:revision>
  <cp:lastPrinted>2015-03-04T14:18:00Z</cp:lastPrinted>
  <dcterms:created xsi:type="dcterms:W3CDTF">2017-10-23T11:52:00Z</dcterms:created>
  <dcterms:modified xsi:type="dcterms:W3CDTF">2017-10-24T06:59:00Z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