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795C" w14:textId="304A67DE" w:rsidR="00086487" w:rsidRPr="001D626C" w:rsidRDefault="00086487" w:rsidP="00086487">
      <w:pPr>
        <w:spacing w:after="0"/>
        <w:jc w:val="center"/>
        <w:rPr>
          <w:rFonts w:ascii="Times New Roman" w:eastAsia="Times New Roman" w:hAnsi="Times New Roman" w:cs="Times New Roman"/>
          <w:b/>
          <w:bCs/>
          <w:sz w:val="24"/>
          <w:szCs w:val="24"/>
          <w:lang w:eastAsia="lv-LV"/>
        </w:rPr>
      </w:pPr>
      <w:bookmarkStart w:id="0" w:name="_GoBack"/>
      <w:r w:rsidRPr="001D626C">
        <w:rPr>
          <w:rFonts w:ascii="Times New Roman" w:eastAsia="Times New Roman" w:hAnsi="Times New Roman" w:cs="Times New Roman"/>
          <w:b/>
          <w:bCs/>
          <w:sz w:val="24"/>
          <w:szCs w:val="24"/>
          <w:lang w:eastAsia="lv-LV"/>
        </w:rPr>
        <w:t xml:space="preserve">Ministru kabineta noteikumu projekta “Grozījumi </w:t>
      </w:r>
      <w:r w:rsidRPr="001D626C">
        <w:rPr>
          <w:rFonts w:ascii="Times New Roman" w:hAnsi="Times New Roman" w:cs="Times New Roman"/>
          <w:b/>
          <w:sz w:val="24"/>
          <w:szCs w:val="24"/>
        </w:rPr>
        <w:t xml:space="preserve">Ministru kabineta 2011.gada 15.februāra noteikumos Nr.130 “Iedzīvotāju reģistrā iekļauto ziņu izsniegšanas </w:t>
      </w:r>
      <w:r w:rsidR="00B624C6" w:rsidRPr="001D626C">
        <w:rPr>
          <w:rFonts w:ascii="Times New Roman" w:hAnsi="Times New Roman" w:cs="Times New Roman"/>
          <w:b/>
          <w:sz w:val="24"/>
          <w:szCs w:val="24"/>
        </w:rPr>
        <w:t>k</w:t>
      </w:r>
      <w:r w:rsidRPr="001D626C">
        <w:rPr>
          <w:rFonts w:ascii="Times New Roman" w:hAnsi="Times New Roman" w:cs="Times New Roman"/>
          <w:b/>
          <w:sz w:val="24"/>
          <w:szCs w:val="24"/>
        </w:rPr>
        <w:t>ārtība”</w:t>
      </w:r>
      <w:r w:rsidRPr="001D626C">
        <w:rPr>
          <w:rFonts w:ascii="Times New Roman" w:eastAsia="Times New Roman" w:hAnsi="Times New Roman" w:cs="Times New Roman"/>
          <w:b/>
          <w:bCs/>
          <w:sz w:val="24"/>
          <w:szCs w:val="24"/>
          <w:lang w:eastAsia="lv-LV"/>
        </w:rPr>
        <w:t xml:space="preserve">” sākotnējās ietekmes novērtējuma ziņojums (anotācija) </w:t>
      </w:r>
    </w:p>
    <w:p w14:paraId="317F7422" w14:textId="77777777" w:rsidR="00B624C6" w:rsidRPr="001D626C" w:rsidRDefault="00B624C6" w:rsidP="00086487">
      <w:pPr>
        <w:spacing w:after="0"/>
        <w:jc w:val="center"/>
        <w:rPr>
          <w:rFonts w:ascii="Times New Roman" w:eastAsia="Times New Roman" w:hAnsi="Times New Roman" w:cs="Times New Roman"/>
          <w:b/>
          <w:b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086487" w:rsidRPr="001D626C" w14:paraId="7BAD1F64" w14:textId="77777777" w:rsidTr="004A5DB6">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3C91AB"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I. Tiesību akta projekta izstrādes nepieciešamība</w:t>
            </w:r>
          </w:p>
        </w:tc>
      </w:tr>
      <w:tr w:rsidR="00086487" w:rsidRPr="001D626C" w14:paraId="7DEF8927" w14:textId="77777777" w:rsidTr="004A5DB6">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9A2A1A" w14:textId="77777777" w:rsidR="00086487" w:rsidRPr="001D626C" w:rsidRDefault="00086487" w:rsidP="004A5DB6">
            <w:pPr>
              <w:spacing w:after="0"/>
              <w:rPr>
                <w:rFonts w:ascii="Times New Roman" w:eastAsia="Times New Roman" w:hAnsi="Times New Roman" w:cs="Times New Roman"/>
                <w:lang w:eastAsia="lv-LV"/>
              </w:rPr>
            </w:pPr>
            <w:r w:rsidRPr="001D626C">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14:paraId="244DFB2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14:paraId="5EA869CB" w14:textId="77777777" w:rsidR="00086487" w:rsidRPr="001D626C" w:rsidRDefault="00086487" w:rsidP="004A5DB6">
            <w:pPr>
              <w:spacing w:after="0"/>
              <w:jc w:val="both"/>
              <w:rPr>
                <w:rFonts w:ascii="Times New Roman" w:eastAsia="Times New Roman" w:hAnsi="Times New Roman" w:cs="Times New Roman"/>
                <w:sz w:val="24"/>
                <w:szCs w:val="24"/>
                <w:lang w:eastAsia="lv-LV"/>
              </w:rPr>
            </w:pPr>
            <w:r w:rsidRPr="001D626C">
              <w:rPr>
                <w:rFonts w:ascii="Times New Roman" w:hAnsi="Times New Roman" w:cs="Times New Roman"/>
                <w:bCs/>
                <w:sz w:val="24"/>
                <w:szCs w:val="24"/>
              </w:rPr>
              <w:t xml:space="preserve">Ministru kabineta 2016.gada 5.janvāra sēdes protokola Nr.1 28.§ 9.3.apakšpunkts </w:t>
            </w:r>
            <w:r w:rsidRPr="001D626C">
              <w:rPr>
                <w:rFonts w:ascii="Times New Roman" w:hAnsi="Times New Roman" w:cs="Times New Roman"/>
                <w:sz w:val="24"/>
                <w:szCs w:val="24"/>
              </w:rPr>
              <w:t>un 2017.gada 24.janvāra sēdes protokola Nr.4 14.§.</w:t>
            </w:r>
          </w:p>
        </w:tc>
      </w:tr>
      <w:tr w:rsidR="00086487" w:rsidRPr="001D626C" w14:paraId="0B49F26D" w14:textId="77777777" w:rsidTr="004A5DB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96D9966"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14:paraId="2CA2BE30"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A6712FF" w14:textId="77777777" w:rsidR="00086487" w:rsidRPr="001D626C" w:rsidRDefault="00086487" w:rsidP="004A5DB6">
            <w:pPr>
              <w:rPr>
                <w:rFonts w:ascii="Times New Roman" w:eastAsia="Times New Roman" w:hAnsi="Times New Roman" w:cs="Times New Roman"/>
                <w:sz w:val="24"/>
                <w:szCs w:val="24"/>
                <w:lang w:eastAsia="lv-LV"/>
              </w:rPr>
            </w:pPr>
          </w:p>
          <w:p w14:paraId="5F50BF7D" w14:textId="77777777" w:rsidR="00086487" w:rsidRPr="001D626C" w:rsidRDefault="00086487" w:rsidP="004A5DB6">
            <w:pPr>
              <w:rPr>
                <w:rFonts w:ascii="Times New Roman" w:eastAsia="Times New Roman" w:hAnsi="Times New Roman" w:cs="Times New Roman"/>
                <w:sz w:val="24"/>
                <w:szCs w:val="24"/>
                <w:lang w:eastAsia="lv-LV"/>
              </w:rPr>
            </w:pPr>
          </w:p>
          <w:p w14:paraId="37CF0C2E" w14:textId="77777777" w:rsidR="00086487" w:rsidRPr="001D626C" w:rsidRDefault="00086487" w:rsidP="004A5DB6">
            <w:pPr>
              <w:rPr>
                <w:rFonts w:ascii="Times New Roman" w:eastAsia="Times New Roman" w:hAnsi="Times New Roman" w:cs="Times New Roman"/>
                <w:sz w:val="24"/>
                <w:szCs w:val="24"/>
                <w:lang w:eastAsia="lv-LV"/>
              </w:rPr>
            </w:pPr>
          </w:p>
          <w:p w14:paraId="1D131E86" w14:textId="77777777" w:rsidR="00086487" w:rsidRPr="001D626C" w:rsidRDefault="00086487" w:rsidP="004A5DB6">
            <w:pPr>
              <w:rPr>
                <w:rFonts w:ascii="Times New Roman" w:eastAsia="Times New Roman" w:hAnsi="Times New Roman" w:cs="Times New Roman"/>
                <w:sz w:val="24"/>
                <w:szCs w:val="24"/>
                <w:lang w:eastAsia="lv-LV"/>
              </w:rPr>
            </w:pPr>
          </w:p>
          <w:p w14:paraId="0186BE0B" w14:textId="77777777" w:rsidR="00086487" w:rsidRPr="001D626C" w:rsidRDefault="00086487" w:rsidP="004A5DB6">
            <w:pPr>
              <w:rPr>
                <w:rFonts w:ascii="Times New Roman" w:eastAsia="Times New Roman" w:hAnsi="Times New Roman" w:cs="Times New Roman"/>
                <w:sz w:val="24"/>
                <w:szCs w:val="24"/>
                <w:lang w:eastAsia="lv-LV"/>
              </w:rPr>
            </w:pPr>
          </w:p>
          <w:p w14:paraId="29356ACA" w14:textId="77777777" w:rsidR="00086487" w:rsidRPr="001D626C" w:rsidRDefault="00086487" w:rsidP="004A5DB6">
            <w:pP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14E831B" w14:textId="24FBFEED" w:rsidR="00086487" w:rsidRPr="001D626C" w:rsidRDefault="00086487" w:rsidP="004A5DB6">
            <w:pPr>
              <w:spacing w:after="0"/>
              <w:jc w:val="both"/>
              <w:rPr>
                <w:rFonts w:ascii="Times New Roman" w:hAnsi="Times New Roman" w:cs="Times New Roman"/>
                <w:bCs/>
                <w:sz w:val="24"/>
                <w:szCs w:val="24"/>
              </w:rPr>
            </w:pPr>
            <w:r w:rsidRPr="001D626C">
              <w:rPr>
                <w:rFonts w:ascii="Times New Roman" w:hAnsi="Times New Roman" w:cs="Times New Roman"/>
                <w:bCs/>
                <w:sz w:val="24"/>
                <w:szCs w:val="24"/>
              </w:rPr>
              <w:t xml:space="preserve">Ministru kabineta 2016.gada 5.janvāra sēdes protokola Nr.1 28.§ 9.3.apakšpunktā noteikts, ka </w:t>
            </w:r>
            <w:r w:rsidRPr="001D626C">
              <w:rPr>
                <w:rFonts w:ascii="Times New Roman" w:hAnsi="Times New Roman" w:cs="Times New Roman"/>
                <w:sz w:val="24"/>
                <w:szCs w:val="24"/>
              </w:rPr>
              <w:t xml:space="preserve">Iekšlietu ministrijai jāsagatavo un līdz 2017.gada 1.janvārim (ar Ministru kabineta 2017.gada 24.janvāra sēdes protokola Nr.4 14.§ iesniegšanas termiņš pagarināts uz 2018.gada 1.janvāri) jāiesniedz noteiktā kārtībā Ministru kabinetā  grozījumus Ministru kabineta 2011.gada 15.februāra noteikumos Nr.130 “Iedzīvotāju reģistrā iekļauto ziņu izsniegšanas kārtība” (turpmāk – Noteikumi), paredzot kārtību datu par oficiālo elektronisko adresi izsniegšanai. Šāds uzdevums paredzēts arī koncepcijas “Oficiālās elektroniskās adreses koncepcija”, kas apstiprināta ar  </w:t>
            </w:r>
            <w:r w:rsidRPr="001D626C">
              <w:rPr>
                <w:rFonts w:ascii="Times New Roman" w:hAnsi="Times New Roman" w:cs="Times New Roman"/>
                <w:bCs/>
                <w:sz w:val="24"/>
                <w:szCs w:val="24"/>
              </w:rPr>
              <w:t xml:space="preserve">Ministru kabineta 2014.gada 3.marta rīkojumu Nr.90 “Par Oficiālās elektroniskās adreses koncepciju”, 9.sadaļas 8.punktā. </w:t>
            </w:r>
          </w:p>
          <w:p w14:paraId="3C0858DF" w14:textId="77777777"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bCs/>
                <w:sz w:val="24"/>
                <w:szCs w:val="24"/>
              </w:rPr>
              <w:t>Projekta izstrādes gaitā secināts, ka nav nepieciešams izstrādāt īpašu kārtību datu par</w:t>
            </w:r>
            <w:r w:rsidRPr="001D626C">
              <w:rPr>
                <w:rFonts w:ascii="Times New Roman" w:hAnsi="Times New Roman" w:cs="Times New Roman"/>
                <w:sz w:val="24"/>
                <w:szCs w:val="24"/>
              </w:rPr>
              <w:t xml:space="preserve"> oficiālo elektronisko adresi izsniegšanai, jo Oficiālās elektroniskās adreses likums šobrīd paredz saziņu starp valsts iestādēm un privātpersonām. Ievērojot minēto un to, ka personu oficiālās elektroniskās adreses konta numurs valsts iestādēm būs pieejams gan oficiālo elektronisko adrešu katalogā, gan Iedzīvotāju reģistrā, kur iestādes savas kompetences ietvaros to var saņemt vispārējā kārtībā, tad nav nepieciešams noteikt īpašu kārtību.  </w:t>
            </w:r>
          </w:p>
          <w:p w14:paraId="27462BBC" w14:textId="77777777"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Tomēr ņemot vērā Oficiālās elektroniskās adreses likuma regulējumu, konstatēts, ka nepieciešams precizēt Noteikumus paredzot, ka ziņu pieprasījumu var iesniegt izmantojot oficiālo elektronisko adresi, ko varēs veikt sākot ar 2018.gada 1.jūniju, jo  Oficiālās elektroniskās adreses likums būs piemērojams no minētā termiņa.</w:t>
            </w:r>
          </w:p>
          <w:p w14:paraId="4A0881EB" w14:textId="77777777"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Tāpat projekts paredz:</w:t>
            </w:r>
          </w:p>
          <w:p w14:paraId="436CFE2C" w14:textId="13052246"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 precizēt Noteikumu 2.punktu, ka Pilsonības un migrācijas lietu pārvalde</w:t>
            </w:r>
            <w:r w:rsidR="006175A2" w:rsidRPr="001D626C">
              <w:rPr>
                <w:rFonts w:ascii="Times New Roman" w:hAnsi="Times New Roman" w:cs="Times New Roman"/>
                <w:sz w:val="24"/>
                <w:szCs w:val="24"/>
              </w:rPr>
              <w:t xml:space="preserve"> (turpmāk – Pārvalde)</w:t>
            </w:r>
            <w:r w:rsidRPr="001D626C">
              <w:rPr>
                <w:rFonts w:ascii="Times New Roman" w:hAnsi="Times New Roman" w:cs="Times New Roman"/>
                <w:sz w:val="24"/>
                <w:szCs w:val="24"/>
              </w:rPr>
              <w:t xml:space="preserve"> Iedzīvotāju reģistrā iekļautās ziņas izsniedz rakstveidā (kas ietver arī elektroniski) vai tiešsaistes datu pārraides režīmā. Tiek izslēgts 2.punkta otrais teikums, jo konstatēts, ka ne visos gadījumos ir lietderīgi piemērot šo regulējumu, </w:t>
            </w:r>
            <w:r w:rsidR="006175A2" w:rsidRPr="001D626C">
              <w:rPr>
                <w:rFonts w:ascii="Times New Roman" w:hAnsi="Times New Roman" w:cs="Times New Roman"/>
                <w:sz w:val="24"/>
                <w:szCs w:val="24"/>
              </w:rPr>
              <w:t>tā kā</w:t>
            </w:r>
            <w:r w:rsidRPr="001D626C">
              <w:rPr>
                <w:rFonts w:ascii="Times New Roman" w:hAnsi="Times New Roman" w:cs="Times New Roman"/>
                <w:sz w:val="24"/>
                <w:szCs w:val="24"/>
              </w:rPr>
              <w:t xml:space="preserve"> atsevišķos gadījumos valsts pārvaldes iestādēm nav nepieciešams saņemt ziņas tiešsaistes datu pārraides </w:t>
            </w:r>
            <w:r w:rsidRPr="001D626C">
              <w:rPr>
                <w:rFonts w:ascii="Times New Roman" w:hAnsi="Times New Roman" w:cs="Times New Roman"/>
                <w:sz w:val="24"/>
                <w:szCs w:val="24"/>
              </w:rPr>
              <w:lastRenderedPageBreak/>
              <w:t>režīmā, bet gan rakstveidā uz konkrēta pieprasījuma pamata.</w:t>
            </w:r>
          </w:p>
          <w:p w14:paraId="475FA3BE" w14:textId="4AFB9B26"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 svītrot 26.punktu, jo nav lietderīgi atrunāt datus, kas jāiekļauj vienošanās. Konstatēts, ka 26.1.apakšpunkts ir vispārīgs, kurā ietvertā informācija tiek vienmēr iekļauta visos līgumos, darījumos un to nav nepieciešams īpaši atrunāt. Savukārt 26.2.apakšpunktā minētā informācija tiek norādīta lietotāju tiesību pieprasījumos, nevis vienošanās, bet 26.3.apakšpunktā norādītā informācija ir mainīga un tiek</w:t>
            </w:r>
            <w:r w:rsidR="006175A2" w:rsidRPr="001D626C">
              <w:rPr>
                <w:rFonts w:ascii="Times New Roman" w:hAnsi="Times New Roman" w:cs="Times New Roman"/>
                <w:sz w:val="24"/>
                <w:szCs w:val="24"/>
              </w:rPr>
              <w:t xml:space="preserve"> arī</w:t>
            </w:r>
            <w:r w:rsidRPr="001D626C">
              <w:rPr>
                <w:rFonts w:ascii="Times New Roman" w:hAnsi="Times New Roman" w:cs="Times New Roman"/>
                <w:sz w:val="24"/>
                <w:szCs w:val="24"/>
              </w:rPr>
              <w:t xml:space="preserve"> ietverta lietotāju pieprasījumos. </w:t>
            </w:r>
          </w:p>
          <w:p w14:paraId="3B198DFC" w14:textId="5D64FFA2"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 xml:space="preserve">- papildināts elektronisko pakalpojumu klāsts ar </w:t>
            </w:r>
            <w:r w:rsidR="00B624C6" w:rsidRPr="001D626C">
              <w:rPr>
                <w:rFonts w:ascii="Times New Roman" w:hAnsi="Times New Roman" w:cs="Times New Roman"/>
                <w:sz w:val="24"/>
                <w:szCs w:val="24"/>
              </w:rPr>
              <w:t>diviem</w:t>
            </w:r>
            <w:r w:rsidRPr="001D626C">
              <w:rPr>
                <w:rFonts w:ascii="Times New Roman" w:hAnsi="Times New Roman" w:cs="Times New Roman"/>
                <w:sz w:val="24"/>
                <w:szCs w:val="24"/>
              </w:rPr>
              <w:t xml:space="preserve"> pakalpojumiem, kas attiecas uz personas kodiem, kas piešķirti līdz 2017.gada 30.jūnijam un pēc 2017.gada 1.jūlija:</w:t>
            </w:r>
          </w:p>
          <w:p w14:paraId="5E68CDD8" w14:textId="237DABCE"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1) bezmaksas pa</w:t>
            </w:r>
            <w:r w:rsidR="006175A2" w:rsidRPr="001D626C">
              <w:rPr>
                <w:rFonts w:ascii="Times New Roman" w:hAnsi="Times New Roman" w:cs="Times New Roman"/>
                <w:sz w:val="24"/>
                <w:szCs w:val="24"/>
              </w:rPr>
              <w:t>kalpojum</w:t>
            </w:r>
            <w:r w:rsidRPr="001D626C">
              <w:rPr>
                <w:rFonts w:ascii="Times New Roman" w:hAnsi="Times New Roman" w:cs="Times New Roman"/>
                <w:sz w:val="24"/>
                <w:szCs w:val="24"/>
              </w:rPr>
              <w:t>s, kura ietvaros identificēta persona var elektroniski saņemt no Iedzīvotāju reģistra informāciju ar apstiprinājumu vai noliegumu par to, vai personas norādītie attiecīgās personas personas kodi atbilst vienai personai. Ziņu pieprasītājam elektroniskajā pieprasījumā jānorāda personas, par kuru nepieciešams saņemt apstiprinājumu, abus personas kodus.</w:t>
            </w:r>
            <w:r w:rsidR="001A75DF" w:rsidRPr="001D626C">
              <w:rPr>
                <w:rFonts w:ascii="Times New Roman" w:hAnsi="Times New Roman" w:cs="Times New Roman"/>
                <w:sz w:val="24"/>
                <w:szCs w:val="24"/>
              </w:rPr>
              <w:t xml:space="preserve"> </w:t>
            </w:r>
          </w:p>
          <w:p w14:paraId="75ADB460" w14:textId="77777777"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Minētais elektroniskais pakalpojums ir jau pieejams tīmekļa vietnē www.latvija.lv;</w:t>
            </w:r>
          </w:p>
          <w:p w14:paraId="23EDD012" w14:textId="76CA59D5"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 xml:space="preserve">2) </w:t>
            </w:r>
            <w:r w:rsidR="00CD0138" w:rsidRPr="001D626C">
              <w:rPr>
                <w:rFonts w:ascii="Times New Roman" w:hAnsi="Times New Roman" w:cs="Times New Roman"/>
                <w:sz w:val="24"/>
                <w:szCs w:val="24"/>
              </w:rPr>
              <w:t>pa</w:t>
            </w:r>
            <w:r w:rsidRPr="001D626C">
              <w:rPr>
                <w:rFonts w:ascii="Times New Roman" w:hAnsi="Times New Roman" w:cs="Times New Roman"/>
                <w:sz w:val="24"/>
                <w:szCs w:val="24"/>
              </w:rPr>
              <w:t xml:space="preserve">kalpojums, kura ietvaros identificēta persona var, </w:t>
            </w:r>
            <w:r w:rsidR="00B01AB3" w:rsidRPr="001D626C">
              <w:rPr>
                <w:rFonts w:ascii="Times New Roman" w:hAnsi="Times New Roman" w:cs="Times New Roman"/>
                <w:sz w:val="24"/>
                <w:szCs w:val="24"/>
              </w:rPr>
              <w:t>pēc valsts nodevas samaksas</w:t>
            </w:r>
            <w:r w:rsidRPr="001D626C">
              <w:rPr>
                <w:rFonts w:ascii="Times New Roman" w:hAnsi="Times New Roman" w:cs="Times New Roman"/>
                <w:sz w:val="24"/>
                <w:szCs w:val="24"/>
              </w:rPr>
              <w:t>, elektroniski saņemt no</w:t>
            </w:r>
            <w:r w:rsidR="00B624C6" w:rsidRPr="001D626C">
              <w:rPr>
                <w:rFonts w:ascii="Times New Roman" w:hAnsi="Times New Roman" w:cs="Times New Roman"/>
                <w:sz w:val="24"/>
                <w:szCs w:val="24"/>
              </w:rPr>
              <w:t xml:space="preserve"> Iedzīvotāju</w:t>
            </w:r>
            <w:r w:rsidRPr="001D626C">
              <w:rPr>
                <w:rFonts w:ascii="Times New Roman" w:hAnsi="Times New Roman" w:cs="Times New Roman"/>
                <w:sz w:val="24"/>
                <w:szCs w:val="24"/>
              </w:rPr>
              <w:t xml:space="preserve"> reģistra informāciju par attiecīgās personas iepriekšējo vai esošo kodu</w:t>
            </w:r>
            <w:r w:rsidR="00FB7D90" w:rsidRPr="001D626C">
              <w:rPr>
                <w:rFonts w:ascii="Times New Roman" w:hAnsi="Times New Roman" w:cs="Times New Roman"/>
                <w:sz w:val="24"/>
                <w:szCs w:val="24"/>
              </w:rPr>
              <w:t>,</w:t>
            </w:r>
            <w:r w:rsidR="00FB7D90" w:rsidRPr="001D626C">
              <w:t xml:space="preserve"> </w:t>
            </w:r>
            <w:r w:rsidR="00FB7D90" w:rsidRPr="001D626C">
              <w:rPr>
                <w:rFonts w:ascii="Times New Roman" w:hAnsi="Times New Roman" w:cs="Times New Roman"/>
                <w:sz w:val="24"/>
                <w:szCs w:val="24"/>
              </w:rPr>
              <w:t>ja personai ir zināms kāds no šiem kodiem</w:t>
            </w:r>
            <w:r w:rsidRPr="001D626C">
              <w:rPr>
                <w:rFonts w:ascii="Times New Roman" w:hAnsi="Times New Roman" w:cs="Times New Roman"/>
                <w:sz w:val="24"/>
                <w:szCs w:val="24"/>
              </w:rPr>
              <w:t>. Ziņu pieprasītājs elektroniskajā pieprasījumā norāda tās personas kodu, par kuru nepieciešams saņemt iepriekšējo vai esošo personas kodu.</w:t>
            </w:r>
          </w:p>
          <w:p w14:paraId="7320F4BF" w14:textId="5EEDF164" w:rsidR="00CC427A" w:rsidRPr="001D626C" w:rsidRDefault="00CC427A"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Lai saņemtu pakalpojumu personai būs jāautorizējas, tad ar internetbankas starpniecību jāsamaksā valsts nodeva un pēc nodevas samaksas persona varēs ievadīt interesējošās personas personas kodu, lai noskaidrotu vai personai ir / nav mainīts personas kods</w:t>
            </w:r>
            <w:r w:rsidR="009B2834" w:rsidRPr="001D626C">
              <w:rPr>
                <w:rFonts w:ascii="Times New Roman" w:hAnsi="Times New Roman" w:cs="Times New Roman"/>
                <w:sz w:val="24"/>
                <w:szCs w:val="24"/>
              </w:rPr>
              <w:t>,</w:t>
            </w:r>
            <w:r w:rsidRPr="001D626C">
              <w:rPr>
                <w:rFonts w:ascii="Times New Roman" w:hAnsi="Times New Roman" w:cs="Times New Roman"/>
                <w:sz w:val="24"/>
                <w:szCs w:val="24"/>
              </w:rPr>
              <w:t xml:space="preserve"> un gadījumā, ja ir</w:t>
            </w:r>
            <w:r w:rsidR="009B2834" w:rsidRPr="001D626C">
              <w:rPr>
                <w:rFonts w:ascii="Times New Roman" w:hAnsi="Times New Roman" w:cs="Times New Roman"/>
                <w:sz w:val="24"/>
                <w:szCs w:val="24"/>
              </w:rPr>
              <w:t xml:space="preserve"> mainīts</w:t>
            </w:r>
            <w:r w:rsidRPr="001D626C">
              <w:rPr>
                <w:rFonts w:ascii="Times New Roman" w:hAnsi="Times New Roman" w:cs="Times New Roman"/>
                <w:sz w:val="24"/>
                <w:szCs w:val="24"/>
              </w:rPr>
              <w:t>, tad kāds ir iepriekšējais vai esošais personas kods.</w:t>
            </w:r>
          </w:p>
          <w:p w14:paraId="75540C7E" w14:textId="77777777"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Šis pakalpojums nodrošinās pārbaudi vai personai ir iepriekš mainīts tai piešķirtais personas kods vai nē, piemēram, persona, kurai ir zināms personas līdz 2017.gada 30.jūnijam piešķirtais kods var uzzināt vai persona pēc 2017.gada 1.jūlija ir mainījusi personas kodu un kāds tas ir, kā arī gadījumā, ja personas rīcībā ir personas pēc 2017.gada 1.jūlija piešķirtais personas kods, tad pakalpojuma ietvaros varēs uzzināt šīs personas līdz 2017.gada 30.jūnijam piešķirto personas kodu. Minēto elektronisko pakalpojumu plānots izstrādāt līdz 2018.gada 1.jūnijam.</w:t>
            </w:r>
          </w:p>
          <w:p w14:paraId="34702254" w14:textId="4381BE1E"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 xml:space="preserve">Šāds termiņš noteikts ņemot vērā izstrādes nepieciešamību un to, ka </w:t>
            </w:r>
            <w:r w:rsidR="00B624C6" w:rsidRPr="001D626C">
              <w:rPr>
                <w:rFonts w:ascii="Times New Roman" w:hAnsi="Times New Roman" w:cs="Times New Roman"/>
                <w:sz w:val="24"/>
                <w:szCs w:val="24"/>
              </w:rPr>
              <w:t>ar</w:t>
            </w:r>
            <w:r w:rsidR="009B2834" w:rsidRPr="001D626C">
              <w:rPr>
                <w:rFonts w:ascii="Times New Roman" w:hAnsi="Times New Roman" w:cs="Times New Roman"/>
                <w:sz w:val="24"/>
                <w:szCs w:val="24"/>
              </w:rPr>
              <w:t xml:space="preserve"> </w:t>
            </w:r>
            <w:r w:rsidRPr="001D626C">
              <w:rPr>
                <w:rFonts w:ascii="Times New Roman" w:hAnsi="Times New Roman" w:cs="Times New Roman"/>
                <w:sz w:val="24"/>
                <w:szCs w:val="24"/>
              </w:rPr>
              <w:t>2018.gada 1.janvār</w:t>
            </w:r>
            <w:r w:rsidR="009B2834" w:rsidRPr="001D626C">
              <w:rPr>
                <w:rFonts w:ascii="Times New Roman" w:hAnsi="Times New Roman" w:cs="Times New Roman"/>
                <w:sz w:val="24"/>
                <w:szCs w:val="24"/>
              </w:rPr>
              <w:t>i</w:t>
            </w:r>
            <w:r w:rsidRPr="001D626C">
              <w:rPr>
                <w:rFonts w:ascii="Times New Roman" w:hAnsi="Times New Roman" w:cs="Times New Roman"/>
                <w:sz w:val="24"/>
                <w:szCs w:val="24"/>
              </w:rPr>
              <w:t xml:space="preserve"> stāsies spēkā Ministru </w:t>
            </w:r>
            <w:r w:rsidRPr="001D626C">
              <w:rPr>
                <w:rFonts w:ascii="Times New Roman" w:hAnsi="Times New Roman" w:cs="Times New Roman"/>
                <w:sz w:val="24"/>
                <w:szCs w:val="24"/>
              </w:rPr>
              <w:lastRenderedPageBreak/>
              <w:t>kabineta</w:t>
            </w:r>
            <w:r w:rsidR="00B624C6" w:rsidRPr="001D626C">
              <w:rPr>
                <w:rFonts w:ascii="Times New Roman" w:hAnsi="Times New Roman" w:cs="Times New Roman"/>
                <w:sz w:val="24"/>
                <w:szCs w:val="24"/>
              </w:rPr>
              <w:t xml:space="preserve"> 2017.gada 29.augusta</w:t>
            </w:r>
            <w:r w:rsidRPr="001D626C">
              <w:rPr>
                <w:rFonts w:ascii="Times New Roman" w:hAnsi="Times New Roman" w:cs="Times New Roman"/>
                <w:sz w:val="24"/>
                <w:szCs w:val="24"/>
              </w:rPr>
              <w:t xml:space="preserve"> noteikumi</w:t>
            </w:r>
            <w:r w:rsidR="00B624C6" w:rsidRPr="001D626C">
              <w:rPr>
                <w:rFonts w:ascii="Times New Roman" w:hAnsi="Times New Roman" w:cs="Times New Roman"/>
                <w:sz w:val="24"/>
                <w:szCs w:val="24"/>
              </w:rPr>
              <w:t xml:space="preserve"> Nr.505</w:t>
            </w:r>
            <w:r w:rsidRPr="001D626C">
              <w:rPr>
                <w:rFonts w:ascii="Times New Roman" w:hAnsi="Times New Roman" w:cs="Times New Roman"/>
                <w:sz w:val="24"/>
                <w:szCs w:val="24"/>
              </w:rPr>
              <w:t xml:space="preserve"> “Noteikumi par valsts nodevu par informācijas saņemšanu no Iedzīvotāju reģistra”</w:t>
            </w:r>
            <w:r w:rsidR="00B624C6" w:rsidRPr="001D626C">
              <w:rPr>
                <w:rFonts w:ascii="Times New Roman" w:hAnsi="Times New Roman" w:cs="Times New Roman"/>
                <w:sz w:val="24"/>
                <w:szCs w:val="24"/>
              </w:rPr>
              <w:t>,</w:t>
            </w:r>
            <w:r w:rsidRPr="001D626C">
              <w:rPr>
                <w:rFonts w:ascii="Times New Roman" w:hAnsi="Times New Roman" w:cs="Times New Roman"/>
                <w:sz w:val="24"/>
                <w:szCs w:val="24"/>
              </w:rPr>
              <w:t xml:space="preserve"> </w:t>
            </w:r>
            <w:r w:rsidR="00B624C6" w:rsidRPr="001D626C">
              <w:rPr>
                <w:rFonts w:ascii="Times New Roman" w:hAnsi="Times New Roman" w:cs="Times New Roman"/>
                <w:sz w:val="24"/>
                <w:szCs w:val="24"/>
              </w:rPr>
              <w:t>kas paredz</w:t>
            </w:r>
            <w:r w:rsidRPr="001D626C">
              <w:rPr>
                <w:rFonts w:ascii="Times New Roman" w:hAnsi="Times New Roman" w:cs="Times New Roman"/>
                <w:sz w:val="24"/>
                <w:szCs w:val="24"/>
              </w:rPr>
              <w:t xml:space="preserve">, ka informācijas saņemšana tiešsaistes datu pārraides režīmā vai izmantojot elektronisko pakalpojumu par vienu personu, ja informācija sagatavota pēc tās pieprasītāja norādītajiem kritērijiem, izņemot uzticamus sertifikācijas pakalpojumu sniedzējus un kvalificētus identifikācijas pakalpojumu sniedzējus – 2,00 </w:t>
            </w:r>
            <w:r w:rsidRPr="001D626C">
              <w:rPr>
                <w:rFonts w:ascii="Times New Roman" w:hAnsi="Times New Roman" w:cs="Times New Roman"/>
                <w:i/>
                <w:sz w:val="24"/>
                <w:szCs w:val="24"/>
              </w:rPr>
              <w:t>euro</w:t>
            </w:r>
            <w:r w:rsidRPr="001D626C">
              <w:rPr>
                <w:rFonts w:ascii="Times New Roman" w:hAnsi="Times New Roman" w:cs="Times New Roman"/>
                <w:sz w:val="24"/>
                <w:szCs w:val="24"/>
              </w:rPr>
              <w:t xml:space="preserve"> (2.6.apakšpunkts).</w:t>
            </w:r>
          </w:p>
          <w:p w14:paraId="07F605B3" w14:textId="77777777" w:rsidR="000B6583" w:rsidRPr="001D626C" w:rsidRDefault="000B6583" w:rsidP="004A5DB6">
            <w:pPr>
              <w:spacing w:after="0"/>
              <w:jc w:val="both"/>
              <w:rPr>
                <w:rFonts w:ascii="Times New Roman" w:hAnsi="Times New Roman" w:cs="Times New Roman"/>
                <w:strike/>
                <w:sz w:val="24"/>
                <w:szCs w:val="24"/>
              </w:rPr>
            </w:pPr>
          </w:p>
          <w:p w14:paraId="3DE8AF0C" w14:textId="0AAEDDBD" w:rsidR="00086487" w:rsidRPr="001D626C" w:rsidRDefault="00086487" w:rsidP="004A5DB6">
            <w:pPr>
              <w:spacing w:after="0"/>
              <w:jc w:val="both"/>
              <w:rPr>
                <w:rFonts w:ascii="Times New Roman" w:hAnsi="Times New Roman" w:cs="Times New Roman"/>
                <w:sz w:val="24"/>
                <w:szCs w:val="24"/>
              </w:rPr>
            </w:pPr>
            <w:r w:rsidRPr="001D626C">
              <w:rPr>
                <w:rFonts w:ascii="Times New Roman" w:hAnsi="Times New Roman" w:cs="Times New Roman"/>
                <w:sz w:val="24"/>
                <w:szCs w:val="24"/>
              </w:rPr>
              <w:t>Par šād</w:t>
            </w:r>
            <w:r w:rsidR="003D70C9" w:rsidRPr="001D626C">
              <w:rPr>
                <w:rFonts w:ascii="Times New Roman" w:hAnsi="Times New Roman" w:cs="Times New Roman"/>
                <w:sz w:val="24"/>
                <w:szCs w:val="24"/>
              </w:rPr>
              <w:t>a</w:t>
            </w:r>
            <w:r w:rsidRPr="001D626C">
              <w:rPr>
                <w:rFonts w:ascii="Times New Roman" w:hAnsi="Times New Roman" w:cs="Times New Roman"/>
                <w:sz w:val="24"/>
                <w:szCs w:val="24"/>
              </w:rPr>
              <w:t xml:space="preserve"> elektronisk</w:t>
            </w:r>
            <w:r w:rsidR="003D70C9" w:rsidRPr="001D626C">
              <w:rPr>
                <w:rFonts w:ascii="Times New Roman" w:hAnsi="Times New Roman" w:cs="Times New Roman"/>
                <w:sz w:val="24"/>
                <w:szCs w:val="24"/>
              </w:rPr>
              <w:t>ā</w:t>
            </w:r>
            <w:r w:rsidRPr="001D626C">
              <w:rPr>
                <w:rFonts w:ascii="Times New Roman" w:hAnsi="Times New Roman" w:cs="Times New Roman"/>
                <w:sz w:val="24"/>
                <w:szCs w:val="24"/>
              </w:rPr>
              <w:t xml:space="preserve"> pakalpojum</w:t>
            </w:r>
            <w:r w:rsidR="003D70C9" w:rsidRPr="001D626C">
              <w:rPr>
                <w:rFonts w:ascii="Times New Roman" w:hAnsi="Times New Roman" w:cs="Times New Roman"/>
                <w:sz w:val="24"/>
                <w:szCs w:val="24"/>
              </w:rPr>
              <w:t>a</w:t>
            </w:r>
            <w:r w:rsidRPr="001D626C">
              <w:rPr>
                <w:rFonts w:ascii="Times New Roman" w:hAnsi="Times New Roman" w:cs="Times New Roman"/>
                <w:sz w:val="24"/>
                <w:szCs w:val="24"/>
              </w:rPr>
              <w:t xml:space="preserve"> izstrādes nepieciešamu ir vairākkārt norādījušas gan juridiskās, gan privātās personas. Lai nepieciešamības gadījumā, kad tiek gatavoti dokumenti tiesai, pārliecinātos vai persona nav mainījusi</w:t>
            </w:r>
            <w:r w:rsidR="000B6583" w:rsidRPr="001D626C">
              <w:rPr>
                <w:rFonts w:ascii="Times New Roman" w:hAnsi="Times New Roman" w:cs="Times New Roman"/>
                <w:sz w:val="24"/>
                <w:szCs w:val="24"/>
              </w:rPr>
              <w:t xml:space="preserve"> personas</w:t>
            </w:r>
            <w:r w:rsidRPr="001D626C">
              <w:rPr>
                <w:rFonts w:ascii="Times New Roman" w:hAnsi="Times New Roman" w:cs="Times New Roman"/>
                <w:sz w:val="24"/>
                <w:szCs w:val="24"/>
              </w:rPr>
              <w:t xml:space="preserve"> kodu, lai tādā veidā mēģinātu izvairīties no līgumu izpildes, jo, lai iesniegtu prasības pieteikumu tiesā, nepieciešams norādīt atbildētāja aktuālo personas personas ko</w:t>
            </w:r>
            <w:r w:rsidR="000B6583" w:rsidRPr="001D626C">
              <w:rPr>
                <w:rFonts w:ascii="Times New Roman" w:hAnsi="Times New Roman" w:cs="Times New Roman"/>
                <w:sz w:val="24"/>
                <w:szCs w:val="24"/>
              </w:rPr>
              <w:t>du. Ievērojot to, ka pakalpojumu</w:t>
            </w:r>
            <w:r w:rsidRPr="001D626C">
              <w:rPr>
                <w:rFonts w:ascii="Times New Roman" w:hAnsi="Times New Roman" w:cs="Times New Roman"/>
                <w:sz w:val="24"/>
                <w:szCs w:val="24"/>
              </w:rPr>
              <w:t xml:space="preserve"> varēs izmantot, ja ir zināms personas personas kods, tad prezumējams, ka šo pakalpojumu varēs izmantot tikai tie, kuriem šīs personas pašas būs norādījuš</w:t>
            </w:r>
            <w:r w:rsidR="003D70C9" w:rsidRPr="001D626C">
              <w:rPr>
                <w:rFonts w:ascii="Times New Roman" w:hAnsi="Times New Roman" w:cs="Times New Roman"/>
                <w:sz w:val="24"/>
                <w:szCs w:val="24"/>
              </w:rPr>
              <w:t>as</w:t>
            </w:r>
            <w:r w:rsidRPr="001D626C">
              <w:rPr>
                <w:rFonts w:ascii="Times New Roman" w:hAnsi="Times New Roman" w:cs="Times New Roman"/>
                <w:sz w:val="24"/>
                <w:szCs w:val="24"/>
              </w:rPr>
              <w:t xml:space="preserve"> savu personas kodu. Tā kā informācijas pieprasītājam būs jāautorizējas un pieprasītājs tiks identificēts, turklāt par pakalpojama izmantošanu būs jāmaksā, paredzams, ka pakalpojums neveicinās nepamatotu datu apstrādi. Turklāt norādāms, ka pakalpojuma ietvaros tiks norādīts un izgūts tikai personas personas kods. Tādējādi privātpersonas tiesību ierobežojums ir samērīgs ar trešās personas tiesībām</w:t>
            </w:r>
            <w:r w:rsidR="008510F2" w:rsidRPr="001D626C">
              <w:rPr>
                <w:rFonts w:ascii="Times New Roman" w:hAnsi="Times New Roman" w:cs="Times New Roman"/>
                <w:sz w:val="24"/>
                <w:szCs w:val="24"/>
              </w:rPr>
              <w:t>, kuras rīcībā jau ir viens no personas personas kodiem (ar dzimšanas datumu vai bez)</w:t>
            </w:r>
            <w:r w:rsidRPr="001D626C">
              <w:rPr>
                <w:rFonts w:ascii="Times New Roman" w:hAnsi="Times New Roman" w:cs="Times New Roman"/>
                <w:sz w:val="24"/>
                <w:szCs w:val="24"/>
              </w:rPr>
              <w:t xml:space="preserve"> iegūt</w:t>
            </w:r>
            <w:r w:rsidR="008510F2" w:rsidRPr="001D626C">
              <w:rPr>
                <w:rFonts w:ascii="Times New Roman" w:hAnsi="Times New Roman" w:cs="Times New Roman"/>
                <w:sz w:val="24"/>
                <w:szCs w:val="24"/>
              </w:rPr>
              <w:t xml:space="preserve"> aktuālās</w:t>
            </w:r>
            <w:r w:rsidRPr="001D626C">
              <w:rPr>
                <w:rFonts w:ascii="Times New Roman" w:hAnsi="Times New Roman" w:cs="Times New Roman"/>
                <w:sz w:val="24"/>
                <w:szCs w:val="24"/>
              </w:rPr>
              <w:t xml:space="preserve"> ziņas savu likumīgo tiesību aizsardzībai</w:t>
            </w:r>
            <w:r w:rsidR="008510F2" w:rsidRPr="001D626C">
              <w:rPr>
                <w:rFonts w:ascii="Times New Roman" w:hAnsi="Times New Roman" w:cs="Times New Roman"/>
                <w:sz w:val="24"/>
                <w:szCs w:val="24"/>
              </w:rPr>
              <w:t>.</w:t>
            </w:r>
          </w:p>
          <w:p w14:paraId="22902BB7" w14:textId="77777777" w:rsidR="008510F2" w:rsidRPr="001D626C" w:rsidRDefault="008510F2" w:rsidP="004A5DB6">
            <w:pPr>
              <w:spacing w:after="0"/>
              <w:jc w:val="both"/>
              <w:rPr>
                <w:rFonts w:ascii="Times New Roman" w:hAnsi="Times New Roman" w:cs="Times New Roman"/>
                <w:sz w:val="24"/>
                <w:szCs w:val="24"/>
              </w:rPr>
            </w:pPr>
          </w:p>
          <w:p w14:paraId="0FE9C27B" w14:textId="77CD0E08" w:rsidR="008510F2" w:rsidRPr="001D626C" w:rsidRDefault="003D70C9" w:rsidP="000153DB">
            <w:pPr>
              <w:spacing w:after="0"/>
              <w:jc w:val="both"/>
              <w:rPr>
                <w:rFonts w:ascii="Times New Roman" w:hAnsi="Times New Roman" w:cs="Times New Roman"/>
                <w:iCs/>
                <w:sz w:val="24"/>
                <w:szCs w:val="24"/>
              </w:rPr>
            </w:pPr>
            <w:r w:rsidRPr="001D626C">
              <w:rPr>
                <w:rFonts w:ascii="Times New Roman" w:hAnsi="Times New Roman" w:cs="Times New Roman"/>
                <w:sz w:val="24"/>
                <w:szCs w:val="24"/>
              </w:rPr>
              <w:t>Tāpat šā elektroniskā pakalpojuma</w:t>
            </w:r>
            <w:r w:rsidR="008510F2" w:rsidRPr="001D626C">
              <w:rPr>
                <w:rFonts w:ascii="Times New Roman" w:hAnsi="Times New Roman" w:cs="Times New Roman"/>
                <w:sz w:val="24"/>
                <w:szCs w:val="24"/>
              </w:rPr>
              <w:t xml:space="preserve"> izstrāde izriet no</w:t>
            </w:r>
            <w:r w:rsidR="000E5CC8" w:rsidRPr="001D626C">
              <w:rPr>
                <w:rFonts w:ascii="Times New Roman" w:hAnsi="Times New Roman" w:cs="Times New Roman"/>
                <w:sz w:val="24"/>
                <w:szCs w:val="24"/>
              </w:rPr>
              <w:t xml:space="preserve"> 2015.gada 17.decembra</w:t>
            </w:r>
            <w:r w:rsidR="008510F2" w:rsidRPr="001D626C">
              <w:rPr>
                <w:rFonts w:ascii="Times New Roman" w:hAnsi="Times New Roman" w:cs="Times New Roman"/>
                <w:sz w:val="24"/>
                <w:szCs w:val="24"/>
              </w:rPr>
              <w:t xml:space="preserve"> likuma “Grozījumi Iedzīvotāju reģistra likumā” anotācijā norādītā, ka </w:t>
            </w:r>
            <w:r w:rsidR="000153DB" w:rsidRPr="001D626C">
              <w:rPr>
                <w:rFonts w:ascii="Times New Roman" w:hAnsi="Times New Roman" w:cs="Times New Roman"/>
                <w:sz w:val="24"/>
                <w:szCs w:val="24"/>
              </w:rPr>
              <w:t>“tiks izveidots bezmaksas e</w:t>
            </w:r>
            <w:r w:rsidR="000153DB" w:rsidRPr="001D626C">
              <w:rPr>
                <w:rFonts w:ascii="Times New Roman" w:hAnsi="Times New Roman" w:cs="Times New Roman"/>
                <w:iCs/>
                <w:sz w:val="24"/>
                <w:szCs w:val="24"/>
              </w:rPr>
              <w:t>-pakalpojums „Iepriekšējā un piešķirtā jaunā personas koda salīdzināšana”. Datu saņēmēji (zvērināti notāri, u.c.), aplūkojot datus Iedzīvotāju reģistrā, pēc personas koda ievadīšanas saņems informāciju par jauno personas kodu. Šaubu gadījumā būs iespēja izmantot e-pakalpojumu personas koda salīdzināšanai. Tādējādi tiks nodrošināta iespēja pēc aktuālā personas koda saņemt informāciju par personas iepriekšējo personas kodu. Ja iepriekš noslēgtā vienošanās neparedz datu saņemšanu no Iedzīvotāju reģistra informācijas sistēmas pietiekamā apjomā, datu saņēmējs varēs lūgt to turpmāk nodrošināt, noslēdzot attiecīgu vienošanos ar Pilsonības un migrācijas lietu pārvaldi.”.</w:t>
            </w:r>
          </w:p>
          <w:p w14:paraId="15D6A89A" w14:textId="77777777" w:rsidR="000449B0" w:rsidRPr="001D626C" w:rsidRDefault="000153DB" w:rsidP="000449B0">
            <w:pPr>
              <w:spacing w:after="0"/>
              <w:jc w:val="both"/>
              <w:rPr>
                <w:rFonts w:ascii="Times New Roman" w:hAnsi="Times New Roman" w:cs="Times New Roman"/>
                <w:iCs/>
                <w:sz w:val="24"/>
                <w:szCs w:val="24"/>
              </w:rPr>
            </w:pPr>
            <w:r w:rsidRPr="001D626C">
              <w:rPr>
                <w:rFonts w:ascii="Times New Roman" w:hAnsi="Times New Roman" w:cs="Times New Roman"/>
                <w:iCs/>
                <w:sz w:val="24"/>
                <w:szCs w:val="24"/>
              </w:rPr>
              <w:lastRenderedPageBreak/>
              <w:t>Ievērojot minēto, uzsākot izstrādāt elektronisko pakalpojumu, par kura</w:t>
            </w:r>
            <w:r w:rsidR="0007086C" w:rsidRPr="001D626C">
              <w:rPr>
                <w:rFonts w:ascii="Times New Roman" w:hAnsi="Times New Roman" w:cs="Times New Roman"/>
                <w:iCs/>
                <w:sz w:val="24"/>
                <w:szCs w:val="24"/>
              </w:rPr>
              <w:t xml:space="preserve"> izstrādi</w:t>
            </w:r>
            <w:r w:rsidRPr="001D626C">
              <w:rPr>
                <w:rFonts w:ascii="Times New Roman" w:hAnsi="Times New Roman" w:cs="Times New Roman"/>
                <w:iCs/>
                <w:sz w:val="24"/>
                <w:szCs w:val="24"/>
              </w:rPr>
              <w:t xml:space="preserve"> sabiedrība bija informēta jau 2015.gadā, nolemts, ka var izveidot bezmaksas elektronisko pakalpojumu “Personas kodu atbilstība vienai personai”, kura ietvaros nodrošināta iepriekšējā un jaunā personas koda salīdzināšana</w:t>
            </w:r>
            <w:r w:rsidR="005F340A" w:rsidRPr="001D626C">
              <w:rPr>
                <w:rFonts w:ascii="Times New Roman" w:hAnsi="Times New Roman" w:cs="Times New Roman"/>
                <w:iCs/>
                <w:sz w:val="24"/>
                <w:szCs w:val="24"/>
              </w:rPr>
              <w:t xml:space="preserve"> – </w:t>
            </w:r>
            <w:r w:rsidR="0007086C" w:rsidRPr="001D626C">
              <w:rPr>
                <w:rFonts w:ascii="Times New Roman" w:hAnsi="Times New Roman" w:cs="Times New Roman"/>
                <w:iCs/>
                <w:sz w:val="24"/>
                <w:szCs w:val="24"/>
              </w:rPr>
              <w:t xml:space="preserve">pakalpojuma izmantošanai trešajai personai ir nepieciešams zināt precīzi personas iepriekšējo un jauno kodu, ko attiecīgi </w:t>
            </w:r>
            <w:r w:rsidR="005F340A" w:rsidRPr="001D626C">
              <w:rPr>
                <w:rFonts w:ascii="Times New Roman" w:hAnsi="Times New Roman" w:cs="Times New Roman"/>
                <w:iCs/>
                <w:sz w:val="24"/>
                <w:szCs w:val="24"/>
              </w:rPr>
              <w:t>nevar</w:t>
            </w:r>
            <w:r w:rsidR="0007086C" w:rsidRPr="001D626C">
              <w:rPr>
                <w:rFonts w:ascii="Times New Roman" w:hAnsi="Times New Roman" w:cs="Times New Roman"/>
                <w:iCs/>
                <w:sz w:val="24"/>
                <w:szCs w:val="24"/>
              </w:rPr>
              <w:t xml:space="preserve"> zināt, ja pati persona to</w:t>
            </w:r>
            <w:r w:rsidR="005F340A" w:rsidRPr="001D626C">
              <w:rPr>
                <w:rFonts w:ascii="Times New Roman" w:hAnsi="Times New Roman" w:cs="Times New Roman"/>
                <w:iCs/>
                <w:sz w:val="24"/>
                <w:szCs w:val="24"/>
              </w:rPr>
              <w:t>s</w:t>
            </w:r>
            <w:r w:rsidR="0007086C" w:rsidRPr="001D626C">
              <w:rPr>
                <w:rFonts w:ascii="Times New Roman" w:hAnsi="Times New Roman" w:cs="Times New Roman"/>
                <w:iCs/>
                <w:sz w:val="24"/>
                <w:szCs w:val="24"/>
              </w:rPr>
              <w:t xml:space="preserve"> nav pateikusi.</w:t>
            </w:r>
            <w:r w:rsidR="005F340A" w:rsidRPr="001D626C">
              <w:rPr>
                <w:rFonts w:ascii="Times New Roman" w:hAnsi="Times New Roman" w:cs="Times New Roman"/>
                <w:iCs/>
                <w:sz w:val="24"/>
                <w:szCs w:val="24"/>
              </w:rPr>
              <w:t xml:space="preserve"> </w:t>
            </w:r>
          </w:p>
          <w:p w14:paraId="3DDF17EA" w14:textId="245F992B" w:rsidR="00FB7D90" w:rsidRPr="001D626C" w:rsidRDefault="0007086C" w:rsidP="003F2C1D">
            <w:pPr>
              <w:spacing w:after="0"/>
              <w:jc w:val="both"/>
              <w:rPr>
                <w:rFonts w:ascii="Times New Roman" w:hAnsi="Times New Roman" w:cs="Times New Roman"/>
                <w:iCs/>
                <w:sz w:val="24"/>
                <w:szCs w:val="24"/>
              </w:rPr>
            </w:pPr>
            <w:r w:rsidRPr="001D626C">
              <w:rPr>
                <w:rFonts w:ascii="Times New Roman" w:hAnsi="Times New Roman" w:cs="Times New Roman"/>
                <w:iCs/>
                <w:sz w:val="24"/>
                <w:szCs w:val="24"/>
              </w:rPr>
              <w:t>Savukārt ņemot vērā, personas koda nozīmību personas viennozīmīg</w:t>
            </w:r>
            <w:r w:rsidR="000449B0" w:rsidRPr="001D626C">
              <w:rPr>
                <w:rFonts w:ascii="Times New Roman" w:hAnsi="Times New Roman" w:cs="Times New Roman"/>
                <w:iCs/>
                <w:sz w:val="24"/>
                <w:szCs w:val="24"/>
              </w:rPr>
              <w:t>ā</w:t>
            </w:r>
            <w:r w:rsidRPr="001D626C">
              <w:rPr>
                <w:rFonts w:ascii="Times New Roman" w:hAnsi="Times New Roman" w:cs="Times New Roman"/>
                <w:iCs/>
                <w:sz w:val="24"/>
                <w:szCs w:val="24"/>
              </w:rPr>
              <w:t xml:space="preserve"> identificēšan</w:t>
            </w:r>
            <w:r w:rsidR="000449B0" w:rsidRPr="001D626C">
              <w:rPr>
                <w:rFonts w:ascii="Times New Roman" w:hAnsi="Times New Roman" w:cs="Times New Roman"/>
                <w:iCs/>
                <w:sz w:val="24"/>
                <w:szCs w:val="24"/>
              </w:rPr>
              <w:t>ā</w:t>
            </w:r>
            <w:r w:rsidRPr="001D626C">
              <w:rPr>
                <w:rFonts w:ascii="Times New Roman" w:hAnsi="Times New Roman" w:cs="Times New Roman"/>
                <w:iCs/>
                <w:sz w:val="24"/>
                <w:szCs w:val="24"/>
              </w:rPr>
              <w:t>, it īpaši tiesisko darījumu slēgšanā, tiesību nodrošināšanā (vēršanās tiesā ar pieteikumu)</w:t>
            </w:r>
            <w:r w:rsidR="000449B0" w:rsidRPr="001D626C">
              <w:rPr>
                <w:rFonts w:ascii="Times New Roman" w:hAnsi="Times New Roman" w:cs="Times New Roman"/>
                <w:iCs/>
                <w:sz w:val="24"/>
                <w:szCs w:val="24"/>
              </w:rPr>
              <w:t xml:space="preserve">, kā arī juridisko personu (piemēram, Latvijas Apdrošināšanas asociācijas) sniegto viedokli, ka bezmaksas pakalpojums neļauj viennozīmīgi identificēt personas un pateikt, ka iepriekš līgumu noslēgusī persona ir tā pati persona, kura vēlas šobrīd noslēgt līgumu vai arī līguma neizpildes rezultātā, </w:t>
            </w:r>
            <w:r w:rsidR="003F2C1D" w:rsidRPr="001D626C">
              <w:rPr>
                <w:rFonts w:ascii="Times New Roman" w:hAnsi="Times New Roman" w:cs="Times New Roman"/>
                <w:iCs/>
                <w:sz w:val="24"/>
                <w:szCs w:val="24"/>
              </w:rPr>
              <w:t>konstatēt, ka pieteikumā</w:t>
            </w:r>
            <w:r w:rsidR="003D70C9" w:rsidRPr="001D626C">
              <w:rPr>
                <w:rFonts w:ascii="Times New Roman" w:hAnsi="Times New Roman" w:cs="Times New Roman"/>
                <w:iCs/>
                <w:sz w:val="24"/>
                <w:szCs w:val="24"/>
              </w:rPr>
              <w:t xml:space="preserve"> tiesai</w:t>
            </w:r>
            <w:r w:rsidR="003F2C1D" w:rsidRPr="001D626C">
              <w:rPr>
                <w:rFonts w:ascii="Times New Roman" w:hAnsi="Times New Roman" w:cs="Times New Roman"/>
                <w:iCs/>
                <w:sz w:val="24"/>
                <w:szCs w:val="24"/>
              </w:rPr>
              <w:t xml:space="preserve"> norādāms cits personas personas kods, nekā uz līguma noslēgšanas brīdi, jo klienti var apzināti nepaziņot par sava personas koda maiņu, kā arī, ņemot vērā</w:t>
            </w:r>
            <w:r w:rsidR="000449B0" w:rsidRPr="001D626C">
              <w:rPr>
                <w:rFonts w:ascii="Times New Roman" w:hAnsi="Times New Roman" w:cs="Times New Roman"/>
                <w:iCs/>
                <w:sz w:val="24"/>
                <w:szCs w:val="24"/>
              </w:rPr>
              <w:t xml:space="preserve"> to, ka ir samērā liels personu skaits, kas mainījis personas kodu (</w:t>
            </w:r>
            <w:r w:rsidR="00ED0E0E" w:rsidRPr="001D626C">
              <w:rPr>
                <w:rFonts w:ascii="Times New Roman" w:hAnsi="Times New Roman" w:cs="Times New Roman"/>
                <w:iCs/>
                <w:sz w:val="24"/>
                <w:szCs w:val="24"/>
              </w:rPr>
              <w:t>2017.gada jūlijā – 97</w:t>
            </w:r>
            <w:r w:rsidR="000449B0" w:rsidRPr="001D626C">
              <w:rPr>
                <w:rFonts w:ascii="Times New Roman" w:hAnsi="Times New Roman" w:cs="Times New Roman"/>
                <w:iCs/>
                <w:sz w:val="24"/>
                <w:szCs w:val="24"/>
              </w:rPr>
              <w:t xml:space="preserve"> persona</w:t>
            </w:r>
            <w:r w:rsidR="00ED0E0E" w:rsidRPr="001D626C">
              <w:rPr>
                <w:rFonts w:ascii="Times New Roman" w:hAnsi="Times New Roman" w:cs="Times New Roman"/>
                <w:iCs/>
                <w:sz w:val="24"/>
                <w:szCs w:val="24"/>
              </w:rPr>
              <w:t>s</w:t>
            </w:r>
            <w:r w:rsidR="000449B0" w:rsidRPr="001D626C">
              <w:rPr>
                <w:rFonts w:ascii="Times New Roman" w:hAnsi="Times New Roman" w:cs="Times New Roman"/>
                <w:iCs/>
                <w:sz w:val="24"/>
                <w:szCs w:val="24"/>
              </w:rPr>
              <w:t>),</w:t>
            </w:r>
            <w:r w:rsidRPr="001D626C">
              <w:rPr>
                <w:rFonts w:ascii="Times New Roman" w:hAnsi="Times New Roman" w:cs="Times New Roman"/>
                <w:iCs/>
                <w:sz w:val="24"/>
                <w:szCs w:val="24"/>
              </w:rPr>
              <w:t xml:space="preserve"> konstatēts, ka </w:t>
            </w:r>
            <w:r w:rsidR="000449B0" w:rsidRPr="001D626C">
              <w:rPr>
                <w:rFonts w:ascii="Times New Roman" w:hAnsi="Times New Roman" w:cs="Times New Roman"/>
                <w:iCs/>
                <w:sz w:val="24"/>
                <w:szCs w:val="24"/>
              </w:rPr>
              <w:t>nepieciešams nodrošināt elektronisko pakalpojumu, kura ietvaros trešā persona, kuras rīcībā</w:t>
            </w:r>
            <w:r w:rsidR="003F2C1D" w:rsidRPr="001D626C">
              <w:rPr>
                <w:rFonts w:ascii="Times New Roman" w:hAnsi="Times New Roman" w:cs="Times New Roman"/>
                <w:iCs/>
                <w:sz w:val="24"/>
                <w:szCs w:val="24"/>
              </w:rPr>
              <w:t xml:space="preserve"> jau</w:t>
            </w:r>
            <w:r w:rsidR="000449B0" w:rsidRPr="001D626C">
              <w:rPr>
                <w:rFonts w:ascii="Times New Roman" w:hAnsi="Times New Roman" w:cs="Times New Roman"/>
                <w:iCs/>
                <w:sz w:val="24"/>
                <w:szCs w:val="24"/>
              </w:rPr>
              <w:t xml:space="preserve"> ir personas personas kods, var uzzināt personas jauno vai iepriekšējo personas kodu. </w:t>
            </w:r>
            <w:r w:rsidR="00B01AB3" w:rsidRPr="001D626C">
              <w:rPr>
                <w:rFonts w:ascii="Times New Roman" w:hAnsi="Times New Roman" w:cs="Times New Roman"/>
                <w:sz w:val="24"/>
                <w:szCs w:val="24"/>
              </w:rPr>
              <w:t xml:space="preserve"> Lai neradītu nepamatotu datu apstrādi, par ziņu pieprasīšanu būs maksājama valsts nodeva un pakalpojumu varēs izmantot tikai identificēta persona.</w:t>
            </w:r>
          </w:p>
          <w:p w14:paraId="32A55210" w14:textId="2C4BDBF8" w:rsidR="0004346B" w:rsidRPr="001D626C" w:rsidRDefault="00152197" w:rsidP="0004346B">
            <w:pPr>
              <w:spacing w:after="0"/>
              <w:jc w:val="both"/>
              <w:rPr>
                <w:rFonts w:ascii="Times New Roman" w:hAnsi="Times New Roman" w:cs="Times New Roman"/>
                <w:sz w:val="24"/>
                <w:szCs w:val="24"/>
              </w:rPr>
            </w:pPr>
            <w:r w:rsidRPr="001D626C">
              <w:rPr>
                <w:rFonts w:ascii="Times New Roman" w:hAnsi="Times New Roman" w:cs="Times New Roman"/>
                <w:iCs/>
                <w:sz w:val="24"/>
                <w:szCs w:val="24"/>
              </w:rPr>
              <w:t>Norādāms, ka</w:t>
            </w:r>
            <w:r w:rsidR="00FB7D90" w:rsidRPr="001D626C">
              <w:rPr>
                <w:rFonts w:ascii="Times New Roman" w:hAnsi="Times New Roman" w:cs="Times New Roman"/>
                <w:iCs/>
                <w:sz w:val="24"/>
                <w:szCs w:val="24"/>
              </w:rPr>
              <w:t xml:space="preserve"> saskaņā ar</w:t>
            </w:r>
            <w:r w:rsidR="0004346B" w:rsidRPr="001D626C">
              <w:rPr>
                <w:rFonts w:ascii="Times New Roman" w:hAnsi="Times New Roman" w:cs="Times New Roman"/>
                <w:iCs/>
                <w:sz w:val="24"/>
                <w:szCs w:val="24"/>
              </w:rPr>
              <w:t xml:space="preserve"> Fizisko personu datu aizsardzības likuma 15.panta otro daļu personai ir tiesības iegūt informāciju par tām fiziskajām un juridiskajām personām, kuras noteiktā laikposmā no pārziņa ir saņēmušas informāciju par šo datu subjektu, līdz ar to personām būs tiesības saņemt no Pārvaldes informāciju arī par tām fiziskām un juridiskām personām, kuras elektroniskā pakalpojuma ietvaros ir pieprasījušas ziņas par personas iepriekšējo vai jauno personas kodu.</w:t>
            </w:r>
            <w:r w:rsidR="00FB7D90" w:rsidRPr="001D626C">
              <w:rPr>
                <w:rFonts w:ascii="Times New Roman" w:hAnsi="Times New Roman" w:cs="Times New Roman"/>
                <w:iCs/>
                <w:sz w:val="24"/>
                <w:szCs w:val="24"/>
              </w:rPr>
              <w:t xml:space="preserve"> </w:t>
            </w:r>
          </w:p>
        </w:tc>
      </w:tr>
      <w:tr w:rsidR="00086487" w:rsidRPr="001D626C" w14:paraId="7AAA839C" w14:textId="77777777" w:rsidTr="004A5DB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EE6056F" w14:textId="77777777" w:rsidR="00086487" w:rsidRPr="001D626C" w:rsidRDefault="00086487" w:rsidP="004A5DB6">
            <w:pPr>
              <w:spacing w:after="0"/>
              <w:rPr>
                <w:rFonts w:ascii="Times New Roman" w:eastAsia="Times New Roman" w:hAnsi="Times New Roman" w:cs="Times New Roman"/>
                <w:lang w:eastAsia="lv-LV"/>
              </w:rPr>
            </w:pPr>
            <w:r w:rsidRPr="001D626C">
              <w:rPr>
                <w:rFonts w:ascii="Times New Roman" w:eastAsia="Times New Roman" w:hAnsi="Times New Roman" w:cs="Times New Roman"/>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14:paraId="496B31E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14:paraId="4B4394A6" w14:textId="2200DFB5" w:rsidR="00086487" w:rsidRPr="001D626C" w:rsidRDefault="009B2834" w:rsidP="00E22DBF">
            <w:pPr>
              <w:spacing w:after="0"/>
              <w:jc w:val="both"/>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 xml:space="preserve">Iekšlietu ministrijas </w:t>
            </w:r>
            <w:r w:rsidR="00086487" w:rsidRPr="001D626C">
              <w:rPr>
                <w:rFonts w:ascii="Times New Roman" w:eastAsia="Times New Roman" w:hAnsi="Times New Roman" w:cs="Times New Roman"/>
                <w:sz w:val="24"/>
                <w:szCs w:val="24"/>
                <w:lang w:eastAsia="lv-LV"/>
              </w:rPr>
              <w:t>Pilsonības un migrācijas lietu pārvalde.</w:t>
            </w:r>
          </w:p>
        </w:tc>
      </w:tr>
      <w:tr w:rsidR="00086487" w:rsidRPr="001D626C" w14:paraId="7F8CE199" w14:textId="77777777" w:rsidTr="004A5DB6">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A87F9AB" w14:textId="77777777" w:rsidR="00086487" w:rsidRPr="001D626C" w:rsidRDefault="00086487" w:rsidP="004A5DB6">
            <w:pPr>
              <w:spacing w:after="0"/>
              <w:rPr>
                <w:rFonts w:ascii="Times New Roman" w:eastAsia="Times New Roman" w:hAnsi="Times New Roman" w:cs="Times New Roman"/>
                <w:lang w:eastAsia="lv-LV"/>
              </w:rPr>
            </w:pPr>
            <w:r w:rsidRPr="001D626C">
              <w:rPr>
                <w:rFonts w:ascii="Times New Roman" w:eastAsia="Times New Roman" w:hAnsi="Times New Roman" w:cs="Times New Roman"/>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14:paraId="4D821B0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3535913"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Nav</w:t>
            </w:r>
          </w:p>
        </w:tc>
      </w:tr>
    </w:tbl>
    <w:p w14:paraId="5AB7B785" w14:textId="77777777" w:rsidR="00086487" w:rsidRPr="001D626C" w:rsidRDefault="00086487" w:rsidP="00086487">
      <w:pPr>
        <w:spacing w:after="0"/>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086487" w:rsidRPr="001D626C" w14:paraId="3CDC3AF9" w14:textId="77777777" w:rsidTr="004A5DB6">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085CC8"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86487" w:rsidRPr="001D626C" w14:paraId="2D20E30A" w14:textId="77777777" w:rsidTr="004A5DB6">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7CF45E3"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15B8F0BB"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72F7F28C" w14:textId="77777777" w:rsidR="00086487" w:rsidRPr="001D626C" w:rsidRDefault="00086487" w:rsidP="004A5DB6">
            <w:pPr>
              <w:spacing w:after="0"/>
              <w:jc w:val="both"/>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Fiziskās un juridiskās personas, kuras vēlas saņemt ziņas no Pilsonības un migrācijas lietu pārvaldes.</w:t>
            </w:r>
          </w:p>
        </w:tc>
      </w:tr>
      <w:tr w:rsidR="00086487" w:rsidRPr="001D626C" w14:paraId="2B6209CD" w14:textId="77777777" w:rsidTr="004A5DB6">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1B2CBF9"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lastRenderedPageBreak/>
              <w:t>2.</w:t>
            </w:r>
          </w:p>
        </w:tc>
        <w:tc>
          <w:tcPr>
            <w:tcW w:w="1530" w:type="pct"/>
            <w:tcBorders>
              <w:top w:val="outset" w:sz="6" w:space="0" w:color="auto"/>
              <w:left w:val="outset" w:sz="6" w:space="0" w:color="auto"/>
              <w:bottom w:val="outset" w:sz="6" w:space="0" w:color="auto"/>
              <w:right w:val="outset" w:sz="6" w:space="0" w:color="auto"/>
            </w:tcBorders>
            <w:hideMark/>
          </w:tcPr>
          <w:p w14:paraId="23480B6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hideMark/>
          </w:tcPr>
          <w:p w14:paraId="1DE9BF71" w14:textId="77777777" w:rsidR="00086487" w:rsidRPr="001D626C" w:rsidRDefault="00086487" w:rsidP="004A5DB6">
            <w:pPr>
              <w:spacing w:after="0"/>
              <w:jc w:val="both"/>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rPr>
              <w:t xml:space="preserve">Projekts šo jomu neskar, jo paredzētie grozījumi nemaina šobrīd esošās administratīvās procedūras, bet izveido elektroniskos pakalpojumus. </w:t>
            </w:r>
          </w:p>
        </w:tc>
      </w:tr>
      <w:tr w:rsidR="00086487" w:rsidRPr="001D626C" w14:paraId="11C9D6B1" w14:textId="77777777" w:rsidTr="004A5DB6">
        <w:trPr>
          <w:trHeight w:val="437"/>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B1EB657"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144622A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61ABAAF1" w14:textId="77777777" w:rsidR="00086487" w:rsidRPr="001D626C" w:rsidRDefault="00086487" w:rsidP="004A5DB6">
            <w:pPr>
              <w:spacing w:after="0"/>
              <w:jc w:val="both"/>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rPr>
              <w:t xml:space="preserve">Projekts šo jomu neskar. </w:t>
            </w:r>
          </w:p>
        </w:tc>
      </w:tr>
      <w:tr w:rsidR="00086487" w:rsidRPr="001D626C" w14:paraId="2DC4D6B1" w14:textId="77777777" w:rsidTr="004A5DB6">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73DF070"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6E3DABA3"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4EEE79D6" w14:textId="77777777" w:rsidR="00086487" w:rsidRPr="001D626C" w:rsidRDefault="00086487" w:rsidP="004A5DB6">
            <w:pPr>
              <w:pStyle w:val="naiskr"/>
              <w:spacing w:before="0" w:after="0"/>
              <w:jc w:val="both"/>
              <w:rPr>
                <w:lang w:eastAsia="en-US"/>
              </w:rPr>
            </w:pPr>
            <w:r w:rsidRPr="001D626C">
              <w:rPr>
                <w:lang w:eastAsia="en-US"/>
              </w:rPr>
              <w:t>Nav</w:t>
            </w:r>
          </w:p>
        </w:tc>
      </w:tr>
    </w:tbl>
    <w:p w14:paraId="736D16DE" w14:textId="77777777" w:rsidR="00086487" w:rsidRPr="001D626C" w:rsidRDefault="00086487" w:rsidP="00086487"/>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53"/>
        <w:gridCol w:w="1425"/>
        <w:gridCol w:w="1864"/>
        <w:gridCol w:w="1407"/>
        <w:gridCol w:w="1408"/>
        <w:gridCol w:w="1691"/>
      </w:tblGrid>
      <w:tr w:rsidR="00086487" w:rsidRPr="001D626C" w14:paraId="6DEFABD1" w14:textId="77777777" w:rsidTr="004A5DB6">
        <w:trPr>
          <w:trHeight w:val="360"/>
          <w:tblCellSpacing w:w="15" w:type="dxa"/>
          <w:jc w:val="center"/>
        </w:trPr>
        <w:tc>
          <w:tcPr>
            <w:tcW w:w="928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B13494C"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III. Tiesību akta projekta ietekme uz valsts budžetu un pašvaldību budžetiem</w:t>
            </w:r>
          </w:p>
        </w:tc>
      </w:tr>
      <w:tr w:rsidR="00086487" w:rsidRPr="001D626C" w14:paraId="56704226" w14:textId="77777777" w:rsidTr="004A5DB6">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vAlign w:val="center"/>
            <w:hideMark/>
          </w:tcPr>
          <w:p w14:paraId="1E9F6E82"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Rādītāji</w:t>
            </w:r>
          </w:p>
        </w:tc>
        <w:tc>
          <w:tcPr>
            <w:tcW w:w="325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55F352F"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2017. gads</w:t>
            </w:r>
          </w:p>
        </w:tc>
        <w:tc>
          <w:tcPr>
            <w:tcW w:w="4461" w:type="dxa"/>
            <w:gridSpan w:val="3"/>
            <w:tcBorders>
              <w:top w:val="outset" w:sz="6" w:space="0" w:color="auto"/>
              <w:left w:val="outset" w:sz="6" w:space="0" w:color="auto"/>
              <w:bottom w:val="outset" w:sz="6" w:space="0" w:color="auto"/>
              <w:right w:val="outset" w:sz="6" w:space="0" w:color="auto"/>
            </w:tcBorders>
            <w:vAlign w:val="center"/>
            <w:hideMark/>
          </w:tcPr>
          <w:p w14:paraId="1088429D"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Turpmākie trīs gadi (</w:t>
            </w:r>
            <w:r w:rsidRPr="001D626C">
              <w:rPr>
                <w:rFonts w:ascii="Times New Roman" w:eastAsia="Times New Roman" w:hAnsi="Times New Roman" w:cs="Times New Roman"/>
                <w:i/>
                <w:iCs/>
                <w:sz w:val="24"/>
                <w:szCs w:val="24"/>
                <w:lang w:eastAsia="lv-LV"/>
              </w:rPr>
              <w:t>euro</w:t>
            </w:r>
            <w:r w:rsidRPr="001D626C">
              <w:rPr>
                <w:rFonts w:ascii="Times New Roman" w:eastAsia="Times New Roman" w:hAnsi="Times New Roman" w:cs="Times New Roman"/>
                <w:sz w:val="24"/>
                <w:szCs w:val="24"/>
                <w:lang w:eastAsia="lv-LV"/>
              </w:rPr>
              <w:t>)</w:t>
            </w:r>
          </w:p>
        </w:tc>
      </w:tr>
      <w:tr w:rsidR="00086487" w:rsidRPr="001D626C" w14:paraId="74451504" w14:textId="77777777" w:rsidTr="004A5DB6">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2BA67FBA" w14:textId="77777777" w:rsidR="00086487" w:rsidRPr="001D626C" w:rsidRDefault="00086487" w:rsidP="004A5DB6">
            <w:pPr>
              <w:spacing w:after="0"/>
              <w:rPr>
                <w:rFonts w:ascii="Times New Roman" w:eastAsia="Times New Roman" w:hAnsi="Times New Roman" w:cs="Times New Roman"/>
                <w:b/>
                <w:bCs/>
                <w:sz w:val="24"/>
                <w:szCs w:val="24"/>
                <w:lang w:eastAsia="lv-LV"/>
              </w:rPr>
            </w:pPr>
          </w:p>
        </w:tc>
        <w:tc>
          <w:tcPr>
            <w:tcW w:w="3259" w:type="dxa"/>
            <w:gridSpan w:val="2"/>
            <w:vMerge/>
            <w:tcBorders>
              <w:top w:val="outset" w:sz="6" w:space="0" w:color="auto"/>
              <w:left w:val="outset" w:sz="6" w:space="0" w:color="auto"/>
              <w:bottom w:val="outset" w:sz="6" w:space="0" w:color="auto"/>
              <w:right w:val="outset" w:sz="6" w:space="0" w:color="auto"/>
            </w:tcBorders>
            <w:vAlign w:val="center"/>
            <w:hideMark/>
          </w:tcPr>
          <w:p w14:paraId="2D7EC6D5" w14:textId="77777777" w:rsidR="00086487" w:rsidRPr="001D626C" w:rsidRDefault="00086487" w:rsidP="004A5DB6">
            <w:pPr>
              <w:spacing w:after="0"/>
              <w:rPr>
                <w:rFonts w:ascii="Times New Roman" w:eastAsia="Times New Roman" w:hAnsi="Times New Roman" w:cs="Times New Roman"/>
                <w:b/>
                <w:bCs/>
                <w:sz w:val="24"/>
                <w:szCs w:val="24"/>
                <w:lang w:eastAsia="lv-LV"/>
              </w:rPr>
            </w:pPr>
          </w:p>
        </w:tc>
        <w:tc>
          <w:tcPr>
            <w:tcW w:w="1377" w:type="dxa"/>
            <w:tcBorders>
              <w:top w:val="outset" w:sz="6" w:space="0" w:color="auto"/>
              <w:left w:val="outset" w:sz="6" w:space="0" w:color="auto"/>
              <w:bottom w:val="outset" w:sz="6" w:space="0" w:color="auto"/>
              <w:right w:val="outset" w:sz="6" w:space="0" w:color="auto"/>
            </w:tcBorders>
            <w:vAlign w:val="center"/>
            <w:hideMark/>
          </w:tcPr>
          <w:p w14:paraId="739E9F0F"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2018.</w:t>
            </w:r>
          </w:p>
        </w:tc>
        <w:tc>
          <w:tcPr>
            <w:tcW w:w="1378" w:type="dxa"/>
            <w:tcBorders>
              <w:top w:val="outset" w:sz="6" w:space="0" w:color="auto"/>
              <w:left w:val="outset" w:sz="6" w:space="0" w:color="auto"/>
              <w:bottom w:val="outset" w:sz="6" w:space="0" w:color="auto"/>
              <w:right w:val="outset" w:sz="6" w:space="0" w:color="auto"/>
            </w:tcBorders>
            <w:vAlign w:val="center"/>
            <w:hideMark/>
          </w:tcPr>
          <w:p w14:paraId="2748FFCE"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2019.</w:t>
            </w:r>
          </w:p>
        </w:tc>
        <w:tc>
          <w:tcPr>
            <w:tcW w:w="1646" w:type="dxa"/>
            <w:tcBorders>
              <w:top w:val="outset" w:sz="6" w:space="0" w:color="auto"/>
              <w:left w:val="outset" w:sz="6" w:space="0" w:color="auto"/>
              <w:bottom w:val="outset" w:sz="6" w:space="0" w:color="auto"/>
              <w:right w:val="outset" w:sz="6" w:space="0" w:color="auto"/>
            </w:tcBorders>
            <w:vAlign w:val="center"/>
            <w:hideMark/>
          </w:tcPr>
          <w:p w14:paraId="368A5754" w14:textId="77777777" w:rsidR="00086487" w:rsidRPr="001D626C" w:rsidRDefault="00086487" w:rsidP="004A5DB6">
            <w:pPr>
              <w:spacing w:after="0"/>
              <w:ind w:firstLine="300"/>
              <w:jc w:val="center"/>
              <w:rPr>
                <w:rFonts w:ascii="Times New Roman" w:eastAsia="Times New Roman" w:hAnsi="Times New Roman" w:cs="Times New Roman"/>
                <w:b/>
                <w:bCs/>
                <w:sz w:val="24"/>
                <w:szCs w:val="24"/>
                <w:lang w:eastAsia="lv-LV"/>
              </w:rPr>
            </w:pPr>
            <w:r w:rsidRPr="001D626C">
              <w:rPr>
                <w:rFonts w:ascii="Times New Roman" w:eastAsia="Times New Roman" w:hAnsi="Times New Roman" w:cs="Times New Roman"/>
                <w:b/>
                <w:bCs/>
                <w:sz w:val="24"/>
                <w:szCs w:val="24"/>
                <w:lang w:eastAsia="lv-LV"/>
              </w:rPr>
              <w:t>2020.</w:t>
            </w:r>
          </w:p>
        </w:tc>
      </w:tr>
      <w:tr w:rsidR="00086487" w:rsidRPr="001D626C" w14:paraId="14803744" w14:textId="77777777" w:rsidTr="004A5DB6">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1944430D" w14:textId="77777777" w:rsidR="00086487" w:rsidRPr="001D626C" w:rsidRDefault="00086487" w:rsidP="004A5DB6">
            <w:pPr>
              <w:spacing w:after="0"/>
              <w:rPr>
                <w:rFonts w:ascii="Times New Roman" w:eastAsia="Times New Roman" w:hAnsi="Times New Roman" w:cs="Times New Roman"/>
                <w:b/>
                <w:bCs/>
                <w:sz w:val="24"/>
                <w:szCs w:val="24"/>
                <w:lang w:eastAsia="lv-LV"/>
              </w:rPr>
            </w:pPr>
          </w:p>
        </w:tc>
        <w:tc>
          <w:tcPr>
            <w:tcW w:w="1395" w:type="dxa"/>
            <w:tcBorders>
              <w:top w:val="outset" w:sz="6" w:space="0" w:color="auto"/>
              <w:left w:val="outset" w:sz="6" w:space="0" w:color="auto"/>
              <w:bottom w:val="outset" w:sz="6" w:space="0" w:color="auto"/>
              <w:right w:val="outset" w:sz="6" w:space="0" w:color="auto"/>
            </w:tcBorders>
            <w:vAlign w:val="center"/>
            <w:hideMark/>
          </w:tcPr>
          <w:p w14:paraId="6ACD024B"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saskaņā ar valsts budžetu kārtējam gadam</w:t>
            </w:r>
          </w:p>
        </w:tc>
        <w:tc>
          <w:tcPr>
            <w:tcW w:w="1834" w:type="dxa"/>
            <w:tcBorders>
              <w:top w:val="outset" w:sz="6" w:space="0" w:color="auto"/>
              <w:left w:val="outset" w:sz="6" w:space="0" w:color="auto"/>
              <w:bottom w:val="outset" w:sz="6" w:space="0" w:color="auto"/>
              <w:right w:val="outset" w:sz="6" w:space="0" w:color="auto"/>
            </w:tcBorders>
            <w:vAlign w:val="center"/>
            <w:hideMark/>
          </w:tcPr>
          <w:p w14:paraId="55DDD667"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izmaiņas kārtējā gadā, salīdzinot ar valsts budžetu kārtējam gadam</w:t>
            </w:r>
          </w:p>
        </w:tc>
        <w:tc>
          <w:tcPr>
            <w:tcW w:w="1377" w:type="dxa"/>
            <w:tcBorders>
              <w:top w:val="outset" w:sz="6" w:space="0" w:color="auto"/>
              <w:left w:val="outset" w:sz="6" w:space="0" w:color="auto"/>
              <w:bottom w:val="outset" w:sz="6" w:space="0" w:color="auto"/>
              <w:right w:val="outset" w:sz="6" w:space="0" w:color="auto"/>
            </w:tcBorders>
            <w:vAlign w:val="center"/>
            <w:hideMark/>
          </w:tcPr>
          <w:p w14:paraId="3A7721A2"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izmaiņas, salīdzinot ar 2017. gadu</w:t>
            </w:r>
          </w:p>
        </w:tc>
        <w:tc>
          <w:tcPr>
            <w:tcW w:w="1378" w:type="dxa"/>
            <w:tcBorders>
              <w:top w:val="outset" w:sz="6" w:space="0" w:color="auto"/>
              <w:left w:val="outset" w:sz="6" w:space="0" w:color="auto"/>
              <w:bottom w:val="outset" w:sz="6" w:space="0" w:color="auto"/>
              <w:right w:val="outset" w:sz="6" w:space="0" w:color="auto"/>
            </w:tcBorders>
            <w:vAlign w:val="center"/>
            <w:hideMark/>
          </w:tcPr>
          <w:p w14:paraId="07521321"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izmaiņas, salīdzinot ar 2017. gadu</w:t>
            </w:r>
          </w:p>
        </w:tc>
        <w:tc>
          <w:tcPr>
            <w:tcW w:w="1646" w:type="dxa"/>
            <w:tcBorders>
              <w:top w:val="outset" w:sz="6" w:space="0" w:color="auto"/>
              <w:left w:val="outset" w:sz="6" w:space="0" w:color="auto"/>
              <w:bottom w:val="outset" w:sz="6" w:space="0" w:color="auto"/>
              <w:right w:val="outset" w:sz="6" w:space="0" w:color="auto"/>
            </w:tcBorders>
            <w:vAlign w:val="center"/>
            <w:hideMark/>
          </w:tcPr>
          <w:p w14:paraId="72B49334"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izmaiņas, salīdzinot ar 2017. gadu</w:t>
            </w:r>
          </w:p>
        </w:tc>
      </w:tr>
      <w:tr w:rsidR="00086487" w:rsidRPr="001D626C" w14:paraId="37234D12"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vAlign w:val="center"/>
            <w:hideMark/>
          </w:tcPr>
          <w:p w14:paraId="15D4EB78"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w:t>
            </w:r>
          </w:p>
        </w:tc>
        <w:tc>
          <w:tcPr>
            <w:tcW w:w="1395" w:type="dxa"/>
            <w:tcBorders>
              <w:top w:val="outset" w:sz="6" w:space="0" w:color="auto"/>
              <w:left w:val="outset" w:sz="6" w:space="0" w:color="auto"/>
              <w:bottom w:val="outset" w:sz="6" w:space="0" w:color="auto"/>
              <w:right w:val="outset" w:sz="6" w:space="0" w:color="auto"/>
            </w:tcBorders>
            <w:vAlign w:val="center"/>
            <w:hideMark/>
          </w:tcPr>
          <w:p w14:paraId="245A242D"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w:t>
            </w:r>
          </w:p>
        </w:tc>
        <w:tc>
          <w:tcPr>
            <w:tcW w:w="1834" w:type="dxa"/>
            <w:tcBorders>
              <w:top w:val="outset" w:sz="6" w:space="0" w:color="auto"/>
              <w:left w:val="outset" w:sz="6" w:space="0" w:color="auto"/>
              <w:bottom w:val="outset" w:sz="6" w:space="0" w:color="auto"/>
              <w:right w:val="outset" w:sz="6" w:space="0" w:color="auto"/>
            </w:tcBorders>
            <w:vAlign w:val="center"/>
            <w:hideMark/>
          </w:tcPr>
          <w:p w14:paraId="312A9410"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3</w:t>
            </w:r>
          </w:p>
        </w:tc>
        <w:tc>
          <w:tcPr>
            <w:tcW w:w="1377" w:type="dxa"/>
            <w:tcBorders>
              <w:top w:val="outset" w:sz="6" w:space="0" w:color="auto"/>
              <w:left w:val="outset" w:sz="6" w:space="0" w:color="auto"/>
              <w:bottom w:val="outset" w:sz="6" w:space="0" w:color="auto"/>
              <w:right w:val="outset" w:sz="6" w:space="0" w:color="auto"/>
            </w:tcBorders>
            <w:vAlign w:val="center"/>
            <w:hideMark/>
          </w:tcPr>
          <w:p w14:paraId="497EE8C1"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4</w:t>
            </w:r>
          </w:p>
        </w:tc>
        <w:tc>
          <w:tcPr>
            <w:tcW w:w="1378" w:type="dxa"/>
            <w:tcBorders>
              <w:top w:val="outset" w:sz="6" w:space="0" w:color="auto"/>
              <w:left w:val="outset" w:sz="6" w:space="0" w:color="auto"/>
              <w:bottom w:val="outset" w:sz="6" w:space="0" w:color="auto"/>
              <w:right w:val="outset" w:sz="6" w:space="0" w:color="auto"/>
            </w:tcBorders>
            <w:vAlign w:val="center"/>
            <w:hideMark/>
          </w:tcPr>
          <w:p w14:paraId="24B3FDC5"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5</w:t>
            </w:r>
          </w:p>
        </w:tc>
        <w:tc>
          <w:tcPr>
            <w:tcW w:w="1646" w:type="dxa"/>
            <w:tcBorders>
              <w:top w:val="outset" w:sz="6" w:space="0" w:color="auto"/>
              <w:left w:val="outset" w:sz="6" w:space="0" w:color="auto"/>
              <w:bottom w:val="outset" w:sz="6" w:space="0" w:color="auto"/>
              <w:right w:val="outset" w:sz="6" w:space="0" w:color="auto"/>
            </w:tcBorders>
            <w:vAlign w:val="center"/>
            <w:hideMark/>
          </w:tcPr>
          <w:p w14:paraId="281B3740"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6</w:t>
            </w:r>
          </w:p>
        </w:tc>
      </w:tr>
      <w:tr w:rsidR="00086487" w:rsidRPr="001D626C" w14:paraId="139FE805"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60507591"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 Budžeta ieņēmumi:</w:t>
            </w:r>
          </w:p>
        </w:tc>
        <w:tc>
          <w:tcPr>
            <w:tcW w:w="1395" w:type="dxa"/>
            <w:tcBorders>
              <w:top w:val="outset" w:sz="6" w:space="0" w:color="auto"/>
              <w:left w:val="outset" w:sz="6" w:space="0" w:color="auto"/>
              <w:bottom w:val="outset" w:sz="6" w:space="0" w:color="auto"/>
              <w:right w:val="outset" w:sz="6" w:space="0" w:color="auto"/>
            </w:tcBorders>
          </w:tcPr>
          <w:p w14:paraId="09BB2734" w14:textId="4CEA7A3B" w:rsidR="00086487" w:rsidRPr="001D626C" w:rsidRDefault="00917B2A" w:rsidP="004A5DB6">
            <w:pPr>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vAlign w:val="center"/>
          </w:tcPr>
          <w:p w14:paraId="6BDB9C1A" w14:textId="77777777" w:rsidR="00086487" w:rsidRPr="001D626C" w:rsidRDefault="00086487" w:rsidP="004A5DB6">
            <w:pPr>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630083B6" w14:textId="77777777" w:rsidR="00086487" w:rsidRPr="001D626C" w:rsidRDefault="00086487" w:rsidP="004A5DB6">
            <w:pPr>
              <w:jc w:val="center"/>
              <w:rPr>
                <w:rFonts w:ascii="Times New Roman" w:hAnsi="Times New Roman" w:cs="Times New Roman"/>
                <w:sz w:val="24"/>
                <w:szCs w:val="24"/>
              </w:rPr>
            </w:pPr>
            <w:r w:rsidRPr="001D626C">
              <w:rPr>
                <w:rFonts w:ascii="Times New Roman" w:hAnsi="Times New Roman" w:cs="Times New Roman"/>
                <w:sz w:val="24"/>
                <w:szCs w:val="24"/>
              </w:rPr>
              <w:t>0</w:t>
            </w:r>
          </w:p>
        </w:tc>
        <w:tc>
          <w:tcPr>
            <w:tcW w:w="1378" w:type="dxa"/>
            <w:tcBorders>
              <w:top w:val="outset" w:sz="6" w:space="0" w:color="auto"/>
              <w:left w:val="outset" w:sz="6" w:space="0" w:color="auto"/>
              <w:bottom w:val="outset" w:sz="6" w:space="0" w:color="auto"/>
              <w:right w:val="outset" w:sz="6" w:space="0" w:color="auto"/>
            </w:tcBorders>
          </w:tcPr>
          <w:p w14:paraId="25C9B71C" w14:textId="77777777" w:rsidR="00086487" w:rsidRPr="001D626C" w:rsidRDefault="00086487" w:rsidP="004A5DB6">
            <w:pPr>
              <w:jc w:val="center"/>
              <w:rPr>
                <w:rFonts w:ascii="Times New Roman" w:hAnsi="Times New Roman" w:cs="Times New Roman"/>
                <w:sz w:val="24"/>
                <w:szCs w:val="24"/>
              </w:rPr>
            </w:pPr>
            <w:r w:rsidRPr="001D626C">
              <w:rPr>
                <w:rFonts w:ascii="Times New Roman" w:hAnsi="Times New Roman" w:cs="Times New Roman"/>
                <w:sz w:val="24"/>
                <w:szCs w:val="24"/>
              </w:rPr>
              <w:t>0</w:t>
            </w:r>
          </w:p>
        </w:tc>
        <w:tc>
          <w:tcPr>
            <w:tcW w:w="1646" w:type="dxa"/>
            <w:tcBorders>
              <w:top w:val="outset" w:sz="6" w:space="0" w:color="auto"/>
              <w:left w:val="outset" w:sz="6" w:space="0" w:color="auto"/>
              <w:bottom w:val="outset" w:sz="6" w:space="0" w:color="auto"/>
              <w:right w:val="outset" w:sz="6" w:space="0" w:color="auto"/>
            </w:tcBorders>
          </w:tcPr>
          <w:p w14:paraId="4682666B" w14:textId="77777777" w:rsidR="00086487" w:rsidRPr="001D626C" w:rsidRDefault="00086487" w:rsidP="004A5DB6">
            <w:pPr>
              <w:jc w:val="center"/>
              <w:rPr>
                <w:rFonts w:ascii="Times New Roman" w:hAnsi="Times New Roman" w:cs="Times New Roman"/>
                <w:sz w:val="24"/>
                <w:szCs w:val="24"/>
              </w:rPr>
            </w:pPr>
            <w:r w:rsidRPr="001D626C">
              <w:rPr>
                <w:rFonts w:ascii="Times New Roman" w:hAnsi="Times New Roman" w:cs="Times New Roman"/>
                <w:sz w:val="24"/>
                <w:szCs w:val="24"/>
              </w:rPr>
              <w:t>0</w:t>
            </w:r>
          </w:p>
        </w:tc>
      </w:tr>
      <w:tr w:rsidR="00086487" w:rsidRPr="001D626C" w14:paraId="75161C6A" w14:textId="77777777" w:rsidTr="00917B2A">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7894D6CA"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1.1. valsts pamatbudžets, tai skaitā ieņēmumi no maksas pakalpojumiem un citi pašu ieņēmumi</w:t>
            </w:r>
          </w:p>
        </w:tc>
        <w:tc>
          <w:tcPr>
            <w:tcW w:w="1395" w:type="dxa"/>
            <w:tcBorders>
              <w:top w:val="outset" w:sz="6" w:space="0" w:color="auto"/>
              <w:left w:val="outset" w:sz="6" w:space="0" w:color="auto"/>
              <w:bottom w:val="outset" w:sz="6" w:space="0" w:color="auto"/>
              <w:right w:val="outset" w:sz="6" w:space="0" w:color="auto"/>
            </w:tcBorders>
          </w:tcPr>
          <w:p w14:paraId="0100EE76" w14:textId="2E3F9F10" w:rsidR="00086487" w:rsidRPr="001D626C" w:rsidRDefault="00917B2A" w:rsidP="004A5DB6">
            <w:pPr>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14:paraId="1BC8C7B6" w14:textId="77777777" w:rsidR="00086487" w:rsidRPr="001D626C" w:rsidRDefault="00086487" w:rsidP="004A5DB6">
            <w:pPr>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00A2565B" w14:textId="77777777" w:rsidR="00086487" w:rsidRPr="001D626C" w:rsidRDefault="00086487" w:rsidP="004A5DB6">
            <w:pPr>
              <w:spacing w:after="0"/>
              <w:jc w:val="center"/>
              <w:rPr>
                <w:rFonts w:ascii="Times New Roman" w:eastAsia="Times New Roman" w:hAnsi="Times New Roman" w:cs="Times New Roman"/>
                <w:color w:val="000000" w:themeColor="text1"/>
                <w:sz w:val="24"/>
                <w:szCs w:val="24"/>
                <w:lang w:eastAsia="lv-LV"/>
              </w:rPr>
            </w:pPr>
            <w:r w:rsidRPr="001D626C">
              <w:rPr>
                <w:rFonts w:ascii="Times New Roman" w:hAnsi="Times New Roman" w:cs="Times New Roman"/>
                <w:sz w:val="24"/>
                <w:szCs w:val="24"/>
              </w:rPr>
              <w:t>0</w:t>
            </w:r>
          </w:p>
        </w:tc>
        <w:tc>
          <w:tcPr>
            <w:tcW w:w="1378" w:type="dxa"/>
            <w:tcBorders>
              <w:top w:val="outset" w:sz="6" w:space="0" w:color="auto"/>
              <w:left w:val="outset" w:sz="6" w:space="0" w:color="auto"/>
              <w:bottom w:val="outset" w:sz="6" w:space="0" w:color="auto"/>
              <w:right w:val="outset" w:sz="6" w:space="0" w:color="auto"/>
            </w:tcBorders>
          </w:tcPr>
          <w:p w14:paraId="6ED799BD" w14:textId="77777777" w:rsidR="00086487" w:rsidRPr="001D626C" w:rsidRDefault="00086487" w:rsidP="004A5DB6">
            <w:pPr>
              <w:jc w:val="center"/>
            </w:pPr>
            <w:r w:rsidRPr="001D626C">
              <w:rPr>
                <w:rFonts w:ascii="Times New Roman" w:hAnsi="Times New Roman" w:cs="Times New Roman"/>
                <w:sz w:val="24"/>
                <w:szCs w:val="24"/>
              </w:rPr>
              <w:t>0</w:t>
            </w:r>
          </w:p>
        </w:tc>
        <w:tc>
          <w:tcPr>
            <w:tcW w:w="1646" w:type="dxa"/>
            <w:tcBorders>
              <w:top w:val="outset" w:sz="6" w:space="0" w:color="auto"/>
              <w:left w:val="outset" w:sz="6" w:space="0" w:color="auto"/>
              <w:bottom w:val="outset" w:sz="6" w:space="0" w:color="auto"/>
              <w:right w:val="outset" w:sz="6" w:space="0" w:color="auto"/>
            </w:tcBorders>
          </w:tcPr>
          <w:p w14:paraId="6031E474" w14:textId="77777777" w:rsidR="00086487" w:rsidRPr="001D626C" w:rsidRDefault="00086487" w:rsidP="004A5DB6">
            <w:pPr>
              <w:jc w:val="center"/>
            </w:pPr>
            <w:r w:rsidRPr="001D626C">
              <w:rPr>
                <w:rFonts w:ascii="Times New Roman" w:hAnsi="Times New Roman" w:cs="Times New Roman"/>
                <w:sz w:val="24"/>
                <w:szCs w:val="24"/>
              </w:rPr>
              <w:t>0</w:t>
            </w:r>
          </w:p>
        </w:tc>
      </w:tr>
      <w:tr w:rsidR="00086487" w:rsidRPr="001D626C" w14:paraId="0385BE89"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6C4D0C63"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1.2. valsts speciālais budžets</w:t>
            </w:r>
          </w:p>
        </w:tc>
        <w:tc>
          <w:tcPr>
            <w:tcW w:w="1395" w:type="dxa"/>
            <w:tcBorders>
              <w:top w:val="outset" w:sz="6" w:space="0" w:color="auto"/>
              <w:left w:val="outset" w:sz="6" w:space="0" w:color="auto"/>
              <w:bottom w:val="outset" w:sz="6" w:space="0" w:color="auto"/>
              <w:right w:val="outset" w:sz="6" w:space="0" w:color="auto"/>
            </w:tcBorders>
            <w:hideMark/>
          </w:tcPr>
          <w:p w14:paraId="62E111CC"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6F74A53C"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68F3DEBD"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6EB4E0E2"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2C243158"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r>
      <w:tr w:rsidR="00086487" w:rsidRPr="001D626C" w14:paraId="7FDDD24C"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CEB3EC6"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1.3. pašvaldību budžets</w:t>
            </w:r>
          </w:p>
        </w:tc>
        <w:tc>
          <w:tcPr>
            <w:tcW w:w="1395" w:type="dxa"/>
            <w:tcBorders>
              <w:top w:val="outset" w:sz="6" w:space="0" w:color="auto"/>
              <w:left w:val="outset" w:sz="6" w:space="0" w:color="auto"/>
              <w:bottom w:val="outset" w:sz="6" w:space="0" w:color="auto"/>
              <w:right w:val="outset" w:sz="6" w:space="0" w:color="auto"/>
            </w:tcBorders>
            <w:hideMark/>
          </w:tcPr>
          <w:p w14:paraId="27D403D4"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0BA3A3F3"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1FD56324"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584928F4"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09B5006C"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r>
      <w:tr w:rsidR="00086487" w:rsidRPr="001D626C" w14:paraId="69B81C73"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7BD9AE1C"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 Budžeta izdevumi:</w:t>
            </w:r>
          </w:p>
        </w:tc>
        <w:tc>
          <w:tcPr>
            <w:tcW w:w="1395" w:type="dxa"/>
            <w:tcBorders>
              <w:top w:val="outset" w:sz="6" w:space="0" w:color="auto"/>
              <w:left w:val="outset" w:sz="6" w:space="0" w:color="auto"/>
              <w:bottom w:val="outset" w:sz="6" w:space="0" w:color="auto"/>
              <w:right w:val="outset" w:sz="6" w:space="0" w:color="auto"/>
            </w:tcBorders>
          </w:tcPr>
          <w:p w14:paraId="68F955CA" w14:textId="1AC584D6" w:rsidR="00086487" w:rsidRPr="001D626C" w:rsidRDefault="00917B2A"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vAlign w:val="center"/>
          </w:tcPr>
          <w:p w14:paraId="405D1CB2"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4F22AB3C" w14:textId="31D82E88" w:rsidR="00086487" w:rsidRPr="001D626C" w:rsidRDefault="00917B2A" w:rsidP="004A5DB6">
            <w:pPr>
              <w:jc w:val="cente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tcPr>
          <w:p w14:paraId="000FFD15" w14:textId="77777777" w:rsidR="00086487" w:rsidRPr="001D626C" w:rsidRDefault="00086487" w:rsidP="004A5DB6">
            <w:pPr>
              <w:jc w:val="center"/>
            </w:pPr>
            <w:r w:rsidRPr="001D626C">
              <w:rPr>
                <w:rFonts w:ascii="Times New Roman" w:hAnsi="Times New Roman" w:cs="Times New Roman"/>
                <w:sz w:val="24"/>
                <w:szCs w:val="24"/>
              </w:rPr>
              <w:t>0</w:t>
            </w:r>
          </w:p>
        </w:tc>
        <w:tc>
          <w:tcPr>
            <w:tcW w:w="1646" w:type="dxa"/>
            <w:tcBorders>
              <w:top w:val="outset" w:sz="6" w:space="0" w:color="auto"/>
              <w:left w:val="outset" w:sz="6" w:space="0" w:color="auto"/>
              <w:bottom w:val="outset" w:sz="6" w:space="0" w:color="auto"/>
              <w:right w:val="outset" w:sz="6" w:space="0" w:color="auto"/>
            </w:tcBorders>
          </w:tcPr>
          <w:p w14:paraId="006CD1C5" w14:textId="77777777" w:rsidR="00086487" w:rsidRPr="001D626C" w:rsidRDefault="00086487" w:rsidP="004A5DB6">
            <w:pPr>
              <w:jc w:val="center"/>
            </w:pPr>
            <w:r w:rsidRPr="001D626C">
              <w:rPr>
                <w:rFonts w:ascii="Times New Roman" w:hAnsi="Times New Roman" w:cs="Times New Roman"/>
                <w:sz w:val="24"/>
                <w:szCs w:val="24"/>
              </w:rPr>
              <w:t>0</w:t>
            </w:r>
          </w:p>
        </w:tc>
      </w:tr>
      <w:tr w:rsidR="00086487" w:rsidRPr="001D626C" w14:paraId="698299AF"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72863E0"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2.1. valsts pamatbudžets</w:t>
            </w:r>
          </w:p>
        </w:tc>
        <w:tc>
          <w:tcPr>
            <w:tcW w:w="1395" w:type="dxa"/>
            <w:tcBorders>
              <w:top w:val="outset" w:sz="6" w:space="0" w:color="auto"/>
              <w:left w:val="outset" w:sz="6" w:space="0" w:color="auto"/>
              <w:bottom w:val="outset" w:sz="6" w:space="0" w:color="auto"/>
              <w:right w:val="outset" w:sz="6" w:space="0" w:color="auto"/>
            </w:tcBorders>
          </w:tcPr>
          <w:p w14:paraId="438C7339" w14:textId="7521F3DD" w:rsidR="00086487" w:rsidRPr="001D626C" w:rsidRDefault="00917B2A"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vAlign w:val="center"/>
          </w:tcPr>
          <w:p w14:paraId="7E2D2C4B"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26092A3D" w14:textId="2D232C71" w:rsidR="00086487" w:rsidRPr="001D626C" w:rsidRDefault="00917B2A"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tcPr>
          <w:p w14:paraId="48A63CB4" w14:textId="77777777" w:rsidR="00086487" w:rsidRPr="001D626C" w:rsidRDefault="00086487" w:rsidP="004A5DB6">
            <w:pPr>
              <w:jc w:val="center"/>
            </w:pPr>
            <w:r w:rsidRPr="001D626C">
              <w:rPr>
                <w:rFonts w:ascii="Times New Roman" w:hAnsi="Times New Roman" w:cs="Times New Roman"/>
                <w:sz w:val="24"/>
                <w:szCs w:val="24"/>
              </w:rPr>
              <w:t>0</w:t>
            </w:r>
          </w:p>
        </w:tc>
        <w:tc>
          <w:tcPr>
            <w:tcW w:w="1646" w:type="dxa"/>
            <w:tcBorders>
              <w:top w:val="outset" w:sz="6" w:space="0" w:color="auto"/>
              <w:left w:val="outset" w:sz="6" w:space="0" w:color="auto"/>
              <w:bottom w:val="outset" w:sz="6" w:space="0" w:color="auto"/>
              <w:right w:val="outset" w:sz="6" w:space="0" w:color="auto"/>
            </w:tcBorders>
          </w:tcPr>
          <w:p w14:paraId="2C73975D" w14:textId="77777777" w:rsidR="00086487" w:rsidRPr="001D626C" w:rsidRDefault="00086487" w:rsidP="004A5DB6">
            <w:pPr>
              <w:jc w:val="center"/>
            </w:pPr>
            <w:r w:rsidRPr="001D626C">
              <w:rPr>
                <w:rFonts w:ascii="Times New Roman" w:hAnsi="Times New Roman" w:cs="Times New Roman"/>
                <w:sz w:val="24"/>
                <w:szCs w:val="24"/>
              </w:rPr>
              <w:t>0</w:t>
            </w:r>
          </w:p>
        </w:tc>
      </w:tr>
      <w:tr w:rsidR="00086487" w:rsidRPr="001D626C" w14:paraId="73846FC1"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24EB2AD"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2.2. valsts speciālais budžets</w:t>
            </w:r>
          </w:p>
        </w:tc>
        <w:tc>
          <w:tcPr>
            <w:tcW w:w="1395" w:type="dxa"/>
            <w:tcBorders>
              <w:top w:val="outset" w:sz="6" w:space="0" w:color="auto"/>
              <w:left w:val="outset" w:sz="6" w:space="0" w:color="auto"/>
              <w:bottom w:val="outset" w:sz="6" w:space="0" w:color="auto"/>
              <w:right w:val="outset" w:sz="6" w:space="0" w:color="auto"/>
            </w:tcBorders>
          </w:tcPr>
          <w:p w14:paraId="30298A77"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14:paraId="44B1B51F"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707E4172"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tcPr>
          <w:p w14:paraId="36A1B4CA"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tcPr>
          <w:p w14:paraId="74A18551"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r>
      <w:tr w:rsidR="00086487" w:rsidRPr="001D626C" w14:paraId="037EA8FA"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AC03EB8"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2.3. pašvaldību budžets</w:t>
            </w:r>
          </w:p>
        </w:tc>
        <w:tc>
          <w:tcPr>
            <w:tcW w:w="1395" w:type="dxa"/>
            <w:tcBorders>
              <w:top w:val="outset" w:sz="6" w:space="0" w:color="auto"/>
              <w:left w:val="outset" w:sz="6" w:space="0" w:color="auto"/>
              <w:bottom w:val="outset" w:sz="6" w:space="0" w:color="auto"/>
              <w:right w:val="outset" w:sz="6" w:space="0" w:color="auto"/>
            </w:tcBorders>
          </w:tcPr>
          <w:p w14:paraId="7C32D934"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14:paraId="45C3A138"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7D0CA899"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tcPr>
          <w:p w14:paraId="69ACEBD1"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tcPr>
          <w:p w14:paraId="29DFA30B"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r>
      <w:tr w:rsidR="00086487" w:rsidRPr="001D626C" w14:paraId="306D5744"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2D253957"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lastRenderedPageBreak/>
              <w:t>3. Finansiālā ietekme:</w:t>
            </w:r>
          </w:p>
        </w:tc>
        <w:tc>
          <w:tcPr>
            <w:tcW w:w="1395" w:type="dxa"/>
            <w:tcBorders>
              <w:top w:val="outset" w:sz="6" w:space="0" w:color="auto"/>
              <w:left w:val="outset" w:sz="6" w:space="0" w:color="auto"/>
              <w:bottom w:val="outset" w:sz="6" w:space="0" w:color="auto"/>
              <w:right w:val="outset" w:sz="6" w:space="0" w:color="auto"/>
            </w:tcBorders>
          </w:tcPr>
          <w:p w14:paraId="08159321" w14:textId="2701ADFE" w:rsidR="00086487" w:rsidRPr="001D626C" w:rsidRDefault="00917B2A"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14:paraId="3EBA0845"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01DC0A26" w14:textId="7AEFC99D" w:rsidR="00086487" w:rsidRPr="001D626C" w:rsidRDefault="00B01AB3" w:rsidP="004A5DB6">
            <w:pPr>
              <w:jc w:val="center"/>
              <w:rPr>
                <w:rFonts w:ascii="Times New Roman" w:hAnsi="Times New Roman" w:cs="Times New Roman"/>
                <w:color w:val="000000" w:themeColor="text1"/>
                <w:sz w:val="24"/>
                <w:szCs w:val="24"/>
              </w:rP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tcPr>
          <w:p w14:paraId="717E076D" w14:textId="77777777" w:rsidR="00086487" w:rsidRPr="001D626C" w:rsidRDefault="00086487" w:rsidP="004A5DB6">
            <w:pPr>
              <w:jc w:val="center"/>
            </w:pPr>
            <w:r w:rsidRPr="001D626C">
              <w:t>0</w:t>
            </w:r>
          </w:p>
        </w:tc>
        <w:tc>
          <w:tcPr>
            <w:tcW w:w="1646" w:type="dxa"/>
            <w:tcBorders>
              <w:top w:val="outset" w:sz="6" w:space="0" w:color="auto"/>
              <w:left w:val="outset" w:sz="6" w:space="0" w:color="auto"/>
              <w:bottom w:val="outset" w:sz="6" w:space="0" w:color="auto"/>
              <w:right w:val="outset" w:sz="6" w:space="0" w:color="auto"/>
            </w:tcBorders>
          </w:tcPr>
          <w:p w14:paraId="0AEFE693" w14:textId="77777777" w:rsidR="00086487" w:rsidRPr="001D626C" w:rsidRDefault="00086487" w:rsidP="004A5DB6">
            <w:pPr>
              <w:jc w:val="center"/>
            </w:pPr>
            <w:r w:rsidRPr="001D626C">
              <w:t>0</w:t>
            </w:r>
          </w:p>
        </w:tc>
      </w:tr>
      <w:tr w:rsidR="00086487" w:rsidRPr="001D626C" w14:paraId="58471F77"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6DB99894"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3.1. valsts pamatbudžets</w:t>
            </w:r>
          </w:p>
        </w:tc>
        <w:tc>
          <w:tcPr>
            <w:tcW w:w="1395" w:type="dxa"/>
            <w:tcBorders>
              <w:top w:val="outset" w:sz="6" w:space="0" w:color="auto"/>
              <w:left w:val="outset" w:sz="6" w:space="0" w:color="auto"/>
              <w:bottom w:val="outset" w:sz="6" w:space="0" w:color="auto"/>
              <w:right w:val="outset" w:sz="6" w:space="0" w:color="auto"/>
            </w:tcBorders>
          </w:tcPr>
          <w:p w14:paraId="041F4D8C" w14:textId="76BE5619" w:rsidR="00086487" w:rsidRPr="001D626C" w:rsidRDefault="00917B2A"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tcPr>
          <w:p w14:paraId="3FEE9700"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3F23BC1C" w14:textId="40E103DD" w:rsidR="00086487" w:rsidRPr="001D626C" w:rsidRDefault="006530FE" w:rsidP="004A5DB6">
            <w:pPr>
              <w:jc w:val="cente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tcPr>
          <w:p w14:paraId="58F4413B" w14:textId="77777777" w:rsidR="00086487" w:rsidRPr="001D626C" w:rsidRDefault="00086487" w:rsidP="004A5DB6">
            <w:pPr>
              <w:jc w:val="center"/>
            </w:pPr>
            <w:r w:rsidRPr="001D626C">
              <w:t>0</w:t>
            </w:r>
          </w:p>
        </w:tc>
        <w:tc>
          <w:tcPr>
            <w:tcW w:w="1646" w:type="dxa"/>
            <w:tcBorders>
              <w:top w:val="outset" w:sz="6" w:space="0" w:color="auto"/>
              <w:left w:val="outset" w:sz="6" w:space="0" w:color="auto"/>
              <w:bottom w:val="outset" w:sz="6" w:space="0" w:color="auto"/>
              <w:right w:val="outset" w:sz="6" w:space="0" w:color="auto"/>
            </w:tcBorders>
          </w:tcPr>
          <w:p w14:paraId="2D776414" w14:textId="77777777" w:rsidR="00086487" w:rsidRPr="001D626C" w:rsidRDefault="00086487" w:rsidP="004A5DB6">
            <w:pPr>
              <w:jc w:val="center"/>
            </w:pPr>
            <w:r w:rsidRPr="001D626C">
              <w:t>0</w:t>
            </w:r>
          </w:p>
        </w:tc>
      </w:tr>
      <w:tr w:rsidR="00086487" w:rsidRPr="001D626C" w14:paraId="18A5E606"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B8F0E05"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3.2. speciālais budžets</w:t>
            </w:r>
          </w:p>
        </w:tc>
        <w:tc>
          <w:tcPr>
            <w:tcW w:w="1395" w:type="dxa"/>
            <w:tcBorders>
              <w:top w:val="outset" w:sz="6" w:space="0" w:color="auto"/>
              <w:left w:val="outset" w:sz="6" w:space="0" w:color="auto"/>
              <w:bottom w:val="outset" w:sz="6" w:space="0" w:color="auto"/>
              <w:right w:val="outset" w:sz="6" w:space="0" w:color="auto"/>
            </w:tcBorders>
            <w:hideMark/>
          </w:tcPr>
          <w:p w14:paraId="7A199DF8"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43CE3039"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581CE1BB"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670CB9C5"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6E3F978D"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18A48D58"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2F7639F0"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3.3. pašvaldību budžets</w:t>
            </w:r>
          </w:p>
        </w:tc>
        <w:tc>
          <w:tcPr>
            <w:tcW w:w="1395" w:type="dxa"/>
            <w:tcBorders>
              <w:top w:val="outset" w:sz="6" w:space="0" w:color="auto"/>
              <w:left w:val="outset" w:sz="6" w:space="0" w:color="auto"/>
              <w:bottom w:val="outset" w:sz="6" w:space="0" w:color="auto"/>
              <w:right w:val="outset" w:sz="6" w:space="0" w:color="auto"/>
            </w:tcBorders>
            <w:hideMark/>
          </w:tcPr>
          <w:p w14:paraId="65998A25"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834" w:type="dxa"/>
            <w:tcBorders>
              <w:top w:val="outset" w:sz="6" w:space="0" w:color="auto"/>
              <w:left w:val="outset" w:sz="6" w:space="0" w:color="auto"/>
              <w:bottom w:val="outset" w:sz="6" w:space="0" w:color="auto"/>
              <w:right w:val="outset" w:sz="6" w:space="0" w:color="auto"/>
            </w:tcBorders>
            <w:hideMark/>
          </w:tcPr>
          <w:p w14:paraId="4E55A51A"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46ABB35B"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440C8CE4"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3085D0B5"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7998DC44" w14:textId="77777777" w:rsidTr="004A5DB6">
        <w:trPr>
          <w:tblCellSpacing w:w="15" w:type="dxa"/>
          <w:jc w:val="center"/>
        </w:trPr>
        <w:tc>
          <w:tcPr>
            <w:tcW w:w="1508" w:type="dxa"/>
            <w:vMerge w:val="restart"/>
            <w:tcBorders>
              <w:top w:val="outset" w:sz="6" w:space="0" w:color="auto"/>
              <w:left w:val="outset" w:sz="6" w:space="0" w:color="auto"/>
              <w:bottom w:val="outset" w:sz="6" w:space="0" w:color="auto"/>
              <w:right w:val="outset" w:sz="6" w:space="0" w:color="auto"/>
            </w:tcBorders>
            <w:hideMark/>
          </w:tcPr>
          <w:p w14:paraId="7BCF176C" w14:textId="77777777" w:rsidR="00086487" w:rsidRPr="001D626C" w:rsidRDefault="00086487" w:rsidP="004A5DB6">
            <w:pPr>
              <w:tabs>
                <w:tab w:val="center" w:pos="4153"/>
                <w:tab w:val="right" w:pos="8306"/>
              </w:tabs>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395" w:type="dxa"/>
            <w:vMerge w:val="restart"/>
            <w:tcBorders>
              <w:top w:val="outset" w:sz="6" w:space="0" w:color="auto"/>
              <w:left w:val="outset" w:sz="6" w:space="0" w:color="auto"/>
              <w:bottom w:val="outset" w:sz="6" w:space="0" w:color="auto"/>
              <w:right w:val="outset" w:sz="6" w:space="0" w:color="auto"/>
            </w:tcBorders>
            <w:hideMark/>
          </w:tcPr>
          <w:p w14:paraId="52C27BC0" w14:textId="77777777" w:rsidR="00086487" w:rsidRPr="001D626C" w:rsidRDefault="00086487" w:rsidP="004A5DB6">
            <w:pPr>
              <w:tabs>
                <w:tab w:val="center" w:pos="4153"/>
                <w:tab w:val="right" w:pos="8306"/>
              </w:tabs>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hideMark/>
          </w:tcPr>
          <w:p w14:paraId="0A1255C9"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7C71BC1C" w14:textId="181E664D" w:rsidR="00086487" w:rsidRPr="001D626C" w:rsidRDefault="00917B2A"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hideMark/>
          </w:tcPr>
          <w:p w14:paraId="324A71F0"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6D01D016" w14:textId="77777777" w:rsidR="00086487" w:rsidRPr="001D626C" w:rsidRDefault="00086487" w:rsidP="004A5DB6">
            <w:pPr>
              <w:tabs>
                <w:tab w:val="center" w:pos="4153"/>
                <w:tab w:val="right" w:pos="8306"/>
              </w:tabs>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1111467E" w14:textId="77777777" w:rsidTr="004A5DB6">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78471BB4"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5AFEC419"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7AB5C8B9"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AE252A6" w14:textId="0B08DFB5" w:rsidR="00086487" w:rsidRPr="001D626C" w:rsidRDefault="00917B2A" w:rsidP="004A5DB6">
            <w:pPr>
              <w:spacing w:after="0"/>
              <w:jc w:val="center"/>
              <w:rPr>
                <w:rFonts w:ascii="Times New Roman" w:eastAsia="Times New Roman" w:hAnsi="Times New Roman" w:cs="Times New Roman"/>
                <w:sz w:val="24"/>
                <w:szCs w:val="24"/>
                <w:lang w:eastAsia="lv-LV"/>
              </w:rP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hideMark/>
          </w:tcPr>
          <w:p w14:paraId="47898471"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01AAD09A"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2B2240EC" w14:textId="77777777" w:rsidTr="004A5DB6">
        <w:trPr>
          <w:tblCellSpacing w:w="15" w:type="dxa"/>
          <w:jc w:val="center"/>
        </w:trPr>
        <w:tc>
          <w:tcPr>
            <w:tcW w:w="1508" w:type="dxa"/>
            <w:vMerge/>
            <w:tcBorders>
              <w:top w:val="outset" w:sz="6" w:space="0" w:color="auto"/>
              <w:left w:val="outset" w:sz="6" w:space="0" w:color="auto"/>
              <w:bottom w:val="outset" w:sz="6" w:space="0" w:color="auto"/>
              <w:right w:val="outset" w:sz="6" w:space="0" w:color="auto"/>
            </w:tcBorders>
            <w:vAlign w:val="center"/>
            <w:hideMark/>
          </w:tcPr>
          <w:p w14:paraId="5EC9F922"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05678863"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6FE7FB2E"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319BFCE9" w14:textId="7870F300" w:rsidR="00086487" w:rsidRPr="001D626C" w:rsidRDefault="00917B2A" w:rsidP="004A5DB6">
            <w:pPr>
              <w:spacing w:after="0"/>
              <w:jc w:val="center"/>
              <w:rPr>
                <w:rFonts w:ascii="Times New Roman" w:eastAsia="Times New Roman" w:hAnsi="Times New Roman" w:cs="Times New Roman"/>
                <w:sz w:val="24"/>
                <w:szCs w:val="24"/>
                <w:lang w:eastAsia="lv-LV"/>
              </w:rPr>
            </w:pPr>
            <w:r w:rsidRPr="001D626C">
              <w:rPr>
                <w:rFonts w:ascii="Times New Roman" w:hAnsi="Times New Roman" w:cs="Times New Roman"/>
                <w:sz w:val="24"/>
                <w:szCs w:val="24"/>
              </w:rPr>
              <w:t>29 040</w:t>
            </w:r>
          </w:p>
        </w:tc>
        <w:tc>
          <w:tcPr>
            <w:tcW w:w="1378" w:type="dxa"/>
            <w:tcBorders>
              <w:top w:val="outset" w:sz="6" w:space="0" w:color="auto"/>
              <w:left w:val="outset" w:sz="6" w:space="0" w:color="auto"/>
              <w:bottom w:val="outset" w:sz="6" w:space="0" w:color="auto"/>
              <w:right w:val="outset" w:sz="6" w:space="0" w:color="auto"/>
            </w:tcBorders>
            <w:hideMark/>
          </w:tcPr>
          <w:p w14:paraId="48425162"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3338F52B"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72EAE264"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C217074"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5. Precizēta finansiālā ietekme:</w:t>
            </w:r>
          </w:p>
        </w:tc>
        <w:tc>
          <w:tcPr>
            <w:tcW w:w="1395" w:type="dxa"/>
            <w:vMerge w:val="restart"/>
            <w:tcBorders>
              <w:top w:val="outset" w:sz="6" w:space="0" w:color="auto"/>
              <w:left w:val="outset" w:sz="6" w:space="0" w:color="auto"/>
              <w:bottom w:val="outset" w:sz="6" w:space="0" w:color="auto"/>
              <w:right w:val="outset" w:sz="6" w:space="0" w:color="auto"/>
            </w:tcBorders>
            <w:hideMark/>
          </w:tcPr>
          <w:p w14:paraId="09E4005D" w14:textId="77777777" w:rsidR="00086487" w:rsidRPr="001D626C" w:rsidRDefault="00086487" w:rsidP="004A5DB6">
            <w:pPr>
              <w:spacing w:after="0"/>
              <w:ind w:firstLine="30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X</w:t>
            </w:r>
          </w:p>
        </w:tc>
        <w:tc>
          <w:tcPr>
            <w:tcW w:w="1834" w:type="dxa"/>
            <w:tcBorders>
              <w:top w:val="outset" w:sz="6" w:space="0" w:color="auto"/>
              <w:left w:val="outset" w:sz="6" w:space="0" w:color="auto"/>
              <w:bottom w:val="outset" w:sz="6" w:space="0" w:color="auto"/>
              <w:right w:val="outset" w:sz="6" w:space="0" w:color="auto"/>
            </w:tcBorders>
          </w:tcPr>
          <w:p w14:paraId="0AEEAAAF"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0116A636" w14:textId="77777777" w:rsidR="00086487" w:rsidRPr="001D626C" w:rsidRDefault="00086487" w:rsidP="004A5DB6">
            <w:pPr>
              <w:jc w:val="center"/>
            </w:pPr>
            <w:r w:rsidRPr="001D626C">
              <w:t>0</w:t>
            </w:r>
          </w:p>
        </w:tc>
        <w:tc>
          <w:tcPr>
            <w:tcW w:w="1378" w:type="dxa"/>
            <w:tcBorders>
              <w:top w:val="outset" w:sz="6" w:space="0" w:color="auto"/>
              <w:left w:val="outset" w:sz="6" w:space="0" w:color="auto"/>
              <w:bottom w:val="outset" w:sz="6" w:space="0" w:color="auto"/>
              <w:right w:val="outset" w:sz="6" w:space="0" w:color="auto"/>
            </w:tcBorders>
          </w:tcPr>
          <w:p w14:paraId="5CF326A7" w14:textId="77777777" w:rsidR="00086487" w:rsidRPr="001D626C" w:rsidRDefault="00086487" w:rsidP="004A5DB6">
            <w:pPr>
              <w:jc w:val="center"/>
            </w:pPr>
            <w:r w:rsidRPr="001D626C">
              <w:t>0</w:t>
            </w:r>
          </w:p>
        </w:tc>
        <w:tc>
          <w:tcPr>
            <w:tcW w:w="1646" w:type="dxa"/>
            <w:tcBorders>
              <w:top w:val="outset" w:sz="6" w:space="0" w:color="auto"/>
              <w:left w:val="outset" w:sz="6" w:space="0" w:color="auto"/>
              <w:bottom w:val="outset" w:sz="6" w:space="0" w:color="auto"/>
              <w:right w:val="outset" w:sz="6" w:space="0" w:color="auto"/>
            </w:tcBorders>
          </w:tcPr>
          <w:p w14:paraId="771EC7FB" w14:textId="77777777" w:rsidR="00086487" w:rsidRPr="001D626C" w:rsidRDefault="00086487" w:rsidP="004A5DB6">
            <w:pPr>
              <w:jc w:val="center"/>
            </w:pPr>
            <w:r w:rsidRPr="001D626C">
              <w:t>0</w:t>
            </w:r>
          </w:p>
        </w:tc>
      </w:tr>
      <w:tr w:rsidR="00086487" w:rsidRPr="001D626C" w14:paraId="2000C3BE"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7FBFA0F"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5.1. valsts pamatbudžets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58B4E24C"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tcPr>
          <w:p w14:paraId="2E5A5713"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tcPr>
          <w:p w14:paraId="5ACB4918" w14:textId="77777777" w:rsidR="00086487" w:rsidRPr="001D626C" w:rsidRDefault="00086487" w:rsidP="004A5DB6">
            <w:pPr>
              <w:jc w:val="center"/>
            </w:pPr>
            <w:r w:rsidRPr="001D626C">
              <w:t>0</w:t>
            </w:r>
          </w:p>
        </w:tc>
        <w:tc>
          <w:tcPr>
            <w:tcW w:w="1378" w:type="dxa"/>
            <w:tcBorders>
              <w:top w:val="outset" w:sz="6" w:space="0" w:color="auto"/>
              <w:left w:val="outset" w:sz="6" w:space="0" w:color="auto"/>
              <w:bottom w:val="outset" w:sz="6" w:space="0" w:color="auto"/>
              <w:right w:val="outset" w:sz="6" w:space="0" w:color="auto"/>
            </w:tcBorders>
          </w:tcPr>
          <w:p w14:paraId="43C00BB7" w14:textId="77777777" w:rsidR="00086487" w:rsidRPr="001D626C" w:rsidRDefault="00086487" w:rsidP="004A5DB6">
            <w:pPr>
              <w:jc w:val="center"/>
            </w:pPr>
            <w:r w:rsidRPr="001D626C">
              <w:t>0</w:t>
            </w:r>
          </w:p>
        </w:tc>
        <w:tc>
          <w:tcPr>
            <w:tcW w:w="1646" w:type="dxa"/>
            <w:tcBorders>
              <w:top w:val="outset" w:sz="6" w:space="0" w:color="auto"/>
              <w:left w:val="outset" w:sz="6" w:space="0" w:color="auto"/>
              <w:bottom w:val="outset" w:sz="6" w:space="0" w:color="auto"/>
              <w:right w:val="outset" w:sz="6" w:space="0" w:color="auto"/>
            </w:tcBorders>
          </w:tcPr>
          <w:p w14:paraId="398E37D5" w14:textId="77777777" w:rsidR="00086487" w:rsidRPr="001D626C" w:rsidRDefault="00086487" w:rsidP="004A5DB6">
            <w:pPr>
              <w:jc w:val="center"/>
            </w:pPr>
            <w:r w:rsidRPr="001D626C">
              <w:t>0</w:t>
            </w:r>
          </w:p>
        </w:tc>
      </w:tr>
      <w:tr w:rsidR="00086487" w:rsidRPr="001D626C" w14:paraId="1131F963"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8620FF0"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5.2. speciālais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450A41B4"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3587763A"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8CF4EC3"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340D5174"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7DFA94F8"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5DB6E66A"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5391837" w14:textId="77777777" w:rsidR="00086487" w:rsidRPr="001D626C" w:rsidRDefault="00086487" w:rsidP="004A5DB6">
            <w:pPr>
              <w:spacing w:after="0"/>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5.3. pašvaldību budžets</w:t>
            </w:r>
          </w:p>
        </w:tc>
        <w:tc>
          <w:tcPr>
            <w:tcW w:w="1395" w:type="dxa"/>
            <w:vMerge/>
            <w:tcBorders>
              <w:top w:val="outset" w:sz="6" w:space="0" w:color="auto"/>
              <w:left w:val="outset" w:sz="6" w:space="0" w:color="auto"/>
              <w:bottom w:val="outset" w:sz="6" w:space="0" w:color="auto"/>
              <w:right w:val="outset" w:sz="6" w:space="0" w:color="auto"/>
            </w:tcBorders>
            <w:vAlign w:val="center"/>
            <w:hideMark/>
          </w:tcPr>
          <w:p w14:paraId="3A62DA3C" w14:textId="77777777" w:rsidR="00086487" w:rsidRPr="001D626C" w:rsidRDefault="00086487" w:rsidP="004A5DB6">
            <w:pPr>
              <w:spacing w:after="0"/>
              <w:rPr>
                <w:rFonts w:ascii="Times New Roman" w:eastAsia="Times New Roman" w:hAnsi="Times New Roman" w:cs="Times New Roman"/>
                <w:sz w:val="24"/>
                <w:szCs w:val="24"/>
                <w:lang w:eastAsia="lv-LV"/>
              </w:rPr>
            </w:pPr>
          </w:p>
        </w:tc>
        <w:tc>
          <w:tcPr>
            <w:tcW w:w="1834" w:type="dxa"/>
            <w:tcBorders>
              <w:top w:val="outset" w:sz="6" w:space="0" w:color="auto"/>
              <w:left w:val="outset" w:sz="6" w:space="0" w:color="auto"/>
              <w:bottom w:val="outset" w:sz="6" w:space="0" w:color="auto"/>
              <w:right w:val="outset" w:sz="6" w:space="0" w:color="auto"/>
            </w:tcBorders>
            <w:hideMark/>
          </w:tcPr>
          <w:p w14:paraId="7D5B0AFB"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7" w:type="dxa"/>
            <w:tcBorders>
              <w:top w:val="outset" w:sz="6" w:space="0" w:color="auto"/>
              <w:left w:val="outset" w:sz="6" w:space="0" w:color="auto"/>
              <w:bottom w:val="outset" w:sz="6" w:space="0" w:color="auto"/>
              <w:right w:val="outset" w:sz="6" w:space="0" w:color="auto"/>
            </w:tcBorders>
            <w:hideMark/>
          </w:tcPr>
          <w:p w14:paraId="28C14190"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378" w:type="dxa"/>
            <w:tcBorders>
              <w:top w:val="outset" w:sz="6" w:space="0" w:color="auto"/>
              <w:left w:val="outset" w:sz="6" w:space="0" w:color="auto"/>
              <w:bottom w:val="outset" w:sz="6" w:space="0" w:color="auto"/>
              <w:right w:val="outset" w:sz="6" w:space="0" w:color="auto"/>
            </w:tcBorders>
            <w:hideMark/>
          </w:tcPr>
          <w:p w14:paraId="18FCE6E4"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c>
          <w:tcPr>
            <w:tcW w:w="1646" w:type="dxa"/>
            <w:tcBorders>
              <w:top w:val="outset" w:sz="6" w:space="0" w:color="auto"/>
              <w:left w:val="outset" w:sz="6" w:space="0" w:color="auto"/>
              <w:bottom w:val="outset" w:sz="6" w:space="0" w:color="auto"/>
              <w:right w:val="outset" w:sz="6" w:space="0" w:color="auto"/>
            </w:tcBorders>
            <w:hideMark/>
          </w:tcPr>
          <w:p w14:paraId="3932676F" w14:textId="77777777" w:rsidR="00086487" w:rsidRPr="001D626C" w:rsidRDefault="00086487" w:rsidP="004A5DB6">
            <w:pPr>
              <w:spacing w:after="0"/>
              <w:jc w:val="center"/>
              <w:rPr>
                <w:rFonts w:ascii="Times New Roman" w:eastAsia="Times New Roman" w:hAnsi="Times New Roman" w:cs="Times New Roman"/>
                <w:sz w:val="24"/>
                <w:szCs w:val="24"/>
                <w:lang w:eastAsia="lv-LV"/>
              </w:rPr>
            </w:pPr>
            <w:r w:rsidRPr="001D626C">
              <w:rPr>
                <w:rFonts w:ascii="Times New Roman" w:eastAsia="Times New Roman" w:hAnsi="Times New Roman" w:cs="Times New Roman"/>
                <w:sz w:val="24"/>
                <w:szCs w:val="24"/>
                <w:lang w:eastAsia="lv-LV"/>
              </w:rPr>
              <w:t>0</w:t>
            </w:r>
          </w:p>
        </w:tc>
      </w:tr>
      <w:tr w:rsidR="00086487" w:rsidRPr="001D626C" w14:paraId="62D3849C" w14:textId="77777777" w:rsidTr="004A5DB6">
        <w:trPr>
          <w:trHeight w:val="1840"/>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4CB24939"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7750" w:type="dxa"/>
            <w:gridSpan w:val="5"/>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14:paraId="6EAFEBF1" w14:textId="77777777" w:rsidR="00086487" w:rsidRPr="001D626C" w:rsidRDefault="00086487" w:rsidP="004A5DB6">
            <w:pPr>
              <w:pStyle w:val="Default"/>
              <w:jc w:val="both"/>
              <w:rPr>
                <w:color w:val="auto"/>
              </w:rPr>
            </w:pPr>
          </w:p>
          <w:p w14:paraId="6DFB6D64" w14:textId="77777777" w:rsidR="00086487" w:rsidRPr="001D626C" w:rsidRDefault="00086487" w:rsidP="004A5DB6">
            <w:pPr>
              <w:spacing w:after="160"/>
              <w:jc w:val="both"/>
              <w:rPr>
                <w:rFonts w:ascii="Times New Roman" w:hAnsi="Times New Roman" w:cs="Times New Roman"/>
                <w:sz w:val="24"/>
                <w:szCs w:val="24"/>
              </w:rPr>
            </w:pPr>
            <w:r w:rsidRPr="001D626C">
              <w:rPr>
                <w:rFonts w:ascii="Times New Roman" w:hAnsi="Times New Roman" w:cs="Times New Roman"/>
                <w:bCs/>
                <w:iCs/>
                <w:sz w:val="24"/>
                <w:szCs w:val="24"/>
              </w:rPr>
              <w:t xml:space="preserve">Lai varētu izveidot elektronisko pakalpojumu, esošā vai iepriekšējā personas koda saņemšanai, ar iestrādāto maksas pakalpojuma moduli, 2018.gadā nepieciešams finansējums </w:t>
            </w:r>
            <w:r w:rsidRPr="001D626C">
              <w:rPr>
                <w:rFonts w:ascii="Times New Roman" w:hAnsi="Times New Roman" w:cs="Times New Roman"/>
                <w:sz w:val="24"/>
                <w:szCs w:val="24"/>
              </w:rPr>
              <w:t xml:space="preserve">Iekšlietu ministrijas budžeta apakšprogrammā 11.01.00 “Pilsonības un migrācijas lietu pārvalde” 29 040 </w:t>
            </w:r>
            <w:r w:rsidRPr="001D626C">
              <w:rPr>
                <w:rFonts w:ascii="Times New Roman" w:hAnsi="Times New Roman" w:cs="Times New Roman"/>
                <w:i/>
                <w:iCs/>
                <w:sz w:val="24"/>
                <w:szCs w:val="24"/>
              </w:rPr>
              <w:t>euro</w:t>
            </w:r>
            <w:r w:rsidRPr="001D626C">
              <w:rPr>
                <w:rFonts w:ascii="Times New Roman" w:hAnsi="Times New Roman" w:cs="Times New Roman"/>
                <w:sz w:val="24"/>
                <w:szCs w:val="24"/>
              </w:rPr>
              <w:t xml:space="preserve"> apmērā pamatkapitāla veidošanai</w:t>
            </w:r>
            <w:r w:rsidRPr="001D626C">
              <w:rPr>
                <w:rFonts w:ascii="Times New Roman" w:hAnsi="Times New Roman" w:cs="Times New Roman"/>
                <w:bCs/>
                <w:iCs/>
                <w:sz w:val="24"/>
                <w:szCs w:val="24"/>
              </w:rPr>
              <w:t xml:space="preserve"> (EKK 5000)</w:t>
            </w:r>
            <w:r w:rsidRPr="001D626C">
              <w:rPr>
                <w:rFonts w:ascii="Times New Roman" w:hAnsi="Times New Roman" w:cs="Times New Roman"/>
                <w:sz w:val="24"/>
                <w:szCs w:val="24"/>
              </w:rPr>
              <w:t>:</w:t>
            </w:r>
          </w:p>
          <w:p w14:paraId="61A08472" w14:textId="77777777" w:rsidR="00086487" w:rsidRPr="001D626C" w:rsidRDefault="00086487" w:rsidP="004A5DB6">
            <w:pPr>
              <w:spacing w:after="240"/>
              <w:jc w:val="both"/>
              <w:rPr>
                <w:rFonts w:ascii="Times New Roman" w:hAnsi="Times New Roman" w:cs="Times New Roman"/>
                <w:sz w:val="24"/>
                <w:szCs w:val="24"/>
              </w:rPr>
            </w:pPr>
            <w:r w:rsidRPr="001D626C">
              <w:rPr>
                <w:rFonts w:ascii="Times New Roman" w:hAnsi="Times New Roman" w:cs="Times New Roman"/>
                <w:sz w:val="24"/>
                <w:szCs w:val="24"/>
              </w:rPr>
              <w:t xml:space="preserve">programmēšanas darbiem, jaunu saskarņu izveidei nepieciešamas 50 cilvēkdienas (apjoms noteikts atbilstoši iepriekš veiktajiem                                            elektronisko pakalpojumu izstrādes un uzlabošanas darbu veikšanai nepieciešamajiem laika, darba un izmaksu apjomiem). Samaksa par vienu darba dienu - 480 </w:t>
            </w:r>
            <w:r w:rsidRPr="001D626C">
              <w:rPr>
                <w:rFonts w:ascii="Times New Roman" w:hAnsi="Times New Roman" w:cs="Times New Roman"/>
                <w:i/>
                <w:iCs/>
                <w:sz w:val="24"/>
                <w:szCs w:val="24"/>
              </w:rPr>
              <w:t xml:space="preserve">euro </w:t>
            </w:r>
            <w:r w:rsidRPr="001D626C">
              <w:rPr>
                <w:rFonts w:ascii="Times New Roman" w:hAnsi="Times New Roman" w:cs="Times New Roman"/>
                <w:sz w:val="24"/>
                <w:szCs w:val="24"/>
              </w:rPr>
              <w:t>(bez PVN) (pēc vidējās tirgus cenas)</w:t>
            </w:r>
          </w:p>
          <w:p w14:paraId="6605F1A3" w14:textId="77777777" w:rsidR="00086487" w:rsidRPr="001D626C" w:rsidRDefault="00086487" w:rsidP="004A5DB6">
            <w:pPr>
              <w:pStyle w:val="naisf"/>
              <w:spacing w:before="0" w:after="0"/>
              <w:ind w:right="151" w:firstLine="0"/>
            </w:pPr>
            <w:r w:rsidRPr="001D626C">
              <w:t xml:space="preserve">50 cilvēkdienas x 480 </w:t>
            </w:r>
            <w:r w:rsidRPr="001D626C">
              <w:rPr>
                <w:i/>
                <w:iCs/>
              </w:rPr>
              <w:t xml:space="preserve">euro </w:t>
            </w:r>
            <w:r w:rsidRPr="001D626C">
              <w:t xml:space="preserve">= 24 000 </w:t>
            </w:r>
            <w:r w:rsidRPr="001D626C">
              <w:rPr>
                <w:i/>
              </w:rPr>
              <w:t xml:space="preserve">euro </w:t>
            </w:r>
            <w:r w:rsidRPr="001D626C">
              <w:t xml:space="preserve">x 1,21 (PVN) = 29 040 </w:t>
            </w:r>
            <w:r w:rsidRPr="001D626C">
              <w:rPr>
                <w:i/>
                <w:iCs/>
              </w:rPr>
              <w:t>euro</w:t>
            </w:r>
            <w:r w:rsidRPr="001D626C">
              <w:t xml:space="preserve"> (EKK 5121 - datorprogrammas).</w:t>
            </w:r>
          </w:p>
          <w:p w14:paraId="0D13ED75" w14:textId="77777777" w:rsidR="00086487" w:rsidRPr="001D626C" w:rsidRDefault="00086487" w:rsidP="004A5DB6">
            <w:pPr>
              <w:pStyle w:val="naisf"/>
              <w:spacing w:before="0" w:after="0"/>
              <w:ind w:right="151" w:firstLine="0"/>
            </w:pPr>
          </w:p>
          <w:p w14:paraId="508962EA" w14:textId="77777777" w:rsidR="00086487" w:rsidRPr="001D626C" w:rsidRDefault="00086487" w:rsidP="004A5DB6">
            <w:pPr>
              <w:pStyle w:val="naisf"/>
              <w:spacing w:before="0" w:after="0"/>
              <w:ind w:right="151" w:firstLine="0"/>
            </w:pPr>
          </w:p>
          <w:p w14:paraId="41A49ACD" w14:textId="77777777" w:rsidR="00086487" w:rsidRPr="001D626C" w:rsidRDefault="00086487" w:rsidP="004A5DB6">
            <w:pPr>
              <w:pStyle w:val="naisf"/>
              <w:spacing w:before="0" w:after="0"/>
              <w:ind w:left="-64" w:right="-170" w:firstLine="0"/>
              <w:rPr>
                <w:highlight w:val="yellow"/>
              </w:rPr>
            </w:pPr>
            <w:r w:rsidRPr="001D626C">
              <w:t xml:space="preserve"> </w:t>
            </w:r>
          </w:p>
        </w:tc>
      </w:tr>
      <w:tr w:rsidR="00086487" w:rsidRPr="001D626C" w14:paraId="5ECE91F9" w14:textId="77777777" w:rsidTr="004A5DB6">
        <w:trPr>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67934237"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6.1. detalizēts ieņēmumu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7602740" w14:textId="77777777" w:rsidR="00086487" w:rsidRPr="001D626C" w:rsidRDefault="00086487" w:rsidP="004A5DB6">
            <w:pPr>
              <w:spacing w:after="0"/>
              <w:rPr>
                <w:rFonts w:ascii="Times New Roman" w:eastAsia="Times New Roman" w:hAnsi="Times New Roman" w:cs="Times New Roman"/>
                <w:color w:val="000000" w:themeColor="text1"/>
                <w:sz w:val="24"/>
                <w:szCs w:val="24"/>
                <w:highlight w:val="yellow"/>
                <w:lang w:eastAsia="lv-LV"/>
              </w:rPr>
            </w:pPr>
          </w:p>
        </w:tc>
      </w:tr>
      <w:tr w:rsidR="00086487" w:rsidRPr="001D626C" w14:paraId="17DEF4AE" w14:textId="77777777" w:rsidTr="004A5DB6">
        <w:trPr>
          <w:trHeight w:val="932"/>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35C2E17D"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lastRenderedPageBreak/>
              <w:t>6.2. detalizēts izdevumu aprēķins</w:t>
            </w:r>
          </w:p>
        </w:tc>
        <w:tc>
          <w:tcPr>
            <w:tcW w:w="7750" w:type="dxa"/>
            <w:gridSpan w:val="5"/>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0513EB2" w14:textId="77777777" w:rsidR="00086487" w:rsidRPr="001D626C" w:rsidRDefault="00086487" w:rsidP="004A5DB6">
            <w:pPr>
              <w:spacing w:after="0"/>
              <w:rPr>
                <w:rFonts w:ascii="Times New Roman" w:eastAsia="Times New Roman" w:hAnsi="Times New Roman" w:cs="Times New Roman"/>
                <w:color w:val="000000" w:themeColor="text1"/>
                <w:sz w:val="24"/>
                <w:szCs w:val="24"/>
                <w:highlight w:val="yellow"/>
                <w:lang w:eastAsia="lv-LV"/>
              </w:rPr>
            </w:pPr>
          </w:p>
        </w:tc>
      </w:tr>
      <w:tr w:rsidR="00086487" w:rsidRPr="001D626C" w14:paraId="50D4A1A4" w14:textId="77777777" w:rsidTr="004A5DB6">
        <w:trPr>
          <w:trHeight w:val="1263"/>
          <w:tblCellSpacing w:w="15" w:type="dxa"/>
          <w:jc w:val="center"/>
        </w:trPr>
        <w:tc>
          <w:tcPr>
            <w:tcW w:w="1508" w:type="dxa"/>
            <w:tcBorders>
              <w:top w:val="outset" w:sz="6" w:space="0" w:color="auto"/>
              <w:left w:val="outset" w:sz="6" w:space="0" w:color="auto"/>
              <w:bottom w:val="outset" w:sz="6" w:space="0" w:color="auto"/>
              <w:right w:val="outset" w:sz="6" w:space="0" w:color="auto"/>
            </w:tcBorders>
            <w:hideMark/>
          </w:tcPr>
          <w:p w14:paraId="5F5D6BA9"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lastRenderedPageBreak/>
              <w:t>7. Cita informācija</w:t>
            </w:r>
          </w:p>
        </w:tc>
        <w:tc>
          <w:tcPr>
            <w:tcW w:w="7750"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14:paraId="1DF811EE" w14:textId="617C4EF8" w:rsidR="00086487" w:rsidRPr="001D626C" w:rsidRDefault="00086487" w:rsidP="00B01AB3">
            <w:pPr>
              <w:pStyle w:val="naisf"/>
              <w:tabs>
                <w:tab w:val="left" w:pos="4644"/>
              </w:tabs>
              <w:spacing w:before="0" w:after="0"/>
              <w:ind w:firstLine="332"/>
              <w:rPr>
                <w:highlight w:val="yellow"/>
              </w:rPr>
            </w:pPr>
            <w:r w:rsidRPr="001D626C">
              <w:t xml:space="preserve">Jauna </w:t>
            </w:r>
            <w:r w:rsidR="00B01AB3" w:rsidRPr="001D626C">
              <w:t>elektroniskā pakalpojuma izstrādi, kura ietvaros identificēta persona pēc valsts nodevas samaksas varēs elektroniski saņemt no Iedzīvotāju reģistra informāciju par attiecīgās personas iepriekšējo vai esošo kodu</w:t>
            </w:r>
            <w:r w:rsidRPr="001D626C">
              <w:t xml:space="preserve"> pakalpojuma Pilsonības un migrācijas lietu pārvalde nodrošinās piešķirto resursu ietvaros.</w:t>
            </w:r>
          </w:p>
        </w:tc>
      </w:tr>
    </w:tbl>
    <w:tbl>
      <w:tblPr>
        <w:tblpPr w:leftFromText="180" w:rightFromText="180" w:vertAnchor="text" w:horzAnchor="margin" w:tblpXSpec="center" w:tblpY="564"/>
        <w:tblW w:w="9348"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48"/>
      </w:tblGrid>
      <w:tr w:rsidR="00086487" w:rsidRPr="001D626C" w14:paraId="15B0282F" w14:textId="77777777" w:rsidTr="004A5DB6">
        <w:trPr>
          <w:trHeight w:val="170"/>
          <w:tblCellSpacing w:w="15" w:type="dxa"/>
        </w:trPr>
        <w:tc>
          <w:tcPr>
            <w:tcW w:w="9288" w:type="dxa"/>
            <w:tcBorders>
              <w:top w:val="outset" w:sz="6" w:space="0" w:color="auto"/>
              <w:left w:val="outset" w:sz="6" w:space="0" w:color="auto"/>
              <w:bottom w:val="outset" w:sz="6" w:space="0" w:color="auto"/>
              <w:right w:val="outset" w:sz="6" w:space="0" w:color="auto"/>
            </w:tcBorders>
            <w:vAlign w:val="center"/>
          </w:tcPr>
          <w:p w14:paraId="0849E3AD" w14:textId="77777777" w:rsidR="00086487" w:rsidRPr="001D626C" w:rsidRDefault="00086487" w:rsidP="004A5DB6">
            <w:pPr>
              <w:spacing w:before="100" w:beforeAutospacing="1" w:after="100" w:afterAutospacing="1" w:line="360" w:lineRule="auto"/>
              <w:ind w:firstLine="300"/>
              <w:jc w:val="center"/>
              <w:rPr>
                <w:rFonts w:ascii="Times New Roman" w:hAnsi="Times New Roman" w:cs="Times New Roman"/>
                <w:b/>
                <w:bCs/>
                <w:sz w:val="24"/>
                <w:szCs w:val="24"/>
              </w:rPr>
            </w:pPr>
            <w:r w:rsidRPr="001D626C">
              <w:rPr>
                <w:rFonts w:ascii="Times New Roman" w:hAnsi="Times New Roman" w:cs="Times New Roman"/>
                <w:b/>
                <w:bCs/>
                <w:sz w:val="24"/>
                <w:szCs w:val="24"/>
              </w:rPr>
              <w:t>IV. Tiesību akta projekta ietekme uz spēkā esošo tiesību normu sistēmu</w:t>
            </w:r>
          </w:p>
        </w:tc>
      </w:tr>
      <w:tr w:rsidR="00086487" w:rsidRPr="001D626C" w14:paraId="501F3571" w14:textId="77777777" w:rsidTr="004A5DB6">
        <w:trPr>
          <w:trHeight w:val="100"/>
          <w:tblCellSpacing w:w="15" w:type="dxa"/>
        </w:trPr>
        <w:tc>
          <w:tcPr>
            <w:tcW w:w="9288" w:type="dxa"/>
            <w:tcBorders>
              <w:top w:val="outset" w:sz="6" w:space="0" w:color="auto"/>
              <w:left w:val="outset" w:sz="6" w:space="0" w:color="auto"/>
              <w:right w:val="outset" w:sz="6" w:space="0" w:color="auto"/>
            </w:tcBorders>
          </w:tcPr>
          <w:p w14:paraId="22025FBA" w14:textId="77777777" w:rsidR="00086487" w:rsidRPr="001D626C" w:rsidRDefault="00086487" w:rsidP="004A5DB6">
            <w:pPr>
              <w:spacing w:before="100" w:beforeAutospacing="1" w:after="100" w:afterAutospacing="1"/>
              <w:jc w:val="center"/>
            </w:pPr>
            <w:r w:rsidRPr="001D626C">
              <w:rPr>
                <w:rFonts w:ascii="Times New Roman" w:hAnsi="Times New Roman" w:cs="Times New Roman"/>
                <w:sz w:val="24"/>
                <w:szCs w:val="24"/>
              </w:rPr>
              <w:t>Projekts šo jomu neskar.</w:t>
            </w:r>
          </w:p>
        </w:tc>
      </w:tr>
    </w:tbl>
    <w:p w14:paraId="585205D8" w14:textId="77777777" w:rsidR="00086487" w:rsidRPr="001D626C" w:rsidRDefault="00086487" w:rsidP="00086487">
      <w:pPr>
        <w:spacing w:after="0"/>
        <w:ind w:firstLine="300"/>
        <w:rPr>
          <w:rFonts w:ascii="Times New Roman" w:eastAsia="Times New Roman" w:hAnsi="Times New Roman" w:cs="Times New Roman"/>
          <w:sz w:val="24"/>
          <w:szCs w:val="24"/>
          <w:lang w:eastAsia="lv-LV"/>
        </w:rPr>
      </w:pPr>
    </w:p>
    <w:p w14:paraId="5DB7087B" w14:textId="77777777" w:rsidR="00086487" w:rsidRPr="001D626C" w:rsidRDefault="00086487" w:rsidP="00086487">
      <w:pPr>
        <w:spacing w:after="0"/>
        <w:ind w:firstLine="300"/>
        <w:rPr>
          <w:rFonts w:ascii="Times New Roman" w:eastAsia="Times New Roman" w:hAnsi="Times New Roman" w:cs="Times New Roman"/>
          <w:sz w:val="24"/>
          <w:szCs w:val="24"/>
          <w:lang w:eastAsia="lv-LV"/>
        </w:rPr>
      </w:pPr>
    </w:p>
    <w:p w14:paraId="51CD4ECB" w14:textId="77777777" w:rsidR="00086487" w:rsidRPr="001D626C" w:rsidRDefault="00086487" w:rsidP="00086487">
      <w:pPr>
        <w:spacing w:after="0"/>
        <w:ind w:firstLine="300"/>
        <w:rPr>
          <w:rFonts w:ascii="Times New Roman" w:eastAsia="Times New Roman" w:hAnsi="Times New Roman" w:cs="Times New Roman"/>
          <w:sz w:val="24"/>
          <w:szCs w:val="24"/>
          <w:lang w:eastAsia="lv-LV"/>
        </w:rPr>
      </w:pPr>
    </w:p>
    <w:tbl>
      <w:tblPr>
        <w:tblW w:w="9356" w:type="dxa"/>
        <w:tblCellSpacing w:w="15" w:type="dxa"/>
        <w:tblInd w:w="-1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356"/>
      </w:tblGrid>
      <w:tr w:rsidR="00086487" w:rsidRPr="001D626C" w14:paraId="65DBAFE9" w14:textId="77777777" w:rsidTr="004A5DB6">
        <w:trPr>
          <w:tblCellSpacing w:w="15" w:type="dxa"/>
        </w:trPr>
        <w:tc>
          <w:tcPr>
            <w:tcW w:w="9296" w:type="dxa"/>
            <w:tcBorders>
              <w:top w:val="outset" w:sz="6" w:space="0" w:color="auto"/>
              <w:left w:val="outset" w:sz="6" w:space="0" w:color="auto"/>
              <w:bottom w:val="outset" w:sz="6" w:space="0" w:color="auto"/>
              <w:right w:val="outset" w:sz="6" w:space="0" w:color="auto"/>
            </w:tcBorders>
            <w:vAlign w:val="center"/>
          </w:tcPr>
          <w:p w14:paraId="4C54A21A" w14:textId="77777777" w:rsidR="00086487" w:rsidRPr="001D626C" w:rsidRDefault="00086487" w:rsidP="004A5DB6">
            <w:pPr>
              <w:spacing w:before="100" w:beforeAutospacing="1" w:after="100" w:afterAutospacing="1" w:line="360" w:lineRule="auto"/>
              <w:ind w:firstLine="300"/>
              <w:jc w:val="center"/>
              <w:rPr>
                <w:rFonts w:ascii="Times New Roman" w:hAnsi="Times New Roman" w:cs="Times New Roman"/>
                <w:b/>
                <w:bCs/>
                <w:sz w:val="24"/>
                <w:szCs w:val="24"/>
              </w:rPr>
            </w:pPr>
            <w:r w:rsidRPr="001D626C">
              <w:rPr>
                <w:rFonts w:ascii="Times New Roman" w:hAnsi="Times New Roman" w:cs="Times New Roman"/>
                <w:b/>
                <w:bCs/>
                <w:sz w:val="24"/>
                <w:szCs w:val="24"/>
              </w:rPr>
              <w:t>V. Tiesību akta projekta atbilstība Latvijas Republikas starptautiskajām saistībām</w:t>
            </w:r>
          </w:p>
        </w:tc>
      </w:tr>
      <w:tr w:rsidR="00086487" w:rsidRPr="001D626C" w14:paraId="50F2B72B" w14:textId="77777777" w:rsidTr="004A5DB6">
        <w:trPr>
          <w:trHeight w:val="219"/>
          <w:tblCellSpacing w:w="15" w:type="dxa"/>
        </w:trPr>
        <w:tc>
          <w:tcPr>
            <w:tcW w:w="9296" w:type="dxa"/>
            <w:tcBorders>
              <w:top w:val="outset" w:sz="6" w:space="0" w:color="auto"/>
              <w:left w:val="outset" w:sz="6" w:space="0" w:color="auto"/>
              <w:bottom w:val="outset" w:sz="6" w:space="0" w:color="auto"/>
              <w:right w:val="outset" w:sz="6" w:space="0" w:color="auto"/>
            </w:tcBorders>
          </w:tcPr>
          <w:p w14:paraId="37F87023" w14:textId="77777777" w:rsidR="00086487" w:rsidRPr="001D626C" w:rsidRDefault="00086487" w:rsidP="004A5DB6">
            <w:pPr>
              <w:jc w:val="center"/>
              <w:rPr>
                <w:rFonts w:ascii="Times New Roman" w:hAnsi="Times New Roman" w:cs="Times New Roman"/>
                <w:sz w:val="24"/>
                <w:szCs w:val="24"/>
              </w:rPr>
            </w:pPr>
            <w:r w:rsidRPr="001D626C">
              <w:rPr>
                <w:rFonts w:ascii="Times New Roman" w:hAnsi="Times New Roman" w:cs="Times New Roman"/>
                <w:sz w:val="24"/>
                <w:szCs w:val="24"/>
              </w:rPr>
              <w:t>Projekts šo jomu neskar.</w:t>
            </w:r>
          </w:p>
        </w:tc>
      </w:tr>
    </w:tbl>
    <w:p w14:paraId="0A69DF44" w14:textId="77777777" w:rsidR="00086487" w:rsidRPr="001D626C" w:rsidRDefault="00086487" w:rsidP="00086487"/>
    <w:tbl>
      <w:tblPr>
        <w:tblW w:w="5162"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9"/>
        <w:gridCol w:w="2524"/>
        <w:gridCol w:w="6405"/>
      </w:tblGrid>
      <w:tr w:rsidR="00086487" w:rsidRPr="001D626C" w14:paraId="0F7B6756" w14:textId="77777777" w:rsidTr="004A5DB6">
        <w:trPr>
          <w:trHeight w:val="420"/>
          <w:tblCellSpacing w:w="15" w:type="dxa"/>
          <w:jc w:val="center"/>
        </w:trPr>
        <w:tc>
          <w:tcPr>
            <w:tcW w:w="9288" w:type="dxa"/>
            <w:gridSpan w:val="3"/>
            <w:tcBorders>
              <w:top w:val="outset" w:sz="6" w:space="0" w:color="auto"/>
              <w:left w:val="outset" w:sz="6" w:space="0" w:color="auto"/>
              <w:bottom w:val="outset" w:sz="6" w:space="0" w:color="auto"/>
              <w:right w:val="outset" w:sz="6" w:space="0" w:color="auto"/>
            </w:tcBorders>
            <w:vAlign w:val="center"/>
            <w:hideMark/>
          </w:tcPr>
          <w:p w14:paraId="1AA6E3BC" w14:textId="77777777" w:rsidR="00086487" w:rsidRPr="001D626C" w:rsidRDefault="00086487" w:rsidP="004A5DB6">
            <w:pPr>
              <w:spacing w:after="0"/>
              <w:ind w:firstLine="300"/>
              <w:jc w:val="center"/>
              <w:rPr>
                <w:rFonts w:ascii="Times New Roman" w:eastAsia="Times New Roman" w:hAnsi="Times New Roman" w:cs="Times New Roman"/>
                <w:b/>
                <w:bCs/>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  </w:t>
            </w:r>
            <w:r w:rsidRPr="001D626C">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086487" w:rsidRPr="001D626C" w14:paraId="6889BCE4" w14:textId="77777777" w:rsidTr="004A5DB6">
        <w:trPr>
          <w:trHeight w:val="54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0C37FF06"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1.</w:t>
            </w:r>
          </w:p>
        </w:tc>
        <w:tc>
          <w:tcPr>
            <w:tcW w:w="2494" w:type="dxa"/>
            <w:tcBorders>
              <w:top w:val="outset" w:sz="6" w:space="0" w:color="auto"/>
              <w:left w:val="outset" w:sz="6" w:space="0" w:color="auto"/>
              <w:bottom w:val="outset" w:sz="6" w:space="0" w:color="auto"/>
              <w:right w:val="outset" w:sz="6" w:space="0" w:color="auto"/>
            </w:tcBorders>
            <w:hideMark/>
          </w:tcPr>
          <w:p w14:paraId="5B3F462C"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6360" w:type="dxa"/>
            <w:tcBorders>
              <w:top w:val="outset" w:sz="6" w:space="0" w:color="auto"/>
              <w:left w:val="outset" w:sz="6" w:space="0" w:color="auto"/>
              <w:bottom w:val="outset" w:sz="6" w:space="0" w:color="auto"/>
              <w:right w:val="outset" w:sz="6" w:space="0" w:color="auto"/>
            </w:tcBorders>
            <w:hideMark/>
          </w:tcPr>
          <w:p w14:paraId="2573DA48" w14:textId="77777777" w:rsidR="00086487" w:rsidRPr="001D626C" w:rsidRDefault="00086487" w:rsidP="004A5DB6">
            <w:pPr>
              <w:spacing w:after="0"/>
              <w:jc w:val="both"/>
              <w:rPr>
                <w:rFonts w:ascii="Times New Roman" w:eastAsia="Times New Roman" w:hAnsi="Times New Roman" w:cs="Times New Roman"/>
                <w:color w:val="000000" w:themeColor="text1"/>
                <w:sz w:val="24"/>
                <w:szCs w:val="24"/>
                <w:lang w:eastAsia="lv-LV"/>
              </w:rPr>
            </w:pPr>
            <w:r w:rsidRPr="001D626C">
              <w:rPr>
                <w:rFonts w:ascii="Times New Roman" w:hAnsi="Times New Roman" w:cs="Times New Roman"/>
                <w:sz w:val="24"/>
                <w:szCs w:val="24"/>
              </w:rPr>
              <w:t>Par projektu informēta sabiedrība, informāciju publicējot Iekšlietu ministrijas, Pilsonības un migrācijas lietu pārvaldes mājaslapās.</w:t>
            </w:r>
          </w:p>
        </w:tc>
      </w:tr>
      <w:tr w:rsidR="00086487" w:rsidRPr="001D626C" w14:paraId="68DBC845" w14:textId="77777777" w:rsidTr="004A5DB6">
        <w:trPr>
          <w:trHeight w:val="330"/>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072074A3"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2.</w:t>
            </w:r>
          </w:p>
        </w:tc>
        <w:tc>
          <w:tcPr>
            <w:tcW w:w="2494" w:type="dxa"/>
            <w:tcBorders>
              <w:top w:val="outset" w:sz="6" w:space="0" w:color="auto"/>
              <w:left w:val="outset" w:sz="6" w:space="0" w:color="auto"/>
              <w:bottom w:val="outset" w:sz="6" w:space="0" w:color="auto"/>
              <w:right w:val="outset" w:sz="6" w:space="0" w:color="auto"/>
            </w:tcBorders>
            <w:hideMark/>
          </w:tcPr>
          <w:p w14:paraId="032743B8"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Sabiedrības līdzdalība projekta izstrādē</w:t>
            </w:r>
          </w:p>
        </w:tc>
        <w:tc>
          <w:tcPr>
            <w:tcW w:w="6360" w:type="dxa"/>
            <w:tcBorders>
              <w:top w:val="outset" w:sz="6" w:space="0" w:color="auto"/>
              <w:left w:val="outset" w:sz="6" w:space="0" w:color="auto"/>
              <w:bottom w:val="outset" w:sz="6" w:space="0" w:color="auto"/>
              <w:right w:val="outset" w:sz="6" w:space="0" w:color="auto"/>
            </w:tcBorders>
            <w:hideMark/>
          </w:tcPr>
          <w:p w14:paraId="145DADA8" w14:textId="5AB29B22" w:rsidR="00086487" w:rsidRPr="001D626C" w:rsidRDefault="00086487" w:rsidP="004A5DB6">
            <w:pPr>
              <w:spacing w:after="0"/>
              <w:jc w:val="both"/>
              <w:rPr>
                <w:rFonts w:ascii="Times New Roman" w:eastAsia="Times New Roman" w:hAnsi="Times New Roman" w:cs="Times New Roman"/>
                <w:color w:val="000000" w:themeColor="text1"/>
                <w:sz w:val="24"/>
                <w:szCs w:val="24"/>
              </w:rPr>
            </w:pPr>
            <w:r w:rsidRPr="001D626C">
              <w:rPr>
                <w:rFonts w:ascii="Times New Roman" w:eastAsia="Calibri" w:hAnsi="Times New Roman" w:cs="Times New Roman"/>
                <w:sz w:val="24"/>
                <w:szCs w:val="24"/>
              </w:rPr>
              <w:t xml:space="preserve">Projekts </w:t>
            </w:r>
            <w:r w:rsidR="003D70C9" w:rsidRPr="001D626C">
              <w:rPr>
                <w:rFonts w:ascii="Times New Roman" w:eastAsia="Calibri" w:hAnsi="Times New Roman" w:cs="Times New Roman"/>
                <w:sz w:val="24"/>
                <w:szCs w:val="24"/>
              </w:rPr>
              <w:t>2017.</w:t>
            </w:r>
            <w:r w:rsidRPr="001D626C">
              <w:rPr>
                <w:rFonts w:ascii="Times New Roman" w:eastAsia="Calibri" w:hAnsi="Times New Roman" w:cs="Times New Roman"/>
                <w:sz w:val="24"/>
                <w:szCs w:val="24"/>
              </w:rPr>
              <w:t>gada 10.jūlijā ievietots Pilsonības un migrācijas lietu pārvaldes mājaslapā sadaļā “</w:t>
            </w:r>
            <w:r w:rsidR="003D70C9" w:rsidRPr="001D626C">
              <w:rPr>
                <w:rFonts w:ascii="Times New Roman" w:eastAsia="Calibri" w:hAnsi="Times New Roman" w:cs="Times New Roman"/>
                <w:sz w:val="24"/>
                <w:szCs w:val="24"/>
              </w:rPr>
              <w:t>Tiesību aktu projekti” un 2017.</w:t>
            </w:r>
            <w:r w:rsidRPr="001D626C">
              <w:rPr>
                <w:rFonts w:ascii="Times New Roman" w:eastAsia="Calibri" w:hAnsi="Times New Roman" w:cs="Times New Roman"/>
                <w:sz w:val="24"/>
                <w:szCs w:val="24"/>
              </w:rPr>
              <w:t xml:space="preserve">gada 10.jūlijā Iekšlietu ministrijas mājaslapā sadaļā “Sabiedrības līdzdalība”, kā </w:t>
            </w:r>
            <w:r w:rsidRPr="001D626C">
              <w:rPr>
                <w:rFonts w:ascii="Times New Roman" w:eastAsia="Calibri" w:hAnsi="Times New Roman" w:cs="Times New Roman"/>
                <w:color w:val="000000" w:themeColor="text1"/>
                <w:sz w:val="24"/>
                <w:szCs w:val="24"/>
              </w:rPr>
              <w:t xml:space="preserve">arī </w:t>
            </w:r>
            <w:r w:rsidRPr="001D626C">
              <w:rPr>
                <w:rFonts w:ascii="Times New Roman" w:eastAsia="Times New Roman" w:hAnsi="Times New Roman" w:cs="Times New Roman"/>
                <w:color w:val="000000" w:themeColor="text1"/>
                <w:sz w:val="24"/>
                <w:szCs w:val="24"/>
                <w:lang w:eastAsia="lv-LV"/>
              </w:rPr>
              <w:t>Valsts kancelejas mājaslapā.</w:t>
            </w:r>
            <w:r w:rsidRPr="001D626C">
              <w:rPr>
                <w:rFonts w:ascii="Times New Roman" w:eastAsia="Calibri" w:hAnsi="Times New Roman" w:cs="Times New Roman"/>
                <w:color w:val="000000" w:themeColor="text1"/>
                <w:sz w:val="24"/>
                <w:szCs w:val="24"/>
              </w:rPr>
              <w:t xml:space="preserve"> Sabiedrības </w:t>
            </w:r>
            <w:r w:rsidRPr="001D626C">
              <w:rPr>
                <w:rFonts w:ascii="Times New Roman" w:eastAsia="Calibri" w:hAnsi="Times New Roman" w:cs="Times New Roman"/>
                <w:sz w:val="24"/>
                <w:szCs w:val="24"/>
              </w:rPr>
              <w:t>pārstāvjiem tika dota iespēja līdzdarboties projekta izstrādē, rakstveidā sniedzot viedokli par projektu</w:t>
            </w:r>
            <w:r w:rsidRPr="001D626C">
              <w:rPr>
                <w:rFonts w:ascii="Times New Roman" w:eastAsia="Times New Roman" w:hAnsi="Times New Roman" w:cs="Times New Roman"/>
                <w:color w:val="000000"/>
                <w:sz w:val="24"/>
                <w:szCs w:val="24"/>
                <w:lang w:eastAsia="lv-LV"/>
              </w:rPr>
              <w:t>.</w:t>
            </w:r>
          </w:p>
        </w:tc>
      </w:tr>
      <w:tr w:rsidR="00086487" w:rsidRPr="001D626C" w14:paraId="52E3F9C5" w14:textId="77777777" w:rsidTr="004A5DB6">
        <w:trPr>
          <w:trHeight w:val="495"/>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529EDF6C"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3.</w:t>
            </w:r>
          </w:p>
        </w:tc>
        <w:tc>
          <w:tcPr>
            <w:tcW w:w="2494" w:type="dxa"/>
            <w:tcBorders>
              <w:top w:val="outset" w:sz="6" w:space="0" w:color="auto"/>
              <w:left w:val="outset" w:sz="6" w:space="0" w:color="auto"/>
              <w:bottom w:val="outset" w:sz="6" w:space="0" w:color="auto"/>
              <w:right w:val="outset" w:sz="6" w:space="0" w:color="auto"/>
            </w:tcBorders>
            <w:hideMark/>
          </w:tcPr>
          <w:p w14:paraId="33EE22B4"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Sabiedrības līdzdalības rezultāti</w:t>
            </w:r>
          </w:p>
        </w:tc>
        <w:tc>
          <w:tcPr>
            <w:tcW w:w="6360" w:type="dxa"/>
            <w:tcBorders>
              <w:top w:val="outset" w:sz="6" w:space="0" w:color="auto"/>
              <w:left w:val="outset" w:sz="6" w:space="0" w:color="auto"/>
              <w:bottom w:val="outset" w:sz="6" w:space="0" w:color="auto"/>
              <w:right w:val="outset" w:sz="6" w:space="0" w:color="auto"/>
            </w:tcBorders>
            <w:hideMark/>
          </w:tcPr>
          <w:p w14:paraId="51B61F84" w14:textId="77777777" w:rsidR="00086487" w:rsidRPr="001D626C" w:rsidRDefault="00086487" w:rsidP="004A5DB6">
            <w:pPr>
              <w:tabs>
                <w:tab w:val="left" w:pos="0"/>
              </w:tabs>
              <w:spacing w:after="0"/>
              <w:jc w:val="both"/>
              <w:rPr>
                <w:rFonts w:ascii="Times New Roman" w:eastAsia="Times New Roman" w:hAnsi="Times New Roman" w:cs="Times New Roman"/>
                <w:color w:val="000000" w:themeColor="text1"/>
                <w:sz w:val="24"/>
                <w:szCs w:val="24"/>
                <w:lang w:eastAsia="lv-LV"/>
              </w:rPr>
            </w:pPr>
            <w:r w:rsidRPr="001D626C">
              <w:rPr>
                <w:rFonts w:ascii="Times New Roman" w:hAnsi="Times New Roman" w:cs="Times New Roman"/>
                <w:sz w:val="24"/>
                <w:szCs w:val="24"/>
              </w:rPr>
              <w:t xml:space="preserve"> </w:t>
            </w:r>
            <w:r w:rsidRPr="001D626C">
              <w:rPr>
                <w:rFonts w:ascii="Times New Roman" w:hAnsi="Times New Roman" w:cs="Times New Roman"/>
                <w:color w:val="000000"/>
                <w:sz w:val="24"/>
                <w:szCs w:val="24"/>
              </w:rPr>
              <w:t>Komentāri par projektu nav saņemti.</w:t>
            </w:r>
          </w:p>
        </w:tc>
      </w:tr>
      <w:tr w:rsidR="00086487" w:rsidRPr="001D626C" w14:paraId="443B54BF" w14:textId="77777777" w:rsidTr="004A5DB6">
        <w:trPr>
          <w:trHeight w:val="319"/>
          <w:tblCellSpacing w:w="15" w:type="dxa"/>
          <w:jc w:val="center"/>
        </w:trPr>
        <w:tc>
          <w:tcPr>
            <w:tcW w:w="374" w:type="dxa"/>
            <w:tcBorders>
              <w:top w:val="outset" w:sz="6" w:space="0" w:color="auto"/>
              <w:left w:val="outset" w:sz="6" w:space="0" w:color="auto"/>
              <w:bottom w:val="outset" w:sz="6" w:space="0" w:color="auto"/>
              <w:right w:val="outset" w:sz="6" w:space="0" w:color="auto"/>
            </w:tcBorders>
            <w:hideMark/>
          </w:tcPr>
          <w:p w14:paraId="0EF1ED36"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4.</w:t>
            </w:r>
          </w:p>
        </w:tc>
        <w:tc>
          <w:tcPr>
            <w:tcW w:w="2494" w:type="dxa"/>
            <w:tcBorders>
              <w:top w:val="outset" w:sz="6" w:space="0" w:color="auto"/>
              <w:left w:val="outset" w:sz="6" w:space="0" w:color="auto"/>
              <w:bottom w:val="outset" w:sz="6" w:space="0" w:color="auto"/>
              <w:right w:val="outset" w:sz="6" w:space="0" w:color="auto"/>
            </w:tcBorders>
            <w:hideMark/>
          </w:tcPr>
          <w:p w14:paraId="7225E0A5"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Cita informācija</w:t>
            </w:r>
          </w:p>
        </w:tc>
        <w:tc>
          <w:tcPr>
            <w:tcW w:w="6360" w:type="dxa"/>
            <w:tcBorders>
              <w:top w:val="outset" w:sz="6" w:space="0" w:color="auto"/>
              <w:left w:val="outset" w:sz="6" w:space="0" w:color="auto"/>
              <w:bottom w:val="outset" w:sz="6" w:space="0" w:color="auto"/>
              <w:right w:val="outset" w:sz="6" w:space="0" w:color="auto"/>
            </w:tcBorders>
            <w:hideMark/>
          </w:tcPr>
          <w:p w14:paraId="32280457" w14:textId="77777777" w:rsidR="00086487" w:rsidRPr="001D626C" w:rsidRDefault="00086487" w:rsidP="004A5DB6">
            <w:pPr>
              <w:spacing w:after="0"/>
              <w:ind w:firstLine="30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Nav</w:t>
            </w:r>
          </w:p>
        </w:tc>
      </w:tr>
    </w:tbl>
    <w:p w14:paraId="332F06BE" w14:textId="77777777" w:rsidR="00086487" w:rsidRPr="001D626C" w:rsidRDefault="00086487" w:rsidP="00086487">
      <w:pPr>
        <w:spacing w:after="0"/>
        <w:ind w:firstLine="30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 </w:t>
      </w: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3"/>
        <w:gridCol w:w="3380"/>
        <w:gridCol w:w="5193"/>
      </w:tblGrid>
      <w:tr w:rsidR="00086487" w:rsidRPr="001D626C" w14:paraId="7BE1B986" w14:textId="77777777" w:rsidTr="004A5DB6">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E227B52" w14:textId="77777777" w:rsidR="00086487" w:rsidRPr="001D626C" w:rsidRDefault="00086487" w:rsidP="004A5DB6">
            <w:pPr>
              <w:spacing w:after="0"/>
              <w:ind w:firstLine="300"/>
              <w:jc w:val="center"/>
              <w:rPr>
                <w:rFonts w:ascii="Times New Roman" w:eastAsia="Times New Roman" w:hAnsi="Times New Roman" w:cs="Times New Roman"/>
                <w:b/>
                <w:bCs/>
                <w:color w:val="000000" w:themeColor="text1"/>
                <w:sz w:val="24"/>
                <w:szCs w:val="24"/>
                <w:lang w:eastAsia="lv-LV"/>
              </w:rPr>
            </w:pPr>
            <w:r w:rsidRPr="001D626C">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086487" w:rsidRPr="001D626C" w14:paraId="1DDCA06B" w14:textId="77777777" w:rsidTr="004A5DB6">
        <w:trPr>
          <w:trHeight w:val="42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1D97477D"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1.</w:t>
            </w:r>
          </w:p>
        </w:tc>
        <w:tc>
          <w:tcPr>
            <w:tcW w:w="1802" w:type="pct"/>
            <w:tcBorders>
              <w:top w:val="outset" w:sz="6" w:space="0" w:color="auto"/>
              <w:left w:val="outset" w:sz="6" w:space="0" w:color="auto"/>
              <w:bottom w:val="outset" w:sz="6" w:space="0" w:color="auto"/>
              <w:right w:val="outset" w:sz="6" w:space="0" w:color="auto"/>
            </w:tcBorders>
            <w:hideMark/>
          </w:tcPr>
          <w:p w14:paraId="4F9E38FC"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Projekta izpildē iesaistītās institūcijas</w:t>
            </w:r>
          </w:p>
        </w:tc>
        <w:tc>
          <w:tcPr>
            <w:tcW w:w="2737" w:type="pct"/>
            <w:tcBorders>
              <w:top w:val="outset" w:sz="6" w:space="0" w:color="auto"/>
              <w:left w:val="outset" w:sz="6" w:space="0" w:color="auto"/>
              <w:bottom w:val="outset" w:sz="6" w:space="0" w:color="auto"/>
              <w:right w:val="outset" w:sz="6" w:space="0" w:color="auto"/>
            </w:tcBorders>
            <w:hideMark/>
          </w:tcPr>
          <w:p w14:paraId="03FD0CB1" w14:textId="77777777" w:rsidR="00086487" w:rsidRPr="001D626C" w:rsidRDefault="00086487" w:rsidP="004A5DB6">
            <w:pPr>
              <w:spacing w:after="0"/>
              <w:jc w:val="both"/>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rPr>
              <w:t>Pilsonības un migrācijas lietu pārvalde.</w:t>
            </w:r>
          </w:p>
        </w:tc>
      </w:tr>
      <w:tr w:rsidR="00086487" w:rsidRPr="001D626C" w14:paraId="7D919EB0" w14:textId="77777777" w:rsidTr="004A5DB6">
        <w:trPr>
          <w:trHeight w:val="45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3402F29A"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2.</w:t>
            </w:r>
          </w:p>
        </w:tc>
        <w:tc>
          <w:tcPr>
            <w:tcW w:w="1802" w:type="pct"/>
            <w:tcBorders>
              <w:top w:val="outset" w:sz="6" w:space="0" w:color="auto"/>
              <w:left w:val="outset" w:sz="6" w:space="0" w:color="auto"/>
              <w:bottom w:val="outset" w:sz="6" w:space="0" w:color="auto"/>
              <w:right w:val="outset" w:sz="6" w:space="0" w:color="auto"/>
            </w:tcBorders>
            <w:hideMark/>
          </w:tcPr>
          <w:p w14:paraId="7021CD97"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14:paraId="5BD91D47"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 xml:space="preserve">Jaunu institūciju izveide, esošu institūciju likvidācija vai </w:t>
            </w:r>
            <w:r w:rsidRPr="001D626C">
              <w:rPr>
                <w:rFonts w:ascii="Times New Roman" w:eastAsia="Times New Roman" w:hAnsi="Times New Roman" w:cs="Times New Roman"/>
                <w:color w:val="000000" w:themeColor="text1"/>
                <w:sz w:val="24"/>
                <w:szCs w:val="24"/>
                <w:lang w:eastAsia="lv-LV"/>
              </w:rPr>
              <w:lastRenderedPageBreak/>
              <w:t>reorganizācija, to ietekme uz institūcijas cilvēkresursiem</w:t>
            </w:r>
          </w:p>
        </w:tc>
        <w:tc>
          <w:tcPr>
            <w:tcW w:w="2737" w:type="pct"/>
            <w:tcBorders>
              <w:top w:val="outset" w:sz="6" w:space="0" w:color="auto"/>
              <w:left w:val="outset" w:sz="6" w:space="0" w:color="auto"/>
              <w:bottom w:val="outset" w:sz="6" w:space="0" w:color="auto"/>
              <w:right w:val="outset" w:sz="6" w:space="0" w:color="auto"/>
            </w:tcBorders>
            <w:hideMark/>
          </w:tcPr>
          <w:p w14:paraId="33451DB6" w14:textId="77777777" w:rsidR="00086487" w:rsidRPr="001D626C" w:rsidRDefault="00086487" w:rsidP="004A5DB6">
            <w:pPr>
              <w:spacing w:after="0"/>
              <w:jc w:val="both"/>
              <w:rPr>
                <w:rFonts w:ascii="Times New Roman" w:eastAsia="Times New Roman" w:hAnsi="Times New Roman" w:cs="Times New Roman"/>
                <w:color w:val="000000" w:themeColor="text1"/>
                <w:sz w:val="24"/>
                <w:szCs w:val="24"/>
                <w:lang w:eastAsia="lv-LV"/>
              </w:rPr>
            </w:pPr>
            <w:r w:rsidRPr="001D626C">
              <w:rPr>
                <w:rFonts w:ascii="Times New Roman" w:hAnsi="Times New Roman" w:cs="Times New Roman"/>
                <w:sz w:val="24"/>
                <w:szCs w:val="24"/>
              </w:rPr>
              <w:lastRenderedPageBreak/>
              <w:t>Projekta izpildes rezultātā nav paredzēta esošu institūciju likvidācija vai reorganizācija. Iestāžu institucionālā struktūra netiek ietekmēta, papildus cilvēkresursi nav nepieciešami.</w:t>
            </w:r>
          </w:p>
        </w:tc>
      </w:tr>
      <w:tr w:rsidR="00086487" w:rsidRPr="001D626C" w14:paraId="328CFA0F" w14:textId="77777777" w:rsidTr="004A5DB6">
        <w:trPr>
          <w:trHeight w:val="390"/>
          <w:tblCellSpacing w:w="15" w:type="dxa"/>
          <w:jc w:val="center"/>
        </w:trPr>
        <w:tc>
          <w:tcPr>
            <w:tcW w:w="397" w:type="pct"/>
            <w:tcBorders>
              <w:top w:val="outset" w:sz="6" w:space="0" w:color="auto"/>
              <w:left w:val="outset" w:sz="6" w:space="0" w:color="auto"/>
              <w:bottom w:val="outset" w:sz="6" w:space="0" w:color="auto"/>
              <w:right w:val="outset" w:sz="6" w:space="0" w:color="auto"/>
            </w:tcBorders>
            <w:hideMark/>
          </w:tcPr>
          <w:p w14:paraId="5681C264"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lastRenderedPageBreak/>
              <w:t>3.</w:t>
            </w:r>
          </w:p>
        </w:tc>
        <w:tc>
          <w:tcPr>
            <w:tcW w:w="1802" w:type="pct"/>
            <w:tcBorders>
              <w:top w:val="outset" w:sz="6" w:space="0" w:color="auto"/>
              <w:left w:val="outset" w:sz="6" w:space="0" w:color="auto"/>
              <w:bottom w:val="outset" w:sz="6" w:space="0" w:color="auto"/>
              <w:right w:val="outset" w:sz="6" w:space="0" w:color="auto"/>
            </w:tcBorders>
            <w:hideMark/>
          </w:tcPr>
          <w:p w14:paraId="4B0B6B4A" w14:textId="77777777" w:rsidR="00086487" w:rsidRPr="001D626C" w:rsidRDefault="00086487" w:rsidP="004A5DB6">
            <w:pPr>
              <w:spacing w:after="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Cita informācija</w:t>
            </w:r>
          </w:p>
        </w:tc>
        <w:tc>
          <w:tcPr>
            <w:tcW w:w="2737" w:type="pct"/>
            <w:tcBorders>
              <w:top w:val="outset" w:sz="6" w:space="0" w:color="auto"/>
              <w:left w:val="outset" w:sz="6" w:space="0" w:color="auto"/>
              <w:bottom w:val="outset" w:sz="6" w:space="0" w:color="auto"/>
              <w:right w:val="outset" w:sz="6" w:space="0" w:color="auto"/>
            </w:tcBorders>
            <w:hideMark/>
          </w:tcPr>
          <w:p w14:paraId="101FE47B" w14:textId="77777777" w:rsidR="00086487" w:rsidRPr="001D626C" w:rsidRDefault="00086487" w:rsidP="004A5DB6">
            <w:pPr>
              <w:spacing w:after="0"/>
              <w:ind w:firstLine="300"/>
              <w:rPr>
                <w:rFonts w:ascii="Times New Roman" w:eastAsia="Times New Roman" w:hAnsi="Times New Roman" w:cs="Times New Roman"/>
                <w:color w:val="000000" w:themeColor="text1"/>
                <w:sz w:val="24"/>
                <w:szCs w:val="24"/>
                <w:lang w:eastAsia="lv-LV"/>
              </w:rPr>
            </w:pPr>
            <w:r w:rsidRPr="001D626C">
              <w:rPr>
                <w:rFonts w:ascii="Times New Roman" w:eastAsia="Times New Roman" w:hAnsi="Times New Roman" w:cs="Times New Roman"/>
                <w:color w:val="000000" w:themeColor="text1"/>
                <w:sz w:val="24"/>
                <w:szCs w:val="24"/>
                <w:lang w:eastAsia="lv-LV"/>
              </w:rPr>
              <w:t>Nav</w:t>
            </w:r>
          </w:p>
        </w:tc>
      </w:tr>
    </w:tbl>
    <w:p w14:paraId="6561CDD7" w14:textId="77777777" w:rsidR="00086487" w:rsidRPr="001D626C" w:rsidRDefault="00086487" w:rsidP="00086487">
      <w:pPr>
        <w:rPr>
          <w:rFonts w:ascii="Times New Roman" w:eastAsia="Times New Roman" w:hAnsi="Times New Roman" w:cs="Times New Roman"/>
          <w:color w:val="000000" w:themeColor="text1"/>
          <w:sz w:val="24"/>
          <w:szCs w:val="24"/>
        </w:rPr>
      </w:pPr>
    </w:p>
    <w:p w14:paraId="74229A60" w14:textId="77777777" w:rsidR="00086487" w:rsidRPr="001D626C" w:rsidRDefault="00086487" w:rsidP="00086487">
      <w:pPr>
        <w:rPr>
          <w:rFonts w:ascii="Times New Roman" w:eastAsia="Times New Roman" w:hAnsi="Times New Roman" w:cs="Times New Roman"/>
          <w:color w:val="000000" w:themeColor="text1"/>
          <w:sz w:val="24"/>
          <w:szCs w:val="24"/>
        </w:rPr>
      </w:pPr>
    </w:p>
    <w:p w14:paraId="6E895CF1" w14:textId="77777777"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p>
    <w:p w14:paraId="26BF845C" w14:textId="77777777"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r w:rsidRPr="001D626C">
        <w:rPr>
          <w:rFonts w:ascii="Times New Roman" w:hAnsi="Times New Roman" w:cs="Times New Roman"/>
          <w:color w:val="000000" w:themeColor="text1"/>
          <w:sz w:val="24"/>
          <w:szCs w:val="24"/>
        </w:rPr>
        <w:t>Iekšlietu ministrs                                                                                                 Rihards Kozlovskis</w:t>
      </w:r>
    </w:p>
    <w:p w14:paraId="1C458C2D" w14:textId="77777777" w:rsidR="00086487" w:rsidRPr="001D626C" w:rsidRDefault="00086487" w:rsidP="00086487">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331F4A27" w14:textId="77777777" w:rsidR="00086487" w:rsidRPr="001D626C" w:rsidRDefault="00086487" w:rsidP="00086487">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526C8FA9" w14:textId="77777777" w:rsidR="00086487" w:rsidRPr="001D626C" w:rsidRDefault="00086487" w:rsidP="00086487">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75150C32" w14:textId="77777777" w:rsidR="000B6583" w:rsidRPr="001D626C" w:rsidRDefault="000B6583" w:rsidP="00086487">
      <w:pPr>
        <w:keepLines/>
        <w:widowControl w:val="0"/>
        <w:tabs>
          <w:tab w:val="right" w:pos="9071"/>
        </w:tabs>
        <w:spacing w:after="0"/>
        <w:rPr>
          <w:rFonts w:ascii="Times New Roman" w:eastAsia="Times New Roman" w:hAnsi="Times New Roman" w:cs="Times New Roman"/>
          <w:color w:val="000000" w:themeColor="text1"/>
          <w:sz w:val="24"/>
          <w:szCs w:val="24"/>
          <w:lang w:eastAsia="lv-LV"/>
        </w:rPr>
      </w:pPr>
    </w:p>
    <w:p w14:paraId="29D029E7" w14:textId="293910E2"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r w:rsidRPr="001D626C">
        <w:rPr>
          <w:rFonts w:ascii="Times New Roman" w:hAnsi="Times New Roman" w:cs="Times New Roman"/>
          <w:color w:val="000000" w:themeColor="text1"/>
          <w:sz w:val="24"/>
          <w:szCs w:val="24"/>
        </w:rPr>
        <w:t>Vīza: valsts sekretār</w:t>
      </w:r>
      <w:r w:rsidR="003D70C9" w:rsidRPr="001D626C">
        <w:rPr>
          <w:rFonts w:ascii="Times New Roman" w:hAnsi="Times New Roman" w:cs="Times New Roman"/>
          <w:color w:val="000000" w:themeColor="text1"/>
          <w:sz w:val="24"/>
          <w:szCs w:val="24"/>
        </w:rPr>
        <w:t>s</w:t>
      </w:r>
      <w:r w:rsidRPr="001D626C">
        <w:rPr>
          <w:rFonts w:ascii="Times New Roman" w:hAnsi="Times New Roman" w:cs="Times New Roman"/>
          <w:color w:val="000000" w:themeColor="text1"/>
          <w:sz w:val="24"/>
          <w:szCs w:val="24"/>
        </w:rPr>
        <w:tab/>
        <w:t>Dimitrijs Trofimovs</w:t>
      </w:r>
    </w:p>
    <w:p w14:paraId="31E43EC9" w14:textId="77777777"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p>
    <w:p w14:paraId="1C4983E2" w14:textId="77777777"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p>
    <w:p w14:paraId="003D1B25"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43470CCB"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17C2A3FD"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2119D36A"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76D04D51"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30330507"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3054A6E6"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3A9398BA" w14:textId="77777777" w:rsidR="00ED0E0E" w:rsidRPr="001D626C" w:rsidRDefault="00ED0E0E" w:rsidP="00086487">
      <w:pPr>
        <w:tabs>
          <w:tab w:val="right" w:pos="9071"/>
        </w:tabs>
        <w:spacing w:after="0"/>
        <w:jc w:val="both"/>
        <w:rPr>
          <w:rFonts w:ascii="Times New Roman" w:hAnsi="Times New Roman" w:cs="Times New Roman"/>
          <w:color w:val="000000" w:themeColor="text1"/>
          <w:sz w:val="24"/>
          <w:szCs w:val="24"/>
        </w:rPr>
      </w:pPr>
    </w:p>
    <w:p w14:paraId="4B5526EE" w14:textId="77777777" w:rsidR="00086487" w:rsidRPr="001D626C" w:rsidRDefault="00086487" w:rsidP="00086487">
      <w:pPr>
        <w:tabs>
          <w:tab w:val="right" w:pos="9071"/>
        </w:tabs>
        <w:spacing w:after="0"/>
        <w:jc w:val="both"/>
        <w:rPr>
          <w:rFonts w:ascii="Times New Roman" w:hAnsi="Times New Roman" w:cs="Times New Roman"/>
          <w:color w:val="000000" w:themeColor="text1"/>
          <w:sz w:val="24"/>
          <w:szCs w:val="24"/>
        </w:rPr>
      </w:pPr>
    </w:p>
    <w:p w14:paraId="1CC34A49" w14:textId="77777777" w:rsidR="00086487" w:rsidRPr="001D626C" w:rsidRDefault="00086487" w:rsidP="00086487">
      <w:pPr>
        <w:tabs>
          <w:tab w:val="right" w:pos="9071"/>
        </w:tabs>
        <w:spacing w:after="0"/>
        <w:jc w:val="both"/>
        <w:rPr>
          <w:rFonts w:ascii="Times New Roman" w:hAnsi="Times New Roman" w:cs="Times New Roman"/>
          <w:color w:val="000000" w:themeColor="text1"/>
          <w:sz w:val="20"/>
          <w:szCs w:val="20"/>
        </w:rPr>
      </w:pPr>
    </w:p>
    <w:p w14:paraId="0B05937C" w14:textId="77777777" w:rsidR="00086487" w:rsidRPr="001D626C" w:rsidRDefault="00086487" w:rsidP="00086487">
      <w:pPr>
        <w:spacing w:after="0"/>
        <w:rPr>
          <w:rFonts w:ascii="Times New Roman" w:hAnsi="Times New Roman" w:cs="Times New Roman"/>
          <w:sz w:val="20"/>
          <w:szCs w:val="20"/>
        </w:rPr>
      </w:pPr>
      <w:r w:rsidRPr="001D626C">
        <w:rPr>
          <w:rFonts w:ascii="Times New Roman" w:hAnsi="Times New Roman" w:cs="Times New Roman"/>
          <w:sz w:val="20"/>
          <w:szCs w:val="20"/>
        </w:rPr>
        <w:t>Stone 67219425</w:t>
      </w:r>
    </w:p>
    <w:p w14:paraId="6FF7C207" w14:textId="77777777" w:rsidR="00086487" w:rsidRPr="001D626C" w:rsidRDefault="00086487" w:rsidP="00086487">
      <w:pPr>
        <w:spacing w:after="0"/>
        <w:rPr>
          <w:rFonts w:ascii="Times New Roman" w:hAnsi="Times New Roman" w:cs="Times New Roman"/>
        </w:rPr>
      </w:pPr>
      <w:r w:rsidRPr="001D626C">
        <w:rPr>
          <w:rFonts w:ascii="Times New Roman" w:hAnsi="Times New Roman" w:cs="Times New Roman"/>
          <w:sz w:val="20"/>
          <w:szCs w:val="20"/>
        </w:rPr>
        <w:t>kristine.stone@pmlp.gov.lv</w:t>
      </w:r>
    </w:p>
    <w:p w14:paraId="0EDB7969" w14:textId="77777777" w:rsidR="00086487" w:rsidRPr="001D626C" w:rsidRDefault="00086487" w:rsidP="00086487">
      <w:pPr>
        <w:tabs>
          <w:tab w:val="right" w:pos="9071"/>
        </w:tabs>
        <w:spacing w:after="0"/>
        <w:jc w:val="both"/>
      </w:pPr>
    </w:p>
    <w:bookmarkEnd w:id="0"/>
    <w:p w14:paraId="14CD7628" w14:textId="77777777" w:rsidR="00086487" w:rsidRPr="001D626C" w:rsidRDefault="00086487"/>
    <w:sectPr w:rsidR="00086487" w:rsidRPr="001D626C" w:rsidSect="00067BDA">
      <w:headerReference w:type="default" r:id="rId7"/>
      <w:footerReference w:type="default" r:id="rId8"/>
      <w:footerReference w:type="first" r:id="rId9"/>
      <w:pgSz w:w="11906" w:h="16838" w:code="9"/>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6477A" w14:textId="77777777" w:rsidR="000B595A" w:rsidRDefault="000B595A">
      <w:pPr>
        <w:spacing w:after="0"/>
      </w:pPr>
      <w:r>
        <w:separator/>
      </w:r>
    </w:p>
  </w:endnote>
  <w:endnote w:type="continuationSeparator" w:id="0">
    <w:p w14:paraId="6DA9D47A" w14:textId="77777777" w:rsidR="000B595A" w:rsidRDefault="000B59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166F" w14:textId="450110FC" w:rsidR="00067BDA" w:rsidRPr="0054610A" w:rsidRDefault="00086487" w:rsidP="0054610A">
    <w:pPr>
      <w:spacing w:after="0"/>
      <w:jc w:val="both"/>
      <w:rPr>
        <w:sz w:val="20"/>
        <w:szCs w:val="20"/>
      </w:rPr>
    </w:pPr>
    <w:r w:rsidRPr="0054610A">
      <w:rPr>
        <w:rFonts w:ascii="Times New Roman" w:hAnsi="Times New Roman" w:cs="Times New Roman"/>
        <w:sz w:val="20"/>
        <w:szCs w:val="20"/>
      </w:rPr>
      <w:t>IEMAnot_</w:t>
    </w:r>
    <w:r w:rsidR="00B01AB3">
      <w:rPr>
        <w:rFonts w:ascii="Times New Roman" w:hAnsi="Times New Roman" w:cs="Times New Roman"/>
        <w:sz w:val="20"/>
        <w:szCs w:val="20"/>
      </w:rPr>
      <w:t>26</w:t>
    </w:r>
    <w:r w:rsidR="00B624C6">
      <w:rPr>
        <w:rFonts w:ascii="Times New Roman" w:hAnsi="Times New Roman" w:cs="Times New Roman"/>
        <w:sz w:val="20"/>
        <w:szCs w:val="20"/>
      </w:rPr>
      <w:t>09</w:t>
    </w:r>
    <w:r w:rsidRPr="0054610A">
      <w:rPr>
        <w:rFonts w:ascii="Times New Roman" w:hAnsi="Times New Roman" w:cs="Times New Roman"/>
        <w:sz w:val="20"/>
        <w:szCs w:val="20"/>
      </w:rPr>
      <w:t xml:space="preserve">17_groz130; </w:t>
    </w:r>
    <w:r w:rsidRPr="0054610A">
      <w:rPr>
        <w:rFonts w:ascii="Times New Roman" w:eastAsia="Times New Roman" w:hAnsi="Times New Roman" w:cs="Times New Roman"/>
        <w:bCs/>
        <w:sz w:val="20"/>
        <w:szCs w:val="20"/>
        <w:lang w:eastAsia="lv-LV"/>
      </w:rPr>
      <w:t xml:space="preserve">Ministru kabineta noteikumu projekta “Grozījumi </w:t>
    </w:r>
    <w:r w:rsidRPr="0054610A">
      <w:rPr>
        <w:rFonts w:ascii="Times New Roman" w:hAnsi="Times New Roman" w:cs="Times New Roman"/>
        <w:sz w:val="20"/>
        <w:szCs w:val="20"/>
      </w:rPr>
      <w:t>Ministru kabineta 2011.gada 15.februāra noteikumos Nr.130 “Iedzīvotāju reģistrā iekļauto ziņu izsniegšanas kārtība”</w:t>
    </w:r>
    <w:r w:rsidRPr="0054610A">
      <w:rPr>
        <w:rFonts w:ascii="Times New Roman" w:eastAsia="Times New Roman" w:hAnsi="Times New Roman" w:cs="Times New Roman"/>
        <w:bCs/>
        <w:sz w:val="20"/>
        <w:szCs w:val="20"/>
        <w:lang w:eastAsia="lv-LV"/>
      </w:rPr>
      <w:t>” sākotnējās ietekmes novērtējuma ziņojums (anotācija)</w:t>
    </w:r>
    <w:r w:rsidRPr="0054610A">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3E632" w14:textId="00AD8853" w:rsidR="00067BDA" w:rsidRPr="0054610A" w:rsidRDefault="00086487" w:rsidP="0054610A">
    <w:pPr>
      <w:spacing w:after="0"/>
      <w:jc w:val="both"/>
      <w:rPr>
        <w:sz w:val="20"/>
        <w:szCs w:val="20"/>
      </w:rPr>
    </w:pPr>
    <w:r w:rsidRPr="0054610A">
      <w:rPr>
        <w:rFonts w:ascii="Times New Roman" w:hAnsi="Times New Roman" w:cs="Times New Roman"/>
        <w:sz w:val="20"/>
        <w:szCs w:val="20"/>
      </w:rPr>
      <w:t>IEMAnot_</w:t>
    </w:r>
    <w:r w:rsidR="00B01AB3">
      <w:rPr>
        <w:rFonts w:ascii="Times New Roman" w:hAnsi="Times New Roman" w:cs="Times New Roman"/>
        <w:sz w:val="20"/>
        <w:szCs w:val="20"/>
      </w:rPr>
      <w:t>26</w:t>
    </w:r>
    <w:r w:rsidR="00B624C6">
      <w:rPr>
        <w:rFonts w:ascii="Times New Roman" w:hAnsi="Times New Roman" w:cs="Times New Roman"/>
        <w:sz w:val="20"/>
        <w:szCs w:val="20"/>
      </w:rPr>
      <w:t>09</w:t>
    </w:r>
    <w:r w:rsidRPr="0054610A">
      <w:rPr>
        <w:rFonts w:ascii="Times New Roman" w:hAnsi="Times New Roman" w:cs="Times New Roman"/>
        <w:sz w:val="20"/>
        <w:szCs w:val="20"/>
      </w:rPr>
      <w:t xml:space="preserve">17_groz130; </w:t>
    </w:r>
    <w:r w:rsidRPr="0054610A">
      <w:rPr>
        <w:rFonts w:ascii="Times New Roman" w:eastAsia="Times New Roman" w:hAnsi="Times New Roman" w:cs="Times New Roman"/>
        <w:bCs/>
        <w:sz w:val="20"/>
        <w:szCs w:val="20"/>
        <w:lang w:eastAsia="lv-LV"/>
      </w:rPr>
      <w:t xml:space="preserve">Ministru kabineta noteikumu projekta “Grozījumi </w:t>
    </w:r>
    <w:r w:rsidRPr="0054610A">
      <w:rPr>
        <w:rFonts w:ascii="Times New Roman" w:hAnsi="Times New Roman" w:cs="Times New Roman"/>
        <w:sz w:val="20"/>
        <w:szCs w:val="20"/>
      </w:rPr>
      <w:t>Ministru kabineta 2011.gada 15.februāra noteikumos Nr.130 “Iedzīvotāju reģistrā iekļauto ziņu izsniegšanas kārtība”</w:t>
    </w:r>
    <w:r w:rsidRPr="0054610A">
      <w:rPr>
        <w:rFonts w:ascii="Times New Roman" w:eastAsia="Times New Roman" w:hAnsi="Times New Roman" w:cs="Times New Roman"/>
        <w:bCs/>
        <w:sz w:val="20"/>
        <w:szCs w:val="20"/>
        <w:lang w:eastAsia="lv-LV"/>
      </w:rPr>
      <w:t>” sākotnējās ietekmes novērtējuma ziņojums (anotācija)</w:t>
    </w:r>
    <w:r w:rsidRPr="0054610A">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708E7" w14:textId="77777777" w:rsidR="000B595A" w:rsidRDefault="000B595A">
      <w:pPr>
        <w:spacing w:after="0"/>
      </w:pPr>
      <w:r>
        <w:separator/>
      </w:r>
    </w:p>
  </w:footnote>
  <w:footnote w:type="continuationSeparator" w:id="0">
    <w:p w14:paraId="60FAD1D3" w14:textId="77777777" w:rsidR="000B595A" w:rsidRDefault="000B59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700815"/>
      <w:docPartObj>
        <w:docPartGallery w:val="Page Numbers (Top of Page)"/>
        <w:docPartUnique/>
      </w:docPartObj>
    </w:sdtPr>
    <w:sdtEndPr>
      <w:rPr>
        <w:rFonts w:ascii="Times New Roman" w:hAnsi="Times New Roman" w:cs="Times New Roman"/>
        <w:sz w:val="20"/>
        <w:szCs w:val="20"/>
      </w:rPr>
    </w:sdtEndPr>
    <w:sdtContent>
      <w:p w14:paraId="204DED69" w14:textId="77777777" w:rsidR="00067BDA" w:rsidRDefault="00086487">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1D626C">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14:paraId="68998FA9" w14:textId="77777777" w:rsidR="00067BDA" w:rsidRDefault="001D6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87"/>
    <w:rsid w:val="000153DB"/>
    <w:rsid w:val="0004346B"/>
    <w:rsid w:val="000449B0"/>
    <w:rsid w:val="0007086C"/>
    <w:rsid w:val="00086487"/>
    <w:rsid w:val="000B595A"/>
    <w:rsid w:val="000B6583"/>
    <w:rsid w:val="000D2289"/>
    <w:rsid w:val="000E5CC8"/>
    <w:rsid w:val="00152197"/>
    <w:rsid w:val="001A75DF"/>
    <w:rsid w:val="001D626C"/>
    <w:rsid w:val="003D70C9"/>
    <w:rsid w:val="003F2C1D"/>
    <w:rsid w:val="005F340A"/>
    <w:rsid w:val="006175A2"/>
    <w:rsid w:val="00650C2B"/>
    <w:rsid w:val="006530FE"/>
    <w:rsid w:val="006B757C"/>
    <w:rsid w:val="008510F2"/>
    <w:rsid w:val="00866F19"/>
    <w:rsid w:val="00917B2A"/>
    <w:rsid w:val="009633F2"/>
    <w:rsid w:val="009B2834"/>
    <w:rsid w:val="00B01AB3"/>
    <w:rsid w:val="00B624C6"/>
    <w:rsid w:val="00CC427A"/>
    <w:rsid w:val="00CD0138"/>
    <w:rsid w:val="00E22DBF"/>
    <w:rsid w:val="00E4281B"/>
    <w:rsid w:val="00ED0E0E"/>
    <w:rsid w:val="00F341CF"/>
    <w:rsid w:val="00FB7D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396A"/>
  <w15:chartTrackingRefBased/>
  <w15:docId w15:val="{A0108E10-60ED-41C0-ACC7-8519E7AA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487"/>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87"/>
    <w:pPr>
      <w:tabs>
        <w:tab w:val="center" w:pos="4153"/>
        <w:tab w:val="right" w:pos="8306"/>
      </w:tabs>
      <w:spacing w:after="0"/>
    </w:pPr>
  </w:style>
  <w:style w:type="character" w:customStyle="1" w:styleId="HeaderChar">
    <w:name w:val="Header Char"/>
    <w:basedOn w:val="DefaultParagraphFont"/>
    <w:link w:val="Header"/>
    <w:uiPriority w:val="99"/>
    <w:rsid w:val="00086487"/>
  </w:style>
  <w:style w:type="paragraph" w:customStyle="1" w:styleId="naisf">
    <w:name w:val="naisf"/>
    <w:basedOn w:val="Normal"/>
    <w:rsid w:val="00086487"/>
    <w:pPr>
      <w:spacing w:before="75" w:after="75"/>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086487"/>
    <w:pPr>
      <w:spacing w:before="75" w:after="75"/>
    </w:pPr>
    <w:rPr>
      <w:rFonts w:ascii="Times New Roman" w:eastAsia="Times New Roman" w:hAnsi="Times New Roman" w:cs="Times New Roman"/>
      <w:sz w:val="24"/>
      <w:szCs w:val="24"/>
      <w:lang w:eastAsia="lv-LV"/>
    </w:rPr>
  </w:style>
  <w:style w:type="paragraph" w:customStyle="1" w:styleId="Default">
    <w:name w:val="Default"/>
    <w:rsid w:val="000864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086487"/>
    <w:rPr>
      <w:rFonts w:cs="Times New Roman"/>
      <w:color w:val="0000FF"/>
      <w:u w:val="single"/>
    </w:rPr>
  </w:style>
  <w:style w:type="paragraph" w:styleId="Footer">
    <w:name w:val="footer"/>
    <w:basedOn w:val="Normal"/>
    <w:link w:val="FooterChar"/>
    <w:uiPriority w:val="99"/>
    <w:unhideWhenUsed/>
    <w:rsid w:val="001A75DF"/>
    <w:pPr>
      <w:tabs>
        <w:tab w:val="center" w:pos="4153"/>
        <w:tab w:val="right" w:pos="8306"/>
      </w:tabs>
      <w:spacing w:after="0"/>
    </w:pPr>
  </w:style>
  <w:style w:type="character" w:customStyle="1" w:styleId="FooterChar">
    <w:name w:val="Footer Char"/>
    <w:basedOn w:val="DefaultParagraphFont"/>
    <w:link w:val="Footer"/>
    <w:uiPriority w:val="99"/>
    <w:rsid w:val="001A75DF"/>
  </w:style>
  <w:style w:type="paragraph" w:styleId="BalloonText">
    <w:name w:val="Balloon Text"/>
    <w:basedOn w:val="Normal"/>
    <w:link w:val="BalloonTextChar"/>
    <w:uiPriority w:val="99"/>
    <w:semiHidden/>
    <w:unhideWhenUsed/>
    <w:rsid w:val="009633F2"/>
    <w:pPr>
      <w:spacing w:after="0"/>
    </w:pPr>
    <w:rPr>
      <w:rFonts w:ascii="Calibri" w:hAnsi="Calibri"/>
      <w:sz w:val="18"/>
      <w:szCs w:val="18"/>
    </w:rPr>
  </w:style>
  <w:style w:type="character" w:customStyle="1" w:styleId="BalloonTextChar">
    <w:name w:val="Balloon Text Char"/>
    <w:basedOn w:val="DefaultParagraphFont"/>
    <w:link w:val="BalloonText"/>
    <w:uiPriority w:val="99"/>
    <w:semiHidden/>
    <w:rsid w:val="009633F2"/>
    <w:rPr>
      <w:rFonts w:ascii="Calibri" w:hAnsi="Calibri"/>
      <w:sz w:val="18"/>
      <w:szCs w:val="18"/>
    </w:rPr>
  </w:style>
  <w:style w:type="character" w:styleId="CommentReference">
    <w:name w:val="annotation reference"/>
    <w:basedOn w:val="DefaultParagraphFont"/>
    <w:uiPriority w:val="99"/>
    <w:semiHidden/>
    <w:unhideWhenUsed/>
    <w:rsid w:val="00FB7D90"/>
    <w:rPr>
      <w:sz w:val="16"/>
      <w:szCs w:val="16"/>
    </w:rPr>
  </w:style>
  <w:style w:type="paragraph" w:styleId="CommentText">
    <w:name w:val="annotation text"/>
    <w:basedOn w:val="Normal"/>
    <w:link w:val="CommentTextChar"/>
    <w:uiPriority w:val="99"/>
    <w:semiHidden/>
    <w:unhideWhenUsed/>
    <w:rsid w:val="00FB7D90"/>
    <w:rPr>
      <w:sz w:val="20"/>
      <w:szCs w:val="20"/>
    </w:rPr>
  </w:style>
  <w:style w:type="character" w:customStyle="1" w:styleId="CommentTextChar">
    <w:name w:val="Comment Text Char"/>
    <w:basedOn w:val="DefaultParagraphFont"/>
    <w:link w:val="CommentText"/>
    <w:uiPriority w:val="99"/>
    <w:semiHidden/>
    <w:rsid w:val="00FB7D90"/>
    <w:rPr>
      <w:sz w:val="20"/>
      <w:szCs w:val="20"/>
    </w:rPr>
  </w:style>
  <w:style w:type="paragraph" w:styleId="CommentSubject">
    <w:name w:val="annotation subject"/>
    <w:basedOn w:val="CommentText"/>
    <w:next w:val="CommentText"/>
    <w:link w:val="CommentSubjectChar"/>
    <w:uiPriority w:val="99"/>
    <w:semiHidden/>
    <w:unhideWhenUsed/>
    <w:rsid w:val="00FB7D90"/>
    <w:rPr>
      <w:b/>
      <w:bCs/>
    </w:rPr>
  </w:style>
  <w:style w:type="character" w:customStyle="1" w:styleId="CommentSubjectChar">
    <w:name w:val="Comment Subject Char"/>
    <w:basedOn w:val="CommentTextChar"/>
    <w:link w:val="CommentSubject"/>
    <w:uiPriority w:val="99"/>
    <w:semiHidden/>
    <w:rsid w:val="00FB7D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2FF76-2E13-44C2-9D89-A5539339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9402</Words>
  <Characters>5360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12</cp:revision>
  <cp:lastPrinted>2017-09-12T06:22:00Z</cp:lastPrinted>
  <dcterms:created xsi:type="dcterms:W3CDTF">2017-08-04T05:15:00Z</dcterms:created>
  <dcterms:modified xsi:type="dcterms:W3CDTF">2017-10-04T11:56:00Z</dcterms:modified>
</cp:coreProperties>
</file>