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B6" w:rsidRPr="0055680D" w:rsidRDefault="0055680D" w:rsidP="0055680D">
      <w:pPr>
        <w:pStyle w:val="Footer"/>
        <w:jc w:val="center"/>
        <w:rPr>
          <w:rFonts w:ascii="Times New Roman" w:hAnsi="Times New Roman"/>
          <w:b/>
          <w:bCs/>
          <w:sz w:val="28"/>
          <w:szCs w:val="28"/>
        </w:rPr>
      </w:pPr>
      <w:r>
        <w:rPr>
          <w:rFonts w:ascii="Times New Roman" w:hAnsi="Times New Roman" w:cs="Times New Roman"/>
          <w:b/>
          <w:bCs/>
          <w:sz w:val="28"/>
          <w:szCs w:val="28"/>
        </w:rPr>
        <w:t>Ministru kabineta rīkojuma</w:t>
      </w:r>
      <w:r w:rsidR="00A361B6">
        <w:rPr>
          <w:rFonts w:ascii="Times New Roman" w:hAnsi="Times New Roman" w:cs="Times New Roman"/>
          <w:b/>
          <w:bCs/>
          <w:sz w:val="28"/>
          <w:szCs w:val="28"/>
        </w:rPr>
        <w:t xml:space="preserve"> projekt</w:t>
      </w:r>
      <w:r>
        <w:rPr>
          <w:rFonts w:ascii="Times New Roman" w:hAnsi="Times New Roman" w:cs="Times New Roman"/>
          <w:b/>
          <w:bCs/>
          <w:sz w:val="28"/>
          <w:szCs w:val="28"/>
        </w:rPr>
        <w:t>a</w:t>
      </w:r>
      <w:r w:rsidR="00A44F2E" w:rsidRPr="000B4BF2">
        <w:rPr>
          <w:rFonts w:ascii="Times New Roman" w:hAnsi="Times New Roman" w:cs="Times New Roman"/>
          <w:b/>
          <w:bCs/>
          <w:sz w:val="28"/>
          <w:szCs w:val="28"/>
        </w:rPr>
        <w:t xml:space="preserve"> </w:t>
      </w:r>
      <w:r w:rsidR="00A361B6">
        <w:rPr>
          <w:rFonts w:ascii="Times New Roman" w:hAnsi="Times New Roman"/>
          <w:b/>
          <w:bCs/>
          <w:sz w:val="28"/>
          <w:szCs w:val="28"/>
        </w:rPr>
        <w:t>“</w:t>
      </w:r>
      <w:r w:rsidR="00A361B6" w:rsidRPr="004C46E1">
        <w:rPr>
          <w:rFonts w:ascii="Times New Roman" w:eastAsia="Times New Roman" w:hAnsi="Times New Roman"/>
          <w:b/>
          <w:sz w:val="28"/>
          <w:szCs w:val="28"/>
          <w:lang w:eastAsia="lv-LV"/>
        </w:rPr>
        <w:t xml:space="preserve">Par </w:t>
      </w:r>
      <w:r>
        <w:rPr>
          <w:rFonts w:ascii="Times New Roman" w:eastAsia="Times New Roman" w:hAnsi="Times New Roman"/>
          <w:b/>
          <w:sz w:val="28"/>
          <w:szCs w:val="28"/>
          <w:lang w:eastAsia="lv-LV"/>
        </w:rPr>
        <w:t>valsts nekustamo īpašumu</w:t>
      </w:r>
      <w:r w:rsidR="00A361B6" w:rsidRPr="004C46E1">
        <w:rPr>
          <w:rFonts w:ascii="Times New Roman" w:eastAsia="Times New Roman" w:hAnsi="Times New Roman"/>
          <w:b/>
          <w:sz w:val="28"/>
          <w:szCs w:val="28"/>
          <w:lang w:eastAsia="lv-LV"/>
        </w:rPr>
        <w:t xml:space="preserve"> ieguldīšanu valsts sabi</w:t>
      </w:r>
      <w:r w:rsidR="00A361B6">
        <w:rPr>
          <w:rFonts w:ascii="Times New Roman" w:eastAsia="Times New Roman" w:hAnsi="Times New Roman"/>
          <w:b/>
          <w:sz w:val="28"/>
          <w:szCs w:val="28"/>
          <w:lang w:eastAsia="lv-LV"/>
        </w:rPr>
        <w:t>edrības ar ierobežotu atbildību</w:t>
      </w:r>
    </w:p>
    <w:p w:rsidR="00A44F2E" w:rsidRPr="00A361B6" w:rsidRDefault="00A361B6" w:rsidP="00A361B6">
      <w:pPr>
        <w:pStyle w:val="Footer"/>
        <w:jc w:val="center"/>
        <w:rPr>
          <w:rFonts w:ascii="Times New Roman" w:hAnsi="Times New Roman"/>
          <w:b/>
          <w:sz w:val="28"/>
          <w:szCs w:val="28"/>
        </w:rPr>
      </w:pPr>
      <w:r w:rsidRPr="004C46E1">
        <w:rPr>
          <w:rFonts w:ascii="Times New Roman" w:eastAsia="Times New Roman" w:hAnsi="Times New Roman"/>
          <w:b/>
          <w:sz w:val="28"/>
          <w:szCs w:val="28"/>
          <w:lang w:eastAsia="lv-LV"/>
        </w:rPr>
        <w:t>“Bobsleja un kamaniņu trase “Sigulda”” pamatkapitālā</w:t>
      </w:r>
      <w:r w:rsidR="006B61D5">
        <w:rPr>
          <w:rFonts w:ascii="Times New Roman" w:eastAsia="Times New Roman" w:hAnsi="Times New Roman"/>
          <w:b/>
          <w:sz w:val="28"/>
          <w:szCs w:val="28"/>
          <w:lang w:eastAsia="lv-LV"/>
        </w:rPr>
        <w:t>”</w:t>
      </w:r>
      <w:r>
        <w:rPr>
          <w:rFonts w:ascii="Times New Roman" w:eastAsia="Times New Roman" w:hAnsi="Times New Roman"/>
          <w:b/>
          <w:sz w:val="28"/>
          <w:szCs w:val="28"/>
          <w:lang w:eastAsia="lv-LV"/>
        </w:rPr>
        <w:t xml:space="preserve"> </w:t>
      </w:r>
      <w:r w:rsidR="00A44F2E" w:rsidRPr="000B4BF2">
        <w:rPr>
          <w:rFonts w:ascii="Times New Roman" w:hAnsi="Times New Roman" w:cs="Times New Roman"/>
          <w:b/>
          <w:sz w:val="28"/>
          <w:szCs w:val="28"/>
        </w:rPr>
        <w:t>sākotnējā</w:t>
      </w:r>
      <w:r>
        <w:rPr>
          <w:rFonts w:ascii="Times New Roman" w:hAnsi="Times New Roman" w:cs="Times New Roman"/>
          <w:b/>
          <w:sz w:val="28"/>
          <w:szCs w:val="28"/>
        </w:rPr>
        <w:t xml:space="preserve">s </w:t>
      </w:r>
      <w:r w:rsidR="005B4307" w:rsidRPr="000B4BF2">
        <w:rPr>
          <w:rFonts w:ascii="Times New Roman" w:hAnsi="Times New Roman" w:cs="Times New Roman"/>
          <w:b/>
          <w:sz w:val="28"/>
          <w:szCs w:val="28"/>
        </w:rPr>
        <w:t>ietekmes</w:t>
      </w:r>
      <w:r>
        <w:rPr>
          <w:rFonts w:ascii="Times New Roman" w:hAnsi="Times New Roman" w:cs="Times New Roman"/>
          <w:b/>
          <w:sz w:val="28"/>
          <w:szCs w:val="28"/>
        </w:rPr>
        <w:t xml:space="preserve"> </w:t>
      </w:r>
      <w:r w:rsidR="005B4307" w:rsidRPr="000B4BF2">
        <w:rPr>
          <w:rFonts w:ascii="Times New Roman" w:hAnsi="Times New Roman" w:cs="Times New Roman"/>
          <w:b/>
          <w:sz w:val="28"/>
          <w:szCs w:val="28"/>
        </w:rPr>
        <w:t>novērtējuma</w:t>
      </w:r>
      <w:r w:rsidR="009F1056" w:rsidRPr="000B4BF2">
        <w:rPr>
          <w:rFonts w:ascii="Times New Roman" w:hAnsi="Times New Roman" w:cs="Times New Roman"/>
          <w:b/>
          <w:sz w:val="28"/>
          <w:szCs w:val="28"/>
        </w:rPr>
        <w:t xml:space="preserve"> </w:t>
      </w:r>
      <w:r w:rsidR="005B4307" w:rsidRPr="000B4BF2">
        <w:rPr>
          <w:rFonts w:ascii="Times New Roman" w:hAnsi="Times New Roman" w:cs="Times New Roman"/>
          <w:b/>
          <w:sz w:val="28"/>
          <w:szCs w:val="28"/>
        </w:rPr>
        <w:t xml:space="preserve">ziņojums </w:t>
      </w:r>
      <w:r w:rsidR="00A44F2E" w:rsidRPr="000B4BF2">
        <w:rPr>
          <w:rFonts w:ascii="Times New Roman" w:hAnsi="Times New Roman" w:cs="Times New Roman"/>
          <w:b/>
          <w:sz w:val="28"/>
          <w:szCs w:val="28"/>
        </w:rPr>
        <w:t>(anotācija)</w:t>
      </w:r>
    </w:p>
    <w:p w:rsidR="00CD4F7B" w:rsidRPr="000B4BF2" w:rsidRDefault="00CD4F7B" w:rsidP="00CA5085">
      <w:pPr>
        <w:pStyle w:val="Footer"/>
        <w:jc w:val="center"/>
        <w:rPr>
          <w:rFonts w:ascii="Times New Roman" w:hAnsi="Times New Roman" w:cs="Times New Roman"/>
          <w:b/>
          <w:sz w:val="28"/>
          <w:szCs w:val="28"/>
        </w:rPr>
      </w:pPr>
    </w:p>
    <w:tbl>
      <w:tblPr>
        <w:tblpPr w:leftFromText="180" w:rightFromText="180" w:vertAnchor="text" w:tblpXSpec="right" w:tblpY="1"/>
        <w:tblOverlap w:val="never"/>
        <w:tblW w:w="532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8"/>
        <w:gridCol w:w="2221"/>
        <w:gridCol w:w="6886"/>
      </w:tblGrid>
      <w:tr w:rsidR="00A44F2E" w:rsidRPr="000B4BF2" w:rsidTr="00E13CE8">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0B4BF2" w:rsidRDefault="00A44F2E" w:rsidP="00AD5494">
            <w:pPr>
              <w:spacing w:after="0" w:line="240" w:lineRule="auto"/>
              <w:jc w:val="center"/>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I. Tiesību akta projekta izstrādes nepieciešamība</w:t>
            </w:r>
          </w:p>
        </w:tc>
      </w:tr>
      <w:tr w:rsidR="00A44F2E" w:rsidRPr="000B4BF2" w:rsidTr="008C5EF0">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w:t>
            </w:r>
          </w:p>
        </w:tc>
        <w:tc>
          <w:tcPr>
            <w:tcW w:w="1151" w:type="pct"/>
            <w:tcBorders>
              <w:top w:val="outset" w:sz="6" w:space="0" w:color="000000"/>
              <w:left w:val="outset" w:sz="6" w:space="0" w:color="000000"/>
              <w:bottom w:val="outset" w:sz="6" w:space="0" w:color="000000"/>
              <w:right w:val="outset" w:sz="6" w:space="0" w:color="000000"/>
            </w:tcBorders>
          </w:tcPr>
          <w:p w:rsidR="00A44F2E" w:rsidRPr="000B4BF2" w:rsidRDefault="00A44F2E" w:rsidP="00AD5494">
            <w:pPr>
              <w:spacing w:after="0" w:line="240" w:lineRule="auto"/>
              <w:ind w:left="141"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Pamatojums</w:t>
            </w:r>
          </w:p>
        </w:tc>
        <w:tc>
          <w:tcPr>
            <w:tcW w:w="3569" w:type="pct"/>
            <w:tcBorders>
              <w:top w:val="outset" w:sz="6" w:space="0" w:color="000000"/>
              <w:left w:val="outset" w:sz="6" w:space="0" w:color="000000"/>
              <w:bottom w:val="outset" w:sz="6" w:space="0" w:color="000000"/>
              <w:right w:val="outset" w:sz="6" w:space="0" w:color="000000"/>
            </w:tcBorders>
            <w:hideMark/>
          </w:tcPr>
          <w:p w:rsidR="00521FBF" w:rsidRPr="000B4BF2" w:rsidRDefault="00B1203A" w:rsidP="00E46647">
            <w:pPr>
              <w:pStyle w:val="Footer"/>
              <w:tabs>
                <w:tab w:val="clear" w:pos="4153"/>
                <w:tab w:val="clear" w:pos="8306"/>
                <w:tab w:val="right" w:pos="9072"/>
              </w:tabs>
              <w:ind w:left="102" w:right="142" w:firstLine="510"/>
              <w:jc w:val="both"/>
              <w:rPr>
                <w:rFonts w:ascii="Times New Roman" w:hAnsi="Times New Roman" w:cs="Times New Roman"/>
                <w:sz w:val="28"/>
                <w:szCs w:val="28"/>
              </w:rPr>
            </w:pPr>
            <w:r w:rsidRPr="00AE3454">
              <w:rPr>
                <w:rFonts w:ascii="Times New Roman" w:eastAsia="Times New Roman" w:hAnsi="Times New Roman"/>
                <w:sz w:val="28"/>
                <w:szCs w:val="28"/>
                <w:lang w:eastAsia="lv-LV"/>
              </w:rPr>
              <w:t>Publiskas personas mant</w:t>
            </w:r>
            <w:r>
              <w:rPr>
                <w:rFonts w:ascii="Times New Roman" w:eastAsia="Times New Roman" w:hAnsi="Times New Roman"/>
                <w:sz w:val="28"/>
                <w:szCs w:val="28"/>
                <w:lang w:eastAsia="lv-LV"/>
              </w:rPr>
              <w:t>as atsavināšanas likuma 40.pants</w:t>
            </w:r>
            <w:r w:rsidR="007B19CD">
              <w:rPr>
                <w:rFonts w:ascii="Times New Roman" w:eastAsia="Times New Roman" w:hAnsi="Times New Roman"/>
                <w:sz w:val="28"/>
                <w:szCs w:val="28"/>
                <w:lang w:eastAsia="lv-LV"/>
              </w:rPr>
              <w:t>.</w:t>
            </w:r>
          </w:p>
        </w:tc>
      </w:tr>
      <w:tr w:rsidR="00A44F2E" w:rsidRPr="000B4BF2" w:rsidTr="008C5EF0">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1151" w:type="pct"/>
            <w:tcBorders>
              <w:top w:val="outset" w:sz="6" w:space="0" w:color="000000"/>
              <w:left w:val="outset" w:sz="6" w:space="0" w:color="000000"/>
              <w:bottom w:val="outset" w:sz="6" w:space="0" w:color="000000"/>
              <w:right w:val="outset" w:sz="6" w:space="0" w:color="000000"/>
            </w:tcBorders>
          </w:tcPr>
          <w:p w:rsidR="00C012AA" w:rsidRPr="000B4BF2" w:rsidRDefault="00C012AA" w:rsidP="00AD5494">
            <w:pPr>
              <w:spacing w:after="0" w:line="240" w:lineRule="auto"/>
              <w:ind w:left="150" w:right="15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p>
        </w:tc>
        <w:tc>
          <w:tcPr>
            <w:tcW w:w="3569" w:type="pct"/>
            <w:tcBorders>
              <w:top w:val="outset" w:sz="6" w:space="0" w:color="000000"/>
              <w:left w:val="outset" w:sz="6" w:space="0" w:color="000000"/>
              <w:bottom w:val="outset" w:sz="6" w:space="0" w:color="000000"/>
              <w:right w:val="outset" w:sz="6" w:space="0" w:color="000000"/>
            </w:tcBorders>
            <w:hideMark/>
          </w:tcPr>
          <w:p w:rsidR="00CA3843" w:rsidRDefault="00CA3843" w:rsidP="00D40B38">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 xml:space="preserve">Valsts nekustamais īpašums (nekustamā īpašuma kadastra Nr.8015 002 4214) Šveices ielā 13, Siguldā, Siguldas novadā, sastāv no zemes vienības </w:t>
            </w:r>
            <w:r w:rsidRPr="00CE6F7F">
              <w:rPr>
                <w:rFonts w:ascii="Times New Roman" w:hAnsi="Times New Roman"/>
                <w:sz w:val="28"/>
                <w:szCs w:val="28"/>
              </w:rPr>
              <w:t>116 975 m</w:t>
            </w:r>
            <w:r w:rsidRPr="00CE6F7F">
              <w:rPr>
                <w:rFonts w:ascii="Times New Roman" w:hAnsi="Times New Roman"/>
                <w:sz w:val="28"/>
                <w:szCs w:val="28"/>
                <w:vertAlign w:val="superscript"/>
              </w:rPr>
              <w:t>2</w:t>
            </w:r>
            <w:r w:rsidRPr="00CE6F7F">
              <w:rPr>
                <w:rFonts w:ascii="Times New Roman" w:hAnsi="Times New Roman"/>
                <w:sz w:val="28"/>
                <w:szCs w:val="28"/>
              </w:rPr>
              <w:t xml:space="preserve"> platībā (zemes vienības kadastra apzīmējums 8015 002 4214) un 1</w:t>
            </w:r>
            <w:r>
              <w:rPr>
                <w:rFonts w:ascii="Times New Roman" w:hAnsi="Times New Roman"/>
                <w:sz w:val="28"/>
                <w:szCs w:val="28"/>
              </w:rPr>
              <w:t>2 būvēm – vīriešu starta ēkas (būves kadastra apzīmējums</w:t>
            </w:r>
            <w:r w:rsidRPr="00CE6F7F">
              <w:rPr>
                <w:rFonts w:ascii="Times New Roman" w:hAnsi="Times New Roman"/>
                <w:sz w:val="28"/>
                <w:szCs w:val="28"/>
              </w:rPr>
              <w:t xml:space="preserve"> </w:t>
            </w:r>
            <w:r>
              <w:rPr>
                <w:rFonts w:ascii="Times New Roman" w:hAnsi="Times New Roman"/>
                <w:sz w:val="28"/>
                <w:szCs w:val="28"/>
              </w:rPr>
              <w:t>8015 002 4214 001), sieviešu starta ēkas (būves kadastra apzīmējums</w:t>
            </w:r>
            <w:r w:rsidRPr="00CE6F7F">
              <w:rPr>
                <w:rFonts w:ascii="Times New Roman" w:hAnsi="Times New Roman"/>
                <w:sz w:val="28"/>
                <w:szCs w:val="28"/>
              </w:rPr>
              <w:t xml:space="preserve"> 8015 002 4214 002</w:t>
            </w:r>
            <w:r>
              <w:rPr>
                <w:rFonts w:ascii="Times New Roman" w:hAnsi="Times New Roman"/>
                <w:sz w:val="28"/>
                <w:szCs w:val="28"/>
              </w:rPr>
              <w:t>)</w:t>
            </w:r>
            <w:r w:rsidRPr="00CE6F7F">
              <w:rPr>
                <w:rFonts w:ascii="Times New Roman" w:hAnsi="Times New Roman"/>
                <w:sz w:val="28"/>
                <w:szCs w:val="28"/>
              </w:rPr>
              <w:t xml:space="preserve">, </w:t>
            </w:r>
            <w:r>
              <w:rPr>
                <w:rFonts w:ascii="Times New Roman" w:hAnsi="Times New Roman"/>
                <w:sz w:val="28"/>
                <w:szCs w:val="28"/>
              </w:rPr>
              <w:t>bobu novietnes (būves kadastra apzīmējums</w:t>
            </w:r>
            <w:r w:rsidRPr="00CE6F7F">
              <w:rPr>
                <w:rFonts w:ascii="Times New Roman" w:hAnsi="Times New Roman"/>
                <w:sz w:val="28"/>
                <w:szCs w:val="28"/>
              </w:rPr>
              <w:t xml:space="preserve"> 8015 002 4214 004</w:t>
            </w:r>
            <w:r>
              <w:rPr>
                <w:rFonts w:ascii="Times New Roman" w:hAnsi="Times New Roman"/>
                <w:sz w:val="28"/>
                <w:szCs w:val="28"/>
              </w:rPr>
              <w:t>)</w:t>
            </w:r>
            <w:r w:rsidRPr="00CE6F7F">
              <w:rPr>
                <w:rFonts w:ascii="Times New Roman" w:hAnsi="Times New Roman"/>
                <w:sz w:val="28"/>
                <w:szCs w:val="28"/>
              </w:rPr>
              <w:t xml:space="preserve">, </w:t>
            </w:r>
            <w:r>
              <w:rPr>
                <w:rFonts w:ascii="Times New Roman" w:hAnsi="Times New Roman"/>
                <w:sz w:val="28"/>
                <w:szCs w:val="28"/>
              </w:rPr>
              <w:t>slēpotāju mājiņas (būves kadastra apzīmējums</w:t>
            </w:r>
            <w:r w:rsidRPr="00CE6F7F">
              <w:rPr>
                <w:rFonts w:ascii="Times New Roman" w:hAnsi="Times New Roman"/>
                <w:sz w:val="28"/>
                <w:szCs w:val="28"/>
              </w:rPr>
              <w:t xml:space="preserve"> 8015 002 4214 005</w:t>
            </w:r>
            <w:r>
              <w:rPr>
                <w:rFonts w:ascii="Times New Roman" w:hAnsi="Times New Roman"/>
                <w:sz w:val="28"/>
                <w:szCs w:val="28"/>
              </w:rPr>
              <w:t>)</w:t>
            </w:r>
            <w:r w:rsidRPr="00CE6F7F">
              <w:rPr>
                <w:rFonts w:ascii="Times New Roman" w:hAnsi="Times New Roman"/>
                <w:sz w:val="28"/>
                <w:szCs w:val="28"/>
              </w:rPr>
              <w:t xml:space="preserve">, </w:t>
            </w:r>
            <w:r>
              <w:rPr>
                <w:rFonts w:ascii="Times New Roman" w:hAnsi="Times New Roman"/>
                <w:sz w:val="28"/>
                <w:szCs w:val="28"/>
              </w:rPr>
              <w:t>finiša ēkas (būves kadastra apzīmējums</w:t>
            </w:r>
            <w:r w:rsidRPr="00CE6F7F">
              <w:rPr>
                <w:rFonts w:ascii="Times New Roman" w:hAnsi="Times New Roman"/>
                <w:sz w:val="28"/>
                <w:szCs w:val="28"/>
              </w:rPr>
              <w:t xml:space="preserve"> 8015 002 4214 007</w:t>
            </w:r>
            <w:r>
              <w:rPr>
                <w:rFonts w:ascii="Times New Roman" w:hAnsi="Times New Roman"/>
                <w:sz w:val="28"/>
                <w:szCs w:val="28"/>
              </w:rPr>
              <w:t>)</w:t>
            </w:r>
            <w:r w:rsidRPr="00CE6F7F">
              <w:rPr>
                <w:rFonts w:ascii="Times New Roman" w:hAnsi="Times New Roman"/>
                <w:sz w:val="28"/>
                <w:szCs w:val="28"/>
              </w:rPr>
              <w:t xml:space="preserve">, </w:t>
            </w:r>
            <w:r>
              <w:rPr>
                <w:rFonts w:ascii="Times New Roman" w:hAnsi="Times New Roman"/>
                <w:sz w:val="28"/>
                <w:szCs w:val="28"/>
              </w:rPr>
              <w:t>sarga mājas (būves kadastra apzīmējums</w:t>
            </w:r>
            <w:r w:rsidRPr="00CE6F7F">
              <w:rPr>
                <w:rFonts w:ascii="Times New Roman" w:hAnsi="Times New Roman"/>
                <w:sz w:val="28"/>
                <w:szCs w:val="28"/>
              </w:rPr>
              <w:t xml:space="preserve"> 8015 002 4214 008</w:t>
            </w:r>
            <w:r>
              <w:rPr>
                <w:rFonts w:ascii="Times New Roman" w:hAnsi="Times New Roman"/>
                <w:sz w:val="28"/>
                <w:szCs w:val="28"/>
              </w:rPr>
              <w:t>)</w:t>
            </w:r>
            <w:r w:rsidRPr="00CE6F7F">
              <w:rPr>
                <w:rFonts w:ascii="Times New Roman" w:hAnsi="Times New Roman"/>
                <w:sz w:val="28"/>
                <w:szCs w:val="28"/>
              </w:rPr>
              <w:t xml:space="preserve">, </w:t>
            </w:r>
            <w:r>
              <w:rPr>
                <w:rFonts w:ascii="Times New Roman" w:hAnsi="Times New Roman"/>
                <w:sz w:val="28"/>
                <w:szCs w:val="28"/>
              </w:rPr>
              <w:t>saldēšanas stacijas (būves kadastra apzīmējums</w:t>
            </w:r>
            <w:r w:rsidRPr="00CE6F7F">
              <w:rPr>
                <w:rFonts w:ascii="Times New Roman" w:hAnsi="Times New Roman"/>
                <w:sz w:val="28"/>
                <w:szCs w:val="28"/>
              </w:rPr>
              <w:t xml:space="preserve"> 8015 002 4214 009</w:t>
            </w:r>
            <w:r>
              <w:rPr>
                <w:rFonts w:ascii="Times New Roman" w:hAnsi="Times New Roman"/>
                <w:sz w:val="28"/>
                <w:szCs w:val="28"/>
              </w:rPr>
              <w:t>)</w:t>
            </w:r>
            <w:r w:rsidRPr="00CE6F7F">
              <w:rPr>
                <w:rFonts w:ascii="Times New Roman" w:hAnsi="Times New Roman"/>
                <w:sz w:val="28"/>
                <w:szCs w:val="28"/>
              </w:rPr>
              <w:t xml:space="preserve">, </w:t>
            </w:r>
            <w:r>
              <w:rPr>
                <w:rFonts w:ascii="Times New Roman" w:hAnsi="Times New Roman"/>
                <w:sz w:val="28"/>
                <w:szCs w:val="28"/>
              </w:rPr>
              <w:t>angāra (būves kadastra apzīmējums</w:t>
            </w:r>
            <w:r w:rsidRPr="00CE6F7F">
              <w:rPr>
                <w:rFonts w:ascii="Times New Roman" w:hAnsi="Times New Roman"/>
                <w:sz w:val="28"/>
                <w:szCs w:val="28"/>
              </w:rPr>
              <w:t xml:space="preserve"> 8015 002 4214 010</w:t>
            </w:r>
            <w:r>
              <w:rPr>
                <w:rFonts w:ascii="Times New Roman" w:hAnsi="Times New Roman"/>
                <w:sz w:val="28"/>
                <w:szCs w:val="28"/>
              </w:rPr>
              <w:t>)</w:t>
            </w:r>
            <w:r w:rsidRPr="00CE6F7F">
              <w:rPr>
                <w:rFonts w:ascii="Times New Roman" w:hAnsi="Times New Roman"/>
                <w:sz w:val="28"/>
                <w:szCs w:val="28"/>
              </w:rPr>
              <w:t xml:space="preserve">, </w:t>
            </w:r>
            <w:r>
              <w:rPr>
                <w:rFonts w:ascii="Times New Roman" w:hAnsi="Times New Roman"/>
                <w:sz w:val="28"/>
                <w:szCs w:val="28"/>
              </w:rPr>
              <w:t>slēpotāju mājiņas (būves kadastra apzīmējums</w:t>
            </w:r>
            <w:r w:rsidRPr="00CE6F7F">
              <w:rPr>
                <w:rFonts w:ascii="Times New Roman" w:hAnsi="Times New Roman"/>
                <w:sz w:val="28"/>
                <w:szCs w:val="28"/>
              </w:rPr>
              <w:t xml:space="preserve"> 8015 002</w:t>
            </w:r>
            <w:r>
              <w:rPr>
                <w:rFonts w:ascii="Times New Roman" w:hAnsi="Times New Roman"/>
                <w:sz w:val="28"/>
                <w:szCs w:val="28"/>
              </w:rPr>
              <w:t xml:space="preserve"> 4214 011), svaru mājas (būves kadastra apzīmējums 8015 002 4214 012), bobsleja trases (būves kadastra apzīmējums</w:t>
            </w:r>
            <w:r w:rsidRPr="00CE6F7F">
              <w:rPr>
                <w:rFonts w:ascii="Times New Roman" w:hAnsi="Times New Roman"/>
                <w:sz w:val="28"/>
                <w:szCs w:val="28"/>
              </w:rPr>
              <w:t xml:space="preserve"> 8015 002 4214 013</w:t>
            </w:r>
            <w:r>
              <w:rPr>
                <w:rFonts w:ascii="Times New Roman" w:hAnsi="Times New Roman"/>
                <w:sz w:val="28"/>
                <w:szCs w:val="28"/>
              </w:rPr>
              <w:t>) un starta estakādes (būves kadastra apzīmējums 8015 002 4214 014</w:t>
            </w:r>
            <w:r w:rsidRPr="00CE6F7F">
              <w:rPr>
                <w:rFonts w:ascii="Times New Roman" w:hAnsi="Times New Roman"/>
                <w:sz w:val="28"/>
                <w:szCs w:val="28"/>
              </w:rPr>
              <w:t>)</w:t>
            </w:r>
            <w:r>
              <w:rPr>
                <w:rFonts w:ascii="Times New Roman" w:hAnsi="Times New Roman" w:cs="Times New Roman"/>
                <w:sz w:val="28"/>
                <w:szCs w:val="28"/>
              </w:rPr>
              <w:t>. Īpašuma tiesības uz minēto valsts nekustamo īpašumu reģistrētas Rīgas rajona tiesas Zemesgrāmatu nodaļas Siguldas pilsētas zemesgrāmatas nodalījumā Nr.1330 uz Latvijas valsts vārda Izglītības un zinātnes ministrijas (turpmāk – ministrija) personā.</w:t>
            </w:r>
          </w:p>
          <w:p w:rsidR="00CA3843" w:rsidRDefault="00D77FA8" w:rsidP="00D40B38">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Valsts nekustamais īpašums (nekustamā īpašuma kadastra Nr.8015 003</w:t>
            </w:r>
            <w:r w:rsidR="00A91E66">
              <w:rPr>
                <w:rFonts w:ascii="Times New Roman" w:hAnsi="Times New Roman" w:cs="Times New Roman"/>
                <w:sz w:val="28"/>
                <w:szCs w:val="28"/>
              </w:rPr>
              <w:t xml:space="preserve"> </w:t>
            </w:r>
            <w:r>
              <w:rPr>
                <w:rFonts w:ascii="Times New Roman" w:hAnsi="Times New Roman" w:cs="Times New Roman"/>
                <w:sz w:val="28"/>
                <w:szCs w:val="28"/>
              </w:rPr>
              <w:t xml:space="preserve">0932) Bērzu ielā 1A, Siguldā, Siguldas novadā, sastāv no zemes vienības </w:t>
            </w:r>
            <w:r>
              <w:rPr>
                <w:rFonts w:ascii="Times New Roman" w:hAnsi="Times New Roman"/>
                <w:sz w:val="28"/>
                <w:szCs w:val="28"/>
              </w:rPr>
              <w:t>1 697</w:t>
            </w:r>
            <w:r w:rsidRPr="00CE6F7F">
              <w:rPr>
                <w:rFonts w:ascii="Times New Roman" w:hAnsi="Times New Roman"/>
                <w:sz w:val="28"/>
                <w:szCs w:val="28"/>
              </w:rPr>
              <w:t xml:space="preserve"> m</w:t>
            </w:r>
            <w:r w:rsidRPr="00CE6F7F">
              <w:rPr>
                <w:rFonts w:ascii="Times New Roman" w:hAnsi="Times New Roman"/>
                <w:sz w:val="28"/>
                <w:szCs w:val="28"/>
                <w:vertAlign w:val="superscript"/>
              </w:rPr>
              <w:t>2</w:t>
            </w:r>
            <w:r w:rsidRPr="00CE6F7F">
              <w:rPr>
                <w:rFonts w:ascii="Times New Roman" w:hAnsi="Times New Roman"/>
                <w:sz w:val="28"/>
                <w:szCs w:val="28"/>
              </w:rPr>
              <w:t xml:space="preserve"> platībā (zemes vienī</w:t>
            </w:r>
            <w:r>
              <w:rPr>
                <w:rFonts w:ascii="Times New Roman" w:hAnsi="Times New Roman"/>
                <w:sz w:val="28"/>
                <w:szCs w:val="28"/>
              </w:rPr>
              <w:t>bas kadastra apzīmējums 8015 003</w:t>
            </w:r>
            <w:r w:rsidRPr="00CE6F7F">
              <w:rPr>
                <w:rFonts w:ascii="Times New Roman" w:hAnsi="Times New Roman"/>
                <w:sz w:val="28"/>
                <w:szCs w:val="28"/>
              </w:rPr>
              <w:t xml:space="preserve"> </w:t>
            </w:r>
            <w:r>
              <w:rPr>
                <w:rFonts w:ascii="Times New Roman" w:hAnsi="Times New Roman"/>
                <w:sz w:val="28"/>
                <w:szCs w:val="28"/>
              </w:rPr>
              <w:t>0932</w:t>
            </w:r>
            <w:r w:rsidRPr="00CE6F7F">
              <w:rPr>
                <w:rFonts w:ascii="Times New Roman" w:hAnsi="Times New Roman"/>
                <w:sz w:val="28"/>
                <w:szCs w:val="28"/>
              </w:rPr>
              <w:t xml:space="preserve">) un  </w:t>
            </w:r>
            <w:r>
              <w:rPr>
                <w:rFonts w:ascii="Times New Roman" w:hAnsi="Times New Roman"/>
                <w:sz w:val="28"/>
                <w:szCs w:val="28"/>
              </w:rPr>
              <w:t>trīs būvēm – divām atpūtas ēkām</w:t>
            </w:r>
            <w:r w:rsidRPr="00CE6F7F">
              <w:rPr>
                <w:rFonts w:ascii="Times New Roman" w:hAnsi="Times New Roman"/>
                <w:sz w:val="28"/>
                <w:szCs w:val="28"/>
              </w:rPr>
              <w:t xml:space="preserve"> (būvju kadastr</w:t>
            </w:r>
            <w:r>
              <w:rPr>
                <w:rFonts w:ascii="Times New Roman" w:hAnsi="Times New Roman"/>
                <w:sz w:val="28"/>
                <w:szCs w:val="28"/>
              </w:rPr>
              <w:t>a apzīmējumi 8015 003 0932  001 un</w:t>
            </w:r>
            <w:r w:rsidRPr="00CE6F7F">
              <w:rPr>
                <w:rFonts w:ascii="Times New Roman" w:hAnsi="Times New Roman"/>
                <w:sz w:val="28"/>
                <w:szCs w:val="28"/>
              </w:rPr>
              <w:t xml:space="preserve"> 8015 003 0932 002</w:t>
            </w:r>
            <w:r>
              <w:rPr>
                <w:rFonts w:ascii="Times New Roman" w:hAnsi="Times New Roman"/>
                <w:sz w:val="28"/>
                <w:szCs w:val="28"/>
              </w:rPr>
              <w:t>)</w:t>
            </w:r>
            <w:r w:rsidRPr="00CE6F7F">
              <w:rPr>
                <w:rFonts w:ascii="Times New Roman" w:hAnsi="Times New Roman"/>
                <w:sz w:val="28"/>
                <w:szCs w:val="28"/>
              </w:rPr>
              <w:t xml:space="preserve"> un</w:t>
            </w:r>
            <w:r>
              <w:rPr>
                <w:rFonts w:ascii="Times New Roman" w:hAnsi="Times New Roman"/>
                <w:sz w:val="28"/>
                <w:szCs w:val="28"/>
              </w:rPr>
              <w:t xml:space="preserve"> pagraba </w:t>
            </w:r>
            <w:r w:rsidRPr="00CE6F7F">
              <w:rPr>
                <w:rFonts w:ascii="Times New Roman" w:hAnsi="Times New Roman"/>
                <w:sz w:val="28"/>
                <w:szCs w:val="28"/>
              </w:rPr>
              <w:t xml:space="preserve"> </w:t>
            </w:r>
            <w:r>
              <w:rPr>
                <w:rFonts w:ascii="Times New Roman" w:hAnsi="Times New Roman"/>
                <w:sz w:val="28"/>
                <w:szCs w:val="28"/>
              </w:rPr>
              <w:t>(būves kadastra apzīmējums</w:t>
            </w:r>
            <w:r w:rsidRPr="00CE6F7F">
              <w:rPr>
                <w:rFonts w:ascii="Times New Roman" w:hAnsi="Times New Roman"/>
                <w:sz w:val="28"/>
                <w:szCs w:val="28"/>
              </w:rPr>
              <w:t xml:space="preserve"> 8015 003 0932 003)</w:t>
            </w:r>
            <w:r>
              <w:rPr>
                <w:rFonts w:ascii="Times New Roman" w:hAnsi="Times New Roman" w:cs="Times New Roman"/>
                <w:sz w:val="28"/>
                <w:szCs w:val="28"/>
              </w:rPr>
              <w:t>. Īpašuma tiesības uz minēto valsts nekustamo īpašumu reģistrētas Rīgas rajona tiesas Zemesgrāmatu nodaļas Siguldas pilsētas zemesgrāmatas nodalījumā Nr.13</w:t>
            </w:r>
            <w:r w:rsidR="00A91E66">
              <w:rPr>
                <w:rFonts w:ascii="Times New Roman" w:hAnsi="Times New Roman" w:cs="Times New Roman"/>
                <w:sz w:val="28"/>
                <w:szCs w:val="28"/>
              </w:rPr>
              <w:t>29</w:t>
            </w:r>
            <w:r>
              <w:rPr>
                <w:rFonts w:ascii="Times New Roman" w:hAnsi="Times New Roman" w:cs="Times New Roman"/>
                <w:sz w:val="28"/>
                <w:szCs w:val="28"/>
              </w:rPr>
              <w:t xml:space="preserve"> uz Latvijas valsts vārda ministrijas personā.</w:t>
            </w:r>
          </w:p>
          <w:p w:rsidR="001D00EB" w:rsidRDefault="00A44CB9" w:rsidP="001D00EB">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 xml:space="preserve">Valsts nekustamais īpašums (nekustamā īpašuma kadastra Nr.8015 002 4214) Šveices ielā 13, Siguldā, Siguldas novadā, un valsts nekustamais īpašums </w:t>
            </w:r>
            <w:r>
              <w:rPr>
                <w:rFonts w:ascii="Times New Roman" w:hAnsi="Times New Roman" w:cs="Times New Roman"/>
                <w:sz w:val="28"/>
                <w:szCs w:val="28"/>
              </w:rPr>
              <w:lastRenderedPageBreak/>
              <w:t>(nekustamā īpašuma kadastra Nr.8015 003 0932) Bērzu ielā 1A, Siguldā, Siguldas novadā</w:t>
            </w:r>
            <w:r w:rsidR="00E3750E">
              <w:rPr>
                <w:rFonts w:ascii="Times New Roman" w:hAnsi="Times New Roman" w:cs="Times New Roman"/>
                <w:sz w:val="28"/>
                <w:szCs w:val="28"/>
              </w:rPr>
              <w:t>, turpmāk kopā – nekustamie īpašumi.</w:t>
            </w:r>
          </w:p>
          <w:p w:rsidR="0071252A" w:rsidRDefault="008070C0" w:rsidP="001D00EB">
            <w:pPr>
              <w:autoSpaceDE w:val="0"/>
              <w:autoSpaceDN w:val="0"/>
              <w:adjustRightInd w:val="0"/>
              <w:spacing w:after="0" w:line="240" w:lineRule="auto"/>
              <w:ind w:left="102" w:right="171" w:firstLine="425"/>
              <w:jc w:val="both"/>
              <w:rPr>
                <w:rFonts w:ascii="Times New Roman" w:eastAsia="Times New Roman" w:hAnsi="Times New Roman"/>
                <w:sz w:val="28"/>
                <w:szCs w:val="28"/>
                <w:lang w:eastAsia="lv-LV"/>
              </w:rPr>
            </w:pPr>
            <w:r>
              <w:rPr>
                <w:rFonts w:ascii="Times New Roman" w:hAnsi="Times New Roman" w:cs="Times New Roman"/>
                <w:sz w:val="28"/>
                <w:szCs w:val="28"/>
              </w:rPr>
              <w:t xml:space="preserve">Nekustamos īpašumus plānots ieguldīt </w:t>
            </w:r>
            <w:r>
              <w:rPr>
                <w:rFonts w:ascii="Times New Roman" w:eastAsia="Times New Roman" w:hAnsi="Times New Roman"/>
                <w:sz w:val="28"/>
                <w:szCs w:val="28"/>
                <w:lang w:eastAsia="lv-LV"/>
              </w:rPr>
              <w:t>valsts sabiedrības ar ierobežotu atbildību “Bobsleja un kamaniņu trase “Sigulda”” (turpmāk – VSIA) pamatkapitālā</w:t>
            </w:r>
            <w:r w:rsidR="002D0A3D">
              <w:rPr>
                <w:rFonts w:ascii="Times New Roman" w:eastAsia="Times New Roman" w:hAnsi="Times New Roman"/>
                <w:sz w:val="28"/>
                <w:szCs w:val="28"/>
                <w:lang w:eastAsia="lv-LV"/>
              </w:rPr>
              <w:t xml:space="preserve">, </w:t>
            </w:r>
            <w:r w:rsidR="002D0A3D">
              <w:rPr>
                <w:rFonts w:ascii="Times New Roman" w:hAnsi="Times New Roman" w:cs="Times New Roman"/>
                <w:color w:val="000000"/>
                <w:sz w:val="28"/>
                <w:szCs w:val="28"/>
              </w:rPr>
              <w:t xml:space="preserve">lai </w:t>
            </w:r>
            <w:r w:rsidR="002D0A3D" w:rsidRPr="00B67509">
              <w:rPr>
                <w:rFonts w:ascii="Times New Roman" w:eastAsia="Times New Roman" w:hAnsi="Times New Roman"/>
                <w:sz w:val="28"/>
                <w:szCs w:val="28"/>
                <w:lang w:eastAsia="lv-LV"/>
              </w:rPr>
              <w:t xml:space="preserve">nodrošinātu </w:t>
            </w:r>
            <w:r w:rsidR="002D0A3D" w:rsidRPr="00B67509">
              <w:rPr>
                <w:rFonts w:ascii="Times New Roman" w:hAnsi="Times New Roman"/>
                <w:sz w:val="28"/>
                <w:szCs w:val="28"/>
              </w:rPr>
              <w:t xml:space="preserve">starptautisku un Latvijas Republikas sacensību nodrošināšanu bobslejā, skeletonā un kamaniņu sportā, Latvijas sporta federāciju dažāda līmeņa komandu treniņu darba nodrošināšanu un ārvalstu sportistu treniņu darba nodrošināšanu, </w:t>
            </w:r>
            <w:r w:rsidR="002D0A3D" w:rsidRPr="00B67509">
              <w:rPr>
                <w:rFonts w:ascii="Times New Roman" w:eastAsia="Times New Roman" w:hAnsi="Times New Roman"/>
                <w:sz w:val="28"/>
                <w:szCs w:val="28"/>
                <w:lang w:eastAsia="lv-LV"/>
              </w:rPr>
              <w:t xml:space="preserve">publiskas personas komercdarbību saskaņā ar </w:t>
            </w:r>
            <w:hyperlink r:id="rId8" w:tgtFrame="_blank" w:history="1">
              <w:r w:rsidR="002D0A3D" w:rsidRPr="00B67509">
                <w:rPr>
                  <w:rFonts w:ascii="Times New Roman" w:eastAsia="Times New Roman" w:hAnsi="Times New Roman"/>
                  <w:sz w:val="28"/>
                  <w:szCs w:val="28"/>
                  <w:lang w:eastAsia="lv-LV"/>
                </w:rPr>
                <w:t>Valsts pārvaldes iekārtas likuma</w:t>
              </w:r>
            </w:hyperlink>
            <w:r w:rsidR="002D0A3D" w:rsidRPr="00B67509">
              <w:rPr>
                <w:rFonts w:ascii="Times New Roman" w:eastAsia="Times New Roman" w:hAnsi="Times New Roman"/>
                <w:sz w:val="28"/>
                <w:szCs w:val="28"/>
                <w:lang w:eastAsia="lv-LV"/>
              </w:rPr>
              <w:t xml:space="preserve"> </w:t>
            </w:r>
            <w:hyperlink r:id="rId9" w:anchor="p88" w:tgtFrame="_blank" w:history="1">
              <w:r w:rsidR="002D0A3D" w:rsidRPr="00B67509">
                <w:rPr>
                  <w:rFonts w:ascii="Times New Roman" w:eastAsia="Times New Roman" w:hAnsi="Times New Roman"/>
                  <w:sz w:val="28"/>
                  <w:szCs w:val="28"/>
                  <w:lang w:eastAsia="lv-LV"/>
                </w:rPr>
                <w:t>88.panta</w:t>
              </w:r>
            </w:hyperlink>
            <w:r w:rsidR="002D0A3D" w:rsidRPr="00B67509">
              <w:rPr>
                <w:rFonts w:ascii="Times New Roman" w:eastAsia="Times New Roman" w:hAnsi="Times New Roman"/>
                <w:sz w:val="28"/>
                <w:szCs w:val="28"/>
                <w:lang w:eastAsia="lv-LV"/>
              </w:rPr>
              <w:t xml:space="preserve"> pirmās daļas 2.punktu</w:t>
            </w:r>
            <w:r w:rsidR="002D0A3D">
              <w:rPr>
                <w:rFonts w:ascii="Times New Roman" w:eastAsia="Times New Roman" w:hAnsi="Times New Roman"/>
                <w:sz w:val="28"/>
                <w:szCs w:val="28"/>
                <w:lang w:eastAsia="lv-LV"/>
              </w:rPr>
              <w:t>, kā arī nekustamo īpašumu vienotu un racionālu apsaimniekošanu.</w:t>
            </w:r>
            <w:r w:rsidR="0071252A">
              <w:rPr>
                <w:rFonts w:ascii="Times New Roman" w:eastAsia="Times New Roman" w:hAnsi="Times New Roman"/>
                <w:sz w:val="28"/>
                <w:szCs w:val="28"/>
                <w:lang w:eastAsia="lv-LV"/>
              </w:rPr>
              <w:t xml:space="preserve"> </w:t>
            </w:r>
          </w:p>
          <w:p w:rsidR="001D00EB" w:rsidRDefault="001D00EB" w:rsidP="001D00EB">
            <w:pPr>
              <w:autoSpaceDE w:val="0"/>
              <w:autoSpaceDN w:val="0"/>
              <w:adjustRightInd w:val="0"/>
              <w:spacing w:after="0" w:line="240" w:lineRule="auto"/>
              <w:ind w:left="102" w:right="171" w:firstLine="425"/>
              <w:jc w:val="both"/>
              <w:rPr>
                <w:rFonts w:ascii="Times New Roman" w:eastAsia="Times New Roman" w:hAnsi="Times New Roman"/>
                <w:sz w:val="28"/>
                <w:szCs w:val="28"/>
                <w:lang w:eastAsia="lv-LV"/>
              </w:rPr>
            </w:pPr>
            <w:r w:rsidRPr="001D00EB">
              <w:rPr>
                <w:rFonts w:ascii="Times New Roman" w:hAnsi="Times New Roman"/>
                <w:bCs/>
                <w:sz w:val="28"/>
                <w:szCs w:val="28"/>
              </w:rPr>
              <w:t>Publiskas personas kapitāla daļu un kapitālsabiedrību pārvaldības likuma</w:t>
            </w:r>
            <w:r w:rsidRPr="001D00EB">
              <w:rPr>
                <w:rFonts w:ascii="Times New Roman" w:eastAsia="Times New Roman" w:hAnsi="Times New Roman"/>
                <w:sz w:val="28"/>
                <w:szCs w:val="28"/>
                <w:lang w:eastAsia="lv-LV"/>
              </w:rPr>
              <w:t xml:space="preserve"> 62.pants nosaka, ka pamatkapitālu drīkst palielināt vai samazināt tikai pamatojoties uz dalībnieku sapulces lēmumu, un 63.panta pirmās daļas 1.punkts nosaka, ka sabiedrības pamatkapitālu var palielināt, dalībniekiem izdarot ieguldījumus sabiedrības pamatkapitālā un pretī saņemot attiecīgu jaunu daļu skaitu. Saskaņā ar </w:t>
            </w:r>
            <w:r w:rsidRPr="001D00EB">
              <w:rPr>
                <w:rFonts w:ascii="Times New Roman" w:hAnsi="Times New Roman"/>
                <w:bCs/>
                <w:sz w:val="28"/>
                <w:szCs w:val="28"/>
              </w:rPr>
              <w:t>Publiskas personas kapitāla daļu un kapitālsabiedrību pārvaldības likuma</w:t>
            </w:r>
            <w:r w:rsidRPr="001D00EB">
              <w:rPr>
                <w:rFonts w:ascii="Times New Roman" w:eastAsia="Times New Roman" w:hAnsi="Times New Roman"/>
                <w:sz w:val="28"/>
                <w:szCs w:val="28"/>
                <w:lang w:eastAsia="lv-LV"/>
              </w:rPr>
              <w:t xml:space="preserve"> 12.panta pirmo daļu kapitāla daļu turētāja pārstāvis pieņem lēmumu par sabiedrības pamatkapitāla palielināšanu.</w:t>
            </w:r>
            <w:r>
              <w:rPr>
                <w:rFonts w:ascii="Times New Roman" w:eastAsia="Times New Roman" w:hAnsi="Times New Roman"/>
                <w:sz w:val="28"/>
                <w:szCs w:val="28"/>
                <w:lang w:eastAsia="lv-LV"/>
              </w:rPr>
              <w:t xml:space="preserve"> </w:t>
            </w:r>
            <w:r w:rsidR="008070C0">
              <w:rPr>
                <w:rFonts w:ascii="Times New Roman" w:eastAsia="Times New Roman" w:hAnsi="Times New Roman"/>
                <w:sz w:val="28"/>
                <w:szCs w:val="28"/>
                <w:lang w:eastAsia="lv-LV"/>
              </w:rPr>
              <w:t>VSIA</w:t>
            </w:r>
            <w:r>
              <w:rPr>
                <w:rFonts w:ascii="Times New Roman" w:eastAsia="Times New Roman" w:hAnsi="Times New Roman"/>
                <w:sz w:val="28"/>
                <w:szCs w:val="28"/>
                <w:lang w:eastAsia="lv-LV"/>
              </w:rPr>
              <w:t xml:space="preserve"> </w:t>
            </w:r>
            <w:r w:rsidR="003A3BCA">
              <w:rPr>
                <w:rFonts w:ascii="Times New Roman" w:eastAsia="Times New Roman" w:hAnsi="Times New Roman"/>
                <w:sz w:val="28"/>
                <w:szCs w:val="28"/>
                <w:lang w:eastAsia="lv-LV"/>
              </w:rPr>
              <w:t>dalībnieku sapulce lēmumu par pamatkapitāla palielināšanu un pamatkapitāla palielināšanas noteikumiem pieņems pēc jautājuma izskatīšanas Ministru kabineta sēdē.</w:t>
            </w:r>
          </w:p>
          <w:p w:rsidR="0071252A" w:rsidRDefault="000A67A1" w:rsidP="001D00EB">
            <w:pPr>
              <w:autoSpaceDE w:val="0"/>
              <w:autoSpaceDN w:val="0"/>
              <w:adjustRightInd w:val="0"/>
              <w:spacing w:after="0" w:line="240" w:lineRule="auto"/>
              <w:ind w:left="102" w:right="171" w:firstLine="425"/>
              <w:jc w:val="both"/>
              <w:rPr>
                <w:rFonts w:ascii="Times New Roman" w:hAnsi="Times New Roman"/>
                <w:sz w:val="24"/>
                <w:szCs w:val="24"/>
              </w:rPr>
            </w:pPr>
            <w:r w:rsidRPr="00F47F0A">
              <w:rPr>
                <w:rFonts w:ascii="Times New Roman" w:eastAsia="Times New Roman" w:hAnsi="Times New Roman"/>
                <w:sz w:val="28"/>
                <w:szCs w:val="28"/>
                <w:lang w:eastAsia="lv-LV"/>
              </w:rPr>
              <w:t>Šobrīd VSIA pamatkapitāls ir</w:t>
            </w:r>
            <w:r w:rsidRPr="00F47F0A">
              <w:rPr>
                <w:rFonts w:ascii="Times New Roman" w:eastAsia="Times New Roman" w:hAnsi="Times New Roman"/>
                <w:b/>
                <w:sz w:val="28"/>
                <w:szCs w:val="28"/>
                <w:lang w:eastAsia="lv-LV"/>
              </w:rPr>
              <w:t xml:space="preserve"> </w:t>
            </w:r>
            <w:r w:rsidRPr="00F47F0A">
              <w:rPr>
                <w:rStyle w:val="BodytextBold1"/>
                <w:b w:val="0"/>
                <w:sz w:val="28"/>
                <w:szCs w:val="28"/>
              </w:rPr>
              <w:t xml:space="preserve">4 714 785 </w:t>
            </w:r>
            <w:proofErr w:type="spellStart"/>
            <w:r w:rsidRPr="00F47F0A">
              <w:rPr>
                <w:rStyle w:val="BodytextBold1"/>
                <w:b w:val="0"/>
                <w:i/>
                <w:sz w:val="28"/>
                <w:szCs w:val="28"/>
              </w:rPr>
              <w:t>euro</w:t>
            </w:r>
            <w:proofErr w:type="spellEnd"/>
            <w:r w:rsidRPr="00F47F0A">
              <w:rPr>
                <w:rFonts w:ascii="Times New Roman" w:eastAsia="Times New Roman" w:hAnsi="Times New Roman"/>
                <w:sz w:val="28"/>
                <w:szCs w:val="28"/>
                <w:lang w:eastAsia="lv-LV"/>
              </w:rPr>
              <w:t xml:space="preserve">. Nekustamo īpašumu ieguldīšanas rezultātā palielināsies VSIA un valstij piederošo VSIA kapitāla daļu skaits. Nekustamo īpašumu mantiskā ieguldījuma vērtība </w:t>
            </w:r>
            <w:r w:rsidR="008A6680">
              <w:rPr>
                <w:rFonts w:ascii="Times New Roman" w:hAnsi="Times New Roman"/>
                <w:sz w:val="28"/>
                <w:szCs w:val="28"/>
              </w:rPr>
              <w:t>2017.gada 29.</w:t>
            </w:r>
            <w:r w:rsidR="00F47F0A" w:rsidRPr="00F47F0A">
              <w:rPr>
                <w:rFonts w:ascii="Times New Roman" w:hAnsi="Times New Roman"/>
                <w:sz w:val="28"/>
                <w:szCs w:val="28"/>
              </w:rPr>
              <w:t xml:space="preserve">augustā </w:t>
            </w:r>
            <w:r w:rsidR="008D2E5F">
              <w:rPr>
                <w:rFonts w:ascii="Times New Roman" w:hAnsi="Times New Roman"/>
                <w:sz w:val="28"/>
                <w:szCs w:val="28"/>
              </w:rPr>
              <w:t xml:space="preserve">un 20.septembrī </w:t>
            </w:r>
            <w:r w:rsidRPr="00F47F0A">
              <w:rPr>
                <w:rFonts w:ascii="Times New Roman" w:eastAsia="Times New Roman" w:hAnsi="Times New Roman"/>
                <w:sz w:val="28"/>
                <w:szCs w:val="28"/>
                <w:lang w:eastAsia="lv-LV"/>
              </w:rPr>
              <w:t xml:space="preserve">ir </w:t>
            </w:r>
            <w:r w:rsidR="00F47F0A" w:rsidRPr="00F47F0A">
              <w:rPr>
                <w:rFonts w:ascii="Times New Roman" w:hAnsi="Times New Roman"/>
                <w:sz w:val="28"/>
                <w:szCs w:val="28"/>
              </w:rPr>
              <w:t>10 497 200</w:t>
            </w:r>
            <w:r w:rsidR="00F47F0A" w:rsidRPr="00F47F0A">
              <w:rPr>
                <w:rFonts w:ascii="Times New Roman" w:hAnsi="Times New Roman"/>
                <w:bCs/>
                <w:sz w:val="28"/>
                <w:szCs w:val="28"/>
              </w:rPr>
              <w:t xml:space="preserve"> </w:t>
            </w:r>
            <w:r w:rsidR="00F47F0A" w:rsidRPr="00F47F0A">
              <w:rPr>
                <w:rStyle w:val="BodytextBold1"/>
                <w:b w:val="0"/>
                <w:i/>
                <w:sz w:val="28"/>
                <w:szCs w:val="28"/>
              </w:rPr>
              <w:t xml:space="preserve"> </w:t>
            </w:r>
            <w:proofErr w:type="spellStart"/>
            <w:r w:rsidR="00F47F0A" w:rsidRPr="00F47F0A">
              <w:rPr>
                <w:rStyle w:val="BodytextBold1"/>
                <w:b w:val="0"/>
                <w:i/>
                <w:sz w:val="28"/>
                <w:szCs w:val="28"/>
              </w:rPr>
              <w:t>euro</w:t>
            </w:r>
            <w:proofErr w:type="spellEnd"/>
            <w:r w:rsidR="00F47F0A" w:rsidRPr="00F47F0A">
              <w:rPr>
                <w:rFonts w:ascii="Times New Roman" w:hAnsi="Times New Roman"/>
                <w:b/>
                <w:bCs/>
                <w:sz w:val="28"/>
                <w:szCs w:val="28"/>
              </w:rPr>
              <w:t xml:space="preserve">  </w:t>
            </w:r>
            <w:r w:rsidRPr="00F47F0A">
              <w:rPr>
                <w:rFonts w:ascii="Times New Roman" w:eastAsia="Times New Roman" w:hAnsi="Times New Roman"/>
                <w:sz w:val="28"/>
                <w:szCs w:val="28"/>
                <w:lang w:eastAsia="lv-LV"/>
              </w:rPr>
              <w:t>(</w:t>
            </w:r>
            <w:r w:rsidR="00F47F0A">
              <w:rPr>
                <w:rFonts w:ascii="Times New Roman" w:hAnsi="Times New Roman" w:cs="Times New Roman"/>
                <w:sz w:val="28"/>
                <w:szCs w:val="28"/>
              </w:rPr>
              <w:t xml:space="preserve">valsts nekustamā īpašuma Šveices ielā 13, Siguldā, Siguldas novadā – </w:t>
            </w:r>
            <w:r w:rsidR="00F47F0A" w:rsidRPr="000D2EB3">
              <w:rPr>
                <w:rFonts w:ascii="Times New Roman" w:hAnsi="Times New Roman"/>
                <w:sz w:val="28"/>
                <w:szCs w:val="28"/>
              </w:rPr>
              <w:t xml:space="preserve">10 349 600 </w:t>
            </w:r>
            <w:proofErr w:type="spellStart"/>
            <w:r w:rsidR="00F47F0A" w:rsidRPr="000D2EB3">
              <w:rPr>
                <w:rFonts w:ascii="Times New Roman" w:hAnsi="Times New Roman"/>
                <w:i/>
                <w:sz w:val="28"/>
                <w:szCs w:val="28"/>
              </w:rPr>
              <w:t>euro</w:t>
            </w:r>
            <w:proofErr w:type="spellEnd"/>
            <w:r w:rsidR="00F47F0A">
              <w:rPr>
                <w:rFonts w:ascii="Times New Roman" w:hAnsi="Times New Roman" w:cs="Times New Roman"/>
                <w:sz w:val="28"/>
                <w:szCs w:val="28"/>
              </w:rPr>
              <w:t xml:space="preserve">  un valsts nekustamā īpašuma Bērzu ielā 1A, Siguldā, Siguldas novadā</w:t>
            </w:r>
            <w:r w:rsidR="00F47F0A">
              <w:rPr>
                <w:rFonts w:ascii="Times New Roman" w:eastAsia="Times New Roman" w:hAnsi="Times New Roman"/>
                <w:sz w:val="28"/>
                <w:szCs w:val="28"/>
                <w:lang w:eastAsia="lv-LV"/>
              </w:rPr>
              <w:t xml:space="preserve"> – </w:t>
            </w:r>
            <w:r w:rsidR="00F47F0A" w:rsidRPr="00971F99">
              <w:rPr>
                <w:rFonts w:ascii="Times New Roman" w:hAnsi="Times New Roman"/>
                <w:sz w:val="28"/>
                <w:szCs w:val="28"/>
              </w:rPr>
              <w:t>147 600</w:t>
            </w:r>
            <w:r w:rsidR="00F47F0A" w:rsidRPr="00971F99">
              <w:rPr>
                <w:rFonts w:ascii="Times New Roman" w:hAnsi="Times New Roman"/>
                <w:b/>
                <w:bCs/>
                <w:szCs w:val="24"/>
              </w:rPr>
              <w:t xml:space="preserve"> </w:t>
            </w:r>
            <w:proofErr w:type="spellStart"/>
            <w:r w:rsidR="00F47F0A" w:rsidRPr="00971F99">
              <w:rPr>
                <w:rFonts w:ascii="Times New Roman" w:hAnsi="Times New Roman"/>
                <w:i/>
                <w:sz w:val="28"/>
                <w:szCs w:val="28"/>
              </w:rPr>
              <w:t>euro</w:t>
            </w:r>
            <w:proofErr w:type="spellEnd"/>
            <w:r w:rsidR="00F47F0A">
              <w:rPr>
                <w:rFonts w:ascii="Times New Roman" w:hAnsi="Times New Roman"/>
                <w:sz w:val="28"/>
                <w:szCs w:val="28"/>
              </w:rPr>
              <w:t>)</w:t>
            </w:r>
            <w:r w:rsidRPr="00F47F0A">
              <w:rPr>
                <w:rFonts w:ascii="Times New Roman" w:eastAsia="Times New Roman" w:hAnsi="Times New Roman"/>
                <w:sz w:val="28"/>
                <w:szCs w:val="28"/>
                <w:lang w:eastAsia="lv-LV"/>
              </w:rPr>
              <w:t xml:space="preserve">. </w:t>
            </w:r>
            <w:r w:rsidR="0071252A">
              <w:rPr>
                <w:rFonts w:ascii="Times New Roman" w:eastAsia="Times New Roman" w:hAnsi="Times New Roman"/>
                <w:sz w:val="28"/>
                <w:szCs w:val="28"/>
                <w:lang w:eastAsia="lv-LV"/>
              </w:rPr>
              <w:t xml:space="preserve">Saskaņā ar Komerclikuma 154.panta pirmo daļu mantisko ieguldījumu novērtē un atzinumu par to sniedz persona, kura iekļauta mantiskā ieguldījuma vērtētāju sarakstā. </w:t>
            </w:r>
            <w:r w:rsidR="00A94626">
              <w:rPr>
                <w:rFonts w:ascii="Times New Roman" w:eastAsia="Times New Roman" w:hAnsi="Times New Roman"/>
                <w:sz w:val="28"/>
                <w:szCs w:val="28"/>
                <w:lang w:eastAsia="lv-LV"/>
              </w:rPr>
              <w:t xml:space="preserve"> 2017.gada 25.septembra</w:t>
            </w:r>
            <w:r w:rsidR="00A94626" w:rsidRPr="00F47F0A">
              <w:rPr>
                <w:rFonts w:ascii="Times New Roman" w:eastAsia="Times New Roman" w:hAnsi="Times New Roman"/>
                <w:sz w:val="28"/>
                <w:szCs w:val="28"/>
                <w:lang w:eastAsia="lv-LV"/>
              </w:rPr>
              <w:t xml:space="preserve"> </w:t>
            </w:r>
            <w:r w:rsidR="00A94626">
              <w:rPr>
                <w:rFonts w:ascii="Times New Roman" w:eastAsia="Times New Roman" w:hAnsi="Times New Roman"/>
                <w:sz w:val="28"/>
                <w:szCs w:val="28"/>
                <w:lang w:eastAsia="lv-LV"/>
              </w:rPr>
              <w:t>n</w:t>
            </w:r>
            <w:r w:rsidRPr="00F47F0A">
              <w:rPr>
                <w:rFonts w:ascii="Times New Roman" w:eastAsia="Times New Roman" w:hAnsi="Times New Roman"/>
                <w:sz w:val="28"/>
                <w:szCs w:val="28"/>
                <w:lang w:eastAsia="lv-LV"/>
              </w:rPr>
              <w:t>ovērtējumu</w:t>
            </w:r>
            <w:r w:rsidR="00A94626">
              <w:rPr>
                <w:rFonts w:ascii="Times New Roman" w:eastAsia="Times New Roman" w:hAnsi="Times New Roman"/>
                <w:sz w:val="28"/>
                <w:szCs w:val="28"/>
                <w:lang w:eastAsia="lv-LV"/>
              </w:rPr>
              <w:t xml:space="preserve"> </w:t>
            </w:r>
            <w:r w:rsidR="008D2E5F">
              <w:rPr>
                <w:rFonts w:ascii="Times New Roman" w:eastAsia="Times New Roman" w:hAnsi="Times New Roman"/>
                <w:sz w:val="28"/>
                <w:szCs w:val="28"/>
                <w:lang w:eastAsia="lv-LV"/>
              </w:rPr>
              <w:t xml:space="preserve">Nr.GT2017-94n </w:t>
            </w:r>
            <w:r w:rsidRPr="00F47F0A">
              <w:rPr>
                <w:rFonts w:ascii="Times New Roman" w:eastAsia="Times New Roman" w:hAnsi="Times New Roman"/>
                <w:sz w:val="28"/>
                <w:szCs w:val="28"/>
                <w:lang w:eastAsia="lv-LV"/>
              </w:rPr>
              <w:t xml:space="preserve">ar mērķi noteikt </w:t>
            </w:r>
            <w:r w:rsidR="007F1D37">
              <w:rPr>
                <w:rFonts w:ascii="Times New Roman" w:eastAsia="Times New Roman" w:hAnsi="Times New Roman"/>
                <w:sz w:val="28"/>
                <w:szCs w:val="28"/>
                <w:lang w:eastAsia="lv-LV"/>
              </w:rPr>
              <w:t xml:space="preserve">nekustamo īpašumu </w:t>
            </w:r>
            <w:r w:rsidRPr="00F47F0A">
              <w:rPr>
                <w:rFonts w:ascii="Times New Roman" w:eastAsia="Times New Roman" w:hAnsi="Times New Roman"/>
                <w:sz w:val="28"/>
                <w:szCs w:val="28"/>
                <w:lang w:eastAsia="lv-LV"/>
              </w:rPr>
              <w:t xml:space="preserve">mantiskā ieguldījuma vērtību veica </w:t>
            </w:r>
            <w:r w:rsidR="007F1D37">
              <w:rPr>
                <w:rFonts w:ascii="Times New Roman" w:eastAsia="Times New Roman" w:hAnsi="Times New Roman"/>
                <w:sz w:val="28"/>
                <w:szCs w:val="28"/>
                <w:lang w:eastAsia="lv-LV"/>
              </w:rPr>
              <w:t>SIA “</w:t>
            </w:r>
            <w:r w:rsidR="007F1D37" w:rsidRPr="007F1D37">
              <w:rPr>
                <w:rFonts w:ascii="Times New Roman" w:eastAsia="Times New Roman" w:hAnsi="Times New Roman"/>
                <w:sz w:val="28"/>
                <w:szCs w:val="28"/>
                <w:lang w:eastAsia="lv-LV"/>
              </w:rPr>
              <w:t xml:space="preserve">Grant </w:t>
            </w:r>
            <w:proofErr w:type="spellStart"/>
            <w:r w:rsidR="007F1D37" w:rsidRPr="007F1D37">
              <w:rPr>
                <w:rFonts w:ascii="Times New Roman" w:eastAsia="Times New Roman" w:hAnsi="Times New Roman"/>
                <w:sz w:val="28"/>
                <w:szCs w:val="28"/>
                <w:lang w:eastAsia="lv-LV"/>
              </w:rPr>
              <w:t>Thornton</w:t>
            </w:r>
            <w:proofErr w:type="spellEnd"/>
            <w:r w:rsidR="007F1D37" w:rsidRPr="007F1D37">
              <w:rPr>
                <w:rFonts w:ascii="Times New Roman" w:eastAsia="Times New Roman" w:hAnsi="Times New Roman"/>
                <w:sz w:val="28"/>
                <w:szCs w:val="28"/>
                <w:lang w:eastAsia="lv-LV"/>
              </w:rPr>
              <w:t xml:space="preserve"> </w:t>
            </w:r>
            <w:proofErr w:type="spellStart"/>
            <w:r w:rsidR="007F1D37" w:rsidRPr="007F1D37">
              <w:rPr>
                <w:rFonts w:ascii="Times New Roman" w:eastAsia="Times New Roman" w:hAnsi="Times New Roman"/>
                <w:sz w:val="28"/>
                <w:szCs w:val="28"/>
                <w:lang w:eastAsia="lv-LV"/>
              </w:rPr>
              <w:t>Baltic</w:t>
            </w:r>
            <w:proofErr w:type="spellEnd"/>
            <w:r w:rsidR="007F1D37">
              <w:rPr>
                <w:rFonts w:ascii="Times New Roman" w:eastAsia="Times New Roman" w:hAnsi="Times New Roman"/>
                <w:sz w:val="28"/>
                <w:szCs w:val="28"/>
                <w:lang w:eastAsia="lv-LV"/>
              </w:rPr>
              <w:t>”</w:t>
            </w:r>
            <w:r w:rsidR="00304282">
              <w:rPr>
                <w:rFonts w:ascii="Times New Roman" w:eastAsia="Times New Roman" w:hAnsi="Times New Roman"/>
                <w:sz w:val="28"/>
                <w:szCs w:val="28"/>
                <w:lang w:eastAsia="lv-LV"/>
              </w:rPr>
              <w:t xml:space="preserve">, </w:t>
            </w:r>
            <w:r w:rsidR="00304282" w:rsidRPr="00304282">
              <w:rPr>
                <w:rFonts w:ascii="Times New Roman" w:hAnsi="Times New Roman"/>
                <w:sz w:val="28"/>
                <w:szCs w:val="28"/>
              </w:rPr>
              <w:t xml:space="preserve">kas atbilst Ministru kabineta 2010.gada 29.jūnija noteikumos Nr.598 “Noteikumi par kārtību, kādā ved </w:t>
            </w:r>
            <w:r w:rsidR="00304282" w:rsidRPr="00304282">
              <w:rPr>
                <w:rFonts w:ascii="Times New Roman" w:hAnsi="Times New Roman"/>
                <w:sz w:val="28"/>
                <w:szCs w:val="28"/>
              </w:rPr>
              <w:lastRenderedPageBreak/>
              <w:t>mantiskā ieguldījuma vērtētāju sarakstu, un vērtētājiem izvirzītajām prasībām” paredzētajām prasībām</w:t>
            </w:r>
            <w:r w:rsidR="0071252A">
              <w:rPr>
                <w:rFonts w:ascii="Times New Roman" w:hAnsi="Times New Roman"/>
                <w:sz w:val="24"/>
                <w:szCs w:val="24"/>
              </w:rPr>
              <w:t>.</w:t>
            </w:r>
          </w:p>
          <w:p w:rsidR="00CA3843" w:rsidRPr="0071252A" w:rsidRDefault="000A67A1" w:rsidP="0071252A">
            <w:pPr>
              <w:autoSpaceDE w:val="0"/>
              <w:autoSpaceDN w:val="0"/>
              <w:adjustRightInd w:val="0"/>
              <w:spacing w:after="0" w:line="240" w:lineRule="auto"/>
              <w:ind w:left="102" w:right="171" w:firstLine="425"/>
              <w:jc w:val="both"/>
              <w:rPr>
                <w:rFonts w:ascii="Times New Roman" w:eastAsia="Times New Roman" w:hAnsi="Times New Roman"/>
                <w:sz w:val="28"/>
                <w:szCs w:val="28"/>
                <w:lang w:eastAsia="lv-LV"/>
              </w:rPr>
            </w:pPr>
            <w:r w:rsidRPr="00F47F0A">
              <w:rPr>
                <w:rFonts w:ascii="Times New Roman" w:eastAsia="Times New Roman" w:hAnsi="Times New Roman"/>
                <w:sz w:val="28"/>
                <w:szCs w:val="28"/>
                <w:lang w:eastAsia="lv-LV"/>
              </w:rPr>
              <w:t xml:space="preserve">Arī turpmāk 100% </w:t>
            </w:r>
            <w:r w:rsidR="0071252A">
              <w:rPr>
                <w:rFonts w:ascii="Times New Roman" w:eastAsia="Times New Roman" w:hAnsi="Times New Roman"/>
                <w:sz w:val="28"/>
                <w:szCs w:val="28"/>
                <w:lang w:eastAsia="lv-LV"/>
              </w:rPr>
              <w:t>VSIA</w:t>
            </w:r>
            <w:r w:rsidRPr="00F47F0A">
              <w:rPr>
                <w:rFonts w:ascii="Times New Roman" w:eastAsia="Times New Roman" w:hAnsi="Times New Roman"/>
                <w:sz w:val="28"/>
                <w:szCs w:val="28"/>
                <w:lang w:eastAsia="lv-LV"/>
              </w:rPr>
              <w:t xml:space="preserve"> kapitāla daļas piederēs valstij (ministrijai), kā rezultātā valsts (ministrija) ar </w:t>
            </w:r>
            <w:r w:rsidR="0071252A">
              <w:rPr>
                <w:rFonts w:ascii="Times New Roman" w:eastAsia="Times New Roman" w:hAnsi="Times New Roman"/>
                <w:sz w:val="28"/>
                <w:szCs w:val="28"/>
                <w:lang w:eastAsia="lv-LV"/>
              </w:rPr>
              <w:t>VSIA</w:t>
            </w:r>
            <w:r w:rsidRPr="00F47F0A">
              <w:rPr>
                <w:rFonts w:ascii="Times New Roman" w:eastAsia="Times New Roman" w:hAnsi="Times New Roman"/>
                <w:sz w:val="28"/>
                <w:szCs w:val="28"/>
                <w:lang w:eastAsia="lv-LV"/>
              </w:rPr>
              <w:t xml:space="preserve"> starpniecību arī turpmāk varēs n</w:t>
            </w:r>
            <w:r w:rsidR="0071252A">
              <w:rPr>
                <w:rFonts w:ascii="Times New Roman" w:eastAsia="Times New Roman" w:hAnsi="Times New Roman"/>
                <w:sz w:val="28"/>
                <w:szCs w:val="28"/>
                <w:lang w:eastAsia="lv-LV"/>
              </w:rPr>
              <w:t>odrošināt pilnīgu kontroli pār n</w:t>
            </w:r>
            <w:r w:rsidRPr="00F47F0A">
              <w:rPr>
                <w:rFonts w:ascii="Times New Roman" w:eastAsia="Times New Roman" w:hAnsi="Times New Roman"/>
                <w:sz w:val="28"/>
                <w:szCs w:val="28"/>
                <w:lang w:eastAsia="lv-LV"/>
              </w:rPr>
              <w:t>ekustam</w:t>
            </w:r>
            <w:r w:rsidR="0071252A">
              <w:rPr>
                <w:rFonts w:ascii="Times New Roman" w:eastAsia="Times New Roman" w:hAnsi="Times New Roman"/>
                <w:sz w:val="28"/>
                <w:szCs w:val="28"/>
                <w:lang w:eastAsia="lv-LV"/>
              </w:rPr>
              <w:t>aj</w:t>
            </w:r>
            <w:r w:rsidRPr="00F47F0A">
              <w:rPr>
                <w:rFonts w:ascii="Times New Roman" w:eastAsia="Times New Roman" w:hAnsi="Times New Roman"/>
                <w:sz w:val="28"/>
                <w:szCs w:val="28"/>
                <w:lang w:eastAsia="lv-LV"/>
              </w:rPr>
              <w:t>iem īpašumiem.</w:t>
            </w:r>
          </w:p>
          <w:p w:rsidR="00D40B38" w:rsidRDefault="0071252A" w:rsidP="00D40B38">
            <w:pPr>
              <w:autoSpaceDE w:val="0"/>
              <w:autoSpaceDN w:val="0"/>
              <w:adjustRightInd w:val="0"/>
              <w:spacing w:after="0" w:line="240" w:lineRule="auto"/>
              <w:ind w:left="102" w:right="17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Uz </w:t>
            </w:r>
            <w:r w:rsidR="001803D0">
              <w:rPr>
                <w:rFonts w:ascii="Times New Roman" w:hAnsi="Times New Roman" w:cs="Times New Roman"/>
                <w:color w:val="000000"/>
                <w:sz w:val="28"/>
                <w:szCs w:val="28"/>
              </w:rPr>
              <w:t>zemes vienības (zemes vienības kadastra apzīmējums 8015 00</w:t>
            </w:r>
            <w:r w:rsidR="00347D83">
              <w:rPr>
                <w:rFonts w:ascii="Times New Roman" w:hAnsi="Times New Roman" w:cs="Times New Roman"/>
                <w:color w:val="000000"/>
                <w:sz w:val="28"/>
                <w:szCs w:val="28"/>
              </w:rPr>
              <w:t>2 4214) Šveices ielā 13, Siguldā, Siguldas novadā, atrodas būve – kabeļu kanalizācijas atzarojums (būves kadastra apzīmējums 8015 002 4214 015) (bez adreses), kurai atbilstoši Nekustamā īpašuma valsts kadastra informācijas sistēmā pieejamajiem datiem īpašuma tiesības nav reģistrētas un tā nav pieejama telpiskajos datos (</w:t>
            </w:r>
            <w:r w:rsidR="000C376A">
              <w:rPr>
                <w:rFonts w:ascii="Times New Roman" w:hAnsi="Times New Roman" w:cs="Times New Roman"/>
                <w:color w:val="000000"/>
                <w:sz w:val="28"/>
                <w:szCs w:val="28"/>
              </w:rPr>
              <w:t xml:space="preserve">faktiski tā ir optisko šķiedru kabeļu kanalizācija, kurai nav iespējams nodalīt piekrītošo zemi). Starp ministriju un SIA “Latvijas Mobilais Telefons” ir noslēgts Līgums par personālservitūta nodibināšanu un tā izlietošanas kārtību (IZM </w:t>
            </w:r>
            <w:proofErr w:type="spellStart"/>
            <w:r w:rsidR="000C376A">
              <w:rPr>
                <w:rFonts w:ascii="Times New Roman" w:hAnsi="Times New Roman" w:cs="Times New Roman"/>
                <w:color w:val="000000"/>
                <w:sz w:val="28"/>
                <w:szCs w:val="28"/>
              </w:rPr>
              <w:t>reģ</w:t>
            </w:r>
            <w:proofErr w:type="spellEnd"/>
            <w:r w:rsidR="000C376A">
              <w:rPr>
                <w:rFonts w:ascii="Times New Roman" w:hAnsi="Times New Roman" w:cs="Times New Roman"/>
                <w:color w:val="000000"/>
                <w:sz w:val="28"/>
                <w:szCs w:val="28"/>
              </w:rPr>
              <w:t xml:space="preserve">. Nr.01-27/30) un beztermiņa personālservitūts ir reģistrēts zemesgrāmatā, kas pēc īpašuma tiesību </w:t>
            </w:r>
            <w:proofErr w:type="spellStart"/>
            <w:r w:rsidR="000C376A">
              <w:rPr>
                <w:rFonts w:ascii="Times New Roman" w:hAnsi="Times New Roman" w:cs="Times New Roman"/>
                <w:color w:val="000000"/>
                <w:sz w:val="28"/>
                <w:szCs w:val="28"/>
              </w:rPr>
              <w:t>pārreģistrācijas</w:t>
            </w:r>
            <w:proofErr w:type="spellEnd"/>
            <w:r w:rsidR="000C376A">
              <w:rPr>
                <w:rFonts w:ascii="Times New Roman" w:hAnsi="Times New Roman" w:cs="Times New Roman"/>
                <w:color w:val="000000"/>
                <w:sz w:val="28"/>
                <w:szCs w:val="28"/>
              </w:rPr>
              <w:t xml:space="preserve"> zemesgrāmatā būs saistošs VSIA.</w:t>
            </w:r>
          </w:p>
          <w:p w:rsidR="00EE6C2B" w:rsidRDefault="0071252A" w:rsidP="00EE6C2B">
            <w:pPr>
              <w:autoSpaceDE w:val="0"/>
              <w:autoSpaceDN w:val="0"/>
              <w:adjustRightInd w:val="0"/>
              <w:spacing w:after="0" w:line="240" w:lineRule="auto"/>
              <w:ind w:left="102" w:right="171" w:firstLine="425"/>
              <w:jc w:val="both"/>
              <w:rPr>
                <w:rFonts w:ascii="Times New Roman" w:hAnsi="Times New Roman"/>
                <w:sz w:val="28"/>
                <w:szCs w:val="28"/>
              </w:rPr>
            </w:pPr>
            <w:r w:rsidRPr="0071252A">
              <w:rPr>
                <w:rFonts w:ascii="Times New Roman" w:hAnsi="Times New Roman"/>
                <w:sz w:val="28"/>
                <w:szCs w:val="28"/>
              </w:rPr>
              <w:t xml:space="preserve">Lai nodrošinātu trauksmes sirēnas un tās vadības bloka izvietošanu un Siguldas iedzīvotāju brīdināšanu katastrofās un draudu gadījumos, kā arī ārkārtējās situācijās, izņēmuma stāvokļa vai mobilizācijas izsludināšanas gadījumos, starp </w:t>
            </w:r>
            <w:proofErr w:type="spellStart"/>
            <w:r w:rsidRPr="0071252A">
              <w:rPr>
                <w:rFonts w:ascii="Times New Roman" w:hAnsi="Times New Roman"/>
                <w:sz w:val="28"/>
                <w:szCs w:val="28"/>
              </w:rPr>
              <w:t>Iekšlietu</w:t>
            </w:r>
            <w:proofErr w:type="spellEnd"/>
            <w:r w:rsidRPr="0071252A">
              <w:rPr>
                <w:rFonts w:ascii="Times New Roman" w:hAnsi="Times New Roman"/>
                <w:sz w:val="28"/>
                <w:szCs w:val="28"/>
              </w:rPr>
              <w:t xml:space="preserve"> ministrijas Informācijas centru un </w:t>
            </w:r>
            <w:r>
              <w:rPr>
                <w:rFonts w:ascii="Times New Roman" w:hAnsi="Times New Roman"/>
                <w:sz w:val="28"/>
                <w:szCs w:val="28"/>
              </w:rPr>
              <w:t>VSIA</w:t>
            </w:r>
            <w:r w:rsidRPr="0071252A">
              <w:rPr>
                <w:rFonts w:ascii="Times New Roman" w:hAnsi="Times New Roman"/>
                <w:sz w:val="28"/>
                <w:szCs w:val="28"/>
              </w:rPr>
              <w:t xml:space="preserve"> 2017.gada 30.martā ir noslēgts patapinājuma līgums Nr.SL-2017/28. </w:t>
            </w:r>
            <w:r>
              <w:rPr>
                <w:rFonts w:ascii="Times New Roman" w:hAnsi="Times New Roman"/>
                <w:sz w:val="28"/>
                <w:szCs w:val="28"/>
              </w:rPr>
              <w:t>VSIA</w:t>
            </w:r>
            <w:r w:rsidRPr="0071252A">
              <w:rPr>
                <w:rFonts w:ascii="Times New Roman" w:hAnsi="Times New Roman"/>
                <w:sz w:val="28"/>
                <w:szCs w:val="28"/>
              </w:rPr>
              <w:t xml:space="preserve"> tehniski ir objekts, kuram līdzvērtīga Siguldā nav, un tas dod iespēju efektīvi nodrošināt trauksmes sirēnas radītās skaņas izplatību pilsētā. Ievērojot minēto, </w:t>
            </w:r>
            <w:r>
              <w:rPr>
                <w:rFonts w:ascii="Times New Roman" w:hAnsi="Times New Roman"/>
                <w:sz w:val="28"/>
                <w:szCs w:val="28"/>
              </w:rPr>
              <w:t>VSIA turpinās</w:t>
            </w:r>
            <w:r w:rsidRPr="0071252A">
              <w:rPr>
                <w:rFonts w:ascii="Times New Roman" w:hAnsi="Times New Roman"/>
                <w:sz w:val="28"/>
                <w:szCs w:val="28"/>
              </w:rPr>
              <w:t xml:space="preserve"> iepriekš uzņemtās saistības, tajā skaitā, saistības pret valsts tiešās pārvaldes iestādēm.</w:t>
            </w:r>
          </w:p>
          <w:p w:rsidR="0075569A" w:rsidRDefault="00A31A5B" w:rsidP="0090457A">
            <w:pPr>
              <w:autoSpaceDE w:val="0"/>
              <w:autoSpaceDN w:val="0"/>
              <w:adjustRightInd w:val="0"/>
              <w:spacing w:after="0" w:line="240" w:lineRule="auto"/>
              <w:ind w:left="102" w:right="171" w:firstLine="425"/>
              <w:jc w:val="both"/>
              <w:rPr>
                <w:rFonts w:ascii="Times New Roman" w:hAnsi="Times New Roman" w:cs="Times New Roman"/>
                <w:sz w:val="28"/>
                <w:szCs w:val="28"/>
              </w:rPr>
            </w:pPr>
            <w:r w:rsidRPr="0005382F">
              <w:rPr>
                <w:rFonts w:ascii="Times New Roman" w:eastAsia="Times New Roman" w:hAnsi="Times New Roman" w:cs="Times New Roman"/>
                <w:sz w:val="28"/>
                <w:szCs w:val="28"/>
                <w:lang w:eastAsia="lv-LV"/>
              </w:rPr>
              <w:t xml:space="preserve">Ņemot vērā </w:t>
            </w:r>
            <w:r w:rsidRPr="0005382F">
              <w:rPr>
                <w:rFonts w:ascii="Times New Roman" w:hAnsi="Times New Roman" w:cs="Times New Roman"/>
                <w:sz w:val="28"/>
                <w:szCs w:val="28"/>
              </w:rPr>
              <w:t xml:space="preserve">Ministru kabineta 2012.gada 20.marta sēdes </w:t>
            </w:r>
            <w:proofErr w:type="spellStart"/>
            <w:r w:rsidRPr="0005382F">
              <w:rPr>
                <w:rFonts w:ascii="Times New Roman" w:hAnsi="Times New Roman" w:cs="Times New Roman"/>
                <w:sz w:val="28"/>
                <w:szCs w:val="28"/>
              </w:rPr>
              <w:t>protokollēmuma</w:t>
            </w:r>
            <w:proofErr w:type="spellEnd"/>
            <w:r w:rsidRPr="0005382F">
              <w:rPr>
                <w:rFonts w:ascii="Times New Roman" w:hAnsi="Times New Roman" w:cs="Times New Roman"/>
                <w:sz w:val="28"/>
                <w:szCs w:val="28"/>
              </w:rPr>
              <w:t xml:space="preserve"> (prot. Nr.16 ,29.§) 3.punktā minēto, kurā noteikts, ka gadījumā, ja ministrijas gatavo rīkojuma projektu par valsts nekustamo īpašumu ieguldīšanu valsts kapitālsabiedrību pamatkapitālā, rīkojuma projektā jāparedz uzdevums atbildīgajai ministrijai kā kapitāldaļu turētājai nodrošināt, ka pamatkapitālā ieguldītie valsts nekustamie īpašumi tiek dzēsti no pamatkapitāla un atsavināti bez atlīdzības atpakaļ valstij, ja tie vairs nav nepieciešami attiecīgās kapitālsabiedrības funkciju īstenošanai, atbilstoši Komerclikumā noteiktajām normām, Ministru kabineta rīkojuma projekts </w:t>
            </w:r>
            <w:r w:rsidR="00EE6C2B" w:rsidRPr="00EE6C2B">
              <w:rPr>
                <w:rFonts w:ascii="Times New Roman" w:hAnsi="Times New Roman"/>
                <w:bCs/>
                <w:sz w:val="28"/>
                <w:szCs w:val="28"/>
              </w:rPr>
              <w:t>“</w:t>
            </w:r>
            <w:r w:rsidR="00EE6C2B" w:rsidRPr="00EE6C2B">
              <w:rPr>
                <w:rFonts w:ascii="Times New Roman" w:eastAsia="Times New Roman" w:hAnsi="Times New Roman"/>
                <w:sz w:val="28"/>
                <w:szCs w:val="28"/>
                <w:lang w:eastAsia="lv-LV"/>
              </w:rPr>
              <w:t xml:space="preserve">Par valsts nekustamo īpašumu ieguldīšanu valsts sabiedrības ar ierobežotu </w:t>
            </w:r>
            <w:r w:rsidR="00EE6C2B" w:rsidRPr="00EE6C2B">
              <w:rPr>
                <w:rFonts w:ascii="Times New Roman" w:eastAsia="Times New Roman" w:hAnsi="Times New Roman"/>
                <w:sz w:val="28"/>
                <w:szCs w:val="28"/>
                <w:lang w:eastAsia="lv-LV"/>
              </w:rPr>
              <w:lastRenderedPageBreak/>
              <w:t>atbildību</w:t>
            </w:r>
            <w:r w:rsidR="00EE6C2B">
              <w:rPr>
                <w:rFonts w:ascii="Times New Roman" w:hAnsi="Times New Roman" w:cs="Times New Roman"/>
                <w:color w:val="000000"/>
                <w:sz w:val="28"/>
                <w:szCs w:val="28"/>
              </w:rPr>
              <w:t xml:space="preserve"> </w:t>
            </w:r>
            <w:r w:rsidR="00EE6C2B" w:rsidRPr="00EE6C2B">
              <w:rPr>
                <w:rFonts w:ascii="Times New Roman" w:eastAsia="Times New Roman" w:hAnsi="Times New Roman"/>
                <w:sz w:val="28"/>
                <w:szCs w:val="28"/>
                <w:lang w:eastAsia="lv-LV"/>
              </w:rPr>
              <w:t>“Bobsleja un kamaniņu trase “Sigulda”” pamatkapitālā”</w:t>
            </w:r>
            <w:r w:rsidR="00EE6C2B">
              <w:rPr>
                <w:rFonts w:ascii="Times New Roman" w:eastAsia="Times New Roman" w:hAnsi="Times New Roman"/>
                <w:b/>
                <w:sz w:val="28"/>
                <w:szCs w:val="28"/>
                <w:lang w:eastAsia="lv-LV"/>
              </w:rPr>
              <w:t xml:space="preserve"> </w:t>
            </w:r>
            <w:r w:rsidRPr="0005382F">
              <w:rPr>
                <w:rFonts w:ascii="Times New Roman" w:hAnsi="Times New Roman" w:cs="Times New Roman"/>
                <w:sz w:val="28"/>
                <w:szCs w:val="28"/>
              </w:rPr>
              <w:t xml:space="preserve">paredz ministrijai kā valsts kapitāldaļu turētājai nodrošināt, ka </w:t>
            </w:r>
            <w:r w:rsidR="0090457A">
              <w:rPr>
                <w:rFonts w:ascii="Times New Roman" w:hAnsi="Times New Roman" w:cs="Times New Roman"/>
                <w:sz w:val="28"/>
                <w:szCs w:val="28"/>
              </w:rPr>
              <w:t xml:space="preserve">nekustamie īpašumi </w:t>
            </w:r>
            <w:r w:rsidRPr="0005382F">
              <w:rPr>
                <w:rFonts w:ascii="Times New Roman" w:hAnsi="Times New Roman" w:cs="Times New Roman"/>
                <w:sz w:val="28"/>
                <w:szCs w:val="28"/>
              </w:rPr>
              <w:t>tiek atgūti valsts īpašumā, attiecīgi samazinot VSIA pamatkapitālu, ja nekustamie īpašumi atbilstoši Komerclikumā noteiktajām normām vairs nav nepieciešami VSIA komercdarbībai.</w:t>
            </w:r>
          </w:p>
          <w:p w:rsidR="00204953" w:rsidRPr="00204953" w:rsidRDefault="00204953" w:rsidP="0090457A">
            <w:pPr>
              <w:autoSpaceDE w:val="0"/>
              <w:autoSpaceDN w:val="0"/>
              <w:adjustRightInd w:val="0"/>
              <w:spacing w:after="0" w:line="240" w:lineRule="auto"/>
              <w:ind w:left="102" w:right="171" w:firstLine="425"/>
              <w:jc w:val="both"/>
              <w:rPr>
                <w:rFonts w:ascii="Times New Roman" w:hAnsi="Times New Roman" w:cs="Times New Roman"/>
                <w:color w:val="000000"/>
                <w:sz w:val="28"/>
                <w:szCs w:val="28"/>
              </w:rPr>
            </w:pPr>
            <w:r w:rsidRPr="00204953">
              <w:rPr>
                <w:rFonts w:ascii="Times New Roman" w:hAnsi="Times New Roman" w:cs="Times New Roman"/>
                <w:sz w:val="28"/>
                <w:szCs w:val="28"/>
              </w:rPr>
              <w:t>S</w:t>
            </w:r>
            <w:r w:rsidRPr="00204953">
              <w:rPr>
                <w:rFonts w:ascii="Times New Roman" w:hAnsi="Times New Roman" w:cs="Times New Roman"/>
                <w:sz w:val="28"/>
                <w:szCs w:val="28"/>
              </w:rPr>
              <w:t>askaņā ar Publiskas personas</w:t>
            </w:r>
            <w:r w:rsidR="00AC5C2D">
              <w:rPr>
                <w:rFonts w:ascii="Times New Roman" w:hAnsi="Times New Roman" w:cs="Times New Roman"/>
                <w:sz w:val="28"/>
                <w:szCs w:val="28"/>
              </w:rPr>
              <w:t xml:space="preserve"> mantas atsavināšanas likuma 4.</w:t>
            </w:r>
            <w:r w:rsidRPr="00204953">
              <w:rPr>
                <w:rFonts w:ascii="Times New Roman" w:hAnsi="Times New Roman" w:cs="Times New Roman"/>
                <w:sz w:val="28"/>
                <w:szCs w:val="28"/>
              </w:rPr>
              <w:t>panta pirmo daļu valsts mantas atsavināšanu var ierosināt, ja tā nav nepieciešama attiecīgajai iestādei vai citām valsts iestādēm to funkciju nodrošināšanai. S</w:t>
            </w:r>
            <w:r w:rsidR="00AC5C2D">
              <w:rPr>
                <w:rFonts w:ascii="Times New Roman" w:hAnsi="Times New Roman" w:cs="Times New Roman"/>
                <w:sz w:val="28"/>
                <w:szCs w:val="28"/>
              </w:rPr>
              <w:t>avukārt Ministru kabineta 2011.gada 1.februāra noteikumu Nr.109 “</w:t>
            </w:r>
            <w:r w:rsidRPr="00204953">
              <w:rPr>
                <w:rFonts w:ascii="Times New Roman" w:hAnsi="Times New Roman" w:cs="Times New Roman"/>
                <w:sz w:val="28"/>
                <w:szCs w:val="28"/>
              </w:rPr>
              <w:t>Kārtība, kādā atsavinām</w:t>
            </w:r>
            <w:r w:rsidR="00AC5C2D">
              <w:rPr>
                <w:rFonts w:ascii="Times New Roman" w:hAnsi="Times New Roman" w:cs="Times New Roman"/>
                <w:sz w:val="28"/>
                <w:szCs w:val="28"/>
              </w:rPr>
              <w:t>a publiskās personas manta” 12.</w:t>
            </w:r>
            <w:r w:rsidRPr="00204953">
              <w:rPr>
                <w:rFonts w:ascii="Times New Roman" w:hAnsi="Times New Roman" w:cs="Times New Roman"/>
                <w:sz w:val="28"/>
                <w:szCs w:val="28"/>
              </w:rPr>
              <w:t>punkts nosaka,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tc>
      </w:tr>
      <w:tr w:rsidR="00A44F2E" w:rsidRPr="000B4BF2" w:rsidTr="008C5EF0">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right="156"/>
              <w:jc w:val="center"/>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lastRenderedPageBreak/>
              <w:t>3.</w:t>
            </w:r>
          </w:p>
        </w:tc>
        <w:tc>
          <w:tcPr>
            <w:tcW w:w="1151" w:type="pct"/>
            <w:tcBorders>
              <w:top w:val="outset" w:sz="6" w:space="0" w:color="000000"/>
              <w:left w:val="outset" w:sz="6" w:space="0" w:color="000000"/>
              <w:bottom w:val="outset" w:sz="6" w:space="0" w:color="000000"/>
              <w:right w:val="outset" w:sz="6" w:space="0" w:color="000000"/>
            </w:tcBorders>
          </w:tcPr>
          <w:p w:rsidR="00A44F2E" w:rsidRPr="000B4BF2" w:rsidRDefault="00C012AA" w:rsidP="00AD5494">
            <w:pPr>
              <w:spacing w:after="0" w:line="240" w:lineRule="auto"/>
              <w:ind w:left="141" w:right="15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izstrādē iesaistītās institūcijas</w:t>
            </w:r>
          </w:p>
        </w:tc>
        <w:tc>
          <w:tcPr>
            <w:tcW w:w="3569" w:type="pct"/>
            <w:tcBorders>
              <w:top w:val="outset" w:sz="6" w:space="0" w:color="000000"/>
              <w:left w:val="outset" w:sz="6" w:space="0" w:color="000000"/>
              <w:bottom w:val="outset" w:sz="6" w:space="0" w:color="000000"/>
              <w:right w:val="outset" w:sz="6" w:space="0" w:color="000000"/>
            </w:tcBorders>
            <w:hideMark/>
          </w:tcPr>
          <w:p w:rsidR="00A44F2E" w:rsidRPr="000B4BF2" w:rsidRDefault="00214CB2" w:rsidP="00664770">
            <w:pPr>
              <w:spacing w:after="0" w:line="240" w:lineRule="auto"/>
              <w:ind w:left="141" w:right="141" w:firstLine="511"/>
              <w:jc w:val="both"/>
              <w:rPr>
                <w:rFonts w:ascii="Times New Roman" w:hAnsi="Times New Roman" w:cs="Times New Roman"/>
                <w:sz w:val="28"/>
                <w:szCs w:val="28"/>
              </w:rPr>
            </w:pPr>
            <w:r w:rsidRPr="000B4BF2">
              <w:rPr>
                <w:rFonts w:ascii="Times New Roman" w:hAnsi="Times New Roman" w:cs="Times New Roman"/>
                <w:sz w:val="28"/>
                <w:szCs w:val="28"/>
              </w:rPr>
              <w:t>Ministrija</w:t>
            </w:r>
            <w:r w:rsidR="00C012AA" w:rsidRPr="000B4BF2">
              <w:rPr>
                <w:rFonts w:ascii="Times New Roman" w:hAnsi="Times New Roman" w:cs="Times New Roman"/>
                <w:sz w:val="28"/>
                <w:szCs w:val="28"/>
              </w:rPr>
              <w:t xml:space="preserve">, </w:t>
            </w:r>
            <w:r w:rsidR="00664770">
              <w:rPr>
                <w:rFonts w:ascii="Times New Roman" w:hAnsi="Times New Roman" w:cs="Times New Roman"/>
                <w:sz w:val="28"/>
                <w:szCs w:val="28"/>
              </w:rPr>
              <w:t>VSIA</w:t>
            </w:r>
            <w:r w:rsidR="00C012AA" w:rsidRPr="000B4BF2">
              <w:rPr>
                <w:rFonts w:ascii="Times New Roman" w:hAnsi="Times New Roman" w:cs="Times New Roman"/>
                <w:sz w:val="28"/>
                <w:szCs w:val="28"/>
              </w:rPr>
              <w:t>.</w:t>
            </w:r>
          </w:p>
        </w:tc>
      </w:tr>
      <w:tr w:rsidR="00A44F2E" w:rsidRPr="000B4BF2" w:rsidTr="008C5EF0">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C012AA" w:rsidP="00AD5494">
            <w:pPr>
              <w:spacing w:after="0" w:line="240" w:lineRule="auto"/>
              <w:ind w:left="15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4</w:t>
            </w:r>
            <w:r w:rsidR="00A44F2E" w:rsidRPr="000B4BF2">
              <w:rPr>
                <w:rFonts w:ascii="Times New Roman" w:eastAsia="Times New Roman" w:hAnsi="Times New Roman" w:cs="Times New Roman"/>
                <w:sz w:val="28"/>
                <w:szCs w:val="28"/>
                <w:lang w:eastAsia="lv-LV"/>
              </w:rPr>
              <w:t>.</w:t>
            </w:r>
          </w:p>
        </w:tc>
        <w:tc>
          <w:tcPr>
            <w:tcW w:w="1151" w:type="pct"/>
            <w:tcBorders>
              <w:top w:val="outset" w:sz="6" w:space="0" w:color="000000"/>
              <w:left w:val="outset" w:sz="6" w:space="0" w:color="000000"/>
              <w:bottom w:val="outset" w:sz="6" w:space="0" w:color="000000"/>
              <w:right w:val="outset" w:sz="6" w:space="0" w:color="000000"/>
            </w:tcBorders>
          </w:tcPr>
          <w:p w:rsidR="00A44F2E" w:rsidRPr="000B4BF2" w:rsidRDefault="00A44F2E" w:rsidP="00AD5494">
            <w:pPr>
              <w:spacing w:after="0" w:line="240" w:lineRule="auto"/>
              <w:ind w:left="15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Cita informācija</w:t>
            </w:r>
          </w:p>
        </w:tc>
        <w:tc>
          <w:tcPr>
            <w:tcW w:w="3569" w:type="pct"/>
            <w:tcBorders>
              <w:top w:val="outset" w:sz="6" w:space="0" w:color="000000"/>
              <w:left w:val="outset" w:sz="6" w:space="0" w:color="000000"/>
              <w:bottom w:val="outset" w:sz="6" w:space="0" w:color="000000"/>
              <w:right w:val="outset" w:sz="6" w:space="0" w:color="000000"/>
            </w:tcBorders>
            <w:hideMark/>
          </w:tcPr>
          <w:p w:rsidR="00A44F2E" w:rsidRPr="00200009" w:rsidRDefault="00664770" w:rsidP="003C25E3">
            <w:pPr>
              <w:spacing w:after="0" w:line="240" w:lineRule="auto"/>
              <w:ind w:left="141" w:right="141" w:firstLine="511"/>
              <w:jc w:val="both"/>
              <w:rPr>
                <w:rFonts w:ascii="Times New Roman" w:hAnsi="Times New Roman" w:cs="Times New Roman"/>
                <w:sz w:val="28"/>
                <w:szCs w:val="28"/>
              </w:rPr>
            </w:pPr>
            <w:r w:rsidRPr="00200009">
              <w:rPr>
                <w:rFonts w:ascii="Times New Roman" w:eastAsia="Times New Roman" w:hAnsi="Times New Roman" w:cs="Times New Roman"/>
                <w:sz w:val="28"/>
                <w:szCs w:val="28"/>
                <w:lang w:eastAsia="lv-LV"/>
              </w:rPr>
              <w:t>Nekustamajam īpašumam Šveices ielā 13, Siguldā, Siguldas novadā, ar Ministru kabineta 2010.gada 3.decembra rīkojumu Nr.</w:t>
            </w:r>
            <w:r w:rsidR="00200009" w:rsidRPr="00200009">
              <w:rPr>
                <w:rFonts w:ascii="Times New Roman" w:eastAsia="Times New Roman" w:hAnsi="Times New Roman" w:cs="Times New Roman"/>
                <w:sz w:val="28"/>
                <w:szCs w:val="28"/>
                <w:lang w:eastAsia="lv-LV"/>
              </w:rPr>
              <w:t>775</w:t>
            </w:r>
            <w:r w:rsidRPr="00200009">
              <w:rPr>
                <w:rFonts w:ascii="Times New Roman" w:hAnsi="Times New Roman" w:cs="Times New Roman"/>
                <w:sz w:val="28"/>
                <w:szCs w:val="28"/>
              </w:rPr>
              <w:t xml:space="preserve"> </w:t>
            </w:r>
            <w:r w:rsidR="00200009" w:rsidRPr="00200009">
              <w:rPr>
                <w:rFonts w:ascii="Times New Roman" w:hAnsi="Times New Roman" w:cs="Times New Roman"/>
                <w:sz w:val="28"/>
                <w:szCs w:val="28"/>
              </w:rPr>
              <w:t>“</w:t>
            </w:r>
            <w:r w:rsidRPr="00200009">
              <w:rPr>
                <w:rFonts w:ascii="Times New Roman" w:hAnsi="Times New Roman" w:cs="Times New Roman"/>
                <w:sz w:val="28"/>
                <w:szCs w:val="28"/>
              </w:rPr>
              <w:t>Par nacionālās sporta bāzes statusa piešķiršanu bobsleja un kamaniņu trasei “Sigulda”</w:t>
            </w:r>
            <w:r w:rsidR="00200009">
              <w:rPr>
                <w:rFonts w:ascii="Times New Roman" w:hAnsi="Times New Roman" w:cs="Times New Roman"/>
                <w:sz w:val="28"/>
                <w:szCs w:val="28"/>
              </w:rPr>
              <w:t>”</w:t>
            </w:r>
            <w:r w:rsidRPr="00200009">
              <w:rPr>
                <w:rFonts w:ascii="Times New Roman" w:hAnsi="Times New Roman" w:cs="Times New Roman"/>
                <w:sz w:val="28"/>
                <w:szCs w:val="28"/>
              </w:rPr>
              <w:t xml:space="preserve"> </w:t>
            </w:r>
            <w:r w:rsidRPr="00200009">
              <w:rPr>
                <w:rFonts w:ascii="Times New Roman" w:eastAsia="Times New Roman" w:hAnsi="Times New Roman" w:cs="Times New Roman"/>
                <w:sz w:val="28"/>
                <w:szCs w:val="28"/>
                <w:lang w:eastAsia="lv-LV"/>
              </w:rPr>
              <w:t>piešķirts n</w:t>
            </w:r>
            <w:r w:rsidR="00200009">
              <w:rPr>
                <w:rFonts w:ascii="Times New Roman" w:eastAsia="Times New Roman" w:hAnsi="Times New Roman" w:cs="Times New Roman"/>
                <w:sz w:val="28"/>
                <w:szCs w:val="28"/>
                <w:lang w:eastAsia="lv-LV"/>
              </w:rPr>
              <w:t xml:space="preserve">acionālās sporta bāzes statuss </w:t>
            </w:r>
            <w:r w:rsidRPr="00200009">
              <w:rPr>
                <w:rFonts w:ascii="Times New Roman" w:eastAsia="Times New Roman" w:hAnsi="Times New Roman" w:cs="Times New Roman"/>
                <w:sz w:val="28"/>
                <w:szCs w:val="28"/>
                <w:lang w:eastAsia="lv-LV"/>
              </w:rPr>
              <w:t xml:space="preserve">(ieguldīšana </w:t>
            </w:r>
            <w:r w:rsidR="00200009">
              <w:rPr>
                <w:rFonts w:ascii="Times New Roman" w:eastAsia="Times New Roman" w:hAnsi="Times New Roman" w:cs="Times New Roman"/>
                <w:sz w:val="28"/>
                <w:szCs w:val="28"/>
                <w:lang w:eastAsia="lv-LV"/>
              </w:rPr>
              <w:t>VSIA pamatkapitālā</w:t>
            </w:r>
            <w:r w:rsidRPr="00200009">
              <w:rPr>
                <w:rFonts w:ascii="Times New Roman" w:eastAsia="Times New Roman" w:hAnsi="Times New Roman" w:cs="Times New Roman"/>
                <w:sz w:val="28"/>
                <w:szCs w:val="28"/>
                <w:lang w:eastAsia="lv-LV"/>
              </w:rPr>
              <w:t xml:space="preserve"> neiet</w:t>
            </w:r>
            <w:r w:rsidR="00200009">
              <w:rPr>
                <w:rFonts w:ascii="Times New Roman" w:eastAsia="Times New Roman" w:hAnsi="Times New Roman" w:cs="Times New Roman"/>
                <w:sz w:val="28"/>
                <w:szCs w:val="28"/>
                <w:lang w:eastAsia="lv-LV"/>
              </w:rPr>
              <w:t>ekmē minētā</w:t>
            </w:r>
            <w:r w:rsidRPr="00200009">
              <w:rPr>
                <w:rFonts w:ascii="Times New Roman" w:eastAsia="Times New Roman" w:hAnsi="Times New Roman" w:cs="Times New Roman"/>
                <w:sz w:val="28"/>
                <w:szCs w:val="28"/>
                <w:lang w:eastAsia="lv-LV"/>
              </w:rPr>
              <w:t xml:space="preserve"> status</w:t>
            </w:r>
            <w:r w:rsidR="00200009">
              <w:rPr>
                <w:rFonts w:ascii="Times New Roman" w:eastAsia="Times New Roman" w:hAnsi="Times New Roman" w:cs="Times New Roman"/>
                <w:sz w:val="28"/>
                <w:szCs w:val="28"/>
                <w:lang w:eastAsia="lv-LV"/>
              </w:rPr>
              <w:t>a</w:t>
            </w:r>
            <w:r w:rsidRPr="00200009">
              <w:rPr>
                <w:rFonts w:ascii="Times New Roman" w:eastAsia="Times New Roman" w:hAnsi="Times New Roman" w:cs="Times New Roman"/>
                <w:sz w:val="28"/>
                <w:szCs w:val="28"/>
                <w:lang w:eastAsia="lv-LV"/>
              </w:rPr>
              <w:t xml:space="preserve"> saglabāšanu</w:t>
            </w:r>
            <w:r w:rsidR="00200009">
              <w:rPr>
                <w:rFonts w:ascii="Times New Roman" w:eastAsia="Times New Roman" w:hAnsi="Times New Roman" w:cs="Times New Roman"/>
                <w:sz w:val="28"/>
                <w:szCs w:val="28"/>
                <w:lang w:eastAsia="lv-LV"/>
              </w:rPr>
              <w:t>)</w:t>
            </w:r>
            <w:r w:rsidRPr="00200009">
              <w:rPr>
                <w:rFonts w:ascii="Times New Roman" w:eastAsia="Times New Roman" w:hAnsi="Times New Roman" w:cs="Times New Roman"/>
                <w:sz w:val="28"/>
                <w:szCs w:val="28"/>
                <w:lang w:eastAsia="lv-LV"/>
              </w:rPr>
              <w:t>. Likuma “Par nacionālās sporta bāzes statusu” 9.pantā noteiktais paziņošanas pienākums par rīcību ar nacionālās sporta bāzes sastāvā esošo nekustamo īpašumu uz šo gadījumu nav attiecināms, jo gan paziņotājs, gan informācijas saņēmējs šajā gadījumā ir ministrija, kā rezultātā attiecīga informācija jau būs ministrijas rīcībā.</w:t>
            </w:r>
          </w:p>
        </w:tc>
      </w:tr>
      <w:tr w:rsidR="00C012AA" w:rsidRPr="000B4BF2" w:rsidTr="008C5EF0">
        <w:tc>
          <w:tcPr>
            <w:tcW w:w="5000" w:type="pct"/>
            <w:gridSpan w:val="3"/>
            <w:tcBorders>
              <w:top w:val="nil"/>
              <w:left w:val="nil"/>
              <w:bottom w:val="nil"/>
              <w:right w:val="nil"/>
            </w:tcBorders>
          </w:tcPr>
          <w:p w:rsidR="00C012AA" w:rsidRDefault="00C012AA" w:rsidP="00AD5494">
            <w:pPr>
              <w:spacing w:after="0" w:line="240" w:lineRule="auto"/>
              <w:ind w:firstLine="701"/>
              <w:jc w:val="both"/>
              <w:rPr>
                <w:rFonts w:ascii="Times New Roman" w:eastAsia="Times New Roman" w:hAnsi="Times New Roman" w:cs="Times New Roman"/>
                <w:b/>
                <w:sz w:val="28"/>
                <w:szCs w:val="28"/>
                <w:lang w:eastAsia="lv-LV"/>
              </w:rPr>
            </w:pPr>
          </w:p>
          <w:p w:rsidR="00CD012C" w:rsidRDefault="00CD012C" w:rsidP="00AD5494">
            <w:pPr>
              <w:spacing w:after="0" w:line="240" w:lineRule="auto"/>
              <w:ind w:firstLine="701"/>
              <w:jc w:val="both"/>
              <w:rPr>
                <w:rFonts w:ascii="Times New Roman" w:eastAsia="Times New Roman" w:hAnsi="Times New Roman" w:cs="Times New Roman"/>
                <w:b/>
                <w:sz w:val="28"/>
                <w:szCs w:val="28"/>
                <w:lang w:eastAsia="lv-LV"/>
              </w:rPr>
            </w:pPr>
          </w:p>
          <w:p w:rsidR="00CD012C" w:rsidRDefault="00CD012C" w:rsidP="00AD5494">
            <w:pPr>
              <w:spacing w:after="0" w:line="240" w:lineRule="auto"/>
              <w:ind w:firstLine="701"/>
              <w:jc w:val="both"/>
              <w:rPr>
                <w:rFonts w:ascii="Times New Roman" w:eastAsia="Times New Roman" w:hAnsi="Times New Roman" w:cs="Times New Roman"/>
                <w:b/>
                <w:sz w:val="28"/>
                <w:szCs w:val="28"/>
                <w:lang w:eastAsia="lv-LV"/>
              </w:rPr>
            </w:pPr>
          </w:p>
          <w:p w:rsidR="00CD012C" w:rsidRDefault="00CD012C" w:rsidP="00AD5494">
            <w:pPr>
              <w:spacing w:after="0" w:line="240" w:lineRule="auto"/>
              <w:ind w:firstLine="701"/>
              <w:jc w:val="both"/>
              <w:rPr>
                <w:rFonts w:ascii="Times New Roman" w:eastAsia="Times New Roman" w:hAnsi="Times New Roman" w:cs="Times New Roman"/>
                <w:b/>
                <w:sz w:val="28"/>
                <w:szCs w:val="28"/>
                <w:lang w:eastAsia="lv-LV"/>
              </w:rPr>
            </w:pPr>
          </w:p>
          <w:p w:rsidR="00CD012C" w:rsidRDefault="00CD012C" w:rsidP="00AD5494">
            <w:pPr>
              <w:spacing w:after="0" w:line="240" w:lineRule="auto"/>
              <w:ind w:firstLine="701"/>
              <w:jc w:val="both"/>
              <w:rPr>
                <w:rFonts w:ascii="Times New Roman" w:eastAsia="Times New Roman" w:hAnsi="Times New Roman" w:cs="Times New Roman"/>
                <w:b/>
                <w:sz w:val="28"/>
                <w:szCs w:val="28"/>
                <w:lang w:eastAsia="lv-LV"/>
              </w:rPr>
            </w:pPr>
          </w:p>
          <w:p w:rsidR="00CD012C" w:rsidRDefault="00CD012C" w:rsidP="00AD5494">
            <w:pPr>
              <w:spacing w:after="0" w:line="240" w:lineRule="auto"/>
              <w:ind w:firstLine="701"/>
              <w:jc w:val="both"/>
              <w:rPr>
                <w:rFonts w:ascii="Times New Roman" w:eastAsia="Times New Roman" w:hAnsi="Times New Roman" w:cs="Times New Roman"/>
                <w:b/>
                <w:sz w:val="28"/>
                <w:szCs w:val="28"/>
                <w:lang w:eastAsia="lv-LV"/>
              </w:rPr>
            </w:pPr>
          </w:p>
          <w:p w:rsidR="00CD012C" w:rsidRDefault="00CD012C" w:rsidP="00AD5494">
            <w:pPr>
              <w:spacing w:after="0" w:line="240" w:lineRule="auto"/>
              <w:ind w:firstLine="701"/>
              <w:jc w:val="both"/>
              <w:rPr>
                <w:rFonts w:ascii="Times New Roman" w:eastAsia="Times New Roman" w:hAnsi="Times New Roman" w:cs="Times New Roman"/>
                <w:b/>
                <w:sz w:val="28"/>
                <w:szCs w:val="28"/>
                <w:lang w:eastAsia="lv-LV"/>
              </w:rPr>
            </w:pPr>
          </w:p>
          <w:p w:rsidR="00CD012C" w:rsidRDefault="00CD012C" w:rsidP="00AD5494">
            <w:pPr>
              <w:spacing w:after="0" w:line="240" w:lineRule="auto"/>
              <w:ind w:firstLine="701"/>
              <w:jc w:val="both"/>
              <w:rPr>
                <w:rFonts w:ascii="Times New Roman" w:eastAsia="Times New Roman" w:hAnsi="Times New Roman" w:cs="Times New Roman"/>
                <w:b/>
                <w:sz w:val="28"/>
                <w:szCs w:val="28"/>
                <w:lang w:eastAsia="lv-LV"/>
              </w:rPr>
            </w:pPr>
            <w:bookmarkStart w:id="0" w:name="_GoBack"/>
            <w:bookmarkEnd w:id="0"/>
          </w:p>
          <w:tbl>
            <w:tblPr>
              <w:tblW w:w="498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1"/>
              <w:gridCol w:w="7013"/>
            </w:tblGrid>
            <w:tr w:rsidR="00142EC4" w:rsidRPr="00CD4A24" w:rsidTr="001C4816">
              <w:trPr>
                <w:trHeight w:val="523"/>
              </w:trPr>
              <w:tc>
                <w:tcPr>
                  <w:tcW w:w="5000" w:type="pct"/>
                  <w:gridSpan w:val="2"/>
                  <w:tcBorders>
                    <w:top w:val="single" w:sz="8" w:space="0" w:color="auto"/>
                    <w:left w:val="single" w:sz="8" w:space="0" w:color="auto"/>
                    <w:bottom w:val="outset" w:sz="6" w:space="0" w:color="auto"/>
                    <w:right w:val="single" w:sz="8" w:space="0" w:color="auto"/>
                  </w:tcBorders>
                  <w:vAlign w:val="center"/>
                </w:tcPr>
                <w:p w:rsidR="00142EC4" w:rsidRPr="00142EC4" w:rsidRDefault="00142EC4" w:rsidP="00204953">
                  <w:pPr>
                    <w:framePr w:hSpace="180" w:wrap="around" w:vAnchor="text" w:hAnchor="text" w:xAlign="right" w:y="1"/>
                    <w:spacing w:after="0" w:line="240" w:lineRule="auto"/>
                    <w:suppressOverlap/>
                    <w:jc w:val="center"/>
                    <w:rPr>
                      <w:rFonts w:ascii="Times New Roman" w:hAnsi="Times New Roman" w:cs="Times New Roman"/>
                      <w:b/>
                      <w:bCs/>
                      <w:sz w:val="28"/>
                      <w:szCs w:val="28"/>
                      <w:lang w:eastAsia="lv-LV"/>
                    </w:rPr>
                  </w:pPr>
                  <w:r w:rsidRPr="00142EC4">
                    <w:rPr>
                      <w:rFonts w:ascii="Times New Roman" w:hAnsi="Times New Roman" w:cs="Times New Roman"/>
                      <w:b/>
                      <w:bCs/>
                      <w:sz w:val="28"/>
                      <w:szCs w:val="28"/>
                      <w:lang w:eastAsia="lv-LV"/>
                    </w:rPr>
                    <w:t>II. Tiesību akta projekta ietekme uz sabiedrību</w:t>
                  </w:r>
                  <w:r w:rsidRPr="00142EC4">
                    <w:rPr>
                      <w:rFonts w:ascii="Times New Roman" w:eastAsia="Calibri" w:hAnsi="Times New Roman" w:cs="Times New Roman"/>
                      <w:b/>
                      <w:bCs/>
                      <w:sz w:val="28"/>
                      <w:szCs w:val="28"/>
                      <w:shd w:val="clear" w:color="auto" w:fill="FFFFFF"/>
                    </w:rPr>
                    <w:t>, tautsaimniecības attīstību un administratīvo slogu</w:t>
                  </w:r>
                </w:p>
              </w:tc>
            </w:tr>
            <w:tr w:rsidR="00142EC4" w:rsidRPr="00CD4A24" w:rsidTr="00142EC4">
              <w:trPr>
                <w:trHeight w:val="1419"/>
              </w:trPr>
              <w:tc>
                <w:tcPr>
                  <w:tcW w:w="1345" w:type="pct"/>
                  <w:tcBorders>
                    <w:top w:val="outset" w:sz="6" w:space="0" w:color="auto"/>
                    <w:left w:val="outset" w:sz="6" w:space="0" w:color="auto"/>
                    <w:bottom w:val="outset" w:sz="6" w:space="0" w:color="auto"/>
                    <w:right w:val="outset" w:sz="6" w:space="0" w:color="auto"/>
                  </w:tcBorders>
                </w:tcPr>
                <w:p w:rsidR="00142EC4" w:rsidRPr="00142EC4" w:rsidRDefault="00142EC4" w:rsidP="00204953">
                  <w:pPr>
                    <w:framePr w:hSpace="180" w:wrap="around" w:vAnchor="text" w:hAnchor="text" w:xAlign="right" w:y="1"/>
                    <w:spacing w:after="0" w:line="240" w:lineRule="auto"/>
                    <w:ind w:right="238"/>
                    <w:suppressOverlap/>
                    <w:rPr>
                      <w:rFonts w:ascii="Times New Roman" w:hAnsi="Times New Roman" w:cs="Times New Roman"/>
                      <w:sz w:val="28"/>
                      <w:szCs w:val="28"/>
                      <w:lang w:eastAsia="lv-LV"/>
                    </w:rPr>
                  </w:pPr>
                  <w:r w:rsidRPr="00142EC4">
                    <w:rPr>
                      <w:rFonts w:ascii="Times New Roman" w:eastAsia="Calibri" w:hAnsi="Times New Roman" w:cs="Times New Roman"/>
                      <w:sz w:val="28"/>
                      <w:szCs w:val="28"/>
                      <w:shd w:val="clear" w:color="auto" w:fill="FFFFFF"/>
                    </w:rPr>
                    <w:t xml:space="preserve">Sabiedrības </w:t>
                  </w:r>
                  <w:proofErr w:type="spellStart"/>
                  <w:r w:rsidRPr="00142EC4">
                    <w:rPr>
                      <w:rFonts w:ascii="Times New Roman" w:eastAsia="Calibri" w:hAnsi="Times New Roman" w:cs="Times New Roman"/>
                      <w:sz w:val="28"/>
                      <w:szCs w:val="28"/>
                      <w:shd w:val="clear" w:color="auto" w:fill="FFFFFF"/>
                    </w:rPr>
                    <w:t>mērķgrupas</w:t>
                  </w:r>
                  <w:proofErr w:type="spellEnd"/>
                  <w:r w:rsidRPr="00142EC4">
                    <w:rPr>
                      <w:rFonts w:ascii="Times New Roman" w:eastAsia="Calibri" w:hAnsi="Times New Roman" w:cs="Times New Roman"/>
                      <w:sz w:val="28"/>
                      <w:szCs w:val="28"/>
                      <w:shd w:val="clear" w:color="auto" w:fill="FFFFFF"/>
                    </w:rPr>
                    <w:t>, kuras tiesiskais regulējums ietekmē vai varētu ietekmēt</w:t>
                  </w:r>
                </w:p>
              </w:tc>
              <w:tc>
                <w:tcPr>
                  <w:tcW w:w="3655" w:type="pct"/>
                  <w:tcBorders>
                    <w:top w:val="outset" w:sz="6" w:space="0" w:color="auto"/>
                    <w:left w:val="outset" w:sz="6" w:space="0" w:color="auto"/>
                    <w:bottom w:val="outset" w:sz="6" w:space="0" w:color="auto"/>
                    <w:right w:val="outset" w:sz="6" w:space="0" w:color="auto"/>
                  </w:tcBorders>
                </w:tcPr>
                <w:p w:rsidR="00142EC4" w:rsidRPr="00142EC4" w:rsidRDefault="00142EC4" w:rsidP="00204953">
                  <w:pPr>
                    <w:framePr w:hSpace="180" w:wrap="around" w:vAnchor="text" w:hAnchor="text" w:xAlign="right" w:y="1"/>
                    <w:spacing w:after="0" w:line="240" w:lineRule="auto"/>
                    <w:ind w:left="95"/>
                    <w:suppressOverlap/>
                    <w:jc w:val="both"/>
                    <w:rPr>
                      <w:rFonts w:ascii="Times New Roman" w:eastAsia="Calibri" w:hAnsi="Times New Roman" w:cs="Times New Roman"/>
                      <w:color w:val="000000"/>
                      <w:sz w:val="28"/>
                      <w:szCs w:val="28"/>
                    </w:rPr>
                  </w:pPr>
                  <w:r w:rsidRPr="00142EC4">
                    <w:rPr>
                      <w:rFonts w:ascii="Times New Roman" w:eastAsia="Calibri" w:hAnsi="Times New Roman" w:cs="Times New Roman"/>
                      <w:color w:val="000000"/>
                      <w:sz w:val="28"/>
                      <w:szCs w:val="28"/>
                    </w:rPr>
                    <w:t xml:space="preserve"> </w:t>
                  </w:r>
                  <w:r w:rsidR="00391B5C" w:rsidRPr="00142EC4">
                    <w:rPr>
                      <w:rFonts w:ascii="Times New Roman" w:hAnsi="Times New Roman" w:cs="Times New Roman"/>
                      <w:sz w:val="28"/>
                      <w:szCs w:val="28"/>
                      <w:lang w:eastAsia="lv-LV"/>
                    </w:rPr>
                    <w:t>Projekts šo jomu neskar.</w:t>
                  </w:r>
                </w:p>
              </w:tc>
            </w:tr>
            <w:tr w:rsidR="00142EC4" w:rsidRPr="00CD4A24" w:rsidTr="00142EC4">
              <w:trPr>
                <w:trHeight w:val="1057"/>
              </w:trPr>
              <w:tc>
                <w:tcPr>
                  <w:tcW w:w="1345" w:type="pct"/>
                  <w:tcBorders>
                    <w:top w:val="outset" w:sz="6" w:space="0" w:color="auto"/>
                    <w:left w:val="outset" w:sz="6" w:space="0" w:color="auto"/>
                    <w:bottom w:val="outset" w:sz="6" w:space="0" w:color="auto"/>
                    <w:right w:val="outset" w:sz="6" w:space="0" w:color="auto"/>
                  </w:tcBorders>
                </w:tcPr>
                <w:p w:rsidR="00142EC4" w:rsidRPr="00142EC4" w:rsidRDefault="00142EC4" w:rsidP="00204953">
                  <w:pPr>
                    <w:framePr w:hSpace="180" w:wrap="around" w:vAnchor="text" w:hAnchor="text" w:xAlign="right" w:y="1"/>
                    <w:spacing w:after="0" w:line="240" w:lineRule="auto"/>
                    <w:suppressOverlap/>
                    <w:rPr>
                      <w:rFonts w:ascii="Times New Roman" w:hAnsi="Times New Roman" w:cs="Times New Roman"/>
                      <w:sz w:val="28"/>
                      <w:szCs w:val="28"/>
                      <w:lang w:eastAsia="lv-LV"/>
                    </w:rPr>
                  </w:pPr>
                  <w:r w:rsidRPr="00142EC4">
                    <w:rPr>
                      <w:rFonts w:ascii="Times New Roman" w:eastAsia="Calibri" w:hAnsi="Times New Roman" w:cs="Times New Roman"/>
                      <w:sz w:val="28"/>
                      <w:szCs w:val="28"/>
                      <w:shd w:val="clear" w:color="auto" w:fill="FFFFFF"/>
                    </w:rPr>
                    <w:t>Tiesiskā regulējuma ietekme uz tautsaimniecību un administratīvo slogu</w:t>
                  </w:r>
                </w:p>
              </w:tc>
              <w:tc>
                <w:tcPr>
                  <w:tcW w:w="3655" w:type="pct"/>
                  <w:tcBorders>
                    <w:top w:val="outset" w:sz="6" w:space="0" w:color="auto"/>
                    <w:left w:val="outset" w:sz="6" w:space="0" w:color="auto"/>
                    <w:bottom w:val="outset" w:sz="6" w:space="0" w:color="auto"/>
                    <w:right w:val="outset" w:sz="6" w:space="0" w:color="auto"/>
                  </w:tcBorders>
                </w:tcPr>
                <w:p w:rsidR="00142EC4" w:rsidRPr="00142EC4" w:rsidRDefault="00142EC4" w:rsidP="00204953">
                  <w:pPr>
                    <w:framePr w:hSpace="180" w:wrap="around" w:vAnchor="text" w:hAnchor="text" w:xAlign="right" w:y="1"/>
                    <w:spacing w:after="0" w:line="240" w:lineRule="auto"/>
                    <w:ind w:left="112"/>
                    <w:suppressOverlap/>
                    <w:jc w:val="both"/>
                    <w:rPr>
                      <w:rFonts w:ascii="Times New Roman" w:hAnsi="Times New Roman" w:cs="Times New Roman"/>
                      <w:sz w:val="28"/>
                      <w:szCs w:val="28"/>
                      <w:lang w:eastAsia="lv-LV"/>
                    </w:rPr>
                  </w:pPr>
                  <w:r w:rsidRPr="00142EC4">
                    <w:rPr>
                      <w:rFonts w:ascii="Times New Roman" w:hAnsi="Times New Roman" w:cs="Times New Roman"/>
                      <w:sz w:val="28"/>
                      <w:szCs w:val="28"/>
                      <w:lang w:eastAsia="lv-LV"/>
                    </w:rPr>
                    <w:t xml:space="preserve">Projekta tiesiskais regulējums nemaina sabiedrības </w:t>
                  </w:r>
                  <w:proofErr w:type="spellStart"/>
                  <w:r w:rsidRPr="00142EC4">
                    <w:rPr>
                      <w:rFonts w:ascii="Times New Roman" w:hAnsi="Times New Roman" w:cs="Times New Roman"/>
                      <w:sz w:val="28"/>
                      <w:szCs w:val="28"/>
                      <w:lang w:eastAsia="lv-LV"/>
                    </w:rPr>
                    <w:t>mērķgrupu</w:t>
                  </w:r>
                  <w:proofErr w:type="spellEnd"/>
                  <w:r w:rsidRPr="00142EC4">
                    <w:rPr>
                      <w:rFonts w:ascii="Times New Roman" w:hAnsi="Times New Roman" w:cs="Times New Roman"/>
                      <w:sz w:val="28"/>
                      <w:szCs w:val="28"/>
                      <w:lang w:eastAsia="lv-LV"/>
                    </w:rPr>
                    <w:t xml:space="preserve"> tiesības un pienākumus.</w:t>
                  </w:r>
                </w:p>
              </w:tc>
            </w:tr>
            <w:tr w:rsidR="00142EC4" w:rsidRPr="00CD4A24" w:rsidTr="00142EC4">
              <w:trPr>
                <w:trHeight w:val="592"/>
              </w:trPr>
              <w:tc>
                <w:tcPr>
                  <w:tcW w:w="1345" w:type="pct"/>
                  <w:tcBorders>
                    <w:top w:val="outset" w:sz="6" w:space="0" w:color="auto"/>
                    <w:left w:val="outset" w:sz="6" w:space="0" w:color="auto"/>
                    <w:bottom w:val="outset" w:sz="6" w:space="0" w:color="auto"/>
                    <w:right w:val="outset" w:sz="6" w:space="0" w:color="auto"/>
                  </w:tcBorders>
                </w:tcPr>
                <w:p w:rsidR="00142EC4" w:rsidRPr="00142EC4" w:rsidRDefault="00142EC4" w:rsidP="00204953">
                  <w:pPr>
                    <w:framePr w:hSpace="180" w:wrap="around" w:vAnchor="text" w:hAnchor="text" w:xAlign="right" w:y="1"/>
                    <w:spacing w:after="0" w:line="240" w:lineRule="auto"/>
                    <w:suppressOverlap/>
                    <w:rPr>
                      <w:rFonts w:ascii="Times New Roman" w:hAnsi="Times New Roman" w:cs="Times New Roman"/>
                      <w:sz w:val="28"/>
                      <w:szCs w:val="28"/>
                      <w:lang w:eastAsia="lv-LV"/>
                    </w:rPr>
                  </w:pPr>
                  <w:r w:rsidRPr="00142EC4">
                    <w:rPr>
                      <w:rFonts w:ascii="Times New Roman" w:eastAsia="Calibri" w:hAnsi="Times New Roman" w:cs="Times New Roman"/>
                      <w:sz w:val="28"/>
                      <w:szCs w:val="28"/>
                      <w:shd w:val="clear" w:color="auto" w:fill="FFFFFF"/>
                    </w:rPr>
                    <w:t>Administratīvo izmaksu monetārs novērtējums</w:t>
                  </w:r>
                </w:p>
              </w:tc>
              <w:tc>
                <w:tcPr>
                  <w:tcW w:w="3655" w:type="pct"/>
                  <w:tcBorders>
                    <w:top w:val="outset" w:sz="6" w:space="0" w:color="auto"/>
                    <w:left w:val="outset" w:sz="6" w:space="0" w:color="auto"/>
                    <w:bottom w:val="outset" w:sz="6" w:space="0" w:color="auto"/>
                    <w:right w:val="outset" w:sz="6" w:space="0" w:color="auto"/>
                  </w:tcBorders>
                </w:tcPr>
                <w:p w:rsidR="00142EC4" w:rsidRPr="00142EC4" w:rsidRDefault="00142EC4" w:rsidP="00204953">
                  <w:pPr>
                    <w:framePr w:hSpace="180" w:wrap="around" w:vAnchor="text" w:hAnchor="text" w:xAlign="right" w:y="1"/>
                    <w:spacing w:after="0" w:line="240" w:lineRule="auto"/>
                    <w:ind w:left="112"/>
                    <w:suppressOverlap/>
                    <w:rPr>
                      <w:rFonts w:ascii="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142EC4" w:rsidRPr="00CD4A24" w:rsidTr="00142EC4">
              <w:trPr>
                <w:trHeight w:val="413"/>
              </w:trPr>
              <w:tc>
                <w:tcPr>
                  <w:tcW w:w="1345" w:type="pct"/>
                  <w:tcBorders>
                    <w:top w:val="outset" w:sz="6" w:space="0" w:color="auto"/>
                    <w:left w:val="outset" w:sz="6" w:space="0" w:color="auto"/>
                    <w:bottom w:val="outset" w:sz="6" w:space="0" w:color="auto"/>
                    <w:right w:val="outset" w:sz="6" w:space="0" w:color="auto"/>
                  </w:tcBorders>
                </w:tcPr>
                <w:p w:rsidR="00142EC4" w:rsidRPr="00142EC4" w:rsidRDefault="00142EC4" w:rsidP="00204953">
                  <w:pPr>
                    <w:framePr w:hSpace="180" w:wrap="around" w:vAnchor="text" w:hAnchor="text" w:xAlign="right" w:y="1"/>
                    <w:spacing w:after="0" w:line="240" w:lineRule="auto"/>
                    <w:suppressOverlap/>
                    <w:rPr>
                      <w:rFonts w:ascii="Times New Roman" w:hAnsi="Times New Roman" w:cs="Times New Roman"/>
                      <w:sz w:val="28"/>
                      <w:szCs w:val="28"/>
                      <w:lang w:eastAsia="lv-LV"/>
                    </w:rPr>
                  </w:pPr>
                  <w:r w:rsidRPr="00142EC4">
                    <w:rPr>
                      <w:rFonts w:ascii="Times New Roman" w:hAnsi="Times New Roman" w:cs="Times New Roman"/>
                      <w:sz w:val="28"/>
                      <w:szCs w:val="28"/>
                      <w:lang w:eastAsia="lv-LV"/>
                    </w:rPr>
                    <w:t>Cita informācija</w:t>
                  </w:r>
                </w:p>
              </w:tc>
              <w:tc>
                <w:tcPr>
                  <w:tcW w:w="3655" w:type="pct"/>
                  <w:tcBorders>
                    <w:top w:val="outset" w:sz="6" w:space="0" w:color="auto"/>
                    <w:left w:val="outset" w:sz="6" w:space="0" w:color="auto"/>
                    <w:bottom w:val="outset" w:sz="6" w:space="0" w:color="auto"/>
                    <w:right w:val="outset" w:sz="6" w:space="0" w:color="auto"/>
                  </w:tcBorders>
                </w:tcPr>
                <w:p w:rsidR="00142EC4" w:rsidRPr="00142EC4" w:rsidRDefault="00142EC4" w:rsidP="00204953">
                  <w:pPr>
                    <w:framePr w:hSpace="180" w:wrap="around" w:vAnchor="text" w:hAnchor="text" w:xAlign="right" w:y="1"/>
                    <w:spacing w:after="0" w:line="240" w:lineRule="auto"/>
                    <w:ind w:left="112"/>
                    <w:suppressOverlap/>
                    <w:rPr>
                      <w:rFonts w:ascii="Times New Roman" w:hAnsi="Times New Roman" w:cs="Times New Roman"/>
                      <w:sz w:val="28"/>
                      <w:szCs w:val="28"/>
                      <w:lang w:eastAsia="lv-LV"/>
                    </w:rPr>
                  </w:pPr>
                  <w:r w:rsidRPr="00142EC4">
                    <w:rPr>
                      <w:rFonts w:ascii="Times New Roman" w:hAnsi="Times New Roman" w:cs="Times New Roman"/>
                      <w:sz w:val="28"/>
                      <w:szCs w:val="28"/>
                      <w:lang w:eastAsia="lv-LV"/>
                    </w:rPr>
                    <w:t>Nav.</w:t>
                  </w:r>
                </w:p>
              </w:tc>
            </w:tr>
          </w:tbl>
          <w:p w:rsidR="00142EC4" w:rsidRDefault="00142EC4" w:rsidP="00AD5494">
            <w:pPr>
              <w:spacing w:after="0" w:line="240" w:lineRule="auto"/>
              <w:ind w:firstLine="701"/>
              <w:jc w:val="both"/>
              <w:rPr>
                <w:rFonts w:ascii="Times New Roman" w:eastAsia="Times New Roman" w:hAnsi="Times New Roman" w:cs="Times New Roman"/>
                <w:b/>
                <w:sz w:val="28"/>
                <w:szCs w:val="28"/>
                <w:lang w:eastAsia="lv-LV"/>
              </w:rPr>
            </w:pP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67"/>
              <w:gridCol w:w="662"/>
              <w:gridCol w:w="428"/>
              <w:gridCol w:w="1199"/>
              <w:gridCol w:w="1199"/>
              <w:gridCol w:w="1199"/>
              <w:gridCol w:w="3080"/>
            </w:tblGrid>
            <w:tr w:rsidR="0078538F" w:rsidRPr="00732878" w:rsidTr="001C4816">
              <w:trPr>
                <w:trHeight w:val="366"/>
                <w:tblCellSpacing w:w="15" w:type="dxa"/>
              </w:trPr>
              <w:tc>
                <w:tcPr>
                  <w:tcW w:w="4969" w:type="pct"/>
                  <w:gridSpan w:val="7"/>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III. Tiesību akta projekta ietekme uz valsts budžetu un pašvaldību budžetiem</w:t>
                  </w:r>
                </w:p>
              </w:tc>
            </w:tr>
            <w:tr w:rsidR="0078538F" w:rsidRPr="0087690A" w:rsidTr="001C4816">
              <w:trPr>
                <w:tblCellSpacing w:w="15" w:type="dxa"/>
              </w:trPr>
              <w:tc>
                <w:tcPr>
                  <w:tcW w:w="897" w:type="pct"/>
                  <w:vMerge w:val="restar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Rādītāji</w:t>
                  </w:r>
                </w:p>
              </w:tc>
              <w:tc>
                <w:tcPr>
                  <w:tcW w:w="1138" w:type="pct"/>
                  <w:gridSpan w:val="3"/>
                  <w:vMerge w:val="restar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2017. gads</w:t>
                  </w:r>
                </w:p>
              </w:tc>
              <w:tc>
                <w:tcPr>
                  <w:tcW w:w="2903" w:type="pct"/>
                  <w:gridSpan w:val="3"/>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Turpmākie trīs gadi (</w:t>
                  </w:r>
                  <w:proofErr w:type="spellStart"/>
                  <w:r w:rsidRPr="0078538F">
                    <w:rPr>
                      <w:rFonts w:ascii="Times New Roman" w:eastAsia="Times New Roman" w:hAnsi="Times New Roman" w:cs="Times New Roman"/>
                      <w:sz w:val="28"/>
                      <w:szCs w:val="28"/>
                      <w:lang w:eastAsia="lv-LV"/>
                    </w:rPr>
                    <w:t>euro</w:t>
                  </w:r>
                  <w:proofErr w:type="spellEnd"/>
                  <w:r w:rsidRPr="0078538F">
                    <w:rPr>
                      <w:rFonts w:ascii="Times New Roman" w:eastAsia="Times New Roman" w:hAnsi="Times New Roman" w:cs="Times New Roman"/>
                      <w:sz w:val="28"/>
                      <w:szCs w:val="28"/>
                      <w:lang w:eastAsia="lv-LV"/>
                    </w:rPr>
                    <w:t>)</w:t>
                  </w:r>
                </w:p>
              </w:tc>
            </w:tr>
            <w:tr w:rsidR="0078538F" w:rsidRPr="0087690A" w:rsidTr="001C4816">
              <w:trPr>
                <w:tblCellSpacing w:w="15" w:type="dxa"/>
              </w:trPr>
              <w:tc>
                <w:tcPr>
                  <w:tcW w:w="897" w:type="pct"/>
                  <w:vMerge/>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1138" w:type="pct"/>
                  <w:gridSpan w:val="3"/>
                  <w:vMerge/>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566" w:type="pc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2018.</w:t>
                  </w:r>
                </w:p>
              </w:tc>
              <w:tc>
                <w:tcPr>
                  <w:tcW w:w="566" w:type="pc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2019.</w:t>
                  </w:r>
                </w:p>
              </w:tc>
              <w:tc>
                <w:tcPr>
                  <w:tcW w:w="1739" w:type="pc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2020.</w:t>
                  </w:r>
                </w:p>
              </w:tc>
            </w:tr>
            <w:tr w:rsidR="0078538F" w:rsidRPr="0087690A" w:rsidTr="001C4816">
              <w:trPr>
                <w:tblCellSpacing w:w="15" w:type="dxa"/>
              </w:trPr>
              <w:tc>
                <w:tcPr>
                  <w:tcW w:w="897" w:type="pct"/>
                  <w:vMerge/>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514" w:type="pct"/>
                  <w:gridSpan w:val="2"/>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Saskaņā ar valsts budžetu kārtējam gadam</w:t>
                  </w:r>
                </w:p>
              </w:tc>
              <w:tc>
                <w:tcPr>
                  <w:tcW w:w="608" w:type="pc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Izmaiņas kārtējā gadā, salīdzinot ar budžetu kārtējam gadam</w:t>
                  </w:r>
                </w:p>
              </w:tc>
              <w:tc>
                <w:tcPr>
                  <w:tcW w:w="566" w:type="pc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Izmaiņas, salīdzinot ar kārtējo (2017.) gadu</w:t>
                  </w:r>
                </w:p>
              </w:tc>
              <w:tc>
                <w:tcPr>
                  <w:tcW w:w="566" w:type="pc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Izmaiņas, salīdzinot ar kārtējo (2017.) gadu</w:t>
                  </w:r>
                </w:p>
              </w:tc>
              <w:tc>
                <w:tcPr>
                  <w:tcW w:w="1739" w:type="pc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Izmaiņas, salīdzinot ar kārtējo (2017.) gadu</w:t>
                  </w:r>
                </w:p>
              </w:tc>
            </w:tr>
            <w:tr w:rsidR="0078538F" w:rsidRPr="0087690A" w:rsidTr="001C4816">
              <w:trPr>
                <w:tblCellSpacing w:w="15" w:type="dxa"/>
              </w:trPr>
              <w:tc>
                <w:tcPr>
                  <w:tcW w:w="897" w:type="pc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1</w:t>
                  </w:r>
                </w:p>
              </w:tc>
              <w:tc>
                <w:tcPr>
                  <w:tcW w:w="514" w:type="pct"/>
                  <w:gridSpan w:val="2"/>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w:t>
                  </w:r>
                </w:p>
              </w:tc>
              <w:tc>
                <w:tcPr>
                  <w:tcW w:w="608" w:type="pc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w:t>
                  </w:r>
                </w:p>
              </w:tc>
              <w:tc>
                <w:tcPr>
                  <w:tcW w:w="566" w:type="pc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4</w:t>
                  </w:r>
                </w:p>
              </w:tc>
              <w:tc>
                <w:tcPr>
                  <w:tcW w:w="566" w:type="pc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w:t>
                  </w:r>
                </w:p>
              </w:tc>
              <w:tc>
                <w:tcPr>
                  <w:tcW w:w="1739" w:type="pc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6</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1. Budžeta ieņēmumi:</w:t>
                  </w:r>
                </w:p>
              </w:tc>
              <w:tc>
                <w:tcPr>
                  <w:tcW w:w="4056" w:type="pct"/>
                  <w:gridSpan w:val="6"/>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1.1. valsts pamatbudžets, tai skaitā ieņēmumi no maksas pakalpojumiem un citi pašu ieņēmumi</w:t>
                  </w:r>
                </w:p>
              </w:tc>
              <w:tc>
                <w:tcPr>
                  <w:tcW w:w="4056" w:type="pct"/>
                  <w:gridSpan w:val="6"/>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lastRenderedPageBreak/>
                    <w:t>1.2. valsts speciālais budžets</w:t>
                  </w:r>
                </w:p>
              </w:tc>
              <w:tc>
                <w:tcPr>
                  <w:tcW w:w="4056" w:type="pct"/>
                  <w:gridSpan w:val="6"/>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1.3. pašvaldību budžets</w:t>
                  </w:r>
                </w:p>
              </w:tc>
              <w:tc>
                <w:tcPr>
                  <w:tcW w:w="4056" w:type="pct"/>
                  <w:gridSpan w:val="6"/>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 Budžeta izdevumi:</w:t>
                  </w:r>
                </w:p>
              </w:tc>
              <w:tc>
                <w:tcPr>
                  <w:tcW w:w="4056" w:type="pct"/>
                  <w:gridSpan w:val="6"/>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2.1. valsts pamatbudžets</w:t>
                  </w:r>
                </w:p>
              </w:tc>
              <w:tc>
                <w:tcPr>
                  <w:tcW w:w="4056" w:type="pct"/>
                  <w:gridSpan w:val="6"/>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2.2. valsts speciālais budžets</w:t>
                  </w:r>
                </w:p>
              </w:tc>
              <w:tc>
                <w:tcPr>
                  <w:tcW w:w="4056" w:type="pct"/>
                  <w:gridSpan w:val="6"/>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2.3. pašvaldību budžets</w:t>
                  </w:r>
                </w:p>
              </w:tc>
              <w:tc>
                <w:tcPr>
                  <w:tcW w:w="4056" w:type="pct"/>
                  <w:gridSpan w:val="6"/>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 Finansiālā ietekme:</w:t>
                  </w:r>
                </w:p>
              </w:tc>
              <w:tc>
                <w:tcPr>
                  <w:tcW w:w="4056" w:type="pct"/>
                  <w:gridSpan w:val="6"/>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3.1. valsts pamatbudžets</w:t>
                  </w:r>
                </w:p>
              </w:tc>
              <w:tc>
                <w:tcPr>
                  <w:tcW w:w="4056" w:type="pct"/>
                  <w:gridSpan w:val="6"/>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3.2. speciālais budžets</w:t>
                  </w:r>
                </w:p>
              </w:tc>
              <w:tc>
                <w:tcPr>
                  <w:tcW w:w="4056" w:type="pct"/>
                  <w:gridSpan w:val="6"/>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3.3. pašvaldību budžets</w:t>
                  </w:r>
                </w:p>
              </w:tc>
              <w:tc>
                <w:tcPr>
                  <w:tcW w:w="4056" w:type="pct"/>
                  <w:gridSpan w:val="6"/>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rHeight w:val="1930"/>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315"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X</w:t>
                  </w:r>
                </w:p>
              </w:tc>
              <w:tc>
                <w:tcPr>
                  <w:tcW w:w="3726" w:type="pct"/>
                  <w:gridSpan w:val="5"/>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 Precizēta finansiālā ietekme:</w:t>
                  </w:r>
                </w:p>
              </w:tc>
              <w:tc>
                <w:tcPr>
                  <w:tcW w:w="315" w:type="pct"/>
                  <w:vMerge w:val="restar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X</w:t>
                  </w:r>
                </w:p>
              </w:tc>
              <w:tc>
                <w:tcPr>
                  <w:tcW w:w="3726" w:type="pct"/>
                  <w:gridSpan w:val="5"/>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5.1. valsts pamatbudžets</w:t>
                  </w:r>
                </w:p>
              </w:tc>
              <w:tc>
                <w:tcPr>
                  <w:tcW w:w="315" w:type="pct"/>
                  <w:vMerge/>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726" w:type="pct"/>
                  <w:gridSpan w:val="5"/>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5.2. speciālais budžets</w:t>
                  </w:r>
                </w:p>
              </w:tc>
              <w:tc>
                <w:tcPr>
                  <w:tcW w:w="315" w:type="pct"/>
                  <w:vMerge/>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726" w:type="pct"/>
                  <w:gridSpan w:val="5"/>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5.3. pašvaldību budžets</w:t>
                  </w:r>
                </w:p>
              </w:tc>
              <w:tc>
                <w:tcPr>
                  <w:tcW w:w="315" w:type="pct"/>
                  <w:vMerge/>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726" w:type="pct"/>
                  <w:gridSpan w:val="5"/>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lastRenderedPageBreak/>
                    <w:t>6. Detalizēts ieņēmumu un izdevumu aprēķins (ja nepieciešams, detalizētu ieņēmumu un izdevumu aprēķinu var pievienot anotācijas pielikumā):</w:t>
                  </w:r>
                </w:p>
              </w:tc>
              <w:tc>
                <w:tcPr>
                  <w:tcW w:w="4056" w:type="pct"/>
                  <w:gridSpan w:val="6"/>
                  <w:vMerge w:val="restart"/>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6.1. detalizēts ieņēmumu aprēķins</w:t>
                  </w:r>
                </w:p>
              </w:tc>
              <w:tc>
                <w:tcPr>
                  <w:tcW w:w="4056" w:type="pct"/>
                  <w:gridSpan w:val="6"/>
                  <w:vMerge/>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r>
            <w:tr w:rsidR="0078538F" w:rsidRPr="0087690A" w:rsidTr="001C4816">
              <w:trPr>
                <w:tblCellSpacing w:w="15" w:type="dxa"/>
              </w:trPr>
              <w:tc>
                <w:tcPr>
                  <w:tcW w:w="897" w:type="pct"/>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6.2. detalizēts izdevumu aprēķins</w:t>
                  </w:r>
                </w:p>
              </w:tc>
              <w:tc>
                <w:tcPr>
                  <w:tcW w:w="4056" w:type="pct"/>
                  <w:gridSpan w:val="6"/>
                  <w:vMerge/>
                  <w:vAlign w:val="center"/>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r>
            <w:tr w:rsidR="0078538F" w:rsidRPr="0087690A" w:rsidTr="001C4816">
              <w:tblPrEx>
                <w:tblLook w:val="04A0" w:firstRow="1" w:lastRow="0" w:firstColumn="1" w:lastColumn="0" w:noHBand="0" w:noVBand="1"/>
              </w:tblPrEx>
              <w:trPr>
                <w:tblCellSpacing w:w="15" w:type="dxa"/>
              </w:trPr>
              <w:tc>
                <w:tcPr>
                  <w:tcW w:w="897" w:type="pct"/>
                  <w:hideMark/>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7. Cita informācija</w:t>
                  </w:r>
                </w:p>
              </w:tc>
              <w:tc>
                <w:tcPr>
                  <w:tcW w:w="4056" w:type="pct"/>
                  <w:gridSpan w:val="6"/>
                  <w:hideMark/>
                </w:tcPr>
                <w:p w:rsidR="0078538F" w:rsidRPr="0078538F" w:rsidRDefault="0078538F" w:rsidP="0020495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hAnsi="Times New Roman"/>
                      <w:sz w:val="28"/>
                      <w:szCs w:val="28"/>
                    </w:rPr>
                    <w:t>Ar nepieciešamo izmaiņu veikšanu Uzņēmumu reģistrā un Zemesgrāmatā saistītos izdevumus segs VSIA un papildus valsts budžeta līdzekļi tam nebūs nepieciešami</w:t>
                  </w:r>
                  <w:r>
                    <w:rPr>
                      <w:rFonts w:ascii="Times New Roman" w:hAnsi="Times New Roman"/>
                      <w:sz w:val="28"/>
                      <w:szCs w:val="28"/>
                    </w:rPr>
                    <w:t>.</w:t>
                  </w:r>
                </w:p>
              </w:tc>
            </w:tr>
          </w:tbl>
          <w:p w:rsidR="00142EC4" w:rsidRPr="000B4BF2" w:rsidRDefault="00142EC4" w:rsidP="00453A4F">
            <w:pPr>
              <w:spacing w:after="0" w:line="240" w:lineRule="auto"/>
              <w:jc w:val="both"/>
              <w:rPr>
                <w:rFonts w:ascii="Times New Roman" w:eastAsia="Times New Roman" w:hAnsi="Times New Roman" w:cs="Times New Roman"/>
                <w:b/>
                <w:sz w:val="28"/>
                <w:szCs w:val="28"/>
                <w:lang w:eastAsia="lv-LV"/>
              </w:rPr>
            </w:pPr>
          </w:p>
        </w:tc>
      </w:tr>
    </w:tbl>
    <w:tbl>
      <w:tblPr>
        <w:tblW w:w="5323" w:type="pct"/>
        <w:tblInd w:w="-575"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640"/>
      </w:tblGrid>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
                <w:bCs/>
                <w:sz w:val="28"/>
                <w:szCs w:val="28"/>
                <w:lang w:eastAsia="lv-LV"/>
              </w:rPr>
            </w:pPr>
            <w:r w:rsidRPr="008C5EF0">
              <w:rPr>
                <w:rFonts w:ascii="Times New Roman" w:eastAsia="Times New Roman" w:hAnsi="Times New Roman" w:cs="Times New Roman"/>
                <w:b/>
                <w:bCs/>
                <w:sz w:val="28"/>
                <w:szCs w:val="28"/>
                <w:lang w:eastAsia="lv-LV"/>
              </w:rPr>
              <w:lastRenderedPageBreak/>
              <w:t>IV. Tiesību akta projekta ietekme uz spēkā esošo tiesību normu sistēmu</w:t>
            </w:r>
          </w:p>
        </w:tc>
      </w:tr>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Cs/>
                <w:sz w:val="28"/>
                <w:szCs w:val="28"/>
                <w:lang w:eastAsia="lv-LV"/>
              </w:rPr>
            </w:pPr>
            <w:r w:rsidRPr="008C5EF0">
              <w:rPr>
                <w:rFonts w:ascii="Times New Roman" w:eastAsia="Times New Roman" w:hAnsi="Times New Roman" w:cs="Times New Roman"/>
                <w:bCs/>
                <w:sz w:val="28"/>
                <w:szCs w:val="28"/>
                <w:lang w:eastAsia="lv-LV"/>
              </w:rPr>
              <w:t>Projekts šo jomu neskar.</w:t>
            </w:r>
          </w:p>
        </w:tc>
      </w:tr>
      <w:tr w:rsidR="008C5EF0" w:rsidRPr="00B53A8B" w:rsidTr="008C5EF0">
        <w:trPr>
          <w:trHeight w:val="608"/>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
                <w:bCs/>
                <w:sz w:val="28"/>
                <w:szCs w:val="28"/>
                <w:lang w:eastAsia="lv-LV"/>
              </w:rPr>
            </w:pPr>
            <w:r w:rsidRPr="008C5EF0">
              <w:rPr>
                <w:rFonts w:ascii="Times New Roman" w:eastAsia="Times New Roman" w:hAnsi="Times New Roman" w:cs="Times New Roman"/>
                <w:b/>
                <w:bCs/>
                <w:sz w:val="28"/>
                <w:szCs w:val="28"/>
                <w:lang w:eastAsia="lv-LV"/>
              </w:rPr>
              <w:t>V. Tiesību akta projekta atbilstība Latvijas Republikas starptautiskajām saistībām</w:t>
            </w:r>
          </w:p>
        </w:tc>
      </w:tr>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Cs/>
                <w:sz w:val="28"/>
                <w:szCs w:val="28"/>
                <w:lang w:eastAsia="lv-LV"/>
              </w:rPr>
            </w:pPr>
            <w:r w:rsidRPr="008C5EF0">
              <w:rPr>
                <w:rFonts w:ascii="Times New Roman" w:eastAsia="Times New Roman" w:hAnsi="Times New Roman" w:cs="Times New Roman"/>
                <w:bCs/>
                <w:sz w:val="28"/>
                <w:szCs w:val="28"/>
                <w:lang w:eastAsia="lv-LV"/>
              </w:rPr>
              <w:t>Projekts šo jomu neskar.</w:t>
            </w:r>
          </w:p>
        </w:tc>
      </w:tr>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
                <w:bCs/>
                <w:sz w:val="28"/>
                <w:szCs w:val="28"/>
                <w:lang w:eastAsia="lv-LV"/>
              </w:rPr>
            </w:pPr>
            <w:r w:rsidRPr="008C5EF0">
              <w:rPr>
                <w:rFonts w:ascii="Times New Roman" w:eastAsia="Times New Roman" w:hAnsi="Times New Roman" w:cs="Times New Roman"/>
                <w:b/>
                <w:bCs/>
                <w:sz w:val="28"/>
                <w:szCs w:val="28"/>
                <w:lang w:eastAsia="lv-LV"/>
              </w:rPr>
              <w:t>VI. Sabiedrības līdzdalība un komunikācijas aktivitātes</w:t>
            </w:r>
          </w:p>
        </w:tc>
      </w:tr>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Cs/>
                <w:sz w:val="28"/>
                <w:szCs w:val="28"/>
                <w:lang w:eastAsia="lv-LV"/>
              </w:rPr>
            </w:pPr>
            <w:r w:rsidRPr="008C5EF0">
              <w:rPr>
                <w:rFonts w:ascii="Times New Roman" w:eastAsia="Times New Roman" w:hAnsi="Times New Roman" w:cs="Times New Roman"/>
                <w:bCs/>
                <w:sz w:val="28"/>
                <w:szCs w:val="28"/>
                <w:lang w:eastAsia="lv-LV"/>
              </w:rPr>
              <w:t>Projekts šo jomu neskar.</w:t>
            </w:r>
          </w:p>
        </w:tc>
      </w:tr>
    </w:tbl>
    <w:p w:rsidR="00C012AA" w:rsidRPr="000B4BF2" w:rsidRDefault="00C012AA" w:rsidP="008217E3">
      <w:pPr>
        <w:spacing w:after="0" w:line="240" w:lineRule="auto"/>
        <w:jc w:val="both"/>
        <w:rPr>
          <w:rFonts w:ascii="Times New Roman" w:eastAsia="Times New Roman" w:hAnsi="Times New Roman" w:cs="Times New Roman"/>
          <w:sz w:val="28"/>
          <w:szCs w:val="28"/>
          <w:lang w:eastAsia="lv-LV"/>
        </w:rPr>
      </w:pPr>
    </w:p>
    <w:tbl>
      <w:tblPr>
        <w:tblW w:w="5323" w:type="pct"/>
        <w:tblInd w:w="-57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2"/>
        <w:gridCol w:w="3172"/>
        <w:gridCol w:w="5506"/>
      </w:tblGrid>
      <w:tr w:rsidR="00C012AA" w:rsidRPr="000B4BF2" w:rsidTr="008C5EF0">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0B4BF2" w:rsidRDefault="00C012AA" w:rsidP="00494ED6">
            <w:pPr>
              <w:spacing w:after="0" w:line="240" w:lineRule="auto"/>
              <w:jc w:val="center"/>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 xml:space="preserve">VII. </w:t>
            </w:r>
            <w:r w:rsidRPr="000B4BF2">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0B4BF2" w:rsidTr="008C5EF0">
        <w:tc>
          <w:tcPr>
            <w:tcW w:w="499"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494ED6">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w:t>
            </w:r>
          </w:p>
        </w:tc>
        <w:tc>
          <w:tcPr>
            <w:tcW w:w="1645" w:type="pct"/>
            <w:tcBorders>
              <w:top w:val="outset" w:sz="6" w:space="0" w:color="000000"/>
              <w:left w:val="outset" w:sz="6" w:space="0" w:color="000000"/>
              <w:bottom w:val="outset" w:sz="6" w:space="0" w:color="000000"/>
              <w:right w:val="outset" w:sz="6" w:space="0" w:color="000000"/>
            </w:tcBorders>
          </w:tcPr>
          <w:p w:rsidR="00C012AA" w:rsidRPr="000B4BF2" w:rsidRDefault="00C012AA" w:rsidP="00494ED6">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izpildē iesaistītās institūcijas</w:t>
            </w:r>
          </w:p>
        </w:tc>
        <w:tc>
          <w:tcPr>
            <w:tcW w:w="2856" w:type="pct"/>
            <w:tcBorders>
              <w:top w:val="outset" w:sz="6" w:space="0" w:color="000000"/>
              <w:left w:val="outset" w:sz="6" w:space="0" w:color="000000"/>
              <w:bottom w:val="outset" w:sz="6" w:space="0" w:color="000000"/>
              <w:right w:val="outset" w:sz="6" w:space="0" w:color="000000"/>
            </w:tcBorders>
            <w:hideMark/>
          </w:tcPr>
          <w:p w:rsidR="00C012AA" w:rsidRPr="000B4BF2" w:rsidRDefault="00D43ED5" w:rsidP="005F0CAA">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Rīkojumu projektu</w:t>
            </w:r>
            <w:r w:rsidR="00C012AA" w:rsidRPr="000B4BF2">
              <w:rPr>
                <w:rFonts w:ascii="Times New Roman" w:eastAsia="Times New Roman" w:hAnsi="Times New Roman" w:cs="Times New Roman"/>
                <w:sz w:val="28"/>
                <w:szCs w:val="28"/>
                <w:lang w:eastAsia="lv-LV"/>
              </w:rPr>
              <w:t xml:space="preserve"> izpildi nodrošinās </w:t>
            </w:r>
            <w:r w:rsidR="00214CB2" w:rsidRPr="000B4BF2">
              <w:rPr>
                <w:rFonts w:ascii="Times New Roman" w:eastAsia="Times New Roman" w:hAnsi="Times New Roman" w:cs="Times New Roman"/>
                <w:sz w:val="28"/>
                <w:szCs w:val="28"/>
                <w:lang w:eastAsia="lv-LV"/>
              </w:rPr>
              <w:t xml:space="preserve">ministrija </w:t>
            </w:r>
            <w:r w:rsidR="00C012AA" w:rsidRPr="000B4BF2">
              <w:rPr>
                <w:rFonts w:ascii="Times New Roman" w:eastAsia="Times New Roman" w:hAnsi="Times New Roman" w:cs="Times New Roman"/>
                <w:sz w:val="28"/>
                <w:szCs w:val="28"/>
                <w:lang w:eastAsia="lv-LV"/>
              </w:rPr>
              <w:t xml:space="preserve">un </w:t>
            </w:r>
            <w:r w:rsidR="005F0CAA">
              <w:rPr>
                <w:rFonts w:ascii="Times New Roman" w:eastAsia="Times New Roman" w:hAnsi="Times New Roman" w:cs="Times New Roman"/>
                <w:sz w:val="28"/>
                <w:szCs w:val="28"/>
                <w:lang w:eastAsia="lv-LV"/>
              </w:rPr>
              <w:t>VSIA.</w:t>
            </w:r>
          </w:p>
        </w:tc>
      </w:tr>
      <w:tr w:rsidR="00C012AA" w:rsidRPr="000B4BF2" w:rsidTr="008C5EF0">
        <w:tc>
          <w:tcPr>
            <w:tcW w:w="499"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494ED6">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1645" w:type="pct"/>
            <w:tcBorders>
              <w:top w:val="outset" w:sz="6" w:space="0" w:color="000000"/>
              <w:left w:val="outset" w:sz="6" w:space="0" w:color="000000"/>
              <w:bottom w:val="outset" w:sz="6" w:space="0" w:color="000000"/>
              <w:right w:val="outset" w:sz="6" w:space="0" w:color="000000"/>
            </w:tcBorders>
          </w:tcPr>
          <w:p w:rsidR="00C012AA" w:rsidRPr="000B4BF2" w:rsidRDefault="00C012AA" w:rsidP="00494ED6">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izpildes ietekme uz pārvaldes funkcijām un institucionālo struktūru.</w:t>
            </w:r>
          </w:p>
          <w:p w:rsidR="00C012AA" w:rsidRPr="000B4BF2" w:rsidRDefault="00C012AA" w:rsidP="00494ED6">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856" w:type="pct"/>
            <w:tcBorders>
              <w:top w:val="outset" w:sz="6" w:space="0" w:color="000000"/>
              <w:left w:val="outset" w:sz="6" w:space="0" w:color="000000"/>
              <w:bottom w:val="outset" w:sz="6" w:space="0" w:color="000000"/>
              <w:right w:val="outset" w:sz="6" w:space="0" w:color="000000"/>
            </w:tcBorders>
            <w:hideMark/>
          </w:tcPr>
          <w:p w:rsidR="00C012AA" w:rsidRPr="000B4BF2" w:rsidRDefault="00A45D5F" w:rsidP="00494ED6">
            <w:pPr>
              <w:spacing w:after="0" w:line="240" w:lineRule="auto"/>
              <w:ind w:left="113" w:right="148" w:firstLine="42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r w:rsidR="00B1216A" w:rsidRPr="000B4BF2">
              <w:rPr>
                <w:rFonts w:ascii="Times New Roman" w:eastAsia="Times New Roman" w:hAnsi="Times New Roman" w:cs="Times New Roman"/>
                <w:sz w:val="28"/>
                <w:szCs w:val="28"/>
                <w:lang w:eastAsia="lv-LV"/>
              </w:rPr>
              <w:t>.</w:t>
            </w:r>
          </w:p>
        </w:tc>
      </w:tr>
      <w:tr w:rsidR="00C012AA" w:rsidRPr="000B4BF2" w:rsidTr="008C5EF0">
        <w:tc>
          <w:tcPr>
            <w:tcW w:w="499"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494ED6">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lastRenderedPageBreak/>
              <w:t>3.</w:t>
            </w:r>
          </w:p>
        </w:tc>
        <w:tc>
          <w:tcPr>
            <w:tcW w:w="1645" w:type="pct"/>
            <w:tcBorders>
              <w:top w:val="outset" w:sz="6" w:space="0" w:color="000000"/>
              <w:left w:val="outset" w:sz="6" w:space="0" w:color="000000"/>
              <w:bottom w:val="outset" w:sz="6" w:space="0" w:color="000000"/>
              <w:right w:val="outset" w:sz="6" w:space="0" w:color="000000"/>
            </w:tcBorders>
          </w:tcPr>
          <w:p w:rsidR="00C012AA" w:rsidRPr="000B4BF2" w:rsidRDefault="00C012AA" w:rsidP="00494ED6">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Cita informācija</w:t>
            </w:r>
          </w:p>
        </w:tc>
        <w:tc>
          <w:tcPr>
            <w:tcW w:w="2856" w:type="pct"/>
            <w:tcBorders>
              <w:top w:val="outset" w:sz="6" w:space="0" w:color="000000"/>
              <w:left w:val="outset" w:sz="6" w:space="0" w:color="000000"/>
              <w:bottom w:val="outset" w:sz="6" w:space="0" w:color="000000"/>
              <w:right w:val="outset" w:sz="6" w:space="0" w:color="000000"/>
            </w:tcBorders>
            <w:hideMark/>
          </w:tcPr>
          <w:p w:rsidR="006C3624" w:rsidRPr="000B4BF2" w:rsidRDefault="006C3624" w:rsidP="006C3624">
            <w:pPr>
              <w:spacing w:after="0" w:line="240" w:lineRule="auto"/>
              <w:ind w:left="113" w:right="148" w:firstLine="426"/>
              <w:jc w:val="both"/>
              <w:rPr>
                <w:rFonts w:ascii="Times New Roman" w:hAnsi="Times New Roman" w:cs="Times New Roman"/>
                <w:sz w:val="28"/>
                <w:szCs w:val="28"/>
              </w:rPr>
            </w:pPr>
            <w:r w:rsidRPr="000B4BF2">
              <w:rPr>
                <w:rFonts w:ascii="Times New Roman" w:hAnsi="Times New Roman" w:cs="Times New Roman"/>
                <w:sz w:val="28"/>
                <w:szCs w:val="28"/>
              </w:rPr>
              <w:t>Iesniedzamajiem dokumentiem nav piešķirams lietojuma ierobežojuma statuss.</w:t>
            </w:r>
          </w:p>
          <w:p w:rsidR="00C012AA" w:rsidRPr="000B4BF2" w:rsidRDefault="006C3624" w:rsidP="0092264D">
            <w:pPr>
              <w:spacing w:after="0" w:line="240" w:lineRule="auto"/>
              <w:ind w:left="113" w:right="148" w:firstLine="426"/>
              <w:jc w:val="both"/>
              <w:rPr>
                <w:rFonts w:ascii="Times New Roman" w:eastAsia="Times New Roman" w:hAnsi="Times New Roman" w:cs="Times New Roman"/>
                <w:sz w:val="28"/>
                <w:szCs w:val="28"/>
                <w:lang w:eastAsia="lv-LV"/>
              </w:rPr>
            </w:pPr>
            <w:r w:rsidRPr="000B4BF2">
              <w:rPr>
                <w:rFonts w:ascii="Times New Roman" w:hAnsi="Times New Roman" w:cs="Times New Roman"/>
                <w:sz w:val="28"/>
                <w:szCs w:val="28"/>
              </w:rPr>
              <w:t xml:space="preserve">Saskaņā ar Oficiālo publikāciju un tiesiskās informācijas </w:t>
            </w:r>
            <w:r w:rsidR="009C16F3" w:rsidRPr="000B4BF2">
              <w:rPr>
                <w:rFonts w:ascii="Times New Roman" w:hAnsi="Times New Roman" w:cs="Times New Roman"/>
                <w:sz w:val="28"/>
                <w:szCs w:val="28"/>
              </w:rPr>
              <w:t>likuma 2.panta pirmo daļu un 3.</w:t>
            </w:r>
            <w:r w:rsidRPr="000B4BF2">
              <w:rPr>
                <w:rFonts w:ascii="Times New Roman" w:hAnsi="Times New Roman" w:cs="Times New Roman"/>
                <w:sz w:val="28"/>
                <w:szCs w:val="28"/>
              </w:rPr>
              <w:t xml:space="preserve">panta pirmo daļu tiesību aktus publicē oficiālajā izdevumā „Latvijas Vēstnesis”, tos publicējot elektroniski </w:t>
            </w:r>
            <w:r w:rsidR="00C13216" w:rsidRPr="000B4BF2">
              <w:rPr>
                <w:rFonts w:ascii="Times New Roman" w:hAnsi="Times New Roman" w:cs="Times New Roman"/>
                <w:sz w:val="28"/>
                <w:szCs w:val="28"/>
              </w:rPr>
              <w:t>tīmekļ</w:t>
            </w:r>
            <w:r w:rsidRPr="000B4BF2">
              <w:rPr>
                <w:rFonts w:ascii="Times New Roman" w:hAnsi="Times New Roman" w:cs="Times New Roman"/>
                <w:sz w:val="28"/>
                <w:szCs w:val="28"/>
              </w:rPr>
              <w:t>vietnē www.vestnesis.lv.</w:t>
            </w:r>
          </w:p>
        </w:tc>
      </w:tr>
    </w:tbl>
    <w:p w:rsidR="00AC55B5" w:rsidRPr="000B4BF2" w:rsidRDefault="00AC55B5" w:rsidP="00C96BD5">
      <w:pPr>
        <w:spacing w:after="0" w:line="240" w:lineRule="auto"/>
        <w:ind w:right="-1" w:firstLine="720"/>
        <w:jc w:val="both"/>
        <w:rPr>
          <w:rFonts w:ascii="Times New Roman" w:hAnsi="Times New Roman" w:cs="Times New Roman"/>
          <w:sz w:val="28"/>
          <w:szCs w:val="28"/>
        </w:rPr>
      </w:pPr>
    </w:p>
    <w:p w:rsidR="00AC55B5" w:rsidRPr="000B4BF2" w:rsidRDefault="00AC55B5" w:rsidP="00C96BD5">
      <w:pPr>
        <w:spacing w:after="0" w:line="240" w:lineRule="auto"/>
        <w:ind w:right="-1" w:firstLine="720"/>
        <w:jc w:val="both"/>
        <w:rPr>
          <w:rFonts w:ascii="Times New Roman" w:hAnsi="Times New Roman" w:cs="Times New Roman"/>
          <w:sz w:val="28"/>
          <w:szCs w:val="28"/>
        </w:rPr>
      </w:pPr>
    </w:p>
    <w:p w:rsidR="00E8399E" w:rsidRPr="000B4BF2" w:rsidRDefault="001325A2" w:rsidP="00C96BD5">
      <w:pPr>
        <w:spacing w:after="0" w:line="240" w:lineRule="auto"/>
        <w:ind w:right="-1" w:firstLine="720"/>
        <w:jc w:val="both"/>
        <w:rPr>
          <w:rFonts w:ascii="Times New Roman" w:hAnsi="Times New Roman" w:cs="Times New Roman"/>
          <w:sz w:val="28"/>
          <w:szCs w:val="28"/>
        </w:rPr>
      </w:pPr>
      <w:r w:rsidRPr="000B4BF2">
        <w:rPr>
          <w:rFonts w:ascii="Times New Roman" w:hAnsi="Times New Roman" w:cs="Times New Roman"/>
          <w:sz w:val="28"/>
          <w:szCs w:val="28"/>
        </w:rPr>
        <w:t>Izglītības un zinātnes ministr</w:t>
      </w:r>
      <w:r w:rsidR="00881051" w:rsidRPr="000B4BF2">
        <w:rPr>
          <w:rFonts w:ascii="Times New Roman" w:hAnsi="Times New Roman" w:cs="Times New Roman"/>
          <w:sz w:val="28"/>
          <w:szCs w:val="28"/>
        </w:rPr>
        <w:t>s</w:t>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proofErr w:type="spellStart"/>
      <w:r w:rsidR="00881051" w:rsidRPr="000B4BF2">
        <w:rPr>
          <w:rFonts w:ascii="Times New Roman" w:hAnsi="Times New Roman" w:cs="Times New Roman"/>
          <w:sz w:val="28"/>
          <w:szCs w:val="28"/>
        </w:rPr>
        <w:t>K.Šadurskis</w:t>
      </w:r>
      <w:proofErr w:type="spellEnd"/>
    </w:p>
    <w:p w:rsidR="00360EC2" w:rsidRPr="000B4BF2" w:rsidRDefault="00360EC2" w:rsidP="00C96BD5">
      <w:pPr>
        <w:spacing w:after="0" w:line="240" w:lineRule="auto"/>
        <w:ind w:right="-1"/>
        <w:jc w:val="both"/>
        <w:rPr>
          <w:rFonts w:ascii="Times New Roman" w:hAnsi="Times New Roman" w:cs="Times New Roman"/>
          <w:sz w:val="28"/>
          <w:szCs w:val="28"/>
        </w:rPr>
      </w:pPr>
    </w:p>
    <w:p w:rsidR="00A34972" w:rsidRPr="000B4BF2" w:rsidRDefault="00A34972" w:rsidP="00C96BD5">
      <w:pPr>
        <w:spacing w:after="0" w:line="240" w:lineRule="auto"/>
        <w:ind w:right="-1" w:firstLine="709"/>
        <w:jc w:val="both"/>
        <w:rPr>
          <w:rFonts w:ascii="Times New Roman" w:hAnsi="Times New Roman" w:cs="Times New Roman"/>
          <w:sz w:val="28"/>
          <w:szCs w:val="28"/>
        </w:rPr>
      </w:pPr>
    </w:p>
    <w:p w:rsidR="00A34972" w:rsidRDefault="00A34972" w:rsidP="00C96BD5">
      <w:pPr>
        <w:spacing w:after="0" w:line="240" w:lineRule="auto"/>
        <w:ind w:right="-1" w:firstLine="709"/>
        <w:jc w:val="both"/>
        <w:rPr>
          <w:rFonts w:ascii="Times New Roman" w:hAnsi="Times New Roman" w:cs="Times New Roman"/>
          <w:sz w:val="28"/>
          <w:szCs w:val="28"/>
        </w:rPr>
      </w:pPr>
    </w:p>
    <w:p w:rsidR="001355BD" w:rsidRPr="000B4BF2" w:rsidRDefault="001355BD" w:rsidP="00C96BD5">
      <w:pPr>
        <w:spacing w:after="0" w:line="240" w:lineRule="auto"/>
        <w:ind w:right="-1" w:firstLine="709"/>
        <w:jc w:val="both"/>
        <w:rPr>
          <w:rFonts w:ascii="Times New Roman" w:hAnsi="Times New Roman" w:cs="Times New Roman"/>
          <w:sz w:val="28"/>
          <w:szCs w:val="28"/>
        </w:rPr>
      </w:pPr>
    </w:p>
    <w:p w:rsidR="001F3AF3" w:rsidRPr="000B4BF2" w:rsidRDefault="001F3AF3" w:rsidP="00C96BD5">
      <w:pPr>
        <w:spacing w:after="0" w:line="240" w:lineRule="auto"/>
        <w:ind w:right="-1" w:firstLine="720"/>
        <w:jc w:val="both"/>
        <w:rPr>
          <w:rFonts w:ascii="Times New Roman" w:hAnsi="Times New Roman" w:cs="Times New Roman"/>
          <w:sz w:val="28"/>
          <w:szCs w:val="28"/>
        </w:rPr>
      </w:pPr>
      <w:r w:rsidRPr="000B4BF2">
        <w:rPr>
          <w:rFonts w:ascii="Times New Roman" w:hAnsi="Times New Roman" w:cs="Times New Roman"/>
          <w:sz w:val="28"/>
          <w:szCs w:val="28"/>
        </w:rPr>
        <w:t>Izglītības un zinātnes ministrijas</w:t>
      </w:r>
    </w:p>
    <w:p w:rsidR="006B1CD5" w:rsidRPr="000B4BF2" w:rsidRDefault="001355BD" w:rsidP="008C5EF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v</w:t>
      </w:r>
      <w:r w:rsidR="008C5EF0">
        <w:rPr>
          <w:rFonts w:ascii="Times New Roman" w:hAnsi="Times New Roman" w:cs="Times New Roman"/>
          <w:sz w:val="28"/>
          <w:szCs w:val="28"/>
        </w:rPr>
        <w:t>alsts sekretāre</w:t>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proofErr w:type="spellStart"/>
      <w:r w:rsidR="008C5EF0">
        <w:rPr>
          <w:rFonts w:ascii="Times New Roman" w:hAnsi="Times New Roman" w:cs="Times New Roman"/>
          <w:sz w:val="28"/>
          <w:szCs w:val="28"/>
        </w:rPr>
        <w:t>L.Lejiņa</w:t>
      </w:r>
      <w:proofErr w:type="spellEnd"/>
    </w:p>
    <w:p w:rsidR="007F257E" w:rsidRPr="000B4BF2" w:rsidRDefault="007F257E" w:rsidP="00C96BD5">
      <w:pPr>
        <w:spacing w:after="0" w:line="240" w:lineRule="auto"/>
        <w:ind w:right="-1"/>
        <w:jc w:val="both"/>
        <w:rPr>
          <w:rFonts w:ascii="Times New Roman" w:hAnsi="Times New Roman" w:cs="Times New Roman"/>
          <w:sz w:val="28"/>
          <w:szCs w:val="28"/>
        </w:rPr>
      </w:pPr>
    </w:p>
    <w:p w:rsidR="008217E3" w:rsidRPr="000B4BF2" w:rsidRDefault="00732878" w:rsidP="00267849">
      <w:pPr>
        <w:tabs>
          <w:tab w:val="left" w:pos="1950"/>
        </w:tabs>
        <w:spacing w:after="0" w:line="240" w:lineRule="auto"/>
        <w:ind w:right="-1"/>
        <w:jc w:val="both"/>
        <w:rPr>
          <w:rFonts w:ascii="Times New Roman" w:hAnsi="Times New Roman" w:cs="Times New Roman"/>
          <w:sz w:val="28"/>
          <w:szCs w:val="28"/>
        </w:rPr>
      </w:pPr>
      <w:r w:rsidRPr="000B4BF2">
        <w:rPr>
          <w:rFonts w:ascii="Times New Roman" w:hAnsi="Times New Roman" w:cs="Times New Roman"/>
          <w:sz w:val="28"/>
          <w:szCs w:val="28"/>
        </w:rPr>
        <w:tab/>
      </w:r>
    </w:p>
    <w:p w:rsidR="008217E3" w:rsidRDefault="008217E3"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8217E3" w:rsidRPr="000B4BF2" w:rsidRDefault="008217E3" w:rsidP="00C96BD5">
      <w:pPr>
        <w:spacing w:after="0" w:line="240" w:lineRule="auto"/>
        <w:ind w:right="-1"/>
        <w:jc w:val="both"/>
        <w:rPr>
          <w:rFonts w:ascii="Times New Roman" w:hAnsi="Times New Roman" w:cs="Times New Roman"/>
        </w:rPr>
      </w:pPr>
    </w:p>
    <w:p w:rsidR="001F3AF3" w:rsidRPr="000B4BF2" w:rsidRDefault="008C5EF0" w:rsidP="00C94933">
      <w:pPr>
        <w:spacing w:after="0" w:line="240" w:lineRule="auto"/>
        <w:ind w:right="-1" w:firstLine="709"/>
        <w:jc w:val="both"/>
        <w:rPr>
          <w:rFonts w:ascii="Times New Roman" w:hAnsi="Times New Roman" w:cs="Times New Roman"/>
        </w:rPr>
      </w:pPr>
      <w:r>
        <w:rPr>
          <w:rFonts w:ascii="Times New Roman" w:hAnsi="Times New Roman" w:cs="Times New Roman"/>
        </w:rPr>
        <w:t>Adamane</w:t>
      </w:r>
      <w:r w:rsidR="001F3AF3" w:rsidRPr="000B4BF2">
        <w:rPr>
          <w:rFonts w:ascii="Times New Roman" w:hAnsi="Times New Roman" w:cs="Times New Roman"/>
        </w:rPr>
        <w:t xml:space="preserve"> </w:t>
      </w:r>
      <w:r w:rsidR="002D4CA1" w:rsidRPr="000B4BF2">
        <w:rPr>
          <w:rFonts w:ascii="Times New Roman" w:hAnsi="Times New Roman" w:cs="Times New Roman"/>
        </w:rPr>
        <w:t>67047</w:t>
      </w:r>
      <w:r>
        <w:rPr>
          <w:rFonts w:ascii="Times New Roman" w:hAnsi="Times New Roman" w:cs="Times New Roman"/>
        </w:rPr>
        <w:t>756</w:t>
      </w:r>
    </w:p>
    <w:p w:rsidR="002D4CA1" w:rsidRPr="000B4BF2" w:rsidRDefault="008C5EF0" w:rsidP="00C94933">
      <w:pPr>
        <w:spacing w:after="0" w:line="240" w:lineRule="auto"/>
        <w:ind w:right="-1" w:firstLine="709"/>
        <w:jc w:val="both"/>
        <w:rPr>
          <w:rFonts w:ascii="Times New Roman" w:hAnsi="Times New Roman" w:cs="Times New Roman"/>
          <w:sz w:val="28"/>
          <w:szCs w:val="28"/>
        </w:rPr>
      </w:pPr>
      <w:r>
        <w:rPr>
          <w:rFonts w:ascii="Times New Roman" w:hAnsi="Times New Roman" w:cs="Times New Roman"/>
        </w:rPr>
        <w:t>Madara.Adamane</w:t>
      </w:r>
      <w:r w:rsidR="002D4CA1" w:rsidRPr="000B4BF2">
        <w:rPr>
          <w:rFonts w:ascii="Times New Roman" w:hAnsi="Times New Roman" w:cs="Times New Roman"/>
        </w:rPr>
        <w:t>@izm.gov.lv</w:t>
      </w:r>
      <w:r w:rsidR="00C012AA" w:rsidRPr="000B4BF2">
        <w:rPr>
          <w:rFonts w:ascii="Times New Roman" w:hAnsi="Times New Roman" w:cs="Times New Roman"/>
          <w:sz w:val="24"/>
          <w:szCs w:val="24"/>
        </w:rPr>
        <w:tab/>
      </w:r>
      <w:r w:rsidR="00F51D11" w:rsidRPr="000B4BF2">
        <w:rPr>
          <w:rFonts w:ascii="Times New Roman" w:hAnsi="Times New Roman" w:cs="Times New Roman"/>
          <w:sz w:val="28"/>
          <w:szCs w:val="28"/>
        </w:rPr>
        <w:tab/>
      </w:r>
    </w:p>
    <w:sectPr w:rsidR="002D4CA1" w:rsidRPr="000B4BF2" w:rsidSect="004B1B8F">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FB" w:rsidRDefault="003F2EFB" w:rsidP="00AB4555">
      <w:pPr>
        <w:spacing w:after="0" w:line="240" w:lineRule="auto"/>
      </w:pPr>
      <w:r>
        <w:separator/>
      </w:r>
    </w:p>
  </w:endnote>
  <w:endnote w:type="continuationSeparator" w:id="0">
    <w:p w:rsidR="003F2EFB" w:rsidRDefault="003F2EFB"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D6" w:rsidRPr="00B1216A" w:rsidRDefault="00494ED6" w:rsidP="00B1216A">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8A6680">
      <w:rPr>
        <w:rFonts w:ascii="Times New Roman" w:hAnsi="Times New Roman" w:cs="Times New Roman"/>
        <w:noProof/>
        <w:sz w:val="24"/>
        <w:szCs w:val="24"/>
      </w:rPr>
      <w:t>IZMAnot_041017_Sigulda</w:t>
    </w:r>
    <w:r w:rsidRPr="00B1216A">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D6" w:rsidRPr="00B1216A" w:rsidRDefault="00494ED6" w:rsidP="00790C94">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8A6680">
      <w:rPr>
        <w:rFonts w:ascii="Times New Roman" w:hAnsi="Times New Roman" w:cs="Times New Roman"/>
        <w:noProof/>
        <w:sz w:val="24"/>
        <w:szCs w:val="24"/>
      </w:rPr>
      <w:t>IZMAnot_041017_Sigulda</w:t>
    </w:r>
    <w:r w:rsidRPr="00B1216A">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FB" w:rsidRDefault="003F2EFB" w:rsidP="00AB4555">
      <w:pPr>
        <w:spacing w:after="0" w:line="240" w:lineRule="auto"/>
      </w:pPr>
      <w:r>
        <w:separator/>
      </w:r>
    </w:p>
  </w:footnote>
  <w:footnote w:type="continuationSeparator" w:id="0">
    <w:p w:rsidR="003F2EFB" w:rsidRDefault="003F2EFB"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053"/>
      <w:docPartObj>
        <w:docPartGallery w:val="Page Numbers (Top of Page)"/>
        <w:docPartUnique/>
      </w:docPartObj>
    </w:sdtPr>
    <w:sdtEndPr>
      <w:rPr>
        <w:rFonts w:ascii="Times New Roman" w:hAnsi="Times New Roman" w:cs="Times New Roman"/>
        <w:sz w:val="24"/>
        <w:szCs w:val="24"/>
      </w:rPr>
    </w:sdtEndPr>
    <w:sdtContent>
      <w:p w:rsidR="00494ED6" w:rsidRPr="00FD7B17" w:rsidRDefault="00494ED6">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CD012C">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CECE3E"/>
    <w:lvl w:ilvl="0">
      <w:numFmt w:val="bullet"/>
      <w:lvlText w:val="*"/>
      <w:lvlJc w:val="left"/>
    </w:lvl>
  </w:abstractNum>
  <w:abstractNum w:abstractNumId="1"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2"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3"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4"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5"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7"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8"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7"/>
  </w:num>
  <w:num w:numId="6">
    <w:abstractNumId w:val="2"/>
  </w:num>
  <w:num w:numId="7">
    <w:abstractNumId w:val="4"/>
  </w:num>
  <w:num w:numId="8">
    <w:abstractNumId w:val="5"/>
  </w:num>
  <w:num w:numId="9">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4379"/>
    <w:rsid w:val="0000613F"/>
    <w:rsid w:val="00006440"/>
    <w:rsid w:val="00007C25"/>
    <w:rsid w:val="000104F6"/>
    <w:rsid w:val="00010C3A"/>
    <w:rsid w:val="000111C8"/>
    <w:rsid w:val="0001246C"/>
    <w:rsid w:val="00012911"/>
    <w:rsid w:val="0001337F"/>
    <w:rsid w:val="00013B3B"/>
    <w:rsid w:val="00014371"/>
    <w:rsid w:val="00015817"/>
    <w:rsid w:val="00016004"/>
    <w:rsid w:val="000161F0"/>
    <w:rsid w:val="000163D8"/>
    <w:rsid w:val="000224E9"/>
    <w:rsid w:val="000250F8"/>
    <w:rsid w:val="0002656E"/>
    <w:rsid w:val="00027133"/>
    <w:rsid w:val="00030454"/>
    <w:rsid w:val="00032C94"/>
    <w:rsid w:val="00034EBD"/>
    <w:rsid w:val="000350C6"/>
    <w:rsid w:val="00035724"/>
    <w:rsid w:val="000375ED"/>
    <w:rsid w:val="00040C59"/>
    <w:rsid w:val="00041368"/>
    <w:rsid w:val="00044E75"/>
    <w:rsid w:val="00045247"/>
    <w:rsid w:val="00045477"/>
    <w:rsid w:val="00045F35"/>
    <w:rsid w:val="00047292"/>
    <w:rsid w:val="0005048D"/>
    <w:rsid w:val="00051054"/>
    <w:rsid w:val="0005382F"/>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1BB"/>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97E19"/>
    <w:rsid w:val="000A2E31"/>
    <w:rsid w:val="000A67A1"/>
    <w:rsid w:val="000B09E4"/>
    <w:rsid w:val="000B0D42"/>
    <w:rsid w:val="000B16F3"/>
    <w:rsid w:val="000B194F"/>
    <w:rsid w:val="000B24F2"/>
    <w:rsid w:val="000B2601"/>
    <w:rsid w:val="000B3ED7"/>
    <w:rsid w:val="000B4508"/>
    <w:rsid w:val="000B4BF2"/>
    <w:rsid w:val="000B4E1F"/>
    <w:rsid w:val="000B53D3"/>
    <w:rsid w:val="000C029E"/>
    <w:rsid w:val="000C0C81"/>
    <w:rsid w:val="000C14CD"/>
    <w:rsid w:val="000C339F"/>
    <w:rsid w:val="000C376A"/>
    <w:rsid w:val="000C3AD7"/>
    <w:rsid w:val="000C5D16"/>
    <w:rsid w:val="000C613A"/>
    <w:rsid w:val="000C6333"/>
    <w:rsid w:val="000C697D"/>
    <w:rsid w:val="000C6C6C"/>
    <w:rsid w:val="000C7E4C"/>
    <w:rsid w:val="000D1AD1"/>
    <w:rsid w:val="000D2490"/>
    <w:rsid w:val="000D3D42"/>
    <w:rsid w:val="000D6DC8"/>
    <w:rsid w:val="000E53F2"/>
    <w:rsid w:val="000E61F4"/>
    <w:rsid w:val="000F14B5"/>
    <w:rsid w:val="000F201B"/>
    <w:rsid w:val="000F416F"/>
    <w:rsid w:val="000F44FD"/>
    <w:rsid w:val="000F4D63"/>
    <w:rsid w:val="000F55F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55BD"/>
    <w:rsid w:val="001375D8"/>
    <w:rsid w:val="00140B3B"/>
    <w:rsid w:val="00140D13"/>
    <w:rsid w:val="00142770"/>
    <w:rsid w:val="00142EC4"/>
    <w:rsid w:val="00143885"/>
    <w:rsid w:val="00144B3B"/>
    <w:rsid w:val="001455CC"/>
    <w:rsid w:val="00145C2E"/>
    <w:rsid w:val="00146C32"/>
    <w:rsid w:val="001471D0"/>
    <w:rsid w:val="0014765A"/>
    <w:rsid w:val="00150568"/>
    <w:rsid w:val="00151333"/>
    <w:rsid w:val="00151C85"/>
    <w:rsid w:val="00152D0A"/>
    <w:rsid w:val="00152F02"/>
    <w:rsid w:val="0015414E"/>
    <w:rsid w:val="00155E50"/>
    <w:rsid w:val="0016110C"/>
    <w:rsid w:val="00161683"/>
    <w:rsid w:val="00161695"/>
    <w:rsid w:val="001674D1"/>
    <w:rsid w:val="00172DA6"/>
    <w:rsid w:val="001730D3"/>
    <w:rsid w:val="00174756"/>
    <w:rsid w:val="00175A18"/>
    <w:rsid w:val="0017796B"/>
    <w:rsid w:val="001803D0"/>
    <w:rsid w:val="00184375"/>
    <w:rsid w:val="00184616"/>
    <w:rsid w:val="00185418"/>
    <w:rsid w:val="00186B36"/>
    <w:rsid w:val="00190183"/>
    <w:rsid w:val="00192631"/>
    <w:rsid w:val="001928D7"/>
    <w:rsid w:val="00193A2E"/>
    <w:rsid w:val="00194C15"/>
    <w:rsid w:val="001969FF"/>
    <w:rsid w:val="001A0B13"/>
    <w:rsid w:val="001A1583"/>
    <w:rsid w:val="001A3180"/>
    <w:rsid w:val="001A5251"/>
    <w:rsid w:val="001A5793"/>
    <w:rsid w:val="001A7EB8"/>
    <w:rsid w:val="001B1A9B"/>
    <w:rsid w:val="001B37A2"/>
    <w:rsid w:val="001C3533"/>
    <w:rsid w:val="001C39AD"/>
    <w:rsid w:val="001C57DE"/>
    <w:rsid w:val="001C6025"/>
    <w:rsid w:val="001C6999"/>
    <w:rsid w:val="001C7181"/>
    <w:rsid w:val="001C7C12"/>
    <w:rsid w:val="001D00EB"/>
    <w:rsid w:val="001D1A14"/>
    <w:rsid w:val="001D1D09"/>
    <w:rsid w:val="001D2355"/>
    <w:rsid w:val="001D2A90"/>
    <w:rsid w:val="001D44C3"/>
    <w:rsid w:val="001E09A3"/>
    <w:rsid w:val="001E2AE5"/>
    <w:rsid w:val="001E2B2A"/>
    <w:rsid w:val="001E363F"/>
    <w:rsid w:val="001E6728"/>
    <w:rsid w:val="001E6C8E"/>
    <w:rsid w:val="001F05AF"/>
    <w:rsid w:val="001F247E"/>
    <w:rsid w:val="001F2605"/>
    <w:rsid w:val="001F3AF3"/>
    <w:rsid w:val="001F4351"/>
    <w:rsid w:val="001F4C1B"/>
    <w:rsid w:val="001F4C39"/>
    <w:rsid w:val="001F59A4"/>
    <w:rsid w:val="001F6149"/>
    <w:rsid w:val="001F77FA"/>
    <w:rsid w:val="00200009"/>
    <w:rsid w:val="00200F85"/>
    <w:rsid w:val="002019CB"/>
    <w:rsid w:val="00203C71"/>
    <w:rsid w:val="00204953"/>
    <w:rsid w:val="00204AE2"/>
    <w:rsid w:val="0020544F"/>
    <w:rsid w:val="00205811"/>
    <w:rsid w:val="00206BEB"/>
    <w:rsid w:val="00212418"/>
    <w:rsid w:val="002132C6"/>
    <w:rsid w:val="00214566"/>
    <w:rsid w:val="00214CB2"/>
    <w:rsid w:val="00221274"/>
    <w:rsid w:val="0022231A"/>
    <w:rsid w:val="0022290C"/>
    <w:rsid w:val="00222BB2"/>
    <w:rsid w:val="002264E0"/>
    <w:rsid w:val="00226D65"/>
    <w:rsid w:val="00227A76"/>
    <w:rsid w:val="00232B2E"/>
    <w:rsid w:val="0023447A"/>
    <w:rsid w:val="0023457E"/>
    <w:rsid w:val="00234C60"/>
    <w:rsid w:val="00240A3F"/>
    <w:rsid w:val="00241D65"/>
    <w:rsid w:val="00243843"/>
    <w:rsid w:val="00245F6D"/>
    <w:rsid w:val="00246BB0"/>
    <w:rsid w:val="00251EE8"/>
    <w:rsid w:val="00252AA4"/>
    <w:rsid w:val="00254CA6"/>
    <w:rsid w:val="0025532F"/>
    <w:rsid w:val="00257320"/>
    <w:rsid w:val="00257841"/>
    <w:rsid w:val="002578AD"/>
    <w:rsid w:val="00257B9B"/>
    <w:rsid w:val="00261E46"/>
    <w:rsid w:val="00263AE5"/>
    <w:rsid w:val="00263FD3"/>
    <w:rsid w:val="002661C1"/>
    <w:rsid w:val="00266D1B"/>
    <w:rsid w:val="00267849"/>
    <w:rsid w:val="00271035"/>
    <w:rsid w:val="002722B6"/>
    <w:rsid w:val="002864DA"/>
    <w:rsid w:val="0028693D"/>
    <w:rsid w:val="00290D03"/>
    <w:rsid w:val="00290FC5"/>
    <w:rsid w:val="00292F6A"/>
    <w:rsid w:val="00294AAB"/>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B6EF0"/>
    <w:rsid w:val="002B70A3"/>
    <w:rsid w:val="002C0AE8"/>
    <w:rsid w:val="002C3137"/>
    <w:rsid w:val="002C5270"/>
    <w:rsid w:val="002C663F"/>
    <w:rsid w:val="002C70E2"/>
    <w:rsid w:val="002D0198"/>
    <w:rsid w:val="002D09D7"/>
    <w:rsid w:val="002D0A3D"/>
    <w:rsid w:val="002D0E9C"/>
    <w:rsid w:val="002D2158"/>
    <w:rsid w:val="002D3712"/>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380"/>
    <w:rsid w:val="002F49F4"/>
    <w:rsid w:val="002F629A"/>
    <w:rsid w:val="00303449"/>
    <w:rsid w:val="00304282"/>
    <w:rsid w:val="003047EA"/>
    <w:rsid w:val="00304831"/>
    <w:rsid w:val="00306BC8"/>
    <w:rsid w:val="003073AA"/>
    <w:rsid w:val="00310832"/>
    <w:rsid w:val="003127CE"/>
    <w:rsid w:val="00312A76"/>
    <w:rsid w:val="00314316"/>
    <w:rsid w:val="00317285"/>
    <w:rsid w:val="003223D9"/>
    <w:rsid w:val="0032333B"/>
    <w:rsid w:val="00323BF1"/>
    <w:rsid w:val="003266B9"/>
    <w:rsid w:val="003309F1"/>
    <w:rsid w:val="00330E5A"/>
    <w:rsid w:val="00334566"/>
    <w:rsid w:val="0033501C"/>
    <w:rsid w:val="00337832"/>
    <w:rsid w:val="00340F82"/>
    <w:rsid w:val="00345A86"/>
    <w:rsid w:val="00346CFD"/>
    <w:rsid w:val="003472F2"/>
    <w:rsid w:val="00347D83"/>
    <w:rsid w:val="003511E5"/>
    <w:rsid w:val="003540D0"/>
    <w:rsid w:val="00354299"/>
    <w:rsid w:val="00354752"/>
    <w:rsid w:val="00354BA0"/>
    <w:rsid w:val="00357FEC"/>
    <w:rsid w:val="0036066B"/>
    <w:rsid w:val="00360EC2"/>
    <w:rsid w:val="00361751"/>
    <w:rsid w:val="00361FC8"/>
    <w:rsid w:val="003711F9"/>
    <w:rsid w:val="00372B09"/>
    <w:rsid w:val="00373A68"/>
    <w:rsid w:val="003760A7"/>
    <w:rsid w:val="003837D3"/>
    <w:rsid w:val="00391026"/>
    <w:rsid w:val="00391B5C"/>
    <w:rsid w:val="00392CED"/>
    <w:rsid w:val="003936EA"/>
    <w:rsid w:val="00393707"/>
    <w:rsid w:val="00396E30"/>
    <w:rsid w:val="00397655"/>
    <w:rsid w:val="003A01C5"/>
    <w:rsid w:val="003A025B"/>
    <w:rsid w:val="003A0295"/>
    <w:rsid w:val="003A0C7D"/>
    <w:rsid w:val="003A12A6"/>
    <w:rsid w:val="003A18F3"/>
    <w:rsid w:val="003A1E9E"/>
    <w:rsid w:val="003A3BCA"/>
    <w:rsid w:val="003A5504"/>
    <w:rsid w:val="003A6376"/>
    <w:rsid w:val="003B4837"/>
    <w:rsid w:val="003B61AD"/>
    <w:rsid w:val="003C088A"/>
    <w:rsid w:val="003C25E3"/>
    <w:rsid w:val="003C2B45"/>
    <w:rsid w:val="003C2FE1"/>
    <w:rsid w:val="003C3812"/>
    <w:rsid w:val="003C3AD6"/>
    <w:rsid w:val="003C3B6B"/>
    <w:rsid w:val="003C415F"/>
    <w:rsid w:val="003C5349"/>
    <w:rsid w:val="003C62E4"/>
    <w:rsid w:val="003C76FA"/>
    <w:rsid w:val="003D2B99"/>
    <w:rsid w:val="003D3334"/>
    <w:rsid w:val="003D41BC"/>
    <w:rsid w:val="003D68AA"/>
    <w:rsid w:val="003D6F1C"/>
    <w:rsid w:val="003E2DE1"/>
    <w:rsid w:val="003E46FB"/>
    <w:rsid w:val="003F074C"/>
    <w:rsid w:val="003F2AAA"/>
    <w:rsid w:val="003F2E22"/>
    <w:rsid w:val="003F2EFB"/>
    <w:rsid w:val="003F3AF6"/>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16A09"/>
    <w:rsid w:val="00420A60"/>
    <w:rsid w:val="0042398F"/>
    <w:rsid w:val="004336E9"/>
    <w:rsid w:val="00434182"/>
    <w:rsid w:val="0043434F"/>
    <w:rsid w:val="004411EA"/>
    <w:rsid w:val="0044241B"/>
    <w:rsid w:val="00442E51"/>
    <w:rsid w:val="00444D33"/>
    <w:rsid w:val="00444EE7"/>
    <w:rsid w:val="00445A39"/>
    <w:rsid w:val="00447EFE"/>
    <w:rsid w:val="004503C1"/>
    <w:rsid w:val="00451942"/>
    <w:rsid w:val="00452240"/>
    <w:rsid w:val="00453A4F"/>
    <w:rsid w:val="004544C0"/>
    <w:rsid w:val="00454AFC"/>
    <w:rsid w:val="00454E1C"/>
    <w:rsid w:val="004565DC"/>
    <w:rsid w:val="004567E6"/>
    <w:rsid w:val="00461064"/>
    <w:rsid w:val="004611C0"/>
    <w:rsid w:val="00461D79"/>
    <w:rsid w:val="0046780C"/>
    <w:rsid w:val="004701A3"/>
    <w:rsid w:val="004719D1"/>
    <w:rsid w:val="0047444E"/>
    <w:rsid w:val="00474663"/>
    <w:rsid w:val="00474FF2"/>
    <w:rsid w:val="00476353"/>
    <w:rsid w:val="00476FDA"/>
    <w:rsid w:val="004772FE"/>
    <w:rsid w:val="00480808"/>
    <w:rsid w:val="00481300"/>
    <w:rsid w:val="004816F0"/>
    <w:rsid w:val="004826A1"/>
    <w:rsid w:val="00482CFE"/>
    <w:rsid w:val="0048355B"/>
    <w:rsid w:val="00483A9B"/>
    <w:rsid w:val="00484ADE"/>
    <w:rsid w:val="00487E10"/>
    <w:rsid w:val="00487E91"/>
    <w:rsid w:val="004933FA"/>
    <w:rsid w:val="00494ED6"/>
    <w:rsid w:val="004962BB"/>
    <w:rsid w:val="00497949"/>
    <w:rsid w:val="004A087C"/>
    <w:rsid w:val="004A0EF3"/>
    <w:rsid w:val="004A3D2B"/>
    <w:rsid w:val="004A64B5"/>
    <w:rsid w:val="004A664A"/>
    <w:rsid w:val="004A710A"/>
    <w:rsid w:val="004B1B8F"/>
    <w:rsid w:val="004B29EC"/>
    <w:rsid w:val="004B2FC9"/>
    <w:rsid w:val="004B410E"/>
    <w:rsid w:val="004B472E"/>
    <w:rsid w:val="004B4CBE"/>
    <w:rsid w:val="004B4DC1"/>
    <w:rsid w:val="004B4E43"/>
    <w:rsid w:val="004B508E"/>
    <w:rsid w:val="004B576C"/>
    <w:rsid w:val="004C2099"/>
    <w:rsid w:val="004C2D50"/>
    <w:rsid w:val="004C32DA"/>
    <w:rsid w:val="004C4FA0"/>
    <w:rsid w:val="004D1760"/>
    <w:rsid w:val="004D202B"/>
    <w:rsid w:val="004D3771"/>
    <w:rsid w:val="004D59A3"/>
    <w:rsid w:val="004D621A"/>
    <w:rsid w:val="004E1734"/>
    <w:rsid w:val="004E1793"/>
    <w:rsid w:val="004E1ECC"/>
    <w:rsid w:val="004E3073"/>
    <w:rsid w:val="004E5C8B"/>
    <w:rsid w:val="004E7EF1"/>
    <w:rsid w:val="004F068B"/>
    <w:rsid w:val="004F0B1E"/>
    <w:rsid w:val="004F2AF3"/>
    <w:rsid w:val="004F2DCF"/>
    <w:rsid w:val="004F3EBD"/>
    <w:rsid w:val="004F4653"/>
    <w:rsid w:val="004F4D2C"/>
    <w:rsid w:val="004F558F"/>
    <w:rsid w:val="004F5CDC"/>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31AF0"/>
    <w:rsid w:val="005337BC"/>
    <w:rsid w:val="00533F7A"/>
    <w:rsid w:val="005345A9"/>
    <w:rsid w:val="005349CA"/>
    <w:rsid w:val="00543E67"/>
    <w:rsid w:val="00544219"/>
    <w:rsid w:val="005442AF"/>
    <w:rsid w:val="005473A6"/>
    <w:rsid w:val="0055078B"/>
    <w:rsid w:val="0055157C"/>
    <w:rsid w:val="005540AC"/>
    <w:rsid w:val="005548BC"/>
    <w:rsid w:val="005567E0"/>
    <w:rsid w:val="0055680D"/>
    <w:rsid w:val="00557204"/>
    <w:rsid w:val="00557F0B"/>
    <w:rsid w:val="005612FE"/>
    <w:rsid w:val="00562FFA"/>
    <w:rsid w:val="005631A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49D1"/>
    <w:rsid w:val="0059536B"/>
    <w:rsid w:val="005961FF"/>
    <w:rsid w:val="0059628D"/>
    <w:rsid w:val="00597171"/>
    <w:rsid w:val="005A0738"/>
    <w:rsid w:val="005A228E"/>
    <w:rsid w:val="005A3196"/>
    <w:rsid w:val="005A36EA"/>
    <w:rsid w:val="005A6172"/>
    <w:rsid w:val="005A77EF"/>
    <w:rsid w:val="005B0558"/>
    <w:rsid w:val="005B0881"/>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0CAA"/>
    <w:rsid w:val="005F3602"/>
    <w:rsid w:val="005F390D"/>
    <w:rsid w:val="005F3AD0"/>
    <w:rsid w:val="005F3D2C"/>
    <w:rsid w:val="005F4C55"/>
    <w:rsid w:val="005F535B"/>
    <w:rsid w:val="005F5980"/>
    <w:rsid w:val="005F62D5"/>
    <w:rsid w:val="006001FC"/>
    <w:rsid w:val="00600C46"/>
    <w:rsid w:val="00600FC7"/>
    <w:rsid w:val="00601EA2"/>
    <w:rsid w:val="00604775"/>
    <w:rsid w:val="00607136"/>
    <w:rsid w:val="00620269"/>
    <w:rsid w:val="00624532"/>
    <w:rsid w:val="00625001"/>
    <w:rsid w:val="00625961"/>
    <w:rsid w:val="006317BC"/>
    <w:rsid w:val="00631FEA"/>
    <w:rsid w:val="006353A6"/>
    <w:rsid w:val="006356DC"/>
    <w:rsid w:val="006400F5"/>
    <w:rsid w:val="00640181"/>
    <w:rsid w:val="00642025"/>
    <w:rsid w:val="00643B63"/>
    <w:rsid w:val="00646720"/>
    <w:rsid w:val="00651ABE"/>
    <w:rsid w:val="00652257"/>
    <w:rsid w:val="00653889"/>
    <w:rsid w:val="006552FB"/>
    <w:rsid w:val="00655B9B"/>
    <w:rsid w:val="00655D90"/>
    <w:rsid w:val="00656A9F"/>
    <w:rsid w:val="00657A5F"/>
    <w:rsid w:val="00657E6A"/>
    <w:rsid w:val="006605BD"/>
    <w:rsid w:val="00662147"/>
    <w:rsid w:val="006636A0"/>
    <w:rsid w:val="00664770"/>
    <w:rsid w:val="00665102"/>
    <w:rsid w:val="00665990"/>
    <w:rsid w:val="00667198"/>
    <w:rsid w:val="0067245A"/>
    <w:rsid w:val="00673A44"/>
    <w:rsid w:val="00675008"/>
    <w:rsid w:val="00676054"/>
    <w:rsid w:val="00676813"/>
    <w:rsid w:val="00682B12"/>
    <w:rsid w:val="00686F14"/>
    <w:rsid w:val="00691051"/>
    <w:rsid w:val="006918E8"/>
    <w:rsid w:val="00692199"/>
    <w:rsid w:val="00693146"/>
    <w:rsid w:val="00694490"/>
    <w:rsid w:val="006944DF"/>
    <w:rsid w:val="00694F4A"/>
    <w:rsid w:val="006951CD"/>
    <w:rsid w:val="0069642A"/>
    <w:rsid w:val="00697555"/>
    <w:rsid w:val="006A266E"/>
    <w:rsid w:val="006A3086"/>
    <w:rsid w:val="006A30C5"/>
    <w:rsid w:val="006A3241"/>
    <w:rsid w:val="006A6812"/>
    <w:rsid w:val="006A69E4"/>
    <w:rsid w:val="006A6ECA"/>
    <w:rsid w:val="006B05D2"/>
    <w:rsid w:val="006B10DD"/>
    <w:rsid w:val="006B1CD5"/>
    <w:rsid w:val="006B1E89"/>
    <w:rsid w:val="006B27E9"/>
    <w:rsid w:val="006B29BA"/>
    <w:rsid w:val="006B2F81"/>
    <w:rsid w:val="006B3321"/>
    <w:rsid w:val="006B3992"/>
    <w:rsid w:val="006B61D5"/>
    <w:rsid w:val="006B7362"/>
    <w:rsid w:val="006C1E36"/>
    <w:rsid w:val="006C26A9"/>
    <w:rsid w:val="006C3624"/>
    <w:rsid w:val="006C40E6"/>
    <w:rsid w:val="006C4839"/>
    <w:rsid w:val="006C4F03"/>
    <w:rsid w:val="006C599B"/>
    <w:rsid w:val="006C65C7"/>
    <w:rsid w:val="006C65D5"/>
    <w:rsid w:val="006E2FE9"/>
    <w:rsid w:val="006E4831"/>
    <w:rsid w:val="006E526D"/>
    <w:rsid w:val="006E56A1"/>
    <w:rsid w:val="006E5B31"/>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52A"/>
    <w:rsid w:val="00712BC3"/>
    <w:rsid w:val="0071400C"/>
    <w:rsid w:val="00715727"/>
    <w:rsid w:val="00716540"/>
    <w:rsid w:val="007220CA"/>
    <w:rsid w:val="00723AAB"/>
    <w:rsid w:val="00723DA9"/>
    <w:rsid w:val="007247AA"/>
    <w:rsid w:val="00731DB4"/>
    <w:rsid w:val="00732316"/>
    <w:rsid w:val="00732878"/>
    <w:rsid w:val="007342E6"/>
    <w:rsid w:val="00734857"/>
    <w:rsid w:val="00734F9A"/>
    <w:rsid w:val="007356E2"/>
    <w:rsid w:val="00736156"/>
    <w:rsid w:val="0073680E"/>
    <w:rsid w:val="007369D6"/>
    <w:rsid w:val="00736E51"/>
    <w:rsid w:val="00740AF9"/>
    <w:rsid w:val="007417B0"/>
    <w:rsid w:val="007417EA"/>
    <w:rsid w:val="00742596"/>
    <w:rsid w:val="0074575F"/>
    <w:rsid w:val="00745E1D"/>
    <w:rsid w:val="007501E8"/>
    <w:rsid w:val="00752B19"/>
    <w:rsid w:val="007535A5"/>
    <w:rsid w:val="00753828"/>
    <w:rsid w:val="0075569A"/>
    <w:rsid w:val="00756D38"/>
    <w:rsid w:val="007610E5"/>
    <w:rsid w:val="007632FC"/>
    <w:rsid w:val="00764DE0"/>
    <w:rsid w:val="007669EC"/>
    <w:rsid w:val="00766DC3"/>
    <w:rsid w:val="007724F2"/>
    <w:rsid w:val="007726BF"/>
    <w:rsid w:val="00773834"/>
    <w:rsid w:val="00774095"/>
    <w:rsid w:val="00774459"/>
    <w:rsid w:val="00774A79"/>
    <w:rsid w:val="0078032E"/>
    <w:rsid w:val="0078473B"/>
    <w:rsid w:val="00785124"/>
    <w:rsid w:val="007852FB"/>
    <w:rsid w:val="0078538F"/>
    <w:rsid w:val="007856A1"/>
    <w:rsid w:val="00785A42"/>
    <w:rsid w:val="00787E85"/>
    <w:rsid w:val="00790C94"/>
    <w:rsid w:val="00790D85"/>
    <w:rsid w:val="00790DB2"/>
    <w:rsid w:val="007920FB"/>
    <w:rsid w:val="00792310"/>
    <w:rsid w:val="00792577"/>
    <w:rsid w:val="0079375A"/>
    <w:rsid w:val="0079381E"/>
    <w:rsid w:val="00794E4F"/>
    <w:rsid w:val="00795218"/>
    <w:rsid w:val="0079775A"/>
    <w:rsid w:val="007A0CE0"/>
    <w:rsid w:val="007A11EB"/>
    <w:rsid w:val="007A125A"/>
    <w:rsid w:val="007A2D05"/>
    <w:rsid w:val="007B19CD"/>
    <w:rsid w:val="007B235A"/>
    <w:rsid w:val="007B401E"/>
    <w:rsid w:val="007B45A1"/>
    <w:rsid w:val="007B64E0"/>
    <w:rsid w:val="007B6DD2"/>
    <w:rsid w:val="007B7472"/>
    <w:rsid w:val="007B75A4"/>
    <w:rsid w:val="007B7C19"/>
    <w:rsid w:val="007C0721"/>
    <w:rsid w:val="007C3A4E"/>
    <w:rsid w:val="007C3E34"/>
    <w:rsid w:val="007C62BD"/>
    <w:rsid w:val="007C7559"/>
    <w:rsid w:val="007D3CFA"/>
    <w:rsid w:val="007D6614"/>
    <w:rsid w:val="007D67CF"/>
    <w:rsid w:val="007D6F17"/>
    <w:rsid w:val="007D732A"/>
    <w:rsid w:val="007D78E2"/>
    <w:rsid w:val="007E1C7C"/>
    <w:rsid w:val="007E529D"/>
    <w:rsid w:val="007E7BB2"/>
    <w:rsid w:val="007E7BD8"/>
    <w:rsid w:val="007F1D37"/>
    <w:rsid w:val="007F257E"/>
    <w:rsid w:val="007F2BB2"/>
    <w:rsid w:val="007F6DD0"/>
    <w:rsid w:val="007F74EF"/>
    <w:rsid w:val="008008B6"/>
    <w:rsid w:val="00800CFC"/>
    <w:rsid w:val="00800FB8"/>
    <w:rsid w:val="00801AA5"/>
    <w:rsid w:val="00806DB3"/>
    <w:rsid w:val="008070C0"/>
    <w:rsid w:val="00807C91"/>
    <w:rsid w:val="008137AD"/>
    <w:rsid w:val="00814E3E"/>
    <w:rsid w:val="00815014"/>
    <w:rsid w:val="0081508D"/>
    <w:rsid w:val="0081636D"/>
    <w:rsid w:val="00820856"/>
    <w:rsid w:val="00820D09"/>
    <w:rsid w:val="00821649"/>
    <w:rsid w:val="008217E3"/>
    <w:rsid w:val="00824FF2"/>
    <w:rsid w:val="00826779"/>
    <w:rsid w:val="008341BA"/>
    <w:rsid w:val="00834985"/>
    <w:rsid w:val="00836247"/>
    <w:rsid w:val="008405BA"/>
    <w:rsid w:val="00842765"/>
    <w:rsid w:val="00843911"/>
    <w:rsid w:val="0084410A"/>
    <w:rsid w:val="00846E43"/>
    <w:rsid w:val="00847340"/>
    <w:rsid w:val="00850D89"/>
    <w:rsid w:val="00850F13"/>
    <w:rsid w:val="00851167"/>
    <w:rsid w:val="008525F3"/>
    <w:rsid w:val="0085289D"/>
    <w:rsid w:val="00854B14"/>
    <w:rsid w:val="00856301"/>
    <w:rsid w:val="008569F3"/>
    <w:rsid w:val="008606FA"/>
    <w:rsid w:val="008621D3"/>
    <w:rsid w:val="00862925"/>
    <w:rsid w:val="00863F61"/>
    <w:rsid w:val="0086419C"/>
    <w:rsid w:val="0086450E"/>
    <w:rsid w:val="008664D3"/>
    <w:rsid w:val="00866909"/>
    <w:rsid w:val="00867BE4"/>
    <w:rsid w:val="0087154A"/>
    <w:rsid w:val="0087495A"/>
    <w:rsid w:val="00875DF4"/>
    <w:rsid w:val="0087690A"/>
    <w:rsid w:val="00876F24"/>
    <w:rsid w:val="008776A4"/>
    <w:rsid w:val="008777D9"/>
    <w:rsid w:val="00880522"/>
    <w:rsid w:val="00881051"/>
    <w:rsid w:val="00881A58"/>
    <w:rsid w:val="008824B1"/>
    <w:rsid w:val="00887401"/>
    <w:rsid w:val="00891295"/>
    <w:rsid w:val="0089168A"/>
    <w:rsid w:val="008924A0"/>
    <w:rsid w:val="00895296"/>
    <w:rsid w:val="008972B8"/>
    <w:rsid w:val="008A1884"/>
    <w:rsid w:val="008A1942"/>
    <w:rsid w:val="008A5C40"/>
    <w:rsid w:val="008A5F06"/>
    <w:rsid w:val="008A6680"/>
    <w:rsid w:val="008B087C"/>
    <w:rsid w:val="008B1788"/>
    <w:rsid w:val="008B7543"/>
    <w:rsid w:val="008B770D"/>
    <w:rsid w:val="008B7BDF"/>
    <w:rsid w:val="008C3C24"/>
    <w:rsid w:val="008C5B54"/>
    <w:rsid w:val="008C5EF0"/>
    <w:rsid w:val="008C6A4C"/>
    <w:rsid w:val="008D18A0"/>
    <w:rsid w:val="008D1CCB"/>
    <w:rsid w:val="008D2E5F"/>
    <w:rsid w:val="008D2FEB"/>
    <w:rsid w:val="008D39BA"/>
    <w:rsid w:val="008D40D6"/>
    <w:rsid w:val="008D41B7"/>
    <w:rsid w:val="008D58BD"/>
    <w:rsid w:val="008D68EA"/>
    <w:rsid w:val="008E0B07"/>
    <w:rsid w:val="008E1B2A"/>
    <w:rsid w:val="008E262F"/>
    <w:rsid w:val="008E2654"/>
    <w:rsid w:val="008E44E8"/>
    <w:rsid w:val="008F46F1"/>
    <w:rsid w:val="008F5A9C"/>
    <w:rsid w:val="008F703A"/>
    <w:rsid w:val="00900E0F"/>
    <w:rsid w:val="00902750"/>
    <w:rsid w:val="00902B9D"/>
    <w:rsid w:val="00903E35"/>
    <w:rsid w:val="0090457A"/>
    <w:rsid w:val="009057B7"/>
    <w:rsid w:val="00905F9B"/>
    <w:rsid w:val="00906C2C"/>
    <w:rsid w:val="009144E0"/>
    <w:rsid w:val="00915630"/>
    <w:rsid w:val="00915F6E"/>
    <w:rsid w:val="009174A4"/>
    <w:rsid w:val="00917F37"/>
    <w:rsid w:val="00921A96"/>
    <w:rsid w:val="0092264D"/>
    <w:rsid w:val="009228F0"/>
    <w:rsid w:val="009236E1"/>
    <w:rsid w:val="00925EEC"/>
    <w:rsid w:val="0092695A"/>
    <w:rsid w:val="009271F1"/>
    <w:rsid w:val="009274D9"/>
    <w:rsid w:val="00931192"/>
    <w:rsid w:val="009312C9"/>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5D8"/>
    <w:rsid w:val="0095777A"/>
    <w:rsid w:val="009600C4"/>
    <w:rsid w:val="00963A2D"/>
    <w:rsid w:val="00964413"/>
    <w:rsid w:val="009653B5"/>
    <w:rsid w:val="00965BA7"/>
    <w:rsid w:val="00966483"/>
    <w:rsid w:val="00967916"/>
    <w:rsid w:val="00970933"/>
    <w:rsid w:val="00971788"/>
    <w:rsid w:val="00972019"/>
    <w:rsid w:val="00974AAB"/>
    <w:rsid w:val="0097506B"/>
    <w:rsid w:val="009767F0"/>
    <w:rsid w:val="00981319"/>
    <w:rsid w:val="009828F5"/>
    <w:rsid w:val="00982D1A"/>
    <w:rsid w:val="00983675"/>
    <w:rsid w:val="00985565"/>
    <w:rsid w:val="00986111"/>
    <w:rsid w:val="00986994"/>
    <w:rsid w:val="00986F85"/>
    <w:rsid w:val="00986FE7"/>
    <w:rsid w:val="00994AED"/>
    <w:rsid w:val="00995563"/>
    <w:rsid w:val="00996B9A"/>
    <w:rsid w:val="009A1353"/>
    <w:rsid w:val="009A2C48"/>
    <w:rsid w:val="009A3E93"/>
    <w:rsid w:val="009A5F4B"/>
    <w:rsid w:val="009B502B"/>
    <w:rsid w:val="009B5858"/>
    <w:rsid w:val="009B5859"/>
    <w:rsid w:val="009B595D"/>
    <w:rsid w:val="009B6E03"/>
    <w:rsid w:val="009C062E"/>
    <w:rsid w:val="009C16F3"/>
    <w:rsid w:val="009C1D66"/>
    <w:rsid w:val="009C3815"/>
    <w:rsid w:val="009C78EE"/>
    <w:rsid w:val="009D0225"/>
    <w:rsid w:val="009D33CA"/>
    <w:rsid w:val="009D5488"/>
    <w:rsid w:val="009D5BCD"/>
    <w:rsid w:val="009E64FB"/>
    <w:rsid w:val="009F1056"/>
    <w:rsid w:val="009F42F1"/>
    <w:rsid w:val="009F4848"/>
    <w:rsid w:val="009F563F"/>
    <w:rsid w:val="009F5F41"/>
    <w:rsid w:val="009F6969"/>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1F4E"/>
    <w:rsid w:val="00A1376C"/>
    <w:rsid w:val="00A13EF2"/>
    <w:rsid w:val="00A170CE"/>
    <w:rsid w:val="00A17DA5"/>
    <w:rsid w:val="00A2031A"/>
    <w:rsid w:val="00A23855"/>
    <w:rsid w:val="00A23951"/>
    <w:rsid w:val="00A24FB4"/>
    <w:rsid w:val="00A2616E"/>
    <w:rsid w:val="00A30BCC"/>
    <w:rsid w:val="00A3111E"/>
    <w:rsid w:val="00A31A5B"/>
    <w:rsid w:val="00A323D2"/>
    <w:rsid w:val="00A3270B"/>
    <w:rsid w:val="00A33A9F"/>
    <w:rsid w:val="00A33D62"/>
    <w:rsid w:val="00A34972"/>
    <w:rsid w:val="00A361B6"/>
    <w:rsid w:val="00A36600"/>
    <w:rsid w:val="00A40C63"/>
    <w:rsid w:val="00A42CFB"/>
    <w:rsid w:val="00A44CB9"/>
    <w:rsid w:val="00A44F2E"/>
    <w:rsid w:val="00A45D5F"/>
    <w:rsid w:val="00A5047F"/>
    <w:rsid w:val="00A513DC"/>
    <w:rsid w:val="00A52D37"/>
    <w:rsid w:val="00A53663"/>
    <w:rsid w:val="00A53DA8"/>
    <w:rsid w:val="00A54DC2"/>
    <w:rsid w:val="00A607D5"/>
    <w:rsid w:val="00A62209"/>
    <w:rsid w:val="00A6283A"/>
    <w:rsid w:val="00A637B5"/>
    <w:rsid w:val="00A650CE"/>
    <w:rsid w:val="00A7135C"/>
    <w:rsid w:val="00A72C2B"/>
    <w:rsid w:val="00A73421"/>
    <w:rsid w:val="00A737D4"/>
    <w:rsid w:val="00A743B6"/>
    <w:rsid w:val="00A7530F"/>
    <w:rsid w:val="00A772FE"/>
    <w:rsid w:val="00A80FCF"/>
    <w:rsid w:val="00A8155B"/>
    <w:rsid w:val="00A83E94"/>
    <w:rsid w:val="00A841B1"/>
    <w:rsid w:val="00A85643"/>
    <w:rsid w:val="00A8710E"/>
    <w:rsid w:val="00A87ECB"/>
    <w:rsid w:val="00A90AC2"/>
    <w:rsid w:val="00A91E66"/>
    <w:rsid w:val="00A924AB"/>
    <w:rsid w:val="00A928E4"/>
    <w:rsid w:val="00A94626"/>
    <w:rsid w:val="00A96C71"/>
    <w:rsid w:val="00A96D71"/>
    <w:rsid w:val="00A976E8"/>
    <w:rsid w:val="00A97E4E"/>
    <w:rsid w:val="00AA1071"/>
    <w:rsid w:val="00AA3BBE"/>
    <w:rsid w:val="00AA4E47"/>
    <w:rsid w:val="00AA706C"/>
    <w:rsid w:val="00AB4555"/>
    <w:rsid w:val="00AB71D0"/>
    <w:rsid w:val="00AB7643"/>
    <w:rsid w:val="00AC0A4D"/>
    <w:rsid w:val="00AC55B5"/>
    <w:rsid w:val="00AC5C0A"/>
    <w:rsid w:val="00AC5C2D"/>
    <w:rsid w:val="00AD071F"/>
    <w:rsid w:val="00AD5210"/>
    <w:rsid w:val="00AD5494"/>
    <w:rsid w:val="00AD54D9"/>
    <w:rsid w:val="00AE0908"/>
    <w:rsid w:val="00AE0F3C"/>
    <w:rsid w:val="00AE1EDA"/>
    <w:rsid w:val="00AE219A"/>
    <w:rsid w:val="00AE22AA"/>
    <w:rsid w:val="00AE7422"/>
    <w:rsid w:val="00AF03D9"/>
    <w:rsid w:val="00AF1857"/>
    <w:rsid w:val="00AF1C4E"/>
    <w:rsid w:val="00AF2B7D"/>
    <w:rsid w:val="00AF52C8"/>
    <w:rsid w:val="00AF5A0A"/>
    <w:rsid w:val="00AF6D39"/>
    <w:rsid w:val="00AF74B2"/>
    <w:rsid w:val="00B104F2"/>
    <w:rsid w:val="00B1119E"/>
    <w:rsid w:val="00B1203A"/>
    <w:rsid w:val="00B1216A"/>
    <w:rsid w:val="00B1324C"/>
    <w:rsid w:val="00B14E03"/>
    <w:rsid w:val="00B14E4D"/>
    <w:rsid w:val="00B16202"/>
    <w:rsid w:val="00B201DD"/>
    <w:rsid w:val="00B2106E"/>
    <w:rsid w:val="00B21CC8"/>
    <w:rsid w:val="00B225AA"/>
    <w:rsid w:val="00B238CC"/>
    <w:rsid w:val="00B23E86"/>
    <w:rsid w:val="00B263DF"/>
    <w:rsid w:val="00B30483"/>
    <w:rsid w:val="00B307C6"/>
    <w:rsid w:val="00B30A32"/>
    <w:rsid w:val="00B30BEE"/>
    <w:rsid w:val="00B322FE"/>
    <w:rsid w:val="00B3269A"/>
    <w:rsid w:val="00B3678F"/>
    <w:rsid w:val="00B40CCF"/>
    <w:rsid w:val="00B412A5"/>
    <w:rsid w:val="00B42026"/>
    <w:rsid w:val="00B422DF"/>
    <w:rsid w:val="00B43380"/>
    <w:rsid w:val="00B439EC"/>
    <w:rsid w:val="00B46873"/>
    <w:rsid w:val="00B47DF9"/>
    <w:rsid w:val="00B51155"/>
    <w:rsid w:val="00B53E07"/>
    <w:rsid w:val="00B53EFF"/>
    <w:rsid w:val="00B55EA6"/>
    <w:rsid w:val="00B60DB2"/>
    <w:rsid w:val="00B61F5D"/>
    <w:rsid w:val="00B6333E"/>
    <w:rsid w:val="00B65EF6"/>
    <w:rsid w:val="00B660CD"/>
    <w:rsid w:val="00B66B75"/>
    <w:rsid w:val="00B71902"/>
    <w:rsid w:val="00B730AC"/>
    <w:rsid w:val="00B75B38"/>
    <w:rsid w:val="00B76087"/>
    <w:rsid w:val="00B775A9"/>
    <w:rsid w:val="00B81039"/>
    <w:rsid w:val="00B82B63"/>
    <w:rsid w:val="00B8760D"/>
    <w:rsid w:val="00B87610"/>
    <w:rsid w:val="00B902F8"/>
    <w:rsid w:val="00B903DA"/>
    <w:rsid w:val="00B90949"/>
    <w:rsid w:val="00B90C8D"/>
    <w:rsid w:val="00B910D6"/>
    <w:rsid w:val="00B91BCB"/>
    <w:rsid w:val="00B92928"/>
    <w:rsid w:val="00B95F15"/>
    <w:rsid w:val="00BA1DD7"/>
    <w:rsid w:val="00BA571C"/>
    <w:rsid w:val="00BA6988"/>
    <w:rsid w:val="00BA7A4E"/>
    <w:rsid w:val="00BB0082"/>
    <w:rsid w:val="00BB119E"/>
    <w:rsid w:val="00BB3F70"/>
    <w:rsid w:val="00BB4830"/>
    <w:rsid w:val="00BB533F"/>
    <w:rsid w:val="00BB7002"/>
    <w:rsid w:val="00BC2EC3"/>
    <w:rsid w:val="00BC4071"/>
    <w:rsid w:val="00BC5FD6"/>
    <w:rsid w:val="00BD5714"/>
    <w:rsid w:val="00BE114E"/>
    <w:rsid w:val="00BE20FF"/>
    <w:rsid w:val="00BE2434"/>
    <w:rsid w:val="00BE281E"/>
    <w:rsid w:val="00BE44FE"/>
    <w:rsid w:val="00BE626B"/>
    <w:rsid w:val="00BF0703"/>
    <w:rsid w:val="00BF1A7D"/>
    <w:rsid w:val="00BF5858"/>
    <w:rsid w:val="00BF69AC"/>
    <w:rsid w:val="00BF787E"/>
    <w:rsid w:val="00C012AA"/>
    <w:rsid w:val="00C0154E"/>
    <w:rsid w:val="00C01F8A"/>
    <w:rsid w:val="00C04520"/>
    <w:rsid w:val="00C061C5"/>
    <w:rsid w:val="00C06805"/>
    <w:rsid w:val="00C07DA8"/>
    <w:rsid w:val="00C13216"/>
    <w:rsid w:val="00C13F23"/>
    <w:rsid w:val="00C14517"/>
    <w:rsid w:val="00C15F2E"/>
    <w:rsid w:val="00C17422"/>
    <w:rsid w:val="00C17D92"/>
    <w:rsid w:val="00C22F74"/>
    <w:rsid w:val="00C24553"/>
    <w:rsid w:val="00C2463E"/>
    <w:rsid w:val="00C24789"/>
    <w:rsid w:val="00C25499"/>
    <w:rsid w:val="00C25E8C"/>
    <w:rsid w:val="00C26DAE"/>
    <w:rsid w:val="00C274DD"/>
    <w:rsid w:val="00C30044"/>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3961"/>
    <w:rsid w:val="00C94933"/>
    <w:rsid w:val="00C96BD5"/>
    <w:rsid w:val="00C9749A"/>
    <w:rsid w:val="00CA11F4"/>
    <w:rsid w:val="00CA3843"/>
    <w:rsid w:val="00CA3A04"/>
    <w:rsid w:val="00CA5085"/>
    <w:rsid w:val="00CA5252"/>
    <w:rsid w:val="00CA6207"/>
    <w:rsid w:val="00CA6783"/>
    <w:rsid w:val="00CB0E5C"/>
    <w:rsid w:val="00CB1077"/>
    <w:rsid w:val="00CB3B0F"/>
    <w:rsid w:val="00CB497D"/>
    <w:rsid w:val="00CB49E1"/>
    <w:rsid w:val="00CB4ADC"/>
    <w:rsid w:val="00CC0308"/>
    <w:rsid w:val="00CC5C98"/>
    <w:rsid w:val="00CC5E94"/>
    <w:rsid w:val="00CD012C"/>
    <w:rsid w:val="00CD2326"/>
    <w:rsid w:val="00CD4B2C"/>
    <w:rsid w:val="00CD4F7B"/>
    <w:rsid w:val="00CD5C29"/>
    <w:rsid w:val="00CD72FC"/>
    <w:rsid w:val="00CE1494"/>
    <w:rsid w:val="00CE24B2"/>
    <w:rsid w:val="00CE28A2"/>
    <w:rsid w:val="00CE3050"/>
    <w:rsid w:val="00CE47BD"/>
    <w:rsid w:val="00CE5ED5"/>
    <w:rsid w:val="00CE75C8"/>
    <w:rsid w:val="00CE7C63"/>
    <w:rsid w:val="00CE7E3A"/>
    <w:rsid w:val="00CF3B50"/>
    <w:rsid w:val="00CF412E"/>
    <w:rsid w:val="00CF52D0"/>
    <w:rsid w:val="00CF6715"/>
    <w:rsid w:val="00CF6A77"/>
    <w:rsid w:val="00D01AD4"/>
    <w:rsid w:val="00D01DC8"/>
    <w:rsid w:val="00D01E12"/>
    <w:rsid w:val="00D0339C"/>
    <w:rsid w:val="00D039F3"/>
    <w:rsid w:val="00D05957"/>
    <w:rsid w:val="00D06682"/>
    <w:rsid w:val="00D07353"/>
    <w:rsid w:val="00D0752E"/>
    <w:rsid w:val="00D1235B"/>
    <w:rsid w:val="00D141A8"/>
    <w:rsid w:val="00D165FC"/>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B38"/>
    <w:rsid w:val="00D40EFB"/>
    <w:rsid w:val="00D40FB1"/>
    <w:rsid w:val="00D41349"/>
    <w:rsid w:val="00D43ED5"/>
    <w:rsid w:val="00D4420D"/>
    <w:rsid w:val="00D44F5E"/>
    <w:rsid w:val="00D46565"/>
    <w:rsid w:val="00D466BC"/>
    <w:rsid w:val="00D54B17"/>
    <w:rsid w:val="00D56FCF"/>
    <w:rsid w:val="00D575C0"/>
    <w:rsid w:val="00D60646"/>
    <w:rsid w:val="00D611A4"/>
    <w:rsid w:val="00D617E4"/>
    <w:rsid w:val="00D624A8"/>
    <w:rsid w:val="00D65EB4"/>
    <w:rsid w:val="00D668B8"/>
    <w:rsid w:val="00D67006"/>
    <w:rsid w:val="00D7046F"/>
    <w:rsid w:val="00D70DCC"/>
    <w:rsid w:val="00D7114C"/>
    <w:rsid w:val="00D712B0"/>
    <w:rsid w:val="00D7206B"/>
    <w:rsid w:val="00D7424F"/>
    <w:rsid w:val="00D75774"/>
    <w:rsid w:val="00D76313"/>
    <w:rsid w:val="00D764AB"/>
    <w:rsid w:val="00D77FA8"/>
    <w:rsid w:val="00D81C4D"/>
    <w:rsid w:val="00D81C84"/>
    <w:rsid w:val="00D8388D"/>
    <w:rsid w:val="00D84E65"/>
    <w:rsid w:val="00D85006"/>
    <w:rsid w:val="00D85674"/>
    <w:rsid w:val="00D85BAD"/>
    <w:rsid w:val="00D86025"/>
    <w:rsid w:val="00D86B58"/>
    <w:rsid w:val="00D87B27"/>
    <w:rsid w:val="00D9066F"/>
    <w:rsid w:val="00D927BC"/>
    <w:rsid w:val="00D92BA7"/>
    <w:rsid w:val="00D94083"/>
    <w:rsid w:val="00D94B38"/>
    <w:rsid w:val="00D953A2"/>
    <w:rsid w:val="00DA000A"/>
    <w:rsid w:val="00DA0F18"/>
    <w:rsid w:val="00DA1D2E"/>
    <w:rsid w:val="00DA3230"/>
    <w:rsid w:val="00DA4029"/>
    <w:rsid w:val="00DB4E64"/>
    <w:rsid w:val="00DB5F7A"/>
    <w:rsid w:val="00DB6E07"/>
    <w:rsid w:val="00DC140C"/>
    <w:rsid w:val="00DC4645"/>
    <w:rsid w:val="00DC5553"/>
    <w:rsid w:val="00DC5B7C"/>
    <w:rsid w:val="00DD0220"/>
    <w:rsid w:val="00DD0EB2"/>
    <w:rsid w:val="00DD3DDA"/>
    <w:rsid w:val="00DD427E"/>
    <w:rsid w:val="00DD4D61"/>
    <w:rsid w:val="00DD6298"/>
    <w:rsid w:val="00DD6E0D"/>
    <w:rsid w:val="00DD7236"/>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CE8"/>
    <w:rsid w:val="00E13DB8"/>
    <w:rsid w:val="00E14980"/>
    <w:rsid w:val="00E15F5C"/>
    <w:rsid w:val="00E17D56"/>
    <w:rsid w:val="00E21EBE"/>
    <w:rsid w:val="00E2214A"/>
    <w:rsid w:val="00E22A8E"/>
    <w:rsid w:val="00E22DB2"/>
    <w:rsid w:val="00E24536"/>
    <w:rsid w:val="00E27161"/>
    <w:rsid w:val="00E30D47"/>
    <w:rsid w:val="00E36EAF"/>
    <w:rsid w:val="00E3750E"/>
    <w:rsid w:val="00E3756C"/>
    <w:rsid w:val="00E401DF"/>
    <w:rsid w:val="00E42EBC"/>
    <w:rsid w:val="00E43FC6"/>
    <w:rsid w:val="00E4538B"/>
    <w:rsid w:val="00E46647"/>
    <w:rsid w:val="00E47011"/>
    <w:rsid w:val="00E47361"/>
    <w:rsid w:val="00E473F1"/>
    <w:rsid w:val="00E53D09"/>
    <w:rsid w:val="00E5423A"/>
    <w:rsid w:val="00E54C8C"/>
    <w:rsid w:val="00E555AB"/>
    <w:rsid w:val="00E56619"/>
    <w:rsid w:val="00E56916"/>
    <w:rsid w:val="00E56F63"/>
    <w:rsid w:val="00E607A8"/>
    <w:rsid w:val="00E63280"/>
    <w:rsid w:val="00E649B5"/>
    <w:rsid w:val="00E70171"/>
    <w:rsid w:val="00E729C2"/>
    <w:rsid w:val="00E73548"/>
    <w:rsid w:val="00E746CF"/>
    <w:rsid w:val="00E748C6"/>
    <w:rsid w:val="00E74F99"/>
    <w:rsid w:val="00E762E3"/>
    <w:rsid w:val="00E76B27"/>
    <w:rsid w:val="00E773E0"/>
    <w:rsid w:val="00E82191"/>
    <w:rsid w:val="00E82AA1"/>
    <w:rsid w:val="00E8399E"/>
    <w:rsid w:val="00E83B82"/>
    <w:rsid w:val="00E84DE8"/>
    <w:rsid w:val="00E8699B"/>
    <w:rsid w:val="00E91122"/>
    <w:rsid w:val="00E915F1"/>
    <w:rsid w:val="00E923A1"/>
    <w:rsid w:val="00E936A8"/>
    <w:rsid w:val="00E95B27"/>
    <w:rsid w:val="00EA005D"/>
    <w:rsid w:val="00EA14DE"/>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598C"/>
    <w:rsid w:val="00EC61C6"/>
    <w:rsid w:val="00EC6A4D"/>
    <w:rsid w:val="00EC78AE"/>
    <w:rsid w:val="00ED1BA6"/>
    <w:rsid w:val="00ED2151"/>
    <w:rsid w:val="00ED3B88"/>
    <w:rsid w:val="00ED43E0"/>
    <w:rsid w:val="00ED70F0"/>
    <w:rsid w:val="00ED7C5A"/>
    <w:rsid w:val="00EE0306"/>
    <w:rsid w:val="00EE3D32"/>
    <w:rsid w:val="00EE43CC"/>
    <w:rsid w:val="00EE4880"/>
    <w:rsid w:val="00EE49DD"/>
    <w:rsid w:val="00EE51FF"/>
    <w:rsid w:val="00EE5714"/>
    <w:rsid w:val="00EE67E6"/>
    <w:rsid w:val="00EE6C1D"/>
    <w:rsid w:val="00EE6C2B"/>
    <w:rsid w:val="00EF31A7"/>
    <w:rsid w:val="00EF4017"/>
    <w:rsid w:val="00EF6AC6"/>
    <w:rsid w:val="00F00182"/>
    <w:rsid w:val="00F01031"/>
    <w:rsid w:val="00F01CE3"/>
    <w:rsid w:val="00F02095"/>
    <w:rsid w:val="00F028DE"/>
    <w:rsid w:val="00F03977"/>
    <w:rsid w:val="00F05969"/>
    <w:rsid w:val="00F06D00"/>
    <w:rsid w:val="00F0739F"/>
    <w:rsid w:val="00F10276"/>
    <w:rsid w:val="00F111DF"/>
    <w:rsid w:val="00F11871"/>
    <w:rsid w:val="00F1339C"/>
    <w:rsid w:val="00F1690C"/>
    <w:rsid w:val="00F17E04"/>
    <w:rsid w:val="00F2011F"/>
    <w:rsid w:val="00F21CC5"/>
    <w:rsid w:val="00F25309"/>
    <w:rsid w:val="00F30731"/>
    <w:rsid w:val="00F32C33"/>
    <w:rsid w:val="00F32ECF"/>
    <w:rsid w:val="00F3399A"/>
    <w:rsid w:val="00F34344"/>
    <w:rsid w:val="00F36ACB"/>
    <w:rsid w:val="00F42435"/>
    <w:rsid w:val="00F45C70"/>
    <w:rsid w:val="00F477D1"/>
    <w:rsid w:val="00F47842"/>
    <w:rsid w:val="00F47F0A"/>
    <w:rsid w:val="00F50D2E"/>
    <w:rsid w:val="00F51568"/>
    <w:rsid w:val="00F51D11"/>
    <w:rsid w:val="00F51E5F"/>
    <w:rsid w:val="00F54DF0"/>
    <w:rsid w:val="00F56A2D"/>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7551A"/>
    <w:rsid w:val="00F8382A"/>
    <w:rsid w:val="00F90B99"/>
    <w:rsid w:val="00F912A8"/>
    <w:rsid w:val="00F91492"/>
    <w:rsid w:val="00F91B35"/>
    <w:rsid w:val="00F9460C"/>
    <w:rsid w:val="00F9567E"/>
    <w:rsid w:val="00F97433"/>
    <w:rsid w:val="00F97FE6"/>
    <w:rsid w:val="00FA0B23"/>
    <w:rsid w:val="00FA5756"/>
    <w:rsid w:val="00FA7C97"/>
    <w:rsid w:val="00FB194B"/>
    <w:rsid w:val="00FB3128"/>
    <w:rsid w:val="00FB32B3"/>
    <w:rsid w:val="00FB3DFF"/>
    <w:rsid w:val="00FB4B86"/>
    <w:rsid w:val="00FB7D80"/>
    <w:rsid w:val="00FC2275"/>
    <w:rsid w:val="00FC327B"/>
    <w:rsid w:val="00FC37BA"/>
    <w:rsid w:val="00FC4FAF"/>
    <w:rsid w:val="00FC53B0"/>
    <w:rsid w:val="00FC5C67"/>
    <w:rsid w:val="00FC74C3"/>
    <w:rsid w:val="00FD046C"/>
    <w:rsid w:val="00FD0568"/>
    <w:rsid w:val="00FD097F"/>
    <w:rsid w:val="00FD2577"/>
    <w:rsid w:val="00FD38D6"/>
    <w:rsid w:val="00FD3AC8"/>
    <w:rsid w:val="00FD6518"/>
    <w:rsid w:val="00FD670C"/>
    <w:rsid w:val="00FD688A"/>
    <w:rsid w:val="00FD776C"/>
    <w:rsid w:val="00FD7CCB"/>
    <w:rsid w:val="00FE0582"/>
    <w:rsid w:val="00FE0FA2"/>
    <w:rsid w:val="00FE2650"/>
    <w:rsid w:val="00FE3566"/>
    <w:rsid w:val="00FE4928"/>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unhideWhenUsed/>
    <w:rsid w:val="00A40C63"/>
    <w:pPr>
      <w:widowControl w:val="0"/>
      <w:suppressAutoHyphens/>
      <w:spacing w:before="280" w:after="280" w:line="240" w:lineRule="auto"/>
    </w:pPr>
    <w:rPr>
      <w:rFonts w:ascii="Times New Roman" w:eastAsia="Arial Unicode MS" w:hAnsi="Times New Roman" w:cs="Times New Roman"/>
      <w:kern w:val="2"/>
      <w:sz w:val="24"/>
      <w:szCs w:val="24"/>
      <w:lang w:eastAsia="lv-LV"/>
    </w:rPr>
  </w:style>
  <w:style w:type="character" w:customStyle="1" w:styleId="apple-converted-space">
    <w:name w:val="apple-converted-space"/>
    <w:basedOn w:val="DefaultParagraphFont"/>
    <w:rsid w:val="007632FC"/>
  </w:style>
  <w:style w:type="character" w:styleId="Strong">
    <w:name w:val="Strong"/>
    <w:basedOn w:val="DefaultParagraphFont"/>
    <w:uiPriority w:val="22"/>
    <w:qFormat/>
    <w:rsid w:val="007632FC"/>
    <w:rPr>
      <w:b/>
      <w:bCs/>
    </w:rPr>
  </w:style>
  <w:style w:type="character" w:customStyle="1" w:styleId="BodytextBold1">
    <w:name w:val="Body text + Bold1"/>
    <w:uiPriority w:val="99"/>
    <w:rsid w:val="00152F02"/>
    <w:rPr>
      <w:rFonts w:ascii="Times New Roman" w:hAnsi="Times New Roman" w:cs="Times New Roman"/>
      <w:b/>
      <w:bCs/>
      <w:color w:val="000000"/>
      <w:spacing w:val="0"/>
      <w:w w:val="100"/>
      <w:position w:val="0"/>
      <w:sz w:val="24"/>
      <w:szCs w:val="24"/>
      <w:u w:val="non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2585">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912396160">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545-valsts-parvaldes-iekart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63545-valsts-parvaldes-iekart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FF53-5A9A-4504-81A2-79260F0A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8</Pages>
  <Words>8167</Words>
  <Characters>4656</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ieguldīšanu valsts sabiedrības ar ierobežotu atbildību “Bobsleja un kamaniņu trase “Sigulda”” pamatkapitālā”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ieguldīšanu valsts sabiedrības ar ierobežotu atbildību “Bobsleja un kamaniņu trase “Sigulda”” pamatkapitālā” sākotnējās ietekmes novērtējuma ziņojums (anotācija)</dc:title>
  <dc:subject>IZMAnot_041017_Sigulda</dc:subject>
  <dc:creator>Madara Adamane</dc:creator>
  <cp:keywords>Sigulda</cp:keywords>
  <dc:description>Madara.Adamane@izm.gov.lv;_x000d_
67047756</dc:description>
  <cp:lastModifiedBy>Madara Adamane</cp:lastModifiedBy>
  <cp:revision>250</cp:revision>
  <cp:lastPrinted>2017-03-15T09:03:00Z</cp:lastPrinted>
  <dcterms:created xsi:type="dcterms:W3CDTF">2014-09-30T12:27:00Z</dcterms:created>
  <dcterms:modified xsi:type="dcterms:W3CDTF">2017-10-12T06:32:00Z</dcterms:modified>
  <cp:category>Anotācija</cp:category>
</cp:coreProperties>
</file>