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A1" w:rsidRPr="00FC2E43" w:rsidRDefault="00F7619E" w:rsidP="00E812A1">
      <w:pPr>
        <w:rPr>
          <w:lang w:val="lv-LV"/>
        </w:rPr>
      </w:pPr>
      <w:r>
        <w:rPr>
          <w:lang w:val="lv-LV"/>
        </w:rPr>
        <w:t>Budžeta un finanšu (nodokļu)</w:t>
      </w:r>
      <w:r w:rsidR="00E812A1" w:rsidRPr="00FC2E43">
        <w:rPr>
          <w:lang w:val="lv-LV"/>
        </w:rPr>
        <w:t xml:space="preserve"> komisija</w:t>
      </w:r>
    </w:p>
    <w:p w:rsidR="00E812A1" w:rsidRPr="00FC2E43" w:rsidRDefault="00E812A1" w:rsidP="00E812A1">
      <w:pPr>
        <w:jc w:val="right"/>
        <w:rPr>
          <w:lang w:val="lv-LV"/>
        </w:rPr>
      </w:pPr>
      <w:r w:rsidRPr="00FC2E43">
        <w:rPr>
          <w:lang w:val="lv-LV"/>
        </w:rPr>
        <w:t xml:space="preserve">Likumprojekts </w:t>
      </w:r>
      <w:r w:rsidR="00EF17D4">
        <w:rPr>
          <w:lang w:val="lv-LV"/>
        </w:rPr>
        <w:t>(steidzams)</w:t>
      </w:r>
      <w:r w:rsidR="00EF17D4" w:rsidRPr="00FC2E43">
        <w:rPr>
          <w:lang w:val="lv-LV"/>
        </w:rPr>
        <w:t xml:space="preserve"> </w:t>
      </w:r>
      <w:r w:rsidR="00DF3BCB">
        <w:rPr>
          <w:lang w:val="lv-LV"/>
        </w:rPr>
        <w:t xml:space="preserve">otrajam </w:t>
      </w:r>
      <w:r w:rsidRPr="00FC2E43">
        <w:rPr>
          <w:lang w:val="lv-LV"/>
        </w:rPr>
        <w:t>lasījumam</w:t>
      </w:r>
    </w:p>
    <w:p w:rsidR="00243730" w:rsidRPr="00243730" w:rsidRDefault="00243730" w:rsidP="00243730">
      <w:pPr>
        <w:jc w:val="center"/>
        <w:rPr>
          <w:rFonts w:eastAsia="Times New Roman"/>
          <w:b/>
          <w:sz w:val="28"/>
          <w:szCs w:val="28"/>
          <w:lang w:val="lv-LV" w:eastAsia="lv-LV"/>
        </w:rPr>
      </w:pPr>
      <w:r w:rsidRPr="00243730">
        <w:rPr>
          <w:rFonts w:eastAsia="Times New Roman"/>
          <w:b/>
          <w:sz w:val="28"/>
          <w:szCs w:val="28"/>
          <w:lang w:val="lv-LV" w:eastAsia="lv-LV"/>
        </w:rPr>
        <w:t>Grozījumi Zemes pārvaldības likumā</w:t>
      </w:r>
    </w:p>
    <w:p w:rsidR="00E812A1" w:rsidRPr="00DF3BCB" w:rsidRDefault="00C126E4" w:rsidP="00C126E4">
      <w:pPr>
        <w:spacing w:after="240"/>
        <w:jc w:val="center"/>
        <w:rPr>
          <w:b/>
          <w:i/>
          <w:lang w:val="lv-LV"/>
        </w:rPr>
      </w:pPr>
      <w:r w:rsidRPr="00DF3BCB">
        <w:rPr>
          <w:b/>
          <w:i/>
          <w:lang w:val="lv-LV"/>
        </w:rPr>
        <w:t xml:space="preserve"> </w:t>
      </w:r>
      <w:r w:rsidR="00E812A1" w:rsidRPr="00DF3BCB">
        <w:rPr>
          <w:b/>
          <w:i/>
          <w:lang w:val="lv-LV"/>
        </w:rPr>
        <w:t xml:space="preserve">(Nr. </w:t>
      </w:r>
      <w:r w:rsidR="00F7619E" w:rsidRPr="00DF3BCB">
        <w:rPr>
          <w:b/>
          <w:i/>
          <w:lang w:val="lv-LV"/>
        </w:rPr>
        <w:t>10</w:t>
      </w:r>
      <w:r>
        <w:rPr>
          <w:b/>
          <w:i/>
          <w:lang w:val="lv-LV"/>
        </w:rPr>
        <w:t>4</w:t>
      </w:r>
      <w:r w:rsidR="00243730">
        <w:rPr>
          <w:b/>
          <w:i/>
          <w:lang w:val="lv-LV"/>
        </w:rPr>
        <w:t>5</w:t>
      </w:r>
      <w:r w:rsidR="00C45614" w:rsidRPr="00DF3BCB">
        <w:rPr>
          <w:b/>
          <w:i/>
          <w:lang w:val="lv-LV"/>
        </w:rPr>
        <w:t>/Lp12</w:t>
      </w:r>
      <w:r w:rsidR="00E812A1" w:rsidRPr="00DF3BCB">
        <w:rPr>
          <w:b/>
          <w:i/>
          <w:lang w:val="lv-LV"/>
        </w:rPr>
        <w:t>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4"/>
        <w:gridCol w:w="3645"/>
        <w:gridCol w:w="729"/>
        <w:gridCol w:w="3645"/>
        <w:gridCol w:w="1823"/>
        <w:gridCol w:w="1823"/>
      </w:tblGrid>
      <w:tr w:rsidR="00DF3BCB" w:rsidRPr="00C126E4" w:rsidTr="00101A75">
        <w:trPr>
          <w:trHeight w:val="680"/>
        </w:trPr>
        <w:tc>
          <w:tcPr>
            <w:tcW w:w="3644" w:type="dxa"/>
            <w:shd w:val="clear" w:color="auto" w:fill="auto"/>
          </w:tcPr>
          <w:p w:rsidR="00DF3BCB" w:rsidRPr="00C126E4" w:rsidRDefault="00DF3BCB" w:rsidP="00DF3BCB">
            <w:pPr>
              <w:ind w:left="-57" w:right="-57"/>
              <w:jc w:val="center"/>
              <w:rPr>
                <w:b/>
                <w:lang w:val="lv-LV"/>
              </w:rPr>
            </w:pPr>
            <w:r w:rsidRPr="00C126E4">
              <w:rPr>
                <w:b/>
                <w:lang w:val="lv-LV"/>
              </w:rPr>
              <w:t>Spēkā esošā likuma redakcija</w:t>
            </w:r>
          </w:p>
        </w:tc>
        <w:tc>
          <w:tcPr>
            <w:tcW w:w="3645" w:type="dxa"/>
            <w:shd w:val="clear" w:color="auto" w:fill="auto"/>
          </w:tcPr>
          <w:p w:rsidR="00DF3BCB" w:rsidRPr="00C126E4" w:rsidRDefault="00DF3BCB" w:rsidP="00DF3BCB">
            <w:pPr>
              <w:ind w:left="-57" w:right="-57"/>
              <w:jc w:val="center"/>
              <w:rPr>
                <w:b/>
                <w:lang w:val="lv-LV"/>
              </w:rPr>
            </w:pPr>
            <w:r w:rsidRPr="00C126E4">
              <w:rPr>
                <w:b/>
                <w:lang w:val="lv-LV"/>
              </w:rPr>
              <w:t>Pirmā lasījuma redakcija</w:t>
            </w:r>
          </w:p>
        </w:tc>
        <w:tc>
          <w:tcPr>
            <w:tcW w:w="729" w:type="dxa"/>
          </w:tcPr>
          <w:p w:rsidR="00DF3BCB" w:rsidRPr="00101A75" w:rsidRDefault="00DF3BCB" w:rsidP="00101A75">
            <w:pPr>
              <w:jc w:val="center"/>
              <w:rPr>
                <w:b/>
                <w:lang w:val="lv-LV"/>
              </w:rPr>
            </w:pPr>
            <w:r w:rsidRPr="00101A75">
              <w:rPr>
                <w:b/>
                <w:lang w:val="lv-LV"/>
              </w:rPr>
              <w:t>Nr.</w:t>
            </w:r>
          </w:p>
        </w:tc>
        <w:tc>
          <w:tcPr>
            <w:tcW w:w="3645" w:type="dxa"/>
          </w:tcPr>
          <w:p w:rsidR="00DF3BCB" w:rsidRPr="00C126E4" w:rsidRDefault="00DF3BCB" w:rsidP="00DF3BCB">
            <w:pPr>
              <w:ind w:left="-57" w:right="-57"/>
              <w:jc w:val="center"/>
              <w:rPr>
                <w:b/>
                <w:lang w:val="lv-LV"/>
              </w:rPr>
            </w:pPr>
            <w:r w:rsidRPr="00C126E4">
              <w:rPr>
                <w:b/>
                <w:lang w:val="lv-LV"/>
              </w:rPr>
              <w:t>Priekšlikumi</w:t>
            </w:r>
          </w:p>
          <w:p w:rsidR="00DF3BCB" w:rsidRPr="00C126E4" w:rsidRDefault="00DF3BCB" w:rsidP="00DF3BCB">
            <w:pPr>
              <w:ind w:left="-57" w:right="-57"/>
              <w:jc w:val="center"/>
              <w:rPr>
                <w:b/>
                <w:lang w:val="lv-LV"/>
              </w:rPr>
            </w:pPr>
            <w:r w:rsidRPr="00C126E4">
              <w:rPr>
                <w:b/>
                <w:lang w:val="lv-LV"/>
              </w:rPr>
              <w:t>(</w:t>
            </w:r>
            <w:r w:rsidR="00101A75">
              <w:rPr>
                <w:b/>
                <w:lang w:val="lv-LV"/>
              </w:rPr>
              <w:t>2</w:t>
            </w:r>
            <w:r w:rsidRPr="00C126E4">
              <w:rPr>
                <w:b/>
                <w:lang w:val="lv-LV"/>
              </w:rPr>
              <w:t>)</w:t>
            </w:r>
          </w:p>
        </w:tc>
        <w:tc>
          <w:tcPr>
            <w:tcW w:w="1823" w:type="dxa"/>
          </w:tcPr>
          <w:p w:rsidR="00DF3BCB" w:rsidRPr="00C126E4" w:rsidRDefault="00DF3BCB" w:rsidP="00DF3BCB">
            <w:pPr>
              <w:ind w:left="-57" w:right="-57"/>
              <w:jc w:val="center"/>
              <w:rPr>
                <w:b/>
                <w:lang w:val="lv-LV"/>
              </w:rPr>
            </w:pPr>
            <w:r w:rsidRPr="00C126E4">
              <w:rPr>
                <w:b/>
                <w:lang w:val="lv-LV"/>
              </w:rPr>
              <w:t>Ministru kabineta atzinums</w:t>
            </w:r>
          </w:p>
        </w:tc>
        <w:tc>
          <w:tcPr>
            <w:tcW w:w="1823" w:type="dxa"/>
          </w:tcPr>
          <w:p w:rsidR="00DF3BCB" w:rsidRPr="00C126E4" w:rsidRDefault="00DF3BCB" w:rsidP="00DF3BCB">
            <w:pPr>
              <w:ind w:left="-57" w:right="-57"/>
              <w:jc w:val="center"/>
              <w:rPr>
                <w:b/>
                <w:lang w:val="lv-LV"/>
              </w:rPr>
            </w:pPr>
            <w:r w:rsidRPr="00C126E4">
              <w:rPr>
                <w:b/>
                <w:lang w:val="lv-LV"/>
              </w:rPr>
              <w:t>Komisijas atzinums</w:t>
            </w:r>
          </w:p>
        </w:tc>
      </w:tr>
      <w:tr w:rsidR="00DF3BCB" w:rsidRPr="00D44A25" w:rsidTr="00101A75">
        <w:tc>
          <w:tcPr>
            <w:tcW w:w="3644" w:type="dxa"/>
            <w:shd w:val="clear" w:color="auto" w:fill="auto"/>
          </w:tcPr>
          <w:p w:rsidR="00DF3BCB" w:rsidRPr="00F7619E" w:rsidRDefault="00DF3BCB" w:rsidP="00243730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645" w:type="dxa"/>
            <w:shd w:val="clear" w:color="auto" w:fill="auto"/>
          </w:tcPr>
          <w:p w:rsidR="00DF3BCB" w:rsidRPr="00243730" w:rsidRDefault="00243730" w:rsidP="004F48A6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>Izdarīt Zemes pārvaldības likumā (Latvijas Vēstnesis, 2014, 228. nr.; 2016, 189. nr.) šādus grozījumus:</w:t>
            </w:r>
          </w:p>
        </w:tc>
        <w:tc>
          <w:tcPr>
            <w:tcW w:w="729" w:type="dxa"/>
          </w:tcPr>
          <w:p w:rsidR="00DF3BCB" w:rsidRPr="00101A75" w:rsidRDefault="00DF3BCB" w:rsidP="00101A7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645" w:type="dxa"/>
          </w:tcPr>
          <w:p w:rsidR="00DF3BCB" w:rsidRPr="00F7619E" w:rsidRDefault="00DF3BCB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23" w:type="dxa"/>
          </w:tcPr>
          <w:p w:rsidR="00DF3BCB" w:rsidRPr="00F7619E" w:rsidRDefault="00DF3BCB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23" w:type="dxa"/>
          </w:tcPr>
          <w:p w:rsidR="00DF3BCB" w:rsidRPr="00F7619E" w:rsidRDefault="00DF3BCB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F3BCB" w:rsidRPr="00D44A25" w:rsidTr="00101A75">
        <w:tc>
          <w:tcPr>
            <w:tcW w:w="3644" w:type="dxa"/>
            <w:shd w:val="clear" w:color="auto" w:fill="auto"/>
          </w:tcPr>
          <w:p w:rsidR="00243730" w:rsidRPr="00243730" w:rsidRDefault="00243730" w:rsidP="00243730">
            <w:pPr>
              <w:ind w:firstLine="567"/>
              <w:jc w:val="both"/>
              <w:rPr>
                <w:b/>
                <w:sz w:val="22"/>
                <w:szCs w:val="22"/>
                <w:lang w:val="lv-LV"/>
              </w:rPr>
            </w:pPr>
            <w:r w:rsidRPr="00243730">
              <w:rPr>
                <w:b/>
                <w:sz w:val="22"/>
                <w:szCs w:val="22"/>
                <w:lang w:val="lv-LV"/>
              </w:rPr>
              <w:t>Pārejas noteikumi</w:t>
            </w:r>
          </w:p>
          <w:p w:rsidR="00DF3BCB" w:rsidRPr="005677BC" w:rsidRDefault="00243730" w:rsidP="007E7D91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  <w:r w:rsidRPr="00243730">
              <w:rPr>
                <w:sz w:val="22"/>
                <w:szCs w:val="22"/>
                <w:lang w:val="lv-LV"/>
              </w:rPr>
              <w:t>4. Šā likuma III nodaļa stājas spēkā 2018.gada 1.janvārī.</w:t>
            </w:r>
          </w:p>
        </w:tc>
        <w:tc>
          <w:tcPr>
            <w:tcW w:w="3645" w:type="dxa"/>
            <w:shd w:val="clear" w:color="auto" w:fill="auto"/>
          </w:tcPr>
          <w:p w:rsidR="00DF3BCB" w:rsidRPr="00243730" w:rsidRDefault="00243730" w:rsidP="00243730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>1. Aizstāt pārejas noteikumu 4. punktā skaitli "2018." ar skaitli "2020.".</w:t>
            </w:r>
          </w:p>
        </w:tc>
        <w:tc>
          <w:tcPr>
            <w:tcW w:w="729" w:type="dxa"/>
          </w:tcPr>
          <w:p w:rsidR="00DF3BCB" w:rsidRPr="00101A75" w:rsidRDefault="00101A75" w:rsidP="00101A7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  <w:r w:rsidRPr="00101A75">
              <w:rPr>
                <w:b/>
                <w:sz w:val="22"/>
                <w:szCs w:val="22"/>
                <w:lang w:val="lv-LV"/>
              </w:rPr>
              <w:t>1</w:t>
            </w:r>
          </w:p>
        </w:tc>
        <w:tc>
          <w:tcPr>
            <w:tcW w:w="3645" w:type="dxa"/>
          </w:tcPr>
          <w:p w:rsidR="00DF3BCB" w:rsidRDefault="00276F31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  <w:r w:rsidRPr="00276F31">
              <w:rPr>
                <w:b/>
                <w:sz w:val="22"/>
                <w:szCs w:val="22"/>
                <w:u w:val="single"/>
                <w:lang w:val="lv-LV"/>
              </w:rPr>
              <w:t>Frakcija “No sirds Latvijai”</w:t>
            </w:r>
          </w:p>
          <w:p w:rsidR="00276F31" w:rsidRPr="00276F31" w:rsidRDefault="00276F31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Izslēgt likumprojekta pirmo pantu.</w:t>
            </w:r>
            <w:r w:rsidR="00101A75">
              <w:rPr>
                <w:rStyle w:val="EndnoteReference"/>
                <w:sz w:val="22"/>
                <w:szCs w:val="22"/>
                <w:lang w:val="lv-LV"/>
              </w:rPr>
              <w:endnoteReference w:id="1"/>
            </w:r>
          </w:p>
        </w:tc>
        <w:tc>
          <w:tcPr>
            <w:tcW w:w="1823" w:type="dxa"/>
          </w:tcPr>
          <w:p w:rsidR="00DF3BCB" w:rsidRPr="00F7619E" w:rsidRDefault="00DF3BCB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23" w:type="dxa"/>
          </w:tcPr>
          <w:p w:rsidR="00DF3BCB" w:rsidRPr="00F7619E" w:rsidRDefault="00DF3BCB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F3BCB" w:rsidRPr="00D44A25" w:rsidTr="00101A75">
        <w:tc>
          <w:tcPr>
            <w:tcW w:w="3644" w:type="dxa"/>
            <w:shd w:val="clear" w:color="auto" w:fill="auto"/>
          </w:tcPr>
          <w:p w:rsidR="00243730" w:rsidRPr="00243730" w:rsidRDefault="00243730" w:rsidP="00243730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  <w:r w:rsidRPr="00243730">
              <w:rPr>
                <w:sz w:val="22"/>
                <w:szCs w:val="22"/>
                <w:lang w:val="lv-LV"/>
              </w:rPr>
              <w:t>5. Ministru kabinets:</w:t>
            </w:r>
          </w:p>
          <w:p w:rsidR="00C126E4" w:rsidRPr="00C126E4" w:rsidRDefault="00243730" w:rsidP="006D002F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  <w:r w:rsidRPr="00243730">
              <w:rPr>
                <w:sz w:val="22"/>
                <w:szCs w:val="22"/>
                <w:lang w:val="lv-LV"/>
              </w:rPr>
              <w:t xml:space="preserve">3) līdz </w:t>
            </w:r>
            <w:proofErr w:type="gramStart"/>
            <w:r w:rsidRPr="00243730">
              <w:rPr>
                <w:sz w:val="22"/>
                <w:szCs w:val="22"/>
                <w:lang w:val="lv-LV"/>
              </w:rPr>
              <w:t>2017.gada</w:t>
            </w:r>
            <w:proofErr w:type="gramEnd"/>
            <w:r w:rsidRPr="00243730">
              <w:rPr>
                <w:sz w:val="22"/>
                <w:szCs w:val="22"/>
                <w:lang w:val="lv-LV"/>
              </w:rPr>
              <w:t xml:space="preserve"> 31.decembrim izdod šā likuma 13.panta pirmās daļas </w:t>
            </w:r>
            <w:r w:rsidRPr="00101A75">
              <w:rPr>
                <w:sz w:val="22"/>
                <w:szCs w:val="22"/>
                <w:lang w:val="lv-LV"/>
              </w:rPr>
              <w:t>4.,</w:t>
            </w:r>
            <w:r w:rsidRPr="00243730">
              <w:rPr>
                <w:sz w:val="22"/>
                <w:szCs w:val="22"/>
                <w:lang w:val="lv-LV"/>
              </w:rPr>
              <w:t xml:space="preserve"> 6., 7. un 8.punktā minētos noteikumus;</w:t>
            </w:r>
          </w:p>
        </w:tc>
        <w:tc>
          <w:tcPr>
            <w:tcW w:w="3645" w:type="dxa"/>
            <w:shd w:val="clear" w:color="auto" w:fill="auto"/>
          </w:tcPr>
          <w:p w:rsidR="00243730" w:rsidRPr="00243730" w:rsidRDefault="00243730" w:rsidP="00243730">
            <w:pPr>
              <w:ind w:firstLine="567"/>
              <w:jc w:val="both"/>
              <w:rPr>
                <w:rFonts w:eastAsia="Times New Roman"/>
                <w:sz w:val="22"/>
                <w:szCs w:val="22"/>
                <w:lang w:val="lv-LV" w:eastAsia="lv-LV"/>
              </w:rPr>
            </w:pPr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>2. Pārejas noteikumu 5. punktā:</w:t>
            </w:r>
          </w:p>
          <w:p w:rsidR="00243730" w:rsidRPr="00243730" w:rsidRDefault="00243730" w:rsidP="00243730">
            <w:pPr>
              <w:ind w:firstLine="567"/>
              <w:jc w:val="both"/>
              <w:rPr>
                <w:rFonts w:eastAsia="Times New Roman"/>
                <w:sz w:val="22"/>
                <w:szCs w:val="22"/>
                <w:lang w:val="lv-LV" w:eastAsia="lv-LV"/>
              </w:rPr>
            </w:pPr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>izslēgt 3. apakšpunktā skaitli "4.";</w:t>
            </w:r>
          </w:p>
          <w:p w:rsidR="00101A75" w:rsidRPr="00243730" w:rsidRDefault="00101A75" w:rsidP="00101A75">
            <w:pPr>
              <w:ind w:firstLine="567"/>
              <w:jc w:val="both"/>
              <w:rPr>
                <w:rFonts w:eastAsia="Times New Roman"/>
                <w:sz w:val="22"/>
                <w:szCs w:val="22"/>
                <w:lang w:val="lv-LV" w:eastAsia="lv-LV"/>
              </w:rPr>
            </w:pPr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>papildināt punktu ar 5. apakšpunktu šādā redakcijā:</w:t>
            </w:r>
          </w:p>
          <w:p w:rsidR="00DF3BCB" w:rsidRPr="00243730" w:rsidRDefault="00101A75" w:rsidP="00101A75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 xml:space="preserve">"5) līdz 2019. gada 31. decembrim izdod šā likuma </w:t>
            </w:r>
            <w:hyperlink r:id="rId9" w:anchor="p13" w:tgtFrame="_blank" w:history="1">
              <w:r w:rsidRPr="00243730">
                <w:rPr>
                  <w:rFonts w:eastAsia="Times New Roman"/>
                  <w:sz w:val="22"/>
                  <w:szCs w:val="22"/>
                  <w:lang w:val="lv-LV" w:eastAsia="lv-LV"/>
                </w:rPr>
                <w:t>13. panta</w:t>
              </w:r>
            </w:hyperlink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 xml:space="preserve"> pirmās daļas 4. punktā minētos noteikumus."</w:t>
            </w:r>
          </w:p>
        </w:tc>
        <w:tc>
          <w:tcPr>
            <w:tcW w:w="729" w:type="dxa"/>
          </w:tcPr>
          <w:p w:rsidR="00DF3BCB" w:rsidRPr="00101A75" w:rsidRDefault="00101A75" w:rsidP="00101A7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  <w:r w:rsidRPr="00101A75">
              <w:rPr>
                <w:b/>
                <w:sz w:val="22"/>
                <w:szCs w:val="22"/>
                <w:lang w:val="lv-LV"/>
              </w:rPr>
              <w:t>2</w:t>
            </w:r>
          </w:p>
        </w:tc>
        <w:tc>
          <w:tcPr>
            <w:tcW w:w="3645" w:type="dxa"/>
          </w:tcPr>
          <w:p w:rsidR="00276F31" w:rsidRDefault="00276F31" w:rsidP="00276F31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  <w:r w:rsidRPr="00276F31">
              <w:rPr>
                <w:b/>
                <w:sz w:val="22"/>
                <w:szCs w:val="22"/>
                <w:u w:val="single"/>
                <w:lang w:val="lv-LV"/>
              </w:rPr>
              <w:t>Frakcija “No sirds Latvijai”</w:t>
            </w:r>
          </w:p>
          <w:p w:rsidR="00DF3BCB" w:rsidRPr="00F7619E" w:rsidRDefault="00276F31" w:rsidP="00276F31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Izslēgt likumprojekta otro pantu.</w:t>
            </w:r>
          </w:p>
        </w:tc>
        <w:tc>
          <w:tcPr>
            <w:tcW w:w="1823" w:type="dxa"/>
          </w:tcPr>
          <w:p w:rsidR="00DF3BCB" w:rsidRPr="00F7619E" w:rsidRDefault="00DF3BCB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23" w:type="dxa"/>
          </w:tcPr>
          <w:p w:rsidR="00DF3BCB" w:rsidRPr="00F7619E" w:rsidRDefault="00DF3BCB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C126E4" w:rsidRPr="00D44A25" w:rsidTr="00101A75">
        <w:tc>
          <w:tcPr>
            <w:tcW w:w="3644" w:type="dxa"/>
            <w:shd w:val="clear" w:color="auto" w:fill="auto"/>
          </w:tcPr>
          <w:p w:rsidR="00C126E4" w:rsidRPr="00F7619E" w:rsidRDefault="00C126E4" w:rsidP="00243730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3645" w:type="dxa"/>
            <w:shd w:val="clear" w:color="auto" w:fill="auto"/>
          </w:tcPr>
          <w:p w:rsidR="00C126E4" w:rsidRPr="00243730" w:rsidRDefault="00243730" w:rsidP="00243730">
            <w:pPr>
              <w:ind w:firstLine="567"/>
              <w:jc w:val="both"/>
              <w:rPr>
                <w:sz w:val="22"/>
                <w:szCs w:val="22"/>
                <w:lang w:val="lv-LV"/>
              </w:rPr>
            </w:pPr>
            <w:r w:rsidRPr="00243730">
              <w:rPr>
                <w:rFonts w:eastAsia="Times New Roman"/>
                <w:sz w:val="22"/>
                <w:szCs w:val="22"/>
                <w:lang w:val="lv-LV" w:eastAsia="lv-LV"/>
              </w:rPr>
              <w:t>Likums stājas spēkā 2018. gada 1. janvārī.</w:t>
            </w:r>
          </w:p>
        </w:tc>
        <w:tc>
          <w:tcPr>
            <w:tcW w:w="729" w:type="dxa"/>
          </w:tcPr>
          <w:p w:rsidR="00C126E4" w:rsidRPr="00101A75" w:rsidRDefault="00C126E4" w:rsidP="00101A7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645" w:type="dxa"/>
          </w:tcPr>
          <w:p w:rsidR="00C126E4" w:rsidRPr="00F7619E" w:rsidRDefault="00C126E4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23" w:type="dxa"/>
          </w:tcPr>
          <w:p w:rsidR="00C126E4" w:rsidRPr="00F7619E" w:rsidRDefault="00C126E4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823" w:type="dxa"/>
          </w:tcPr>
          <w:p w:rsidR="00C126E4" w:rsidRPr="00F7619E" w:rsidRDefault="00C126E4" w:rsidP="00243730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694A05" w:rsidRPr="00FC2E43" w:rsidRDefault="00694A05">
      <w:pPr>
        <w:rPr>
          <w:lang w:val="lv-LV"/>
        </w:rPr>
      </w:pPr>
    </w:p>
    <w:sectPr w:rsidR="00694A05" w:rsidRPr="00FC2E43" w:rsidSect="00C46C8B">
      <w:footerReference w:type="even" r:id="rId10"/>
      <w:footerReference w:type="default" r:id="rId11"/>
      <w:type w:val="continuous"/>
      <w:pgSz w:w="16840" w:h="11900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97" w:rsidRDefault="00AE5C97" w:rsidP="00733790">
      <w:r>
        <w:separator/>
      </w:r>
    </w:p>
  </w:endnote>
  <w:endnote w:type="continuationSeparator" w:id="0">
    <w:p w:rsidR="00AE5C97" w:rsidRDefault="00AE5C97" w:rsidP="00733790">
      <w:r>
        <w:continuationSeparator/>
      </w:r>
    </w:p>
  </w:endnote>
  <w:endnote w:id="1">
    <w:p w:rsidR="00101A75" w:rsidRPr="00D44A25" w:rsidRDefault="00101A75" w:rsidP="00101A75">
      <w:pPr>
        <w:ind w:left="57" w:right="57"/>
        <w:jc w:val="both"/>
        <w:rPr>
          <w:rFonts w:ascii="New times roman" w:hAnsi="New times roman" w:hint="eastAsia"/>
          <w:sz w:val="20"/>
          <w:szCs w:val="20"/>
        </w:rPr>
      </w:pPr>
      <w:r w:rsidRPr="00D44A25">
        <w:rPr>
          <w:rStyle w:val="EndnoteReference"/>
          <w:sz w:val="20"/>
          <w:szCs w:val="20"/>
        </w:rPr>
        <w:endnoteRef/>
      </w:r>
      <w:r w:rsidRPr="00D44A25">
        <w:rPr>
          <w:sz w:val="20"/>
          <w:szCs w:val="20"/>
        </w:rPr>
        <w:t xml:space="preserve"> </w:t>
      </w:r>
      <w:r w:rsidRPr="00D44A25">
        <w:rPr>
          <w:rFonts w:ascii="New times roman" w:hAnsi="New times roman"/>
          <w:b/>
          <w:i/>
          <w:sz w:val="20"/>
          <w:szCs w:val="20"/>
        </w:rPr>
        <w:t>Pamatojums:</w:t>
      </w:r>
    </w:p>
    <w:p w:rsidR="00101A75" w:rsidRPr="00D44A25" w:rsidRDefault="00101A75" w:rsidP="00101A75">
      <w:pPr>
        <w:ind w:left="57" w:right="57" w:firstLine="663"/>
        <w:jc w:val="both"/>
        <w:rPr>
          <w:rFonts w:ascii="New times roman" w:hAnsi="New times roman" w:hint="eastAsia"/>
          <w:sz w:val="20"/>
          <w:szCs w:val="20"/>
        </w:rPr>
      </w:pPr>
      <w:r w:rsidRPr="00D44A25">
        <w:rPr>
          <w:rFonts w:ascii="New times roman" w:hAnsi="New times roman"/>
          <w:sz w:val="20"/>
          <w:szCs w:val="20"/>
        </w:rPr>
        <w:t xml:space="preserve">Likuma pārejas noteikumi noteica, ka līdz 2017.gada 31.decembrim Ministru kabinetam ir jāizdod noteikumi par zemes konsolidācijas ierosināšanas </w:t>
      </w:r>
      <w:proofErr w:type="gramStart"/>
      <w:r w:rsidRPr="00D44A25">
        <w:rPr>
          <w:rFonts w:ascii="New times roman" w:hAnsi="New times roman"/>
          <w:sz w:val="20"/>
          <w:szCs w:val="20"/>
        </w:rPr>
        <w:t>un</w:t>
      </w:r>
      <w:proofErr w:type="gramEnd"/>
      <w:r w:rsidRPr="00D44A25">
        <w:rPr>
          <w:rFonts w:ascii="New times roman" w:hAnsi="New times roman"/>
          <w:sz w:val="20"/>
          <w:szCs w:val="20"/>
        </w:rPr>
        <w:t xml:space="preserve"> finansēšanas kārtību, par zemes konsolidācijas projekta saturu, izstrādes un īstenošanas kārtību, kā arī par kārtību, kādā nosaka zemes gabalu relatīvo novērtējumu zemes konsolidācijas vajadzībām. </w:t>
      </w:r>
      <w:proofErr w:type="gramStart"/>
      <w:r w:rsidRPr="00D44A25">
        <w:rPr>
          <w:rFonts w:ascii="New times roman" w:hAnsi="New times roman"/>
          <w:sz w:val="20"/>
          <w:szCs w:val="20"/>
        </w:rPr>
        <w:t>Kā minēts anotācijā, lai ieviestu normu ir nepieciešami 83 181 eiro, bet, neieviešot šo normu, turpināsies zemes īpašu teritoriālā sadrumstalotība, kas pēc anotācijā minētā “ir viens no Latvijas ekonomiskās izaugsmes šķēršļiem”.</w:t>
      </w:r>
      <w:proofErr w:type="gramEnd"/>
    </w:p>
    <w:p w:rsidR="00101A75" w:rsidRPr="00394CE8" w:rsidRDefault="00101A75" w:rsidP="00101A75">
      <w:pPr>
        <w:ind w:left="57" w:right="57"/>
        <w:jc w:val="both"/>
        <w:rPr>
          <w:rFonts w:ascii="New times roman" w:hAnsi="New times roman" w:hint="eastAsia"/>
        </w:rPr>
      </w:pPr>
    </w:p>
    <w:p w:rsidR="00101A75" w:rsidRPr="00101A75" w:rsidRDefault="00101A75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01" w:rsidRDefault="000B4301" w:rsidP="00733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301" w:rsidRDefault="000B4301" w:rsidP="007337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01" w:rsidRDefault="000B4301" w:rsidP="007337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A7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4301" w:rsidRDefault="000B4301" w:rsidP="007337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97" w:rsidRDefault="00AE5C97" w:rsidP="00733790">
      <w:r>
        <w:separator/>
      </w:r>
    </w:p>
  </w:footnote>
  <w:footnote w:type="continuationSeparator" w:id="0">
    <w:p w:rsidR="00AE5C97" w:rsidRDefault="00AE5C97" w:rsidP="0073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70C4"/>
    <w:multiLevelType w:val="multilevel"/>
    <w:tmpl w:val="F3F003A8"/>
    <w:lvl w:ilvl="0">
      <w:start w:val="1"/>
      <w:numFmt w:val="decimal"/>
      <w:pStyle w:val="1krta"/>
      <w:lvlText w:val="%1."/>
      <w:lvlJc w:val="left"/>
      <w:pPr>
        <w:tabs>
          <w:tab w:val="num" w:pos="284"/>
        </w:tabs>
        <w:ind w:left="284" w:hanging="426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krta"/>
      <w:lvlText w:val="%1.%2."/>
      <w:lvlJc w:val="left"/>
      <w:pPr>
        <w:tabs>
          <w:tab w:val="num" w:pos="992"/>
        </w:tabs>
        <w:ind w:left="992" w:hanging="708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3krta"/>
      <w:lvlText w:val="%1.%2.%3."/>
      <w:lvlJc w:val="left"/>
      <w:pPr>
        <w:tabs>
          <w:tab w:val="num" w:pos="1701"/>
        </w:tabs>
        <w:ind w:left="1701" w:hanging="709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90"/>
    <w:rsid w:val="000372A6"/>
    <w:rsid w:val="000A4C97"/>
    <w:rsid w:val="000B4301"/>
    <w:rsid w:val="00101A75"/>
    <w:rsid w:val="00166ACF"/>
    <w:rsid w:val="00197028"/>
    <w:rsid w:val="00243730"/>
    <w:rsid w:val="0025448B"/>
    <w:rsid w:val="00276F31"/>
    <w:rsid w:val="00277DC6"/>
    <w:rsid w:val="002F7B53"/>
    <w:rsid w:val="00301986"/>
    <w:rsid w:val="003439AC"/>
    <w:rsid w:val="00401800"/>
    <w:rsid w:val="00497754"/>
    <w:rsid w:val="004F48A6"/>
    <w:rsid w:val="005001F6"/>
    <w:rsid w:val="00555B25"/>
    <w:rsid w:val="005677BC"/>
    <w:rsid w:val="006722EC"/>
    <w:rsid w:val="00681A10"/>
    <w:rsid w:val="00694A05"/>
    <w:rsid w:val="006D002F"/>
    <w:rsid w:val="00733790"/>
    <w:rsid w:val="00770D10"/>
    <w:rsid w:val="007853BE"/>
    <w:rsid w:val="00785FFB"/>
    <w:rsid w:val="007A184A"/>
    <w:rsid w:val="007C4428"/>
    <w:rsid w:val="007E7D91"/>
    <w:rsid w:val="007F7598"/>
    <w:rsid w:val="00824041"/>
    <w:rsid w:val="00836484"/>
    <w:rsid w:val="00871B44"/>
    <w:rsid w:val="00941FB3"/>
    <w:rsid w:val="00950DA3"/>
    <w:rsid w:val="009A7585"/>
    <w:rsid w:val="00A164B2"/>
    <w:rsid w:val="00A51B34"/>
    <w:rsid w:val="00AE5C97"/>
    <w:rsid w:val="00B11F94"/>
    <w:rsid w:val="00B17130"/>
    <w:rsid w:val="00C126E4"/>
    <w:rsid w:val="00C12DA5"/>
    <w:rsid w:val="00C45614"/>
    <w:rsid w:val="00C46C8B"/>
    <w:rsid w:val="00C72D5C"/>
    <w:rsid w:val="00C964A2"/>
    <w:rsid w:val="00CD60D5"/>
    <w:rsid w:val="00D33F17"/>
    <w:rsid w:val="00D41A85"/>
    <w:rsid w:val="00D44A25"/>
    <w:rsid w:val="00DD2389"/>
    <w:rsid w:val="00DE519D"/>
    <w:rsid w:val="00DF28E9"/>
    <w:rsid w:val="00DF3BCB"/>
    <w:rsid w:val="00E54625"/>
    <w:rsid w:val="00E812A1"/>
    <w:rsid w:val="00EF17D4"/>
    <w:rsid w:val="00F7619E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4A05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krta">
    <w:name w:val="1.kārta"/>
    <w:basedOn w:val="Normal"/>
    <w:qFormat/>
    <w:rsid w:val="007A184A"/>
    <w:pPr>
      <w:numPr>
        <w:numId w:val="3"/>
      </w:numPr>
      <w:spacing w:before="240" w:line="276" w:lineRule="auto"/>
      <w:ind w:right="-62"/>
      <w:jc w:val="both"/>
    </w:pPr>
    <w:rPr>
      <w:rFonts w:eastAsia="Times New Roman"/>
      <w:b/>
      <w:lang w:val="lv-LV"/>
    </w:rPr>
  </w:style>
  <w:style w:type="paragraph" w:customStyle="1" w:styleId="2krta">
    <w:name w:val="2.kārta"/>
    <w:basedOn w:val="Normal"/>
    <w:qFormat/>
    <w:rsid w:val="007A184A"/>
    <w:pPr>
      <w:numPr>
        <w:ilvl w:val="1"/>
        <w:numId w:val="3"/>
      </w:numPr>
      <w:spacing w:before="120" w:line="276" w:lineRule="auto"/>
      <w:ind w:right="-62"/>
      <w:jc w:val="both"/>
    </w:pPr>
    <w:rPr>
      <w:rFonts w:eastAsia="Times New Roman"/>
      <w:szCs w:val="20"/>
      <w:lang w:val="lv-LV"/>
    </w:rPr>
  </w:style>
  <w:style w:type="paragraph" w:customStyle="1" w:styleId="3krta">
    <w:name w:val="3.kārta"/>
    <w:basedOn w:val="Normal"/>
    <w:qFormat/>
    <w:rsid w:val="007A184A"/>
    <w:pPr>
      <w:numPr>
        <w:ilvl w:val="2"/>
        <w:numId w:val="3"/>
      </w:numPr>
      <w:spacing w:before="60" w:line="276" w:lineRule="auto"/>
      <w:ind w:right="-62"/>
      <w:jc w:val="both"/>
    </w:pPr>
    <w:rPr>
      <w:rFonts w:eastAsia="Times New Roman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33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90"/>
  </w:style>
  <w:style w:type="character" w:styleId="PageNumber">
    <w:name w:val="page number"/>
    <w:uiPriority w:val="99"/>
    <w:semiHidden/>
    <w:unhideWhenUsed/>
    <w:rsid w:val="00733790"/>
  </w:style>
  <w:style w:type="table" w:styleId="TableGrid">
    <w:name w:val="Table Grid"/>
    <w:basedOn w:val="TableNormal"/>
    <w:uiPriority w:val="59"/>
    <w:rsid w:val="0069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619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5677B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7B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677BC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5677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94A05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krta">
    <w:name w:val="1.kārta"/>
    <w:basedOn w:val="Normal"/>
    <w:qFormat/>
    <w:rsid w:val="007A184A"/>
    <w:pPr>
      <w:numPr>
        <w:numId w:val="3"/>
      </w:numPr>
      <w:spacing w:before="240" w:line="276" w:lineRule="auto"/>
      <w:ind w:right="-62"/>
      <w:jc w:val="both"/>
    </w:pPr>
    <w:rPr>
      <w:rFonts w:eastAsia="Times New Roman"/>
      <w:b/>
      <w:lang w:val="lv-LV"/>
    </w:rPr>
  </w:style>
  <w:style w:type="paragraph" w:customStyle="1" w:styleId="2krta">
    <w:name w:val="2.kārta"/>
    <w:basedOn w:val="Normal"/>
    <w:qFormat/>
    <w:rsid w:val="007A184A"/>
    <w:pPr>
      <w:numPr>
        <w:ilvl w:val="1"/>
        <w:numId w:val="3"/>
      </w:numPr>
      <w:spacing w:before="120" w:line="276" w:lineRule="auto"/>
      <w:ind w:right="-62"/>
      <w:jc w:val="both"/>
    </w:pPr>
    <w:rPr>
      <w:rFonts w:eastAsia="Times New Roman"/>
      <w:szCs w:val="20"/>
      <w:lang w:val="lv-LV"/>
    </w:rPr>
  </w:style>
  <w:style w:type="paragraph" w:customStyle="1" w:styleId="3krta">
    <w:name w:val="3.kārta"/>
    <w:basedOn w:val="Normal"/>
    <w:qFormat/>
    <w:rsid w:val="007A184A"/>
    <w:pPr>
      <w:numPr>
        <w:ilvl w:val="2"/>
        <w:numId w:val="3"/>
      </w:numPr>
      <w:spacing w:before="60" w:line="276" w:lineRule="auto"/>
      <w:ind w:right="-62"/>
      <w:jc w:val="both"/>
    </w:pPr>
    <w:rPr>
      <w:rFonts w:eastAsia="Times New Roman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33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90"/>
  </w:style>
  <w:style w:type="character" w:styleId="PageNumber">
    <w:name w:val="page number"/>
    <w:uiPriority w:val="99"/>
    <w:semiHidden/>
    <w:unhideWhenUsed/>
    <w:rsid w:val="00733790"/>
  </w:style>
  <w:style w:type="table" w:styleId="TableGrid">
    <w:name w:val="Table Grid"/>
    <w:basedOn w:val="TableNormal"/>
    <w:uiPriority w:val="59"/>
    <w:rsid w:val="0069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619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5677B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77B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677BC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567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270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A919-AFE2-4EBF-8E7C-A372EA36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Republikas Saeima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Balana</dc:creator>
  <cp:lastModifiedBy>B-735</cp:lastModifiedBy>
  <cp:revision>9</cp:revision>
  <cp:lastPrinted>2013-09-20T09:10:00Z</cp:lastPrinted>
  <dcterms:created xsi:type="dcterms:W3CDTF">2017-10-12T12:30:00Z</dcterms:created>
  <dcterms:modified xsi:type="dcterms:W3CDTF">2017-11-02T12:02:00Z</dcterms:modified>
</cp:coreProperties>
</file>