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E16" w:rsidRPr="00FD32B3" w:rsidRDefault="00576E16" w:rsidP="00576E16">
      <w:pPr>
        <w:rPr>
          <w:b/>
          <w:i/>
          <w:szCs w:val="24"/>
        </w:rPr>
      </w:pPr>
      <w:bookmarkStart w:id="0" w:name="_GoBack"/>
      <w:bookmarkEnd w:id="0"/>
      <w:r w:rsidRPr="00C62F8B">
        <w:rPr>
          <w:sz w:val="26"/>
          <w:szCs w:val="26"/>
        </w:rPr>
        <w:t>Budžeta un finanšu (nodokļu) komisija</w:t>
      </w:r>
      <w:r>
        <w:rPr>
          <w:sz w:val="26"/>
          <w:szCs w:val="26"/>
        </w:rPr>
        <w:tab/>
      </w:r>
    </w:p>
    <w:p w:rsidR="00CC4314" w:rsidRPr="000804CF" w:rsidRDefault="00576E16" w:rsidP="000804CF">
      <w:pPr>
        <w:jc w:val="right"/>
        <w:rPr>
          <w:sz w:val="26"/>
          <w:szCs w:val="26"/>
        </w:rPr>
      </w:pPr>
      <w:r w:rsidRPr="00C62F8B">
        <w:rPr>
          <w:sz w:val="26"/>
          <w:szCs w:val="26"/>
        </w:rPr>
        <w:t>L</w:t>
      </w:r>
      <w:r>
        <w:rPr>
          <w:sz w:val="26"/>
          <w:szCs w:val="26"/>
        </w:rPr>
        <w:t xml:space="preserve">ikumprojekts </w:t>
      </w:r>
      <w:r w:rsidR="0095142A">
        <w:rPr>
          <w:sz w:val="26"/>
          <w:szCs w:val="26"/>
        </w:rPr>
        <w:t>(steidzams) otr</w:t>
      </w:r>
      <w:r>
        <w:rPr>
          <w:sz w:val="26"/>
          <w:szCs w:val="26"/>
        </w:rPr>
        <w:t>ajam lasījumam</w:t>
      </w:r>
    </w:p>
    <w:p w:rsidR="00EF0958" w:rsidRPr="00EF0958" w:rsidRDefault="00CC4314" w:rsidP="00CC4314">
      <w:pPr>
        <w:jc w:val="center"/>
        <w:rPr>
          <w:rStyle w:val="Emphasis"/>
          <w:b/>
          <w:i w:val="0"/>
          <w:sz w:val="26"/>
          <w:szCs w:val="26"/>
        </w:rPr>
      </w:pPr>
      <w:r w:rsidRPr="00CC4314">
        <w:rPr>
          <w:b/>
          <w:iCs/>
          <w:sz w:val="26"/>
          <w:szCs w:val="26"/>
        </w:rPr>
        <w:t>Grozījumi Valsts un pašvaldību institūciju amatpersonu un darbinieku atlīdzības likumā</w:t>
      </w:r>
    </w:p>
    <w:p w:rsidR="00576E16" w:rsidRDefault="00EF0958" w:rsidP="00576E16">
      <w:pPr>
        <w:jc w:val="center"/>
        <w:rPr>
          <w:rStyle w:val="Emphasis"/>
          <w:b/>
          <w:sz w:val="26"/>
          <w:szCs w:val="26"/>
        </w:rPr>
      </w:pPr>
      <w:r w:rsidRPr="00C3534E">
        <w:rPr>
          <w:rStyle w:val="Emphasis"/>
          <w:b/>
          <w:sz w:val="26"/>
          <w:szCs w:val="26"/>
        </w:rPr>
        <w:t xml:space="preserve"> </w:t>
      </w:r>
      <w:r w:rsidR="00576E16" w:rsidRPr="00C3534E">
        <w:rPr>
          <w:rStyle w:val="Emphasis"/>
          <w:b/>
          <w:sz w:val="26"/>
          <w:szCs w:val="26"/>
        </w:rPr>
        <w:t>(Nr.</w:t>
      </w:r>
      <w:r w:rsidR="00EA2760">
        <w:rPr>
          <w:rStyle w:val="Emphasis"/>
          <w:b/>
          <w:sz w:val="26"/>
          <w:szCs w:val="26"/>
        </w:rPr>
        <w:t>1056</w:t>
      </w:r>
      <w:r w:rsidR="00576E16">
        <w:rPr>
          <w:rStyle w:val="Emphasis"/>
          <w:b/>
          <w:sz w:val="26"/>
          <w:szCs w:val="26"/>
        </w:rPr>
        <w:t>/Lp12</w:t>
      </w:r>
      <w:r w:rsidR="00576E16" w:rsidRPr="00C3534E">
        <w:rPr>
          <w:rStyle w:val="Emphasis"/>
          <w:b/>
          <w:sz w:val="26"/>
          <w:szCs w:val="26"/>
        </w:rPr>
        <w:t>)</w:t>
      </w:r>
    </w:p>
    <w:p w:rsidR="00576E16" w:rsidRPr="00495B31" w:rsidRDefault="00576E16" w:rsidP="00576E16">
      <w:pPr>
        <w:rPr>
          <w:rStyle w:val="Emphasis"/>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3969"/>
        <w:gridCol w:w="567"/>
        <w:gridCol w:w="3969"/>
        <w:gridCol w:w="1418"/>
        <w:gridCol w:w="1418"/>
      </w:tblGrid>
      <w:tr w:rsidR="0095142A" w:rsidRPr="001B3F41" w:rsidTr="0095142A">
        <w:tc>
          <w:tcPr>
            <w:tcW w:w="3969" w:type="dxa"/>
            <w:shd w:val="clear" w:color="auto" w:fill="auto"/>
          </w:tcPr>
          <w:p w:rsidR="0095142A" w:rsidRPr="001634F0" w:rsidRDefault="0095142A" w:rsidP="0096593E">
            <w:pPr>
              <w:jc w:val="center"/>
              <w:rPr>
                <w:b/>
                <w:bCs/>
                <w:iCs/>
              </w:rPr>
            </w:pPr>
            <w:r>
              <w:rPr>
                <w:b/>
              </w:rPr>
              <w:t>Spēkā esošā redakcija</w:t>
            </w:r>
          </w:p>
        </w:tc>
        <w:tc>
          <w:tcPr>
            <w:tcW w:w="3969" w:type="dxa"/>
            <w:shd w:val="clear" w:color="auto" w:fill="auto"/>
          </w:tcPr>
          <w:p w:rsidR="0095142A" w:rsidRPr="001B3F41" w:rsidRDefault="0095142A" w:rsidP="005012EB">
            <w:pPr>
              <w:jc w:val="center"/>
              <w:rPr>
                <w:b/>
              </w:rPr>
            </w:pPr>
            <w:r>
              <w:rPr>
                <w:b/>
              </w:rPr>
              <w:t>Pirmā lasījuma redakcija</w:t>
            </w:r>
          </w:p>
        </w:tc>
        <w:tc>
          <w:tcPr>
            <w:tcW w:w="567" w:type="dxa"/>
          </w:tcPr>
          <w:p w:rsidR="0095142A" w:rsidRPr="0095142A" w:rsidRDefault="0095142A" w:rsidP="0095142A">
            <w:pPr>
              <w:jc w:val="center"/>
              <w:rPr>
                <w:b/>
              </w:rPr>
            </w:pPr>
            <w:r w:rsidRPr="0095142A">
              <w:rPr>
                <w:b/>
              </w:rPr>
              <w:t>Nr.</w:t>
            </w:r>
          </w:p>
        </w:tc>
        <w:tc>
          <w:tcPr>
            <w:tcW w:w="3969" w:type="dxa"/>
          </w:tcPr>
          <w:p w:rsidR="0095142A" w:rsidRDefault="0095142A" w:rsidP="005012EB">
            <w:pPr>
              <w:jc w:val="center"/>
              <w:rPr>
                <w:b/>
              </w:rPr>
            </w:pPr>
            <w:r>
              <w:rPr>
                <w:b/>
              </w:rPr>
              <w:t>Priekšlikumi</w:t>
            </w:r>
          </w:p>
          <w:p w:rsidR="0095142A" w:rsidRPr="001B3F41" w:rsidRDefault="0095142A" w:rsidP="005012EB">
            <w:pPr>
              <w:jc w:val="center"/>
              <w:rPr>
                <w:b/>
              </w:rPr>
            </w:pPr>
            <w:r>
              <w:rPr>
                <w:b/>
              </w:rPr>
              <w:t>(</w:t>
            </w:r>
            <w:r w:rsidR="00CA1C01">
              <w:rPr>
                <w:b/>
              </w:rPr>
              <w:t>14</w:t>
            </w:r>
            <w:r>
              <w:rPr>
                <w:b/>
              </w:rPr>
              <w:t>)</w:t>
            </w:r>
          </w:p>
        </w:tc>
        <w:tc>
          <w:tcPr>
            <w:tcW w:w="1418" w:type="dxa"/>
          </w:tcPr>
          <w:p w:rsidR="0095142A" w:rsidRPr="001B3F41" w:rsidRDefault="0095142A" w:rsidP="005012EB">
            <w:pPr>
              <w:jc w:val="center"/>
              <w:rPr>
                <w:b/>
              </w:rPr>
            </w:pPr>
            <w:r>
              <w:rPr>
                <w:b/>
              </w:rPr>
              <w:t>Ministru kabineta atzinums</w:t>
            </w:r>
          </w:p>
        </w:tc>
        <w:tc>
          <w:tcPr>
            <w:tcW w:w="1418" w:type="dxa"/>
          </w:tcPr>
          <w:p w:rsidR="0095142A" w:rsidRPr="001B3F41" w:rsidRDefault="0095142A" w:rsidP="005012EB">
            <w:pPr>
              <w:jc w:val="center"/>
              <w:rPr>
                <w:b/>
              </w:rPr>
            </w:pPr>
            <w:r>
              <w:rPr>
                <w:b/>
              </w:rPr>
              <w:t>Komisijas atzinums</w:t>
            </w:r>
          </w:p>
        </w:tc>
      </w:tr>
      <w:tr w:rsidR="0095142A" w:rsidRPr="001B3F41" w:rsidTr="0095142A">
        <w:tc>
          <w:tcPr>
            <w:tcW w:w="3969" w:type="dxa"/>
            <w:shd w:val="clear" w:color="auto" w:fill="auto"/>
          </w:tcPr>
          <w:p w:rsidR="0095142A" w:rsidRPr="001B3F41" w:rsidRDefault="0095142A" w:rsidP="005012EB">
            <w:pPr>
              <w:ind w:firstLine="567"/>
              <w:jc w:val="both"/>
              <w:rPr>
                <w:sz w:val="22"/>
              </w:rPr>
            </w:pPr>
          </w:p>
        </w:tc>
        <w:tc>
          <w:tcPr>
            <w:tcW w:w="3969" w:type="dxa"/>
            <w:shd w:val="clear" w:color="auto" w:fill="auto"/>
          </w:tcPr>
          <w:p w:rsidR="0095142A" w:rsidRPr="00B27AE4" w:rsidRDefault="0095142A" w:rsidP="005012EB">
            <w:pPr>
              <w:ind w:firstLine="567"/>
              <w:jc w:val="both"/>
              <w:rPr>
                <w:rFonts w:eastAsia="Times New Roman"/>
                <w:color w:val="000000"/>
                <w:sz w:val="22"/>
                <w:lang w:eastAsia="lv-LV"/>
              </w:rPr>
            </w:pPr>
            <w:r w:rsidRPr="00CC4314">
              <w:rPr>
                <w:rFonts w:eastAsia="Times New Roman"/>
                <w:bCs/>
                <w:color w:val="000000"/>
                <w:sz w:val="22"/>
                <w:lang w:eastAsia="lv-LV"/>
              </w:rPr>
              <w:t>Izdarīt Valsts un pašvaldību institūciju amatpersonu un darbinieku atlīdzības likumā</w:t>
            </w:r>
            <w:r w:rsidRPr="00CC4314">
              <w:rPr>
                <w:rFonts w:eastAsia="Times New Roman"/>
                <w:b/>
                <w:bCs/>
                <w:color w:val="000000"/>
                <w:sz w:val="22"/>
                <w:lang w:eastAsia="lv-LV"/>
              </w:rPr>
              <w:t xml:space="preserve"> </w:t>
            </w:r>
            <w:r w:rsidRPr="00CC4314">
              <w:rPr>
                <w:rFonts w:eastAsia="Times New Roman"/>
                <w:color w:val="000000"/>
                <w:sz w:val="22"/>
                <w:lang w:eastAsia="lv-LV"/>
              </w:rPr>
              <w:t>(Latvijas Vēstnesis, 2009, 199., 200. nr.; 2010, 12., 66., 99., 174., 206. nr.; 2011, 103., 204. nr.; 2012, 190., 203. nr.; 2013, 51., 191., 232., 234., 252. nr.; 2014, 206., 228., 257. nr.; 2015, 248. nr.; 2016, 182., 241. nr.; 2017, 90. nr.) šādus grozījumus:</w:t>
            </w:r>
          </w:p>
        </w:tc>
        <w:tc>
          <w:tcPr>
            <w:tcW w:w="567" w:type="dxa"/>
          </w:tcPr>
          <w:p w:rsidR="0095142A" w:rsidRPr="0095142A" w:rsidRDefault="0095142A" w:rsidP="0095142A">
            <w:pPr>
              <w:jc w:val="center"/>
              <w:rPr>
                <w:rFonts w:eastAsia="Times New Roman"/>
                <w:b/>
                <w:bCs/>
                <w:color w:val="000000"/>
                <w:sz w:val="22"/>
                <w:lang w:eastAsia="lv-LV"/>
              </w:rPr>
            </w:pPr>
          </w:p>
        </w:tc>
        <w:tc>
          <w:tcPr>
            <w:tcW w:w="3969" w:type="dxa"/>
          </w:tcPr>
          <w:p w:rsidR="0095142A" w:rsidRPr="00CC4314" w:rsidRDefault="0095142A" w:rsidP="005012EB">
            <w:pPr>
              <w:ind w:firstLine="567"/>
              <w:jc w:val="both"/>
              <w:rPr>
                <w:rFonts w:eastAsia="Times New Roman"/>
                <w:bCs/>
                <w:color w:val="000000"/>
                <w:sz w:val="22"/>
                <w:lang w:eastAsia="lv-LV"/>
              </w:rPr>
            </w:pPr>
          </w:p>
        </w:tc>
        <w:tc>
          <w:tcPr>
            <w:tcW w:w="1418" w:type="dxa"/>
          </w:tcPr>
          <w:p w:rsidR="0095142A" w:rsidRPr="00CC4314" w:rsidRDefault="0095142A" w:rsidP="005012EB">
            <w:pPr>
              <w:ind w:firstLine="567"/>
              <w:jc w:val="both"/>
              <w:rPr>
                <w:rFonts w:eastAsia="Times New Roman"/>
                <w:bCs/>
                <w:color w:val="000000"/>
                <w:sz w:val="22"/>
                <w:lang w:eastAsia="lv-LV"/>
              </w:rPr>
            </w:pPr>
          </w:p>
        </w:tc>
        <w:tc>
          <w:tcPr>
            <w:tcW w:w="1418" w:type="dxa"/>
          </w:tcPr>
          <w:p w:rsidR="0095142A" w:rsidRPr="00CC4314" w:rsidRDefault="0095142A" w:rsidP="005012EB">
            <w:pPr>
              <w:ind w:firstLine="567"/>
              <w:jc w:val="both"/>
              <w:rPr>
                <w:rFonts w:eastAsia="Times New Roman"/>
                <w:bCs/>
                <w:color w:val="000000"/>
                <w:sz w:val="22"/>
                <w:lang w:eastAsia="lv-LV"/>
              </w:rPr>
            </w:pPr>
          </w:p>
        </w:tc>
      </w:tr>
      <w:tr w:rsidR="004C7A98" w:rsidRPr="001B3F41" w:rsidTr="0095142A">
        <w:tc>
          <w:tcPr>
            <w:tcW w:w="3969" w:type="dxa"/>
            <w:shd w:val="clear" w:color="auto" w:fill="auto"/>
          </w:tcPr>
          <w:p w:rsidR="004C7A98" w:rsidRPr="001B3F41" w:rsidRDefault="004C7A98" w:rsidP="005012EB">
            <w:pPr>
              <w:ind w:firstLine="567"/>
              <w:jc w:val="both"/>
              <w:rPr>
                <w:sz w:val="22"/>
              </w:rPr>
            </w:pPr>
          </w:p>
        </w:tc>
        <w:tc>
          <w:tcPr>
            <w:tcW w:w="3969" w:type="dxa"/>
            <w:shd w:val="clear" w:color="auto" w:fill="auto"/>
          </w:tcPr>
          <w:p w:rsidR="004C7A98" w:rsidRPr="00CC4314" w:rsidRDefault="004C7A98" w:rsidP="005012EB">
            <w:pPr>
              <w:ind w:firstLine="567"/>
              <w:jc w:val="both"/>
              <w:rPr>
                <w:rFonts w:eastAsia="Times New Roman"/>
                <w:bCs/>
                <w:color w:val="000000"/>
                <w:sz w:val="22"/>
                <w:lang w:eastAsia="lv-LV"/>
              </w:rPr>
            </w:pPr>
          </w:p>
        </w:tc>
        <w:tc>
          <w:tcPr>
            <w:tcW w:w="567" w:type="dxa"/>
          </w:tcPr>
          <w:p w:rsidR="004C7A98" w:rsidRPr="0095142A" w:rsidRDefault="00C8153E" w:rsidP="0095142A">
            <w:pPr>
              <w:jc w:val="center"/>
              <w:rPr>
                <w:rFonts w:eastAsia="Times New Roman"/>
                <w:b/>
                <w:bCs/>
                <w:color w:val="000000"/>
                <w:sz w:val="22"/>
                <w:lang w:eastAsia="lv-LV"/>
              </w:rPr>
            </w:pPr>
            <w:r>
              <w:rPr>
                <w:rFonts w:eastAsia="Times New Roman"/>
                <w:b/>
                <w:bCs/>
                <w:color w:val="000000"/>
                <w:sz w:val="22"/>
                <w:lang w:eastAsia="lv-LV"/>
              </w:rPr>
              <w:t>1</w:t>
            </w:r>
          </w:p>
        </w:tc>
        <w:tc>
          <w:tcPr>
            <w:tcW w:w="3969" w:type="dxa"/>
          </w:tcPr>
          <w:p w:rsidR="004C7A98" w:rsidRDefault="004C7A98" w:rsidP="005012EB">
            <w:pPr>
              <w:ind w:firstLine="567"/>
              <w:jc w:val="both"/>
              <w:rPr>
                <w:rFonts w:eastAsia="Times New Roman"/>
                <w:b/>
                <w:bCs/>
                <w:color w:val="000000"/>
                <w:sz w:val="22"/>
                <w:u w:val="single"/>
                <w:lang w:eastAsia="lv-LV"/>
              </w:rPr>
            </w:pPr>
            <w:r>
              <w:rPr>
                <w:rFonts w:eastAsia="Times New Roman"/>
                <w:b/>
                <w:bCs/>
                <w:color w:val="000000"/>
                <w:sz w:val="22"/>
                <w:u w:val="single"/>
                <w:lang w:eastAsia="lv-LV"/>
              </w:rPr>
              <w:t>Juridiskais birojs</w:t>
            </w:r>
          </w:p>
          <w:p w:rsidR="004C7A98" w:rsidRPr="004C7A98" w:rsidRDefault="004C7A98" w:rsidP="004C7A98">
            <w:pPr>
              <w:ind w:firstLine="567"/>
              <w:jc w:val="both"/>
              <w:rPr>
                <w:rFonts w:eastAsia="Times New Roman"/>
                <w:bCs/>
                <w:color w:val="000000"/>
                <w:sz w:val="22"/>
                <w:lang w:eastAsia="lv-LV"/>
              </w:rPr>
            </w:pPr>
            <w:r w:rsidRPr="004C7A98">
              <w:rPr>
                <w:rFonts w:eastAsia="Times New Roman"/>
                <w:bCs/>
                <w:color w:val="000000"/>
                <w:sz w:val="22"/>
                <w:lang w:eastAsia="lv-LV"/>
              </w:rPr>
              <w:t>Saeimas Juridiskais birojs ir iepazinies ar Ministru kabineta iesniegto likumprojektu “Grozījumi Valsts un pašvaldību institūciju amatpersonu un darbinieku atlīdzības likumā” (Nr.</w:t>
            </w:r>
            <w:bookmarkStart w:id="1" w:name="mainRow"/>
            <w:r w:rsidRPr="004C7A98">
              <w:rPr>
                <w:rFonts w:eastAsia="Times New Roman"/>
                <w:bCs/>
                <w:color w:val="000000"/>
                <w:sz w:val="22"/>
                <w:lang w:eastAsia="lv-LV"/>
              </w:rPr>
              <w:t xml:space="preserve"> 1056/Lp12</w:t>
            </w:r>
            <w:bookmarkEnd w:id="1"/>
            <w:r w:rsidRPr="004C7A98">
              <w:rPr>
                <w:rFonts w:eastAsia="Times New Roman"/>
                <w:bCs/>
                <w:color w:val="000000"/>
                <w:sz w:val="22"/>
                <w:lang w:eastAsia="lv-LV"/>
              </w:rPr>
              <w:t>) un sniedz šādu atzinumu.</w:t>
            </w:r>
          </w:p>
          <w:p w:rsidR="004C7A98" w:rsidRPr="004C7A98" w:rsidRDefault="004C7A98" w:rsidP="004C7A98">
            <w:pPr>
              <w:ind w:firstLine="567"/>
              <w:jc w:val="both"/>
              <w:rPr>
                <w:rFonts w:eastAsia="Times New Roman"/>
                <w:bCs/>
                <w:color w:val="000000"/>
                <w:sz w:val="22"/>
                <w:lang w:eastAsia="lv-LV"/>
              </w:rPr>
            </w:pPr>
            <w:r w:rsidRPr="004C7A98">
              <w:rPr>
                <w:rFonts w:eastAsia="Times New Roman"/>
                <w:bCs/>
                <w:color w:val="000000"/>
                <w:sz w:val="22"/>
                <w:lang w:eastAsia="lv-LV"/>
              </w:rPr>
              <w:t xml:space="preserve">Likumprojekta mērķis ir atsaistīt tiesnešu mēnešalgas no valsts pārvaldes amatpersonu (darbinieku) mēnešalgām (12.mēnešalgu grupas mēnešalgas) un nodrošināt to palielināšanu. Atbilstoši likumprojektā paredzētajam rajona (pilsētas) tiesas tiesneša mēnešalgu noteiks saskaņā ar gadskārtējā valsts budžeta likumā un vidēja termiņa budžeta ietvara likumā noteikto rajona (pilsētas) tiesas tiesneša mēnešalgu. Tātad budžeta likumprojektu paketes izstrādāšanas ietvaros Finanšu ministrija ik gadu </w:t>
            </w:r>
            <w:r w:rsidRPr="004C7A98">
              <w:rPr>
                <w:rFonts w:eastAsia="Times New Roman"/>
                <w:bCs/>
                <w:color w:val="000000"/>
                <w:sz w:val="22"/>
                <w:lang w:eastAsia="lv-LV"/>
              </w:rPr>
              <w:lastRenderedPageBreak/>
              <w:t xml:space="preserve">pārskatīs un noteiks jaunu un līdz ar to mainīgu tiesneša mēnešalgas apmēru atkarībā no gadskārtējā valsts budžeta iespējām. Savukārt par Finanšu ministrijas ierosināto tiesnešu mēnešalgas apmēru attiecīgajam gadam budžeta likumprojektu paketes izskatīšanas ietvaros lems Saeima.  </w:t>
            </w:r>
          </w:p>
          <w:p w:rsidR="004C7A98" w:rsidRPr="004C7A98" w:rsidRDefault="004C7A98" w:rsidP="004C7A98">
            <w:pPr>
              <w:ind w:firstLine="567"/>
              <w:jc w:val="both"/>
              <w:rPr>
                <w:rFonts w:eastAsia="Times New Roman"/>
                <w:bCs/>
                <w:color w:val="000000"/>
                <w:sz w:val="22"/>
                <w:lang w:eastAsia="lv-LV"/>
              </w:rPr>
            </w:pPr>
            <w:r w:rsidRPr="004C7A98">
              <w:rPr>
                <w:rFonts w:eastAsia="Times New Roman"/>
                <w:bCs/>
                <w:color w:val="000000"/>
                <w:sz w:val="22"/>
                <w:lang w:eastAsia="lv-LV"/>
              </w:rPr>
              <w:t xml:space="preserve">Saeimas Juridiskais birojs vērš komisijas uzmanību uz to, ka jebkurš normatīvais akts, kas skar tiesnešu atalgojumu, ir jāvērtē kopsakarā ar Satversmes 83.pantā nostiprināto tiesnešu neatkarības principu. Juridiskais birojs uzskata, ka likumprojektā paredzētā tiesneša mēnešalgas noteikšanas kārtība neatbilst Latvijas Republikas Satversmes (turpmāk – Satversme) 83.pantā noteiktajam tiesnešu neatkarības principam un saistībā ar to Satversmes tiesas paustajām atziņām. </w:t>
            </w:r>
          </w:p>
          <w:p w:rsidR="004C7A98" w:rsidRPr="004C7A98" w:rsidRDefault="004C7A98" w:rsidP="004C7A98">
            <w:pPr>
              <w:ind w:firstLine="567"/>
              <w:jc w:val="both"/>
              <w:rPr>
                <w:rFonts w:eastAsia="Times New Roman"/>
                <w:bCs/>
                <w:color w:val="000000"/>
                <w:sz w:val="22"/>
                <w:lang w:eastAsia="lv-LV"/>
              </w:rPr>
            </w:pPr>
            <w:r w:rsidRPr="004C7A98">
              <w:rPr>
                <w:rFonts w:eastAsia="Times New Roman"/>
                <w:bCs/>
                <w:color w:val="000000"/>
                <w:sz w:val="22"/>
                <w:lang w:eastAsia="lv-LV"/>
              </w:rPr>
              <w:t>Satversmes 83.pants noteic: “Tiesneši ir neatkarīgi un vienīgi likumam padoti.” Neatkarīga tiesu vara ir absolūti nepieciešama demokrātiskas valsts iekārtas sastāvdaļa (</w:t>
            </w:r>
            <w:r w:rsidRPr="004C7A98">
              <w:rPr>
                <w:rFonts w:eastAsia="Times New Roman"/>
                <w:bCs/>
                <w:i/>
                <w:color w:val="000000"/>
                <w:sz w:val="22"/>
                <w:lang w:eastAsia="lv-LV"/>
              </w:rPr>
              <w:t>sk. Satversmes tiesas 2010. gada 18. janvāra sprieduma lietā Nr.2009-11-01 7.punktu</w:t>
            </w:r>
            <w:r w:rsidRPr="004C7A98">
              <w:rPr>
                <w:rFonts w:eastAsia="Times New Roman"/>
                <w:bCs/>
                <w:color w:val="000000"/>
                <w:sz w:val="22"/>
                <w:lang w:eastAsia="lv-LV"/>
              </w:rPr>
              <w:t>). No tā, kā ir nodrošināta tiesnešu neatkarība, lielā mērā ir atkarīga arī citu Satversmē noteikto pamattiesību efektīva īstenošana. Tiesnešu neatkarība garantē tiesiskuma nosargāšanu sabiedrības un valsts interesēs (</w:t>
            </w:r>
            <w:r w:rsidRPr="004C7A98">
              <w:rPr>
                <w:rFonts w:eastAsia="Times New Roman"/>
                <w:bCs/>
                <w:i/>
                <w:iCs/>
                <w:color w:val="000000"/>
                <w:sz w:val="22"/>
                <w:lang w:eastAsia="lv-LV"/>
              </w:rPr>
              <w:t>sk. Satversmes tiesas 2010. gada</w:t>
            </w:r>
            <w:r w:rsidRPr="004C7A98">
              <w:rPr>
                <w:rFonts w:eastAsia="Times New Roman"/>
                <w:bCs/>
                <w:color w:val="000000"/>
                <w:sz w:val="22"/>
                <w:lang w:eastAsia="lv-LV"/>
              </w:rPr>
              <w:t xml:space="preserve"> </w:t>
            </w:r>
            <w:r w:rsidRPr="004C7A98">
              <w:rPr>
                <w:rFonts w:eastAsia="Times New Roman"/>
                <w:bCs/>
                <w:i/>
                <w:iCs/>
                <w:color w:val="000000"/>
                <w:sz w:val="22"/>
                <w:lang w:eastAsia="lv-LV"/>
              </w:rPr>
              <w:t>18. janvāra sprieduma lietā Nr. 2009-11-01 7.1.-7.2. punktu</w:t>
            </w:r>
            <w:r w:rsidRPr="004C7A98">
              <w:rPr>
                <w:rFonts w:eastAsia="Times New Roman"/>
                <w:bCs/>
                <w:color w:val="000000"/>
                <w:sz w:val="22"/>
                <w:lang w:eastAsia="lv-LV"/>
              </w:rPr>
              <w:t>).</w:t>
            </w:r>
          </w:p>
          <w:p w:rsidR="004C7A98" w:rsidRPr="004C7A98" w:rsidRDefault="004C7A98" w:rsidP="004C7A98">
            <w:pPr>
              <w:ind w:firstLine="567"/>
              <w:jc w:val="both"/>
              <w:rPr>
                <w:rFonts w:eastAsia="Times New Roman"/>
                <w:bCs/>
                <w:i/>
                <w:color w:val="000000"/>
                <w:sz w:val="22"/>
                <w:lang w:eastAsia="lv-LV"/>
              </w:rPr>
            </w:pPr>
            <w:r w:rsidRPr="004C7A98">
              <w:rPr>
                <w:rFonts w:eastAsia="Times New Roman"/>
                <w:bCs/>
                <w:color w:val="000000"/>
                <w:sz w:val="22"/>
                <w:lang w:eastAsia="lv-LV"/>
              </w:rPr>
              <w:t xml:space="preserve"> Tiesnešu neatkarību garantē pasākumu komplekss, kura uzdevums ir pasargāt tiesnešus no izpildvaras, </w:t>
            </w:r>
            <w:r w:rsidRPr="004C7A98">
              <w:rPr>
                <w:rFonts w:eastAsia="Times New Roman"/>
                <w:bCs/>
                <w:color w:val="000000"/>
                <w:sz w:val="22"/>
                <w:lang w:eastAsia="lv-LV"/>
              </w:rPr>
              <w:lastRenderedPageBreak/>
              <w:t>likumdevējvaras un jebkuras personas spiediena vai ietekmes tiesas spriešanā. Šie pasākumi ietver arī dažādas garantijas, tostarp attiecībā uz tiesnešu finansiālo drošību un atalgojuma aizsardzību (</w:t>
            </w:r>
            <w:r w:rsidRPr="004C7A98">
              <w:rPr>
                <w:rFonts w:eastAsia="Times New Roman"/>
                <w:bCs/>
                <w:i/>
                <w:color w:val="000000"/>
                <w:sz w:val="22"/>
                <w:lang w:eastAsia="lv-LV"/>
              </w:rPr>
              <w:t>sk.: Roderick A. Macdonald and Hoi Kong, Judicial Independence as a Constitutional Virtue, Oxford Handbook of Comparative Constitutional Law, ed. by Rosenfeld M. and Sajó A., Oxford University Press: Oxford, 2012, pp. 848–850; 852–855; sk. arī Satversmes tiesas 2010.gada 18.janvāra sprieduma lietā Nr.2009-11-01 8.2.punktu</w:t>
            </w:r>
            <w:r w:rsidRPr="004C7A98">
              <w:rPr>
                <w:rFonts w:eastAsia="Times New Roman"/>
                <w:bCs/>
                <w:color w:val="000000"/>
                <w:sz w:val="22"/>
                <w:lang w:eastAsia="lv-LV"/>
              </w:rPr>
              <w:t>). Visas garantijas, kas saistītas ar tiesnešu neatkarības principu, tostarp finansiālā drošība un tiesu varas faktiskā neatkarība no izpildvaras vai likumdevēja politiskās ietekmes, ir cieši saistītas, un, ja kaut viena no tām tiek nesamērīgi ierobežota, tad tiek pārkāpts tiesnešu neatkarības princips un līdz ar to apdraudēta tiesas pamatfunkciju veikšana un cilvēka tiesību un brīvību nodrošināšana</w:t>
            </w:r>
            <w:r w:rsidRPr="004C7A98">
              <w:rPr>
                <w:rFonts w:eastAsia="Times New Roman"/>
                <w:bCs/>
                <w:i/>
                <w:color w:val="000000"/>
                <w:sz w:val="22"/>
                <w:lang w:eastAsia="lv-LV"/>
              </w:rPr>
              <w:t xml:space="preserve"> (sk. Satversmes tiesas 2010. gada 18. janvāra sprieduma lietā Nr. 2009-11-01 8.2. punktu).</w:t>
            </w:r>
          </w:p>
          <w:p w:rsidR="004C7A98" w:rsidRPr="004C7A98" w:rsidRDefault="004C7A98" w:rsidP="004C7A98">
            <w:pPr>
              <w:ind w:firstLine="567"/>
              <w:jc w:val="both"/>
              <w:rPr>
                <w:rFonts w:eastAsia="Times New Roman"/>
                <w:bCs/>
                <w:color w:val="000000"/>
                <w:sz w:val="22"/>
                <w:lang w:eastAsia="lv-LV"/>
              </w:rPr>
            </w:pPr>
            <w:r w:rsidRPr="004C7A98">
              <w:rPr>
                <w:rFonts w:eastAsia="Times New Roman"/>
                <w:bCs/>
                <w:color w:val="000000"/>
                <w:sz w:val="22"/>
                <w:lang w:eastAsia="lv-LV"/>
              </w:rPr>
              <w:t xml:space="preserve">Satversmes tiesa, atsaucoties uz Čehijas Republikas Konstitucionālās tiesas atziņām, ir norādījusi, ka demokrātiskās valstīs tiesnešu finansiālā drošība ir atzīta par vienu no būtiskākajiem tiesnešu neatkarības nodrošināšanas elementiem. Turklāt tiesu varas neatkarības nodrošināšanā būtiska nozīme ir ne tikai tiesneša algas apjomam, bet arī tās stabilitātei. Ja likumdevējam tiktu dotas neierobežotas tiesības pēc savas politiskās izvēles ietekmēt tiesnešu algas, tiesas </w:t>
            </w:r>
            <w:r w:rsidRPr="004C7A98">
              <w:rPr>
                <w:rFonts w:eastAsia="Times New Roman"/>
                <w:bCs/>
                <w:color w:val="000000"/>
                <w:sz w:val="22"/>
                <w:lang w:eastAsia="lv-LV"/>
              </w:rPr>
              <w:lastRenderedPageBreak/>
              <w:t>neatkarības jēdziens zaudētu jēgu, jo viena no tā sastāvdaļām ir algas stabilitāte (</w:t>
            </w:r>
            <w:r w:rsidRPr="004C7A98">
              <w:rPr>
                <w:rFonts w:eastAsia="Times New Roman"/>
                <w:bCs/>
                <w:i/>
                <w:color w:val="000000"/>
                <w:sz w:val="22"/>
                <w:lang w:eastAsia="lv-LV"/>
              </w:rPr>
              <w:t>sk. Satversmes tiesas 2010. gada 18. janvāra sprieduma lietā Nr.2009-11-01 8.2. un 11.3.punktu; sk. arī: European Commission for Democracy through Law (Venice Commission) Report on the Independence of the Judicial System Part I: The Independence of Judges, 16 March 2010, para. 46</w:t>
            </w:r>
            <w:r w:rsidRPr="004C7A98">
              <w:rPr>
                <w:rFonts w:eastAsia="Times New Roman"/>
                <w:bCs/>
                <w:color w:val="000000"/>
                <w:sz w:val="22"/>
                <w:lang w:eastAsia="lv-LV"/>
              </w:rPr>
              <w:t>). Arī Eiropas Padomes komisija par demokrātiju caur tiesībām (Venēcijas komisija) ir norādījusi, ka tiesnešu atalgojuma noteikšanā pēc iespējas būtu jāizslēdz tādi elementi, kuri ietver rīcības brīvību to piešķiršanā (</w:t>
            </w:r>
            <w:r w:rsidRPr="004C7A98">
              <w:rPr>
                <w:rFonts w:eastAsia="Times New Roman"/>
                <w:bCs/>
                <w:i/>
                <w:iCs/>
                <w:color w:val="000000"/>
                <w:sz w:val="22"/>
                <w:lang w:eastAsia="lv-LV"/>
              </w:rPr>
              <w:t>sk. European Commission for democracy though rule of law (Venice Commission), Compilation of Venice Commission Reports and Opinions Concerning Courts and Judges, 5 March 2015, para. 2.7</w:t>
            </w:r>
            <w:r w:rsidRPr="004C7A98">
              <w:rPr>
                <w:rFonts w:eastAsia="Times New Roman"/>
                <w:bCs/>
                <w:color w:val="000000"/>
                <w:sz w:val="22"/>
                <w:lang w:eastAsia="lv-LV"/>
              </w:rPr>
              <w:t>). Saeimas Juridiskais birojs norāda, ka šāds secinājums ir attiecināms ne tikai uz atalgojuma mainīgo daļu, bet arī uz tiesneša mēnešalgu.</w:t>
            </w:r>
          </w:p>
          <w:p w:rsidR="004C7A98" w:rsidRPr="004C7A98" w:rsidRDefault="004C7A98" w:rsidP="004C7A98">
            <w:pPr>
              <w:ind w:firstLine="567"/>
              <w:jc w:val="both"/>
              <w:rPr>
                <w:rFonts w:eastAsia="Times New Roman"/>
                <w:bCs/>
                <w:color w:val="000000"/>
                <w:sz w:val="22"/>
                <w:lang w:eastAsia="lv-LV"/>
              </w:rPr>
            </w:pPr>
            <w:r w:rsidRPr="004C7A98">
              <w:rPr>
                <w:rFonts w:eastAsia="Times New Roman"/>
                <w:bCs/>
                <w:color w:val="000000"/>
                <w:sz w:val="22"/>
                <w:lang w:eastAsia="lv-LV"/>
              </w:rPr>
              <w:t xml:space="preserve">Tātad saskaņā ar tiesnešu neatkarības principu tiesnešu atalgojumam ir jābūt stabilam un paredzamam, lai tiesneši varētu droši plānot savu nākotni, vadoties no tiesību normās noteiktās atlīdzības sistēmas. Turklāt tam jābūt maksimāli aizsargātam gan no izpildvaras, gan likumdevēja nepamatotas ietekmes vai politiska spiediena.  Prasība pēc tā, lai tiesneša atalgojums būtu noteikts ar likumu, nav saistīta tikai ar to, ka par tiesneša atalgojumu būtu jālemj likumdevējam. Šāda prasība nodrošina, ka </w:t>
            </w:r>
            <w:r w:rsidRPr="004C7A98">
              <w:rPr>
                <w:rFonts w:eastAsia="Times New Roman"/>
                <w:bCs/>
                <w:color w:val="000000"/>
                <w:sz w:val="22"/>
                <w:lang w:eastAsia="lv-LV"/>
              </w:rPr>
              <w:lastRenderedPageBreak/>
              <w:t xml:space="preserve">tiesnešu finansiālās neatkarības garantijas nevar tikt bieži un neparedzami mainītas. </w:t>
            </w:r>
          </w:p>
          <w:p w:rsidR="004C7A98" w:rsidRPr="004C7A98" w:rsidRDefault="004C7A98" w:rsidP="004C7A98">
            <w:pPr>
              <w:ind w:firstLine="567"/>
              <w:jc w:val="both"/>
              <w:rPr>
                <w:rFonts w:eastAsia="Times New Roman"/>
                <w:bCs/>
                <w:color w:val="000000"/>
                <w:sz w:val="22"/>
                <w:lang w:eastAsia="lv-LV"/>
              </w:rPr>
            </w:pPr>
            <w:r w:rsidRPr="004C7A98">
              <w:rPr>
                <w:rFonts w:eastAsia="Times New Roman"/>
                <w:bCs/>
                <w:color w:val="000000"/>
                <w:sz w:val="22"/>
                <w:lang w:eastAsia="lv-LV"/>
              </w:rPr>
              <w:t>Likumdevējs, nosakot tiesnešu atlīdzību, bauda rīcības brīvību vienīgi tiktāl, ciktāl tas ievēro no Satversmes 83. pantā ietvertā tiesnešu neatkarības principa izrietošos kritērijus. Vērtējot šobrīd spēkā esošo tiesnešu atlīdzības sistēmu Valsts un pašvaldību institūciju amatpersonu un darbinieku atlīdzības likumā, Satversmes tiesa lietā Nr.2016-31-01 ir norādījusi, ka Satversmes 83.pants aizsargā tiesnešu atlīdzības faktisko vērtību. Tādēļ tiesnešu atlīdzības sistēmai ir jāatbilst noteiktiem principiem, kas nodrošinātu tiesnešu atlīdzības faktiskās vērtības atbilstību tiesnešu finansiālās drošības prasībām un ietvertu tās saglabāšanas mehānismu (</w:t>
            </w:r>
            <w:r w:rsidRPr="004C7A98">
              <w:rPr>
                <w:rFonts w:eastAsia="Times New Roman"/>
                <w:bCs/>
                <w:i/>
                <w:color w:val="000000"/>
                <w:sz w:val="22"/>
                <w:lang w:eastAsia="lv-LV"/>
              </w:rPr>
              <w:t>sk. Satversmes tiesas 2017.gada 26.oktobra sprieduma lietā Nr.2016-31-01 19. un 21.2-21.3.punktu</w:t>
            </w:r>
            <w:r w:rsidRPr="004C7A98">
              <w:rPr>
                <w:rFonts w:eastAsia="Times New Roman"/>
                <w:bCs/>
                <w:color w:val="000000"/>
                <w:sz w:val="22"/>
                <w:lang w:eastAsia="lv-LV"/>
              </w:rPr>
              <w:t>).</w:t>
            </w:r>
          </w:p>
          <w:p w:rsidR="004C7A98" w:rsidRPr="004C7A98" w:rsidRDefault="004C7A98" w:rsidP="004C7A98">
            <w:pPr>
              <w:ind w:firstLine="567"/>
              <w:jc w:val="both"/>
              <w:rPr>
                <w:rFonts w:eastAsia="Times New Roman"/>
                <w:bCs/>
                <w:color w:val="000000"/>
                <w:sz w:val="22"/>
                <w:lang w:eastAsia="lv-LV"/>
              </w:rPr>
            </w:pPr>
            <w:r w:rsidRPr="004C7A98">
              <w:rPr>
                <w:rFonts w:eastAsia="Times New Roman"/>
                <w:bCs/>
                <w:color w:val="000000"/>
                <w:sz w:val="22"/>
                <w:lang w:eastAsia="lv-LV"/>
              </w:rPr>
              <w:t xml:space="preserve">Pēc Satversmes tiesas ieskata, pirmkārt, tiesnešu atlīdzības faktiskās vērtības aizsardzība var tikt nodrošināta, likumdevējam izveidojot tādu tiesnešu atlīdzības sistēmu, kas tiesneša atlīdzības faktisko apmēru padara atkarīgu no ekonomiskajiem rādītājiem, kas atspoguļo ekonomisko situāciju valstī (piemēram, tiesneša mēnešalgas apmēra piesaiste vidējai mēnešalgai valstī). Pēc tādas sistēmas izveides, kas paredz tiesnešu darba samaksas faktiskās vērtības saglabāšanu, likumdevējam nebūtu jāiejaucas tiesu varas funkcionēšanā. Atkarībā no valsts ekonomiskās situācijas izmaiņām šāda tiesnešu atlīdzības sistēma nodrošinātu nemainīgu tiesnešu atlīdzības faktisko vērtību. Otrkārt, likumdevējs ir tiesīgs izšķirties arī par fiksēta tiesnešu atlīdzības apmēra noteikšanu, taču šādā gadījumā tam būtu jāparedz tiesnešu atlīdzības apmēra regulāra pārskatīšana. Proti, likumdevējam būtu jānosaka termiņš, pēc kura tiesnešu atlīdzības apmērs pārskatāms, kā arī jāparedz konkrēti objektīvi kritēriji, pēc kuriem vērtējams tiesnešu atlīdzības faktiskais apmērs, un tā vērtēšanas kārtība, vienlaikus nodrošinot arī tiesnešu neatkarības prasību ievērošanu </w:t>
            </w:r>
            <w:r w:rsidRPr="004C7A98">
              <w:rPr>
                <w:rFonts w:eastAsia="Times New Roman"/>
                <w:bCs/>
                <w:i/>
                <w:color w:val="000000"/>
                <w:sz w:val="22"/>
                <w:lang w:eastAsia="lv-LV"/>
              </w:rPr>
              <w:t>(sk. Satversmes tiesas 2017.gada 26.oktobra sprieduma lietā Nr.2016-31-01 21.3.punktu</w:t>
            </w:r>
            <w:r w:rsidRPr="004C7A98">
              <w:rPr>
                <w:rFonts w:eastAsia="Times New Roman"/>
                <w:bCs/>
                <w:color w:val="000000"/>
                <w:sz w:val="22"/>
                <w:lang w:eastAsia="lv-LV"/>
              </w:rPr>
              <w:t>).</w:t>
            </w:r>
          </w:p>
          <w:p w:rsidR="004C7A98" w:rsidRPr="004C7A98" w:rsidRDefault="004C7A98" w:rsidP="004C7A98">
            <w:pPr>
              <w:ind w:firstLine="567"/>
              <w:jc w:val="both"/>
              <w:rPr>
                <w:rFonts w:eastAsia="Times New Roman"/>
                <w:bCs/>
                <w:color w:val="000000"/>
                <w:sz w:val="22"/>
                <w:lang w:eastAsia="lv-LV"/>
              </w:rPr>
            </w:pPr>
            <w:r w:rsidRPr="004C7A98">
              <w:rPr>
                <w:rFonts w:eastAsia="Times New Roman"/>
                <w:bCs/>
                <w:color w:val="000000"/>
                <w:sz w:val="22"/>
                <w:lang w:eastAsia="lv-LV"/>
              </w:rPr>
              <w:t xml:space="preserve">Juridiskais birojs uzskata, ka likumprojektā paredzētā tiesnešu atlīdzības sistēma neatbilst no Satversmes 83.panta izrietošajām prasībām. Nosakot tiesnešu atalgojumu likumā, kura spēkā esamība ir terminēta, tas neatbildīs tiesnešu atalgojumam izvirzāmajām stabilitātes un paredzamības prasībām, kurām jānodrošina adekvāts, tiesneša statusam un atbildībai atbilstošs un pakāpeniski pieaugošs atalgojums ilgtermiņā. </w:t>
            </w:r>
          </w:p>
          <w:p w:rsidR="004C7A98" w:rsidRPr="004C7A98" w:rsidRDefault="004C7A98" w:rsidP="004C7A98">
            <w:pPr>
              <w:ind w:firstLine="567"/>
              <w:jc w:val="both"/>
              <w:rPr>
                <w:rFonts w:eastAsia="Times New Roman"/>
                <w:bCs/>
                <w:color w:val="000000"/>
                <w:sz w:val="22"/>
                <w:lang w:eastAsia="lv-LV"/>
              </w:rPr>
            </w:pPr>
            <w:r w:rsidRPr="004C7A98">
              <w:rPr>
                <w:rFonts w:eastAsia="Times New Roman"/>
                <w:bCs/>
                <w:color w:val="000000"/>
                <w:sz w:val="22"/>
                <w:lang w:eastAsia="lv-LV"/>
              </w:rPr>
              <w:t xml:space="preserve">Likumprojektā ir paredzēts nevis </w:t>
            </w:r>
            <w:r w:rsidRPr="004C7A98">
              <w:rPr>
                <w:rFonts w:eastAsia="Times New Roman"/>
                <w:bCs/>
                <w:i/>
                <w:color w:val="000000"/>
                <w:sz w:val="22"/>
                <w:lang w:eastAsia="lv-LV"/>
              </w:rPr>
              <w:t>termiņš, kurā</w:t>
            </w:r>
            <w:r w:rsidRPr="004C7A98">
              <w:rPr>
                <w:rFonts w:eastAsia="Times New Roman"/>
                <w:bCs/>
                <w:color w:val="000000"/>
                <w:sz w:val="22"/>
                <w:lang w:eastAsia="lv-LV"/>
              </w:rPr>
              <w:t xml:space="preserve"> </w:t>
            </w:r>
            <w:r w:rsidRPr="004C7A98">
              <w:rPr>
                <w:rFonts w:eastAsia="Times New Roman"/>
                <w:bCs/>
                <w:i/>
                <w:color w:val="000000"/>
                <w:sz w:val="22"/>
                <w:lang w:eastAsia="lv-LV"/>
              </w:rPr>
              <w:t>regulāri pārskatāms</w:t>
            </w:r>
            <w:r w:rsidRPr="004C7A98">
              <w:rPr>
                <w:rFonts w:eastAsia="Times New Roman"/>
                <w:bCs/>
                <w:color w:val="000000"/>
                <w:sz w:val="22"/>
                <w:lang w:eastAsia="lv-LV"/>
              </w:rPr>
              <w:t xml:space="preserve"> likumā jau noteiktas atlīdzības faktiskais apmērs nolūkā panākt tā pakāpenisku pieaugumu ilgtermiņā, bet gan izpildvaras un likumdevēja </w:t>
            </w:r>
            <w:r w:rsidRPr="004C7A98">
              <w:rPr>
                <w:rFonts w:eastAsia="Times New Roman"/>
                <w:bCs/>
                <w:i/>
                <w:color w:val="000000"/>
                <w:sz w:val="22"/>
                <w:lang w:eastAsia="lv-LV"/>
              </w:rPr>
              <w:t xml:space="preserve">tiesības ik gadu no jauna </w:t>
            </w:r>
            <w:r w:rsidRPr="004C7A98">
              <w:rPr>
                <w:rFonts w:eastAsia="Times New Roman"/>
                <w:bCs/>
                <w:color w:val="000000"/>
                <w:sz w:val="22"/>
                <w:lang w:eastAsia="lv-LV"/>
              </w:rPr>
              <w:t xml:space="preserve">ar politisku lēmumu </w:t>
            </w:r>
            <w:r w:rsidRPr="004C7A98">
              <w:rPr>
                <w:rFonts w:eastAsia="Times New Roman"/>
                <w:bCs/>
                <w:i/>
                <w:color w:val="000000"/>
                <w:sz w:val="22"/>
                <w:lang w:eastAsia="lv-LV"/>
              </w:rPr>
              <w:t>noteikt</w:t>
            </w:r>
            <w:r w:rsidRPr="004C7A98">
              <w:rPr>
                <w:rFonts w:eastAsia="Times New Roman"/>
                <w:bCs/>
                <w:color w:val="000000"/>
                <w:sz w:val="22"/>
                <w:lang w:eastAsia="lv-LV"/>
              </w:rPr>
              <w:t xml:space="preserve"> atšķirīgu tiesnešu atalgojuma apmēru nākamajam gadam. Tādējādi likumprojektā paredzētā tiesnešu atalgojuma sistēma ir atkarīga no gadskārtējā valsts budžeta iespējām, un līdz ar to pieļauj arī tiesnešu mēnešalgas apmēra samazināšanu vienkāršotā procedūrā, ja attiecīgajā gadā valsts budžeta iespējas, pēc Finanšu ministrijas un Saeimas ieskata, būtu ierobežotas. Tā nav arī stabila un paredzama, jo ik gadu var tikt noteikts atšķirīgs mēnešalgas apmērs, kas tiesnešiem taps zināms tikai tad, kad Saeimā būs pieņemta gadskārtējā budžeta likumprojektu pakete. Likumprojektā nav paredzēti arī objektīvi kritēriji, pēc kuriem vērtējams tiesnešu atlīdzības faktiskais apmērs, un tā vērtēšanas kārtība. </w:t>
            </w:r>
          </w:p>
          <w:p w:rsidR="004C7A98" w:rsidRPr="004C7A98" w:rsidRDefault="004C7A98" w:rsidP="004C7A98">
            <w:pPr>
              <w:ind w:firstLine="567"/>
              <w:jc w:val="both"/>
              <w:rPr>
                <w:rFonts w:eastAsia="Times New Roman"/>
                <w:bCs/>
                <w:color w:val="000000"/>
                <w:sz w:val="22"/>
                <w:lang w:eastAsia="lv-LV"/>
              </w:rPr>
            </w:pPr>
            <w:r w:rsidRPr="004C7A98">
              <w:rPr>
                <w:rFonts w:eastAsia="Times New Roman"/>
                <w:bCs/>
                <w:color w:val="000000"/>
                <w:sz w:val="22"/>
                <w:lang w:eastAsia="lv-LV"/>
              </w:rPr>
              <w:t>Turklāt šī atlīdzības sistēma faktiski ir atkarīga no divu citu valsts varas atzaru politiskās gribas, tādējādi pastāv vismaz teorētiska iespēja politiski ietekmēt tiesas ar ekonomisku manipulāciju palīdzību (</w:t>
            </w:r>
            <w:r w:rsidRPr="004C7A98">
              <w:rPr>
                <w:rFonts w:eastAsia="Times New Roman"/>
                <w:bCs/>
                <w:i/>
                <w:color w:val="000000"/>
                <w:sz w:val="22"/>
                <w:lang w:eastAsia="lv-LV"/>
              </w:rPr>
              <w:t>sal. sk.: Satversmes tiesas 2010.gada 18.janvāra sprieduma lietā Nr.2009-11-01 10.3.punktu</w:t>
            </w:r>
            <w:r w:rsidRPr="004C7A98">
              <w:rPr>
                <w:rFonts w:eastAsia="Times New Roman"/>
                <w:bCs/>
                <w:color w:val="000000"/>
                <w:sz w:val="22"/>
                <w:lang w:eastAsia="lv-LV"/>
              </w:rPr>
              <w:t>). Juridiskais birojs norāda, ka, normatīvais regulējums, kas reglamentē tiesnešu atalgojumu, var neatbilst Satversmes 83. pantam pat tad, ja tas ne tikai paredz, bet arī nepietiekami aizsargā tiesnešus un tiesu varu pret iespējamu ietekmi no citiem varas atzariem. Izpildvaras un likumdevēja tiesības ik gadu pārskatīt un ar politisku lēmumu noteikt tiesnešu atalgojuma apmēru nākamajam gadam būtiski ietekmē tiesnešu finansiālo drošību. Tas neatbilst tiesu varas faktiskās neatkarības no izpildvaras un likumdevēja politiskās ietekmes garantijai un arī no Satversmes 1.panta izrietošajam varas dalīšanas principam, jo pieļauj izpildvaras un likumdevēja pārmērīgu ietekmi attiecībā uz trešo, proti, tiesu varas atzaru.</w:t>
            </w:r>
          </w:p>
          <w:p w:rsidR="004C7A98" w:rsidRPr="004C7A98" w:rsidRDefault="004C7A98" w:rsidP="004C7A98">
            <w:pPr>
              <w:ind w:firstLine="567"/>
              <w:jc w:val="both"/>
              <w:rPr>
                <w:rFonts w:eastAsia="Times New Roman"/>
                <w:bCs/>
                <w:color w:val="000000"/>
                <w:sz w:val="22"/>
                <w:lang w:eastAsia="lv-LV"/>
              </w:rPr>
            </w:pPr>
            <w:r w:rsidRPr="004C7A98">
              <w:rPr>
                <w:rFonts w:eastAsia="Times New Roman"/>
                <w:bCs/>
                <w:color w:val="000000"/>
                <w:sz w:val="22"/>
                <w:lang w:eastAsia="lv-LV"/>
              </w:rPr>
              <w:t>Norādām, ka termiņš, līdz kuram Satversmes tiesa lietā Nr.2016-31-01</w:t>
            </w:r>
            <w:r w:rsidRPr="004C7A98">
              <w:rPr>
                <w:rFonts w:eastAsia="Times New Roman"/>
                <w:bCs/>
                <w:i/>
                <w:color w:val="000000"/>
                <w:sz w:val="22"/>
                <w:lang w:eastAsia="lv-LV"/>
              </w:rPr>
              <w:t xml:space="preserve"> </w:t>
            </w:r>
            <w:r w:rsidRPr="004C7A98">
              <w:rPr>
                <w:rFonts w:eastAsia="Times New Roman"/>
                <w:bCs/>
                <w:color w:val="000000"/>
                <w:sz w:val="22"/>
                <w:lang w:eastAsia="lv-LV"/>
              </w:rPr>
              <w:t>ir</w:t>
            </w:r>
            <w:r w:rsidRPr="004C7A98">
              <w:rPr>
                <w:rFonts w:eastAsia="Times New Roman"/>
                <w:bCs/>
                <w:i/>
                <w:color w:val="000000"/>
                <w:sz w:val="22"/>
                <w:lang w:eastAsia="lv-LV"/>
              </w:rPr>
              <w:t xml:space="preserve"> </w:t>
            </w:r>
            <w:r w:rsidRPr="004C7A98">
              <w:rPr>
                <w:rFonts w:eastAsia="Times New Roman"/>
                <w:bCs/>
                <w:color w:val="000000"/>
                <w:sz w:val="22"/>
                <w:lang w:eastAsia="lv-LV"/>
              </w:rPr>
              <w:t>uzdevusi likumdevējam izstrādāt un pieņemt jaunu Satversmes 83. panta prasībām atbilstošu tiesnešu darba samaksas sistēmu, ir 2019. gada 1. janvāris (</w:t>
            </w:r>
            <w:r w:rsidRPr="004C7A98">
              <w:rPr>
                <w:rFonts w:eastAsia="Times New Roman"/>
                <w:bCs/>
                <w:i/>
                <w:color w:val="000000"/>
                <w:sz w:val="22"/>
                <w:lang w:eastAsia="lv-LV"/>
              </w:rPr>
              <w:t>sk. Satversmes tiesas 2017.gada 26.oktobra sprieduma lietā Nr.2016-31-01 23.punktu</w:t>
            </w:r>
            <w:r w:rsidRPr="004C7A98">
              <w:rPr>
                <w:rFonts w:eastAsia="Times New Roman"/>
                <w:bCs/>
                <w:color w:val="000000"/>
                <w:sz w:val="22"/>
                <w:lang w:eastAsia="lv-LV"/>
              </w:rPr>
              <w:t>).</w:t>
            </w:r>
          </w:p>
        </w:tc>
        <w:tc>
          <w:tcPr>
            <w:tcW w:w="1418" w:type="dxa"/>
          </w:tcPr>
          <w:p w:rsidR="004C7A98" w:rsidRPr="00CC4314" w:rsidRDefault="004C7A98" w:rsidP="005012EB">
            <w:pPr>
              <w:ind w:firstLine="567"/>
              <w:jc w:val="both"/>
              <w:rPr>
                <w:rFonts w:eastAsia="Times New Roman"/>
                <w:bCs/>
                <w:color w:val="000000"/>
                <w:sz w:val="22"/>
                <w:lang w:eastAsia="lv-LV"/>
              </w:rPr>
            </w:pPr>
          </w:p>
        </w:tc>
        <w:tc>
          <w:tcPr>
            <w:tcW w:w="1418" w:type="dxa"/>
          </w:tcPr>
          <w:p w:rsidR="004C7A98" w:rsidRPr="00CC4314" w:rsidRDefault="004C7A98" w:rsidP="005012EB">
            <w:pPr>
              <w:ind w:firstLine="567"/>
              <w:jc w:val="both"/>
              <w:rPr>
                <w:rFonts w:eastAsia="Times New Roman"/>
                <w:bCs/>
                <w:color w:val="000000"/>
                <w:sz w:val="22"/>
                <w:lang w:eastAsia="lv-LV"/>
              </w:rPr>
            </w:pPr>
          </w:p>
        </w:tc>
      </w:tr>
      <w:tr w:rsidR="00C15F4C" w:rsidRPr="001B3F41" w:rsidTr="0095142A">
        <w:tc>
          <w:tcPr>
            <w:tcW w:w="3969" w:type="dxa"/>
            <w:shd w:val="clear" w:color="auto" w:fill="auto"/>
          </w:tcPr>
          <w:p w:rsidR="00C15F4C" w:rsidRDefault="00C15F4C" w:rsidP="005012EB">
            <w:pPr>
              <w:ind w:firstLine="567"/>
              <w:jc w:val="both"/>
              <w:rPr>
                <w:b/>
                <w:bCs/>
                <w:sz w:val="22"/>
              </w:rPr>
            </w:pPr>
            <w:r w:rsidRPr="009F6021">
              <w:rPr>
                <w:b/>
                <w:bCs/>
                <w:sz w:val="22"/>
              </w:rPr>
              <w:lastRenderedPageBreak/>
              <w:t>2.</w:t>
            </w:r>
            <w:r>
              <w:rPr>
                <w:b/>
                <w:bCs/>
                <w:sz w:val="22"/>
              </w:rPr>
              <w:t xml:space="preserve"> </w:t>
            </w:r>
            <w:r w:rsidRPr="009F6021">
              <w:rPr>
                <w:b/>
                <w:bCs/>
                <w:sz w:val="22"/>
              </w:rPr>
              <w:t>pants. Likuma darbība</w:t>
            </w:r>
          </w:p>
          <w:p w:rsidR="0032448E" w:rsidRPr="0032448E" w:rsidRDefault="0032448E" w:rsidP="005012EB">
            <w:pPr>
              <w:ind w:firstLine="567"/>
              <w:jc w:val="both"/>
              <w:rPr>
                <w:sz w:val="22"/>
              </w:rPr>
            </w:pPr>
            <w:r w:rsidRPr="0032448E">
              <w:rPr>
                <w:sz w:val="22"/>
              </w:rPr>
              <w:t>(1) Likums, ievērojot šā panta otrajā, trešajā, ceturtajā un piektajā daļā noteikto, attiecas uz šādu valsts un pašvaldību institūciju amatpersonām (darbiniekiem):</w:t>
            </w:r>
          </w:p>
        </w:tc>
        <w:tc>
          <w:tcPr>
            <w:tcW w:w="3969" w:type="dxa"/>
            <w:shd w:val="clear" w:color="auto" w:fill="auto"/>
          </w:tcPr>
          <w:p w:rsidR="00C15F4C" w:rsidRPr="00CC4314" w:rsidRDefault="00C15F4C" w:rsidP="005012EB">
            <w:pPr>
              <w:ind w:firstLine="567"/>
              <w:jc w:val="both"/>
              <w:rPr>
                <w:rFonts w:eastAsia="Times New Roman"/>
                <w:bCs/>
                <w:color w:val="000000"/>
                <w:sz w:val="22"/>
                <w:lang w:eastAsia="lv-LV"/>
              </w:rPr>
            </w:pPr>
          </w:p>
        </w:tc>
        <w:tc>
          <w:tcPr>
            <w:tcW w:w="567" w:type="dxa"/>
          </w:tcPr>
          <w:p w:rsidR="00C15F4C" w:rsidRPr="0095142A" w:rsidRDefault="00C8153E" w:rsidP="0095142A">
            <w:pPr>
              <w:jc w:val="center"/>
              <w:rPr>
                <w:rFonts w:eastAsia="Times New Roman"/>
                <w:b/>
                <w:bCs/>
                <w:color w:val="000000"/>
                <w:sz w:val="22"/>
                <w:lang w:eastAsia="lv-LV"/>
              </w:rPr>
            </w:pPr>
            <w:r>
              <w:rPr>
                <w:rFonts w:eastAsia="Times New Roman"/>
                <w:b/>
                <w:bCs/>
                <w:color w:val="000000"/>
                <w:sz w:val="22"/>
                <w:lang w:eastAsia="lv-LV"/>
              </w:rPr>
              <w:t>2</w:t>
            </w:r>
          </w:p>
        </w:tc>
        <w:tc>
          <w:tcPr>
            <w:tcW w:w="3969" w:type="dxa"/>
          </w:tcPr>
          <w:p w:rsidR="007B57C8" w:rsidRPr="007B57C8" w:rsidRDefault="007B57C8" w:rsidP="007B57C8">
            <w:pPr>
              <w:ind w:firstLine="567"/>
              <w:jc w:val="both"/>
              <w:rPr>
                <w:rFonts w:eastAsia="Times New Roman"/>
                <w:b/>
                <w:bCs/>
                <w:color w:val="000000"/>
                <w:sz w:val="22"/>
                <w:u w:val="single"/>
                <w:lang w:eastAsia="lv-LV"/>
              </w:rPr>
            </w:pPr>
            <w:r w:rsidRPr="007B57C8">
              <w:rPr>
                <w:rFonts w:eastAsia="Times New Roman"/>
                <w:b/>
                <w:bCs/>
                <w:color w:val="000000"/>
                <w:sz w:val="22"/>
                <w:u w:val="single"/>
                <w:lang w:eastAsia="lv-LV"/>
              </w:rPr>
              <w:t>Ministru prezidenta biedrs,</w:t>
            </w:r>
            <w:r>
              <w:rPr>
                <w:rFonts w:eastAsia="Times New Roman"/>
                <w:b/>
                <w:bCs/>
                <w:color w:val="000000"/>
                <w:sz w:val="22"/>
                <w:u w:val="single"/>
                <w:lang w:eastAsia="lv-LV"/>
              </w:rPr>
              <w:t xml:space="preserve"> ekonomikas ministrs </w:t>
            </w:r>
            <w:r w:rsidRPr="007B57C8">
              <w:rPr>
                <w:rFonts w:eastAsia="Times New Roman"/>
                <w:b/>
                <w:bCs/>
                <w:color w:val="000000"/>
                <w:sz w:val="22"/>
                <w:u w:val="single"/>
                <w:lang w:eastAsia="lv-LV"/>
              </w:rPr>
              <w:t>A.Ašeradens</w:t>
            </w:r>
          </w:p>
          <w:p w:rsidR="007B57C8" w:rsidRPr="007B57C8" w:rsidRDefault="007B57C8" w:rsidP="007B57C8">
            <w:pPr>
              <w:ind w:firstLine="567"/>
              <w:jc w:val="both"/>
              <w:rPr>
                <w:rFonts w:eastAsia="Times New Roman"/>
                <w:bCs/>
                <w:color w:val="000000"/>
                <w:sz w:val="22"/>
                <w:lang w:eastAsia="lv-LV"/>
              </w:rPr>
            </w:pPr>
            <w:r>
              <w:rPr>
                <w:rFonts w:eastAsia="Times New Roman"/>
                <w:bCs/>
                <w:color w:val="000000"/>
                <w:sz w:val="22"/>
                <w:lang w:eastAsia="lv-LV"/>
              </w:rPr>
              <w:t>P</w:t>
            </w:r>
            <w:r w:rsidRPr="007B57C8">
              <w:rPr>
                <w:rFonts w:eastAsia="Times New Roman"/>
                <w:bCs/>
                <w:color w:val="000000"/>
                <w:sz w:val="22"/>
                <w:lang w:eastAsia="lv-LV"/>
              </w:rPr>
              <w:t>apildināt Likumprojektu ar grozījumu, kas paredz papildināt likuma 2.panta pirmo daļu ar 22.punktu šādā redakcijā:</w:t>
            </w:r>
          </w:p>
          <w:p w:rsidR="00C15F4C" w:rsidRPr="007B57C8" w:rsidRDefault="007B57C8" w:rsidP="007B57C8">
            <w:pPr>
              <w:ind w:firstLine="567"/>
              <w:jc w:val="both"/>
              <w:rPr>
                <w:rFonts w:eastAsia="Times New Roman"/>
                <w:bCs/>
                <w:color w:val="000000"/>
                <w:sz w:val="22"/>
                <w:lang w:eastAsia="lv-LV"/>
              </w:rPr>
            </w:pPr>
            <w:r w:rsidRPr="007B57C8">
              <w:rPr>
                <w:rFonts w:eastAsia="Times New Roman"/>
                <w:bCs/>
                <w:color w:val="000000"/>
                <w:sz w:val="22"/>
                <w:lang w:eastAsia="lv-LV"/>
              </w:rPr>
              <w:t>“22) Konkurences padome.”.</w:t>
            </w:r>
          </w:p>
        </w:tc>
        <w:tc>
          <w:tcPr>
            <w:tcW w:w="1418" w:type="dxa"/>
          </w:tcPr>
          <w:p w:rsidR="00C15F4C" w:rsidRPr="00CC4314" w:rsidRDefault="00C15F4C" w:rsidP="005012EB">
            <w:pPr>
              <w:ind w:firstLine="567"/>
              <w:jc w:val="both"/>
              <w:rPr>
                <w:rFonts w:eastAsia="Times New Roman"/>
                <w:bCs/>
                <w:color w:val="000000"/>
                <w:sz w:val="22"/>
                <w:lang w:eastAsia="lv-LV"/>
              </w:rPr>
            </w:pPr>
          </w:p>
        </w:tc>
        <w:tc>
          <w:tcPr>
            <w:tcW w:w="1418" w:type="dxa"/>
          </w:tcPr>
          <w:p w:rsidR="00C15F4C" w:rsidRPr="00CC4314" w:rsidRDefault="00C15F4C" w:rsidP="005012EB">
            <w:pPr>
              <w:ind w:firstLine="567"/>
              <w:jc w:val="both"/>
              <w:rPr>
                <w:rFonts w:eastAsia="Times New Roman"/>
                <w:bCs/>
                <w:color w:val="000000"/>
                <w:sz w:val="22"/>
                <w:lang w:eastAsia="lv-LV"/>
              </w:rPr>
            </w:pPr>
          </w:p>
        </w:tc>
      </w:tr>
      <w:tr w:rsidR="00BF0594" w:rsidRPr="001B3F41" w:rsidTr="0095142A">
        <w:tc>
          <w:tcPr>
            <w:tcW w:w="3969" w:type="dxa"/>
            <w:shd w:val="clear" w:color="auto" w:fill="auto"/>
          </w:tcPr>
          <w:p w:rsidR="009F6021" w:rsidRPr="00C6073A" w:rsidRDefault="00C6073A" w:rsidP="005012EB">
            <w:pPr>
              <w:ind w:firstLine="567"/>
              <w:jc w:val="both"/>
              <w:rPr>
                <w:sz w:val="22"/>
              </w:rPr>
            </w:pPr>
            <w:r w:rsidRPr="00C6073A">
              <w:rPr>
                <w:sz w:val="22"/>
              </w:rPr>
              <w:t>(3) Uz Valsts prezidentu attiecas tikai šā likuma 3.panta astotā un devītā daļa, kā arī 19.panta ceturtā daļa un 22.pants. Uz pedagogiem atbilstoši pedagogu amatu sarakstam, zinātnisko institūtu akadēmiskajos amatos nodarbinātajiem, ostu pārvaldniekiem un citiem ostu darbiniekiem attiecas tikai šā likuma 3.panta astotā un devītā daļa. Citas šā likuma normas minētajām amatpersonām (darbiniekiem) piemēro likumos noteiktajos gadījumos un apjomā.</w:t>
            </w:r>
          </w:p>
        </w:tc>
        <w:tc>
          <w:tcPr>
            <w:tcW w:w="3969" w:type="dxa"/>
            <w:shd w:val="clear" w:color="auto" w:fill="auto"/>
          </w:tcPr>
          <w:p w:rsidR="00BF0594" w:rsidRPr="00CC4314" w:rsidRDefault="00BF0594" w:rsidP="005012EB">
            <w:pPr>
              <w:ind w:firstLine="567"/>
              <w:jc w:val="both"/>
              <w:rPr>
                <w:rFonts w:eastAsia="Times New Roman"/>
                <w:bCs/>
                <w:color w:val="000000"/>
                <w:sz w:val="22"/>
                <w:lang w:eastAsia="lv-LV"/>
              </w:rPr>
            </w:pPr>
          </w:p>
        </w:tc>
        <w:tc>
          <w:tcPr>
            <w:tcW w:w="567" w:type="dxa"/>
          </w:tcPr>
          <w:p w:rsidR="00BF0594" w:rsidRPr="0095142A" w:rsidRDefault="00C8153E" w:rsidP="0095142A">
            <w:pPr>
              <w:jc w:val="center"/>
              <w:rPr>
                <w:rFonts w:eastAsia="Times New Roman"/>
                <w:b/>
                <w:bCs/>
                <w:color w:val="000000"/>
                <w:sz w:val="22"/>
                <w:lang w:eastAsia="lv-LV"/>
              </w:rPr>
            </w:pPr>
            <w:r>
              <w:rPr>
                <w:rFonts w:eastAsia="Times New Roman"/>
                <w:b/>
                <w:bCs/>
                <w:color w:val="000000"/>
                <w:sz w:val="22"/>
                <w:lang w:eastAsia="lv-LV"/>
              </w:rPr>
              <w:t>3</w:t>
            </w:r>
          </w:p>
        </w:tc>
        <w:tc>
          <w:tcPr>
            <w:tcW w:w="3969" w:type="dxa"/>
          </w:tcPr>
          <w:p w:rsidR="00BF0594" w:rsidRDefault="00591194" w:rsidP="005012EB">
            <w:pPr>
              <w:ind w:firstLine="567"/>
              <w:jc w:val="both"/>
              <w:rPr>
                <w:rFonts w:eastAsia="Times New Roman"/>
                <w:b/>
                <w:bCs/>
                <w:color w:val="000000"/>
                <w:sz w:val="22"/>
                <w:u w:val="single"/>
                <w:lang w:eastAsia="lv-LV"/>
              </w:rPr>
            </w:pPr>
            <w:r>
              <w:rPr>
                <w:rFonts w:eastAsia="Times New Roman"/>
                <w:b/>
                <w:bCs/>
                <w:color w:val="000000"/>
                <w:sz w:val="22"/>
                <w:u w:val="single"/>
                <w:lang w:eastAsia="lv-LV"/>
              </w:rPr>
              <w:t>F</w:t>
            </w:r>
            <w:r w:rsidRPr="00591194">
              <w:rPr>
                <w:rFonts w:eastAsia="Times New Roman"/>
                <w:b/>
                <w:bCs/>
                <w:color w:val="000000"/>
                <w:sz w:val="22"/>
                <w:u w:val="single"/>
                <w:lang w:eastAsia="lv-LV"/>
              </w:rPr>
              <w:t>rakcija “No sirds Latvijai”</w:t>
            </w:r>
          </w:p>
          <w:p w:rsidR="009F6021" w:rsidRPr="009F6021" w:rsidRDefault="009F6021" w:rsidP="009F6021">
            <w:pPr>
              <w:ind w:firstLine="567"/>
              <w:jc w:val="both"/>
              <w:rPr>
                <w:rFonts w:eastAsia="Times New Roman"/>
                <w:bCs/>
                <w:color w:val="000000"/>
                <w:sz w:val="22"/>
                <w:lang w:eastAsia="lv-LV"/>
              </w:rPr>
            </w:pPr>
            <w:r>
              <w:rPr>
                <w:rFonts w:eastAsia="Times New Roman"/>
                <w:bCs/>
                <w:color w:val="000000"/>
                <w:sz w:val="22"/>
                <w:lang w:eastAsia="lv-LV"/>
              </w:rPr>
              <w:t>I</w:t>
            </w:r>
            <w:r w:rsidRPr="009F6021">
              <w:rPr>
                <w:rFonts w:eastAsia="Times New Roman"/>
                <w:bCs/>
                <w:color w:val="000000"/>
                <w:sz w:val="22"/>
                <w:lang w:eastAsia="lv-LV"/>
              </w:rPr>
              <w:t>zteikt likuma 2.panta trešās daļas otro teikumu šādā redakcijā:</w:t>
            </w:r>
          </w:p>
          <w:p w:rsidR="00591194" w:rsidRPr="009F6021" w:rsidRDefault="009F6021" w:rsidP="009F6021">
            <w:pPr>
              <w:ind w:firstLine="567"/>
              <w:jc w:val="both"/>
              <w:rPr>
                <w:rFonts w:eastAsia="Times New Roman"/>
                <w:bCs/>
                <w:color w:val="000000"/>
                <w:sz w:val="22"/>
                <w:lang w:eastAsia="lv-LV"/>
              </w:rPr>
            </w:pPr>
            <w:r w:rsidRPr="009F6021">
              <w:rPr>
                <w:rFonts w:eastAsia="Times New Roman"/>
                <w:bCs/>
                <w:color w:val="000000"/>
                <w:sz w:val="22"/>
                <w:lang w:eastAsia="lv-LV"/>
              </w:rPr>
              <w:t xml:space="preserve"> “Uz pedagogiem atbilstoši pedagogu amatu sarakstam, zinātnisko institūtu akadēmiskajos amatos nodarbinātajiem, ostu pārvaldniekiem un citiem ostu darbiniekiem attiecas tikai šā likuma 3.panta ceturtās daļas 1.,2.,3.,4.,7.,8. punkts, 3.panta astotā un devītā daļa, šā likuma 20. pants, kā arī 27.panta pirmā, otrā un trešā daļa.”</w:t>
            </w:r>
          </w:p>
        </w:tc>
        <w:tc>
          <w:tcPr>
            <w:tcW w:w="1418" w:type="dxa"/>
          </w:tcPr>
          <w:p w:rsidR="00BF0594" w:rsidRPr="00CC4314" w:rsidRDefault="00BF0594" w:rsidP="005012EB">
            <w:pPr>
              <w:ind w:firstLine="567"/>
              <w:jc w:val="both"/>
              <w:rPr>
                <w:rFonts w:eastAsia="Times New Roman"/>
                <w:bCs/>
                <w:color w:val="000000"/>
                <w:sz w:val="22"/>
                <w:lang w:eastAsia="lv-LV"/>
              </w:rPr>
            </w:pPr>
          </w:p>
        </w:tc>
        <w:tc>
          <w:tcPr>
            <w:tcW w:w="1418" w:type="dxa"/>
          </w:tcPr>
          <w:p w:rsidR="00BF0594" w:rsidRPr="00CC4314" w:rsidRDefault="00BF0594" w:rsidP="005012EB">
            <w:pPr>
              <w:ind w:firstLine="567"/>
              <w:jc w:val="both"/>
              <w:rPr>
                <w:rFonts w:eastAsia="Times New Roman"/>
                <w:bCs/>
                <w:color w:val="000000"/>
                <w:sz w:val="22"/>
                <w:lang w:eastAsia="lv-LV"/>
              </w:rPr>
            </w:pPr>
          </w:p>
        </w:tc>
      </w:tr>
      <w:tr w:rsidR="009F7075" w:rsidRPr="001B3F41" w:rsidTr="0095142A">
        <w:tc>
          <w:tcPr>
            <w:tcW w:w="3969" w:type="dxa"/>
            <w:shd w:val="clear" w:color="auto" w:fill="auto"/>
          </w:tcPr>
          <w:p w:rsidR="009F7075" w:rsidRDefault="00920707" w:rsidP="005012EB">
            <w:pPr>
              <w:ind w:firstLine="567"/>
              <w:jc w:val="both"/>
              <w:rPr>
                <w:b/>
                <w:bCs/>
              </w:rPr>
            </w:pPr>
            <w:r>
              <w:rPr>
                <w:b/>
                <w:bCs/>
              </w:rPr>
              <w:t>3. pants. Atlīdzība</w:t>
            </w:r>
          </w:p>
          <w:p w:rsidR="00920707" w:rsidRPr="00920707" w:rsidRDefault="00920707" w:rsidP="005012EB">
            <w:pPr>
              <w:ind w:firstLine="567"/>
              <w:jc w:val="both"/>
              <w:rPr>
                <w:sz w:val="22"/>
              </w:rPr>
            </w:pPr>
            <w:r w:rsidRPr="00920707">
              <w:rPr>
                <w:sz w:val="22"/>
              </w:rPr>
              <w:t>(9</w:t>
            </w:r>
            <w:r w:rsidRPr="00920707">
              <w:rPr>
                <w:sz w:val="22"/>
                <w:vertAlign w:val="superscript"/>
              </w:rPr>
              <w:t>2</w:t>
            </w:r>
            <w:r w:rsidRPr="00920707">
              <w:rPr>
                <w:sz w:val="22"/>
              </w:rPr>
              <w:t>) Informāciju par šā likuma 9. un 10. pantā minēto amatpersonu (darbinieku) atlīdzības noteikšanas kritērijiem un darba samaksas apmēru publiskot aizliegts.</w:t>
            </w:r>
          </w:p>
        </w:tc>
        <w:tc>
          <w:tcPr>
            <w:tcW w:w="3969" w:type="dxa"/>
            <w:shd w:val="clear" w:color="auto" w:fill="auto"/>
          </w:tcPr>
          <w:p w:rsidR="009F7075" w:rsidRPr="00CC4314" w:rsidRDefault="009F7075" w:rsidP="005012EB">
            <w:pPr>
              <w:ind w:firstLine="567"/>
              <w:jc w:val="both"/>
              <w:rPr>
                <w:rFonts w:eastAsia="Times New Roman"/>
                <w:bCs/>
                <w:color w:val="000000"/>
                <w:sz w:val="22"/>
                <w:lang w:eastAsia="lv-LV"/>
              </w:rPr>
            </w:pPr>
          </w:p>
        </w:tc>
        <w:tc>
          <w:tcPr>
            <w:tcW w:w="567" w:type="dxa"/>
          </w:tcPr>
          <w:p w:rsidR="009F7075" w:rsidRPr="0095142A" w:rsidRDefault="00C8153E" w:rsidP="0095142A">
            <w:pPr>
              <w:jc w:val="center"/>
              <w:rPr>
                <w:rFonts w:eastAsia="Times New Roman"/>
                <w:b/>
                <w:bCs/>
                <w:color w:val="000000"/>
                <w:sz w:val="22"/>
                <w:lang w:eastAsia="lv-LV"/>
              </w:rPr>
            </w:pPr>
            <w:r>
              <w:rPr>
                <w:rFonts w:eastAsia="Times New Roman"/>
                <w:b/>
                <w:bCs/>
                <w:color w:val="000000"/>
                <w:sz w:val="22"/>
                <w:lang w:eastAsia="lv-LV"/>
              </w:rPr>
              <w:t>4</w:t>
            </w:r>
          </w:p>
        </w:tc>
        <w:tc>
          <w:tcPr>
            <w:tcW w:w="3969" w:type="dxa"/>
          </w:tcPr>
          <w:p w:rsidR="009F7075" w:rsidRDefault="009F7075" w:rsidP="005012EB">
            <w:pPr>
              <w:ind w:firstLine="567"/>
              <w:jc w:val="both"/>
              <w:rPr>
                <w:rFonts w:eastAsia="Times New Roman"/>
                <w:b/>
                <w:bCs/>
                <w:color w:val="000000"/>
                <w:sz w:val="22"/>
                <w:u w:val="single"/>
                <w:lang w:eastAsia="lv-LV"/>
              </w:rPr>
            </w:pPr>
            <w:r>
              <w:rPr>
                <w:rFonts w:eastAsia="Times New Roman"/>
                <w:b/>
                <w:bCs/>
                <w:color w:val="000000"/>
                <w:sz w:val="22"/>
                <w:u w:val="single"/>
                <w:lang w:eastAsia="lv-LV"/>
              </w:rPr>
              <w:t>Deputāts I.Dālderis</w:t>
            </w:r>
          </w:p>
          <w:p w:rsidR="00E612DB" w:rsidRPr="00E612DB" w:rsidRDefault="00E612DB" w:rsidP="00E612DB">
            <w:pPr>
              <w:ind w:firstLine="567"/>
              <w:jc w:val="both"/>
              <w:rPr>
                <w:rFonts w:eastAsia="Times New Roman"/>
                <w:bCs/>
                <w:color w:val="000000"/>
                <w:sz w:val="22"/>
                <w:lang w:eastAsia="lv-LV"/>
              </w:rPr>
            </w:pPr>
            <w:r w:rsidRPr="00E612DB">
              <w:rPr>
                <w:rFonts w:eastAsia="Times New Roman"/>
                <w:bCs/>
                <w:color w:val="000000"/>
                <w:sz w:val="22"/>
                <w:lang w:eastAsia="lv-LV"/>
              </w:rPr>
              <w:t>Papildināt likumprojektu ar jaunu pantu šādā redakcijā:</w:t>
            </w:r>
          </w:p>
          <w:p w:rsidR="00E612DB" w:rsidRPr="00E612DB" w:rsidRDefault="00E612DB" w:rsidP="00E612DB">
            <w:pPr>
              <w:ind w:firstLine="567"/>
              <w:jc w:val="both"/>
              <w:rPr>
                <w:rFonts w:eastAsia="Times New Roman"/>
                <w:bCs/>
                <w:color w:val="000000"/>
                <w:sz w:val="22"/>
                <w:lang w:eastAsia="lv-LV"/>
              </w:rPr>
            </w:pPr>
            <w:r w:rsidRPr="00E612DB">
              <w:rPr>
                <w:rFonts w:eastAsia="Times New Roman"/>
                <w:bCs/>
                <w:color w:val="000000"/>
                <w:sz w:val="22"/>
                <w:lang w:eastAsia="lv-LV"/>
              </w:rPr>
              <w:t>Izteikt likuma 3. panta devīto sekunda (9</w:t>
            </w:r>
            <w:r w:rsidRPr="00E612DB">
              <w:rPr>
                <w:rFonts w:eastAsia="Times New Roman"/>
                <w:bCs/>
                <w:color w:val="000000"/>
                <w:sz w:val="22"/>
                <w:vertAlign w:val="superscript"/>
                <w:lang w:eastAsia="lv-LV"/>
              </w:rPr>
              <w:t>2</w:t>
            </w:r>
            <w:r w:rsidRPr="00E612DB">
              <w:rPr>
                <w:rFonts w:eastAsia="Times New Roman"/>
                <w:bCs/>
                <w:color w:val="000000"/>
                <w:sz w:val="22"/>
                <w:lang w:eastAsia="lv-LV"/>
              </w:rPr>
              <w:t>) daļu šādā redakcijā:</w:t>
            </w:r>
          </w:p>
          <w:p w:rsidR="00E612DB" w:rsidRPr="00E612DB" w:rsidRDefault="00E612DB" w:rsidP="00E612DB">
            <w:pPr>
              <w:ind w:firstLine="567"/>
              <w:jc w:val="both"/>
              <w:rPr>
                <w:rFonts w:eastAsia="Times New Roman"/>
                <w:bCs/>
                <w:color w:val="000000"/>
                <w:sz w:val="22"/>
                <w:lang w:eastAsia="lv-LV"/>
              </w:rPr>
            </w:pPr>
            <w:r w:rsidRPr="00E612DB">
              <w:rPr>
                <w:rFonts w:eastAsia="Times New Roman"/>
                <w:bCs/>
                <w:color w:val="000000"/>
                <w:sz w:val="22"/>
                <w:lang w:eastAsia="lv-LV"/>
              </w:rPr>
              <w:t>“(9</w:t>
            </w:r>
            <w:r w:rsidRPr="00E612DB">
              <w:rPr>
                <w:rFonts w:eastAsia="Times New Roman"/>
                <w:bCs/>
                <w:color w:val="000000"/>
                <w:sz w:val="22"/>
                <w:vertAlign w:val="superscript"/>
                <w:lang w:eastAsia="lv-LV"/>
              </w:rPr>
              <w:t>2</w:t>
            </w:r>
            <w:r w:rsidRPr="00E612DB">
              <w:rPr>
                <w:rFonts w:eastAsia="Times New Roman"/>
                <w:bCs/>
                <w:color w:val="000000"/>
                <w:sz w:val="22"/>
                <w:lang w:eastAsia="lv-LV"/>
              </w:rPr>
              <w:t>) Lai nodrošinātu Satversmes 100. pantā nostiprināto cilvēktiesību uz vārda brīvību, tajā skaitā informācijas atklātību, ievērošanu un efektīvu īstenošanu iespējami ērti privātpersonām, visu valsts un pašvaldību strādājošo atlīdzība ir pilnīgi atklāta sabiedrībai šādā kārtībā:</w:t>
            </w:r>
          </w:p>
          <w:p w:rsidR="00E612DB" w:rsidRPr="00E612DB" w:rsidRDefault="00E612DB" w:rsidP="00E612DB">
            <w:pPr>
              <w:ind w:firstLine="567"/>
              <w:jc w:val="both"/>
              <w:rPr>
                <w:rFonts w:eastAsia="Times New Roman"/>
                <w:bCs/>
                <w:color w:val="000000"/>
                <w:sz w:val="22"/>
                <w:lang w:eastAsia="lv-LV"/>
              </w:rPr>
            </w:pPr>
            <w:r w:rsidRPr="00E612DB">
              <w:rPr>
                <w:rFonts w:eastAsia="Times New Roman"/>
                <w:bCs/>
                <w:color w:val="000000"/>
                <w:sz w:val="22"/>
                <w:lang w:eastAsia="lv-LV"/>
              </w:rPr>
              <w:t xml:space="preserve">1) Institūcijas visām amatpersonām un visiem darbiniekiem aprēķināto atalgojumu un citas naudas summas, kas viņiem pienākas, katru mēnesi publicē institūcijas mājaslapā internetā, norādot vārdu, uzvārdu, amatu un aprēķināto summu, ja likums nenosaka citādi. </w:t>
            </w:r>
          </w:p>
          <w:p w:rsidR="00E612DB" w:rsidRPr="00E612DB" w:rsidRDefault="00E612DB" w:rsidP="00E612DB">
            <w:pPr>
              <w:ind w:firstLine="567"/>
              <w:jc w:val="both"/>
              <w:rPr>
                <w:rFonts w:eastAsia="Times New Roman"/>
                <w:bCs/>
                <w:color w:val="000000"/>
                <w:sz w:val="22"/>
                <w:lang w:eastAsia="lv-LV"/>
              </w:rPr>
            </w:pPr>
            <w:r w:rsidRPr="00E612DB">
              <w:rPr>
                <w:rFonts w:eastAsia="Times New Roman"/>
                <w:bCs/>
                <w:color w:val="000000"/>
                <w:sz w:val="22"/>
                <w:lang w:eastAsia="lv-LV"/>
              </w:rPr>
              <w:t>2) Informācija par institūcijas amatpersonām un darbiniekiem aprēķināto atalgojumu un pienākošām naudas summām iestādes mājaslapā internetā atrodas ne mazāk kā astoņus gadus. Gadījumā, ja institūciju likvidē, šīs publicētās informācijas pieejamību līdz noteiktā termiņa beigām turpina uzturēt augstākas iestādes mājaslapā internetā.</w:t>
            </w:r>
          </w:p>
          <w:p w:rsidR="009F7075" w:rsidRPr="00E612DB" w:rsidRDefault="00E612DB" w:rsidP="00E612DB">
            <w:pPr>
              <w:ind w:firstLine="567"/>
              <w:jc w:val="both"/>
              <w:rPr>
                <w:rFonts w:eastAsia="Times New Roman"/>
                <w:bCs/>
                <w:color w:val="000000"/>
                <w:sz w:val="22"/>
                <w:lang w:eastAsia="lv-LV"/>
              </w:rPr>
            </w:pPr>
            <w:r w:rsidRPr="00E612DB">
              <w:rPr>
                <w:rFonts w:eastAsia="Times New Roman"/>
                <w:bCs/>
                <w:color w:val="000000"/>
                <w:sz w:val="22"/>
                <w:lang w:eastAsia="lv-LV"/>
              </w:rPr>
              <w:t>3) Ministru kabinets nosaka tādas valsts pārvaldes iestādes, kā arī to amatpersonas un darbiniekus, kā atalgojums un pienākošās naudas summas nav publicējami valsts drošības apsvērumu dēļ, kā arī gala termiņu, kura notecējuma beigās šī informācija kļūst atklāti vispārpieejama Latvijas Nacionālajā arhīvā.”</w:t>
            </w:r>
          </w:p>
        </w:tc>
        <w:tc>
          <w:tcPr>
            <w:tcW w:w="1418" w:type="dxa"/>
          </w:tcPr>
          <w:p w:rsidR="009F7075" w:rsidRPr="00CC4314" w:rsidRDefault="009F7075" w:rsidP="005012EB">
            <w:pPr>
              <w:ind w:firstLine="567"/>
              <w:jc w:val="both"/>
              <w:rPr>
                <w:rFonts w:eastAsia="Times New Roman"/>
                <w:bCs/>
                <w:color w:val="000000"/>
                <w:sz w:val="22"/>
                <w:lang w:eastAsia="lv-LV"/>
              </w:rPr>
            </w:pPr>
          </w:p>
        </w:tc>
        <w:tc>
          <w:tcPr>
            <w:tcW w:w="1418" w:type="dxa"/>
          </w:tcPr>
          <w:p w:rsidR="009F7075" w:rsidRPr="00CC4314" w:rsidRDefault="009F7075" w:rsidP="005012EB">
            <w:pPr>
              <w:ind w:firstLine="567"/>
              <w:jc w:val="both"/>
              <w:rPr>
                <w:rFonts w:eastAsia="Times New Roman"/>
                <w:bCs/>
                <w:color w:val="000000"/>
                <w:sz w:val="22"/>
                <w:lang w:eastAsia="lv-LV"/>
              </w:rPr>
            </w:pPr>
          </w:p>
        </w:tc>
      </w:tr>
      <w:tr w:rsidR="0095142A" w:rsidRPr="001B3F41" w:rsidTr="0095142A">
        <w:tc>
          <w:tcPr>
            <w:tcW w:w="3969" w:type="dxa"/>
            <w:shd w:val="clear" w:color="auto" w:fill="auto"/>
          </w:tcPr>
          <w:p w:rsidR="0095142A" w:rsidRPr="004B2F46" w:rsidRDefault="0095142A" w:rsidP="004B2F46">
            <w:pPr>
              <w:ind w:firstLine="567"/>
              <w:jc w:val="both"/>
              <w:rPr>
                <w:sz w:val="22"/>
              </w:rPr>
            </w:pPr>
            <w:r w:rsidRPr="004B2F46">
              <w:rPr>
                <w:b/>
                <w:bCs/>
                <w:sz w:val="22"/>
              </w:rPr>
              <w:t>4.</w:t>
            </w:r>
            <w:r>
              <w:rPr>
                <w:b/>
                <w:bCs/>
                <w:sz w:val="22"/>
              </w:rPr>
              <w:t xml:space="preserve"> </w:t>
            </w:r>
            <w:r w:rsidRPr="004B2F46">
              <w:rPr>
                <w:b/>
                <w:bCs/>
                <w:sz w:val="22"/>
              </w:rPr>
              <w:t>pants. Mēnešalgas apmēra noteikšanas vispārīgie principi sadalījumā pa amatu grupām</w:t>
            </w:r>
          </w:p>
          <w:p w:rsidR="0095142A" w:rsidRPr="00467954" w:rsidRDefault="0095142A" w:rsidP="004B2F46">
            <w:pPr>
              <w:ind w:firstLine="567"/>
              <w:jc w:val="both"/>
              <w:rPr>
                <w:sz w:val="22"/>
              </w:rPr>
            </w:pPr>
            <w:r w:rsidRPr="004B2F46">
              <w:rPr>
                <w:sz w:val="22"/>
              </w:rPr>
              <w:t>(1) Valsts institūcijas amatpersonām (darbiniekiem) mēnešalgas apmēru nosaka tādējādi, lai mēnešalga nepārsniegtu Ministru prezidentam noteikto mēnešalgu, izņemot šā panta septītajā, astotajā, devītajā, desmitajā un vienpadsmitajā daļā, kā arī šā likuma 5.</w:t>
            </w:r>
            <w:r w:rsidRPr="004B2F46">
              <w:rPr>
                <w:sz w:val="22"/>
                <w:vertAlign w:val="superscript"/>
              </w:rPr>
              <w:t>1</w:t>
            </w:r>
            <w:r w:rsidRPr="004B2F46">
              <w:rPr>
                <w:sz w:val="22"/>
              </w:rPr>
              <w:t xml:space="preserve"> pantā minēto gadījumu. Pašvaldības institūcijas amatpersonām (darbiniekiem) mēnešalgas apmēru nosaka tādējādi, lai mēnešalga nepārsniegtu šajā likumā pašvaldības domes priekšsēdētājam noteikto maksimālo mēnešalgu.</w:t>
            </w:r>
          </w:p>
        </w:tc>
        <w:tc>
          <w:tcPr>
            <w:tcW w:w="3969" w:type="dxa"/>
            <w:shd w:val="clear" w:color="auto" w:fill="auto"/>
          </w:tcPr>
          <w:p w:rsidR="0095142A" w:rsidRPr="00CC4314" w:rsidRDefault="0095142A" w:rsidP="00CC4314">
            <w:pPr>
              <w:ind w:firstLine="567"/>
              <w:jc w:val="both"/>
              <w:rPr>
                <w:rFonts w:eastAsia="Times New Roman"/>
                <w:color w:val="000000"/>
                <w:sz w:val="22"/>
                <w:lang w:eastAsia="lv-LV"/>
              </w:rPr>
            </w:pPr>
            <w:r w:rsidRPr="00CC4314">
              <w:rPr>
                <w:rFonts w:eastAsia="Times New Roman"/>
                <w:color w:val="000000"/>
                <w:sz w:val="22"/>
                <w:lang w:eastAsia="lv-LV"/>
              </w:rPr>
              <w:t>1.  4. pantā:</w:t>
            </w:r>
          </w:p>
          <w:p w:rsidR="0095142A" w:rsidRPr="00C43E4B" w:rsidRDefault="0095142A" w:rsidP="00CC4314">
            <w:pPr>
              <w:ind w:firstLine="567"/>
              <w:jc w:val="both"/>
              <w:rPr>
                <w:rFonts w:eastAsia="Times New Roman"/>
                <w:color w:val="000000"/>
                <w:sz w:val="22"/>
                <w:lang w:eastAsia="lv-LV"/>
              </w:rPr>
            </w:pPr>
            <w:r w:rsidRPr="00CC4314">
              <w:rPr>
                <w:rFonts w:eastAsia="Times New Roman"/>
                <w:color w:val="000000"/>
                <w:sz w:val="22"/>
                <w:lang w:eastAsia="lv-LV"/>
              </w:rPr>
              <w:t>izslēgt pirmajā daļā vārdu "devītajā";</w:t>
            </w:r>
          </w:p>
        </w:tc>
        <w:tc>
          <w:tcPr>
            <w:tcW w:w="567" w:type="dxa"/>
          </w:tcPr>
          <w:p w:rsidR="0095142A" w:rsidRDefault="00C8153E" w:rsidP="0095142A">
            <w:pPr>
              <w:jc w:val="center"/>
              <w:rPr>
                <w:rFonts w:eastAsia="Times New Roman"/>
                <w:b/>
                <w:color w:val="000000"/>
                <w:sz w:val="22"/>
                <w:lang w:eastAsia="lv-LV"/>
              </w:rPr>
            </w:pPr>
            <w:r>
              <w:rPr>
                <w:rFonts w:eastAsia="Times New Roman"/>
                <w:b/>
                <w:color w:val="000000"/>
                <w:sz w:val="22"/>
                <w:lang w:eastAsia="lv-LV"/>
              </w:rPr>
              <w:t>5</w:t>
            </w:r>
          </w:p>
          <w:p w:rsidR="00C8153E" w:rsidRDefault="00C8153E" w:rsidP="0095142A">
            <w:pPr>
              <w:jc w:val="center"/>
              <w:rPr>
                <w:rFonts w:eastAsia="Times New Roman"/>
                <w:b/>
                <w:color w:val="000000"/>
                <w:sz w:val="22"/>
                <w:lang w:eastAsia="lv-LV"/>
              </w:rPr>
            </w:pPr>
          </w:p>
          <w:p w:rsidR="00C8153E" w:rsidRDefault="00C8153E" w:rsidP="0095142A">
            <w:pPr>
              <w:jc w:val="center"/>
              <w:rPr>
                <w:rFonts w:eastAsia="Times New Roman"/>
                <w:b/>
                <w:color w:val="000000"/>
                <w:sz w:val="22"/>
                <w:lang w:eastAsia="lv-LV"/>
              </w:rPr>
            </w:pPr>
          </w:p>
          <w:p w:rsidR="00C8153E" w:rsidRDefault="00C8153E" w:rsidP="0095142A">
            <w:pPr>
              <w:jc w:val="center"/>
              <w:rPr>
                <w:rFonts w:eastAsia="Times New Roman"/>
                <w:b/>
                <w:color w:val="000000"/>
                <w:sz w:val="22"/>
                <w:lang w:eastAsia="lv-LV"/>
              </w:rPr>
            </w:pPr>
          </w:p>
          <w:p w:rsidR="00C8153E" w:rsidRPr="0095142A" w:rsidRDefault="00C8153E" w:rsidP="0095142A">
            <w:pPr>
              <w:jc w:val="center"/>
              <w:rPr>
                <w:rFonts w:eastAsia="Times New Roman"/>
                <w:b/>
                <w:color w:val="000000"/>
                <w:sz w:val="22"/>
                <w:lang w:eastAsia="lv-LV"/>
              </w:rPr>
            </w:pPr>
            <w:r>
              <w:rPr>
                <w:rFonts w:eastAsia="Times New Roman"/>
                <w:b/>
                <w:color w:val="000000"/>
                <w:sz w:val="22"/>
                <w:lang w:eastAsia="lv-LV"/>
              </w:rPr>
              <w:t>6</w:t>
            </w:r>
          </w:p>
        </w:tc>
        <w:tc>
          <w:tcPr>
            <w:tcW w:w="3969" w:type="dxa"/>
          </w:tcPr>
          <w:p w:rsidR="0095142A" w:rsidRDefault="0062475C" w:rsidP="00CC4314">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62475C" w:rsidRDefault="00D62D1F" w:rsidP="00CC4314">
            <w:pPr>
              <w:ind w:firstLine="567"/>
              <w:jc w:val="both"/>
              <w:rPr>
                <w:rFonts w:eastAsia="Times New Roman"/>
                <w:color w:val="000000"/>
                <w:sz w:val="22"/>
                <w:lang w:eastAsia="lv-LV"/>
              </w:rPr>
            </w:pPr>
            <w:r w:rsidRPr="00D62D1F">
              <w:rPr>
                <w:rFonts w:eastAsia="Times New Roman"/>
                <w:color w:val="000000"/>
                <w:sz w:val="22"/>
                <w:lang w:eastAsia="lv-LV"/>
              </w:rPr>
              <w:t>Izslēgt likumprojekta 1.pantu.</w:t>
            </w:r>
          </w:p>
          <w:p w:rsidR="0032448E" w:rsidRDefault="0032448E" w:rsidP="00CC4314">
            <w:pPr>
              <w:ind w:firstLine="567"/>
              <w:jc w:val="both"/>
              <w:rPr>
                <w:rFonts w:eastAsia="Times New Roman"/>
                <w:color w:val="000000"/>
                <w:sz w:val="22"/>
                <w:lang w:eastAsia="lv-LV"/>
              </w:rPr>
            </w:pPr>
          </w:p>
          <w:p w:rsidR="0032448E" w:rsidRDefault="0032448E" w:rsidP="00CC4314">
            <w:pPr>
              <w:ind w:firstLine="567"/>
              <w:jc w:val="both"/>
              <w:rPr>
                <w:rFonts w:eastAsia="Times New Roman"/>
                <w:b/>
                <w:bCs/>
                <w:color w:val="000000"/>
                <w:sz w:val="22"/>
                <w:u w:val="single"/>
                <w:lang w:eastAsia="lv-LV"/>
              </w:rPr>
            </w:pPr>
            <w:r w:rsidRPr="007B57C8">
              <w:rPr>
                <w:rFonts w:eastAsia="Times New Roman"/>
                <w:b/>
                <w:bCs/>
                <w:color w:val="000000"/>
                <w:sz w:val="22"/>
                <w:u w:val="single"/>
                <w:lang w:eastAsia="lv-LV"/>
              </w:rPr>
              <w:t>Ministru prezidenta biedrs,</w:t>
            </w:r>
            <w:r>
              <w:rPr>
                <w:rFonts w:eastAsia="Times New Roman"/>
                <w:b/>
                <w:bCs/>
                <w:color w:val="000000"/>
                <w:sz w:val="22"/>
                <w:u w:val="single"/>
                <w:lang w:eastAsia="lv-LV"/>
              </w:rPr>
              <w:t xml:space="preserve"> ekonomikas ministrs </w:t>
            </w:r>
            <w:r w:rsidRPr="007B57C8">
              <w:rPr>
                <w:rFonts w:eastAsia="Times New Roman"/>
                <w:b/>
                <w:bCs/>
                <w:color w:val="000000"/>
                <w:sz w:val="22"/>
                <w:u w:val="single"/>
                <w:lang w:eastAsia="lv-LV"/>
              </w:rPr>
              <w:t>A.Ašeradens</w:t>
            </w:r>
          </w:p>
          <w:p w:rsidR="0032448E" w:rsidRPr="0032448E" w:rsidRDefault="0032448E" w:rsidP="0032448E">
            <w:pPr>
              <w:ind w:firstLine="567"/>
              <w:jc w:val="both"/>
              <w:rPr>
                <w:rFonts w:eastAsia="Times New Roman"/>
                <w:color w:val="000000"/>
                <w:sz w:val="22"/>
                <w:lang w:eastAsia="lv-LV"/>
              </w:rPr>
            </w:pPr>
            <w:r w:rsidRPr="0032448E">
              <w:rPr>
                <w:rFonts w:eastAsia="Times New Roman"/>
                <w:color w:val="000000"/>
                <w:sz w:val="22"/>
                <w:lang w:eastAsia="lv-LV"/>
              </w:rPr>
              <w:t>Likumprojekta 1.pantu papildināt ar šādiem grozījumiem likuma 4.pantā:</w:t>
            </w:r>
          </w:p>
          <w:p w:rsidR="0032448E" w:rsidRPr="00D62D1F" w:rsidRDefault="0032448E" w:rsidP="0032448E">
            <w:pPr>
              <w:ind w:firstLine="567"/>
              <w:jc w:val="both"/>
              <w:rPr>
                <w:rFonts w:eastAsia="Times New Roman"/>
                <w:color w:val="000000"/>
                <w:sz w:val="22"/>
                <w:lang w:eastAsia="lv-LV"/>
              </w:rPr>
            </w:pPr>
            <w:r w:rsidRPr="0032448E">
              <w:rPr>
                <w:rFonts w:eastAsia="Times New Roman"/>
                <w:color w:val="000000"/>
                <w:sz w:val="22"/>
                <w:lang w:eastAsia="lv-LV"/>
              </w:rPr>
              <w:t>aizstāt pirmajā daļā vārdus “un vienpadsmitajā” ar vārdiem “vienpadsmitajā un trīspadsmitajā”;</w:t>
            </w:r>
          </w:p>
        </w:tc>
        <w:tc>
          <w:tcPr>
            <w:tcW w:w="1418" w:type="dxa"/>
          </w:tcPr>
          <w:p w:rsidR="0095142A" w:rsidRPr="00CC4314" w:rsidRDefault="0095142A" w:rsidP="00CC4314">
            <w:pPr>
              <w:ind w:firstLine="567"/>
              <w:jc w:val="both"/>
              <w:rPr>
                <w:rFonts w:eastAsia="Times New Roman"/>
                <w:color w:val="000000"/>
                <w:sz w:val="22"/>
                <w:lang w:eastAsia="lv-LV"/>
              </w:rPr>
            </w:pPr>
          </w:p>
        </w:tc>
        <w:tc>
          <w:tcPr>
            <w:tcW w:w="1418" w:type="dxa"/>
          </w:tcPr>
          <w:p w:rsidR="0095142A" w:rsidRPr="00CC4314" w:rsidRDefault="0095142A" w:rsidP="00CC4314">
            <w:pPr>
              <w:ind w:firstLine="567"/>
              <w:jc w:val="both"/>
              <w:rPr>
                <w:rFonts w:eastAsia="Times New Roman"/>
                <w:color w:val="000000"/>
                <w:sz w:val="22"/>
                <w:lang w:eastAsia="lv-LV"/>
              </w:rPr>
            </w:pPr>
          </w:p>
        </w:tc>
      </w:tr>
      <w:tr w:rsidR="0095142A" w:rsidRPr="001B3F41" w:rsidTr="0095142A">
        <w:tc>
          <w:tcPr>
            <w:tcW w:w="3969" w:type="dxa"/>
            <w:shd w:val="clear" w:color="auto" w:fill="auto"/>
          </w:tcPr>
          <w:p w:rsidR="0095142A" w:rsidRPr="00606DBE" w:rsidRDefault="0095142A" w:rsidP="005012EB">
            <w:pPr>
              <w:ind w:firstLine="567"/>
              <w:jc w:val="both"/>
              <w:rPr>
                <w:sz w:val="22"/>
              </w:rPr>
            </w:pPr>
            <w:r w:rsidRPr="00183F80">
              <w:rPr>
                <w:sz w:val="22"/>
              </w:rPr>
              <w:t>(9) Tiesneša mēnešalgu nosaka, to piesaistot valsts tiešās pārvaldes iestādes augsti kvalificēta jurista mēnešalgai ar attiecīgu koeficientu. Prokurora mēnešalgu nosaka, to piesaistot rajona (pilsētas) tiesas tiesneša mēnešalgai ar attiecīgu koeficientu.</w:t>
            </w:r>
          </w:p>
        </w:tc>
        <w:tc>
          <w:tcPr>
            <w:tcW w:w="3969" w:type="dxa"/>
            <w:shd w:val="clear" w:color="auto" w:fill="auto"/>
          </w:tcPr>
          <w:p w:rsidR="0095142A" w:rsidRPr="00C43E4B" w:rsidRDefault="0095142A" w:rsidP="003446BF">
            <w:pPr>
              <w:ind w:firstLine="567"/>
              <w:jc w:val="both"/>
              <w:rPr>
                <w:rFonts w:eastAsia="Times New Roman"/>
                <w:color w:val="000000"/>
                <w:sz w:val="22"/>
                <w:lang w:eastAsia="lv-LV"/>
              </w:rPr>
            </w:pPr>
            <w:r w:rsidRPr="00CC4314">
              <w:rPr>
                <w:rFonts w:eastAsia="Times New Roman"/>
                <w:color w:val="000000"/>
                <w:sz w:val="22"/>
                <w:lang w:eastAsia="lv-LV"/>
              </w:rPr>
              <w:t>izslēgt devīto daļu.</w:t>
            </w:r>
          </w:p>
        </w:tc>
        <w:tc>
          <w:tcPr>
            <w:tcW w:w="567" w:type="dxa"/>
          </w:tcPr>
          <w:p w:rsidR="0095142A" w:rsidRPr="0095142A" w:rsidRDefault="0095142A" w:rsidP="0095142A">
            <w:pPr>
              <w:jc w:val="center"/>
              <w:rPr>
                <w:rFonts w:eastAsia="Times New Roman"/>
                <w:b/>
                <w:color w:val="000000"/>
                <w:sz w:val="22"/>
                <w:lang w:eastAsia="lv-LV"/>
              </w:rPr>
            </w:pPr>
          </w:p>
        </w:tc>
        <w:tc>
          <w:tcPr>
            <w:tcW w:w="3969" w:type="dxa"/>
          </w:tcPr>
          <w:p w:rsidR="0095142A" w:rsidRPr="00CC4314" w:rsidRDefault="0095142A" w:rsidP="003446BF">
            <w:pPr>
              <w:ind w:firstLine="567"/>
              <w:jc w:val="both"/>
              <w:rPr>
                <w:rFonts w:eastAsia="Times New Roman"/>
                <w:color w:val="000000"/>
                <w:sz w:val="22"/>
                <w:lang w:eastAsia="lv-LV"/>
              </w:rPr>
            </w:pPr>
          </w:p>
        </w:tc>
        <w:tc>
          <w:tcPr>
            <w:tcW w:w="1418" w:type="dxa"/>
          </w:tcPr>
          <w:p w:rsidR="0095142A" w:rsidRPr="00CC4314" w:rsidRDefault="0095142A" w:rsidP="003446BF">
            <w:pPr>
              <w:ind w:firstLine="567"/>
              <w:jc w:val="both"/>
              <w:rPr>
                <w:rFonts w:eastAsia="Times New Roman"/>
                <w:color w:val="000000"/>
                <w:sz w:val="22"/>
                <w:lang w:eastAsia="lv-LV"/>
              </w:rPr>
            </w:pPr>
          </w:p>
        </w:tc>
        <w:tc>
          <w:tcPr>
            <w:tcW w:w="1418" w:type="dxa"/>
          </w:tcPr>
          <w:p w:rsidR="0095142A" w:rsidRPr="00CC4314" w:rsidRDefault="0095142A" w:rsidP="003446BF">
            <w:pPr>
              <w:ind w:firstLine="567"/>
              <w:jc w:val="both"/>
              <w:rPr>
                <w:rFonts w:eastAsia="Times New Roman"/>
                <w:color w:val="000000"/>
                <w:sz w:val="22"/>
                <w:lang w:eastAsia="lv-LV"/>
              </w:rPr>
            </w:pPr>
          </w:p>
        </w:tc>
      </w:tr>
      <w:tr w:rsidR="0032448E" w:rsidRPr="001B3F41" w:rsidTr="0095142A">
        <w:tc>
          <w:tcPr>
            <w:tcW w:w="3969" w:type="dxa"/>
            <w:shd w:val="clear" w:color="auto" w:fill="auto"/>
          </w:tcPr>
          <w:p w:rsidR="0032448E" w:rsidRPr="00183F80" w:rsidRDefault="0032448E" w:rsidP="005012EB">
            <w:pPr>
              <w:ind w:firstLine="567"/>
              <w:jc w:val="both"/>
              <w:rPr>
                <w:sz w:val="22"/>
              </w:rPr>
            </w:pPr>
          </w:p>
        </w:tc>
        <w:tc>
          <w:tcPr>
            <w:tcW w:w="3969" w:type="dxa"/>
            <w:shd w:val="clear" w:color="auto" w:fill="auto"/>
          </w:tcPr>
          <w:p w:rsidR="0032448E" w:rsidRPr="00CC4314" w:rsidRDefault="0032448E" w:rsidP="003446BF">
            <w:pPr>
              <w:ind w:firstLine="567"/>
              <w:jc w:val="both"/>
              <w:rPr>
                <w:rFonts w:eastAsia="Times New Roman"/>
                <w:color w:val="000000"/>
                <w:sz w:val="22"/>
                <w:lang w:eastAsia="lv-LV"/>
              </w:rPr>
            </w:pPr>
          </w:p>
        </w:tc>
        <w:tc>
          <w:tcPr>
            <w:tcW w:w="567" w:type="dxa"/>
          </w:tcPr>
          <w:p w:rsidR="0032448E" w:rsidRPr="0095142A" w:rsidRDefault="00C8153E" w:rsidP="0095142A">
            <w:pPr>
              <w:jc w:val="center"/>
              <w:rPr>
                <w:rFonts w:eastAsia="Times New Roman"/>
                <w:b/>
                <w:color w:val="000000"/>
                <w:sz w:val="22"/>
                <w:lang w:eastAsia="lv-LV"/>
              </w:rPr>
            </w:pPr>
            <w:r>
              <w:rPr>
                <w:rFonts w:eastAsia="Times New Roman"/>
                <w:b/>
                <w:color w:val="000000"/>
                <w:sz w:val="22"/>
                <w:lang w:eastAsia="lv-LV"/>
              </w:rPr>
              <w:t>7</w:t>
            </w:r>
          </w:p>
        </w:tc>
        <w:tc>
          <w:tcPr>
            <w:tcW w:w="3969" w:type="dxa"/>
          </w:tcPr>
          <w:p w:rsidR="0032448E" w:rsidRDefault="0032448E" w:rsidP="0032448E">
            <w:pPr>
              <w:ind w:firstLine="567"/>
              <w:jc w:val="both"/>
              <w:rPr>
                <w:rFonts w:eastAsia="Times New Roman"/>
                <w:b/>
                <w:bCs/>
                <w:color w:val="000000"/>
                <w:sz w:val="22"/>
                <w:u w:val="single"/>
                <w:lang w:eastAsia="lv-LV"/>
              </w:rPr>
            </w:pPr>
            <w:r w:rsidRPr="007B57C8">
              <w:rPr>
                <w:rFonts w:eastAsia="Times New Roman"/>
                <w:b/>
                <w:bCs/>
                <w:color w:val="000000"/>
                <w:sz w:val="22"/>
                <w:u w:val="single"/>
                <w:lang w:eastAsia="lv-LV"/>
              </w:rPr>
              <w:t>Ministru prezidenta biedrs,</w:t>
            </w:r>
            <w:r>
              <w:rPr>
                <w:rFonts w:eastAsia="Times New Roman"/>
                <w:b/>
                <w:bCs/>
                <w:color w:val="000000"/>
                <w:sz w:val="22"/>
                <w:u w:val="single"/>
                <w:lang w:eastAsia="lv-LV"/>
              </w:rPr>
              <w:t xml:space="preserve"> ekonomikas ministrs </w:t>
            </w:r>
            <w:r w:rsidRPr="007B57C8">
              <w:rPr>
                <w:rFonts w:eastAsia="Times New Roman"/>
                <w:b/>
                <w:bCs/>
                <w:color w:val="000000"/>
                <w:sz w:val="22"/>
                <w:u w:val="single"/>
                <w:lang w:eastAsia="lv-LV"/>
              </w:rPr>
              <w:t>A.Ašeradens</w:t>
            </w:r>
          </w:p>
          <w:p w:rsidR="0032448E" w:rsidRPr="0032448E" w:rsidRDefault="0032448E" w:rsidP="0032448E">
            <w:pPr>
              <w:ind w:firstLine="567"/>
              <w:jc w:val="both"/>
              <w:rPr>
                <w:rFonts w:eastAsia="Times New Roman"/>
                <w:color w:val="000000"/>
                <w:sz w:val="22"/>
                <w:lang w:eastAsia="lv-LV"/>
              </w:rPr>
            </w:pPr>
            <w:r w:rsidRPr="0032448E">
              <w:rPr>
                <w:rFonts w:eastAsia="Times New Roman"/>
                <w:color w:val="000000"/>
                <w:sz w:val="22"/>
                <w:lang w:eastAsia="lv-LV"/>
              </w:rPr>
              <w:t>Likumprojekta 1.pantu papildināt ar šādiem grozījumiem likuma 4.pantā:</w:t>
            </w:r>
          </w:p>
          <w:p w:rsidR="0032448E" w:rsidRPr="0032448E" w:rsidRDefault="0032448E" w:rsidP="0032448E">
            <w:pPr>
              <w:ind w:firstLine="567"/>
              <w:jc w:val="both"/>
              <w:rPr>
                <w:rFonts w:eastAsia="Times New Roman"/>
                <w:color w:val="000000"/>
                <w:sz w:val="22"/>
                <w:lang w:eastAsia="lv-LV"/>
              </w:rPr>
            </w:pPr>
            <w:r w:rsidRPr="0032448E">
              <w:rPr>
                <w:rFonts w:eastAsia="Times New Roman"/>
                <w:color w:val="000000"/>
                <w:sz w:val="22"/>
                <w:lang w:eastAsia="lv-LV"/>
              </w:rPr>
              <w:t>papildināt pantu ar trīspadsmito daļu šādā redakcijā:</w:t>
            </w:r>
          </w:p>
          <w:p w:rsidR="0032448E" w:rsidRPr="00CC4314" w:rsidRDefault="0032448E" w:rsidP="0032448E">
            <w:pPr>
              <w:ind w:firstLine="567"/>
              <w:jc w:val="both"/>
              <w:rPr>
                <w:rFonts w:eastAsia="Times New Roman"/>
                <w:color w:val="000000"/>
                <w:sz w:val="22"/>
                <w:lang w:eastAsia="lv-LV"/>
              </w:rPr>
            </w:pPr>
            <w:r w:rsidRPr="0032448E">
              <w:rPr>
                <w:rFonts w:eastAsia="Times New Roman"/>
                <w:color w:val="000000"/>
                <w:sz w:val="22"/>
                <w:lang w:eastAsia="lv-LV"/>
              </w:rPr>
              <w:t>“(13) Konkurences padomes amatpersonu (darbinieku) mēnešalgu nosaka, ņemot vērā mēneša vidējās darba samaksas apmēru.”.</w:t>
            </w:r>
          </w:p>
        </w:tc>
        <w:tc>
          <w:tcPr>
            <w:tcW w:w="1418" w:type="dxa"/>
          </w:tcPr>
          <w:p w:rsidR="0032448E" w:rsidRPr="00CC4314" w:rsidRDefault="0032448E" w:rsidP="003446BF">
            <w:pPr>
              <w:ind w:firstLine="567"/>
              <w:jc w:val="both"/>
              <w:rPr>
                <w:rFonts w:eastAsia="Times New Roman"/>
                <w:color w:val="000000"/>
                <w:sz w:val="22"/>
                <w:lang w:eastAsia="lv-LV"/>
              </w:rPr>
            </w:pPr>
          </w:p>
        </w:tc>
        <w:tc>
          <w:tcPr>
            <w:tcW w:w="1418" w:type="dxa"/>
          </w:tcPr>
          <w:p w:rsidR="0032448E" w:rsidRPr="00CC4314" w:rsidRDefault="0032448E" w:rsidP="003446BF">
            <w:pPr>
              <w:ind w:firstLine="567"/>
              <w:jc w:val="both"/>
              <w:rPr>
                <w:rFonts w:eastAsia="Times New Roman"/>
                <w:color w:val="000000"/>
                <w:sz w:val="22"/>
                <w:lang w:eastAsia="lv-LV"/>
              </w:rPr>
            </w:pPr>
          </w:p>
        </w:tc>
      </w:tr>
      <w:tr w:rsidR="00043241" w:rsidRPr="001B3F41" w:rsidTr="0095142A">
        <w:tc>
          <w:tcPr>
            <w:tcW w:w="3969" w:type="dxa"/>
            <w:shd w:val="clear" w:color="auto" w:fill="auto"/>
          </w:tcPr>
          <w:p w:rsidR="00EB6B7F" w:rsidRPr="00EB6B7F" w:rsidRDefault="00EB6B7F" w:rsidP="00EB6B7F">
            <w:pPr>
              <w:ind w:firstLine="567"/>
              <w:jc w:val="both"/>
              <w:rPr>
                <w:sz w:val="22"/>
              </w:rPr>
            </w:pPr>
            <w:r w:rsidRPr="00EB6B7F">
              <w:rPr>
                <w:b/>
                <w:bCs/>
                <w:sz w:val="22"/>
              </w:rPr>
              <w:t>4.</w:t>
            </w:r>
            <w:r w:rsidRPr="00EB6B7F">
              <w:rPr>
                <w:b/>
                <w:bCs/>
                <w:sz w:val="22"/>
                <w:vertAlign w:val="superscript"/>
              </w:rPr>
              <w:t>2</w:t>
            </w:r>
            <w:r w:rsidRPr="00EB6B7F">
              <w:rPr>
                <w:b/>
                <w:bCs/>
                <w:sz w:val="22"/>
              </w:rPr>
              <w:t xml:space="preserve"> pants. Mēnešalgas pārskatīšana </w:t>
            </w:r>
          </w:p>
          <w:p w:rsidR="00043241" w:rsidRPr="00183F80" w:rsidRDefault="00EB6B7F" w:rsidP="00EB6B7F">
            <w:pPr>
              <w:ind w:firstLine="567"/>
              <w:jc w:val="both"/>
              <w:rPr>
                <w:sz w:val="22"/>
              </w:rPr>
            </w:pPr>
            <w:r w:rsidRPr="00EB6B7F">
              <w:rPr>
                <w:sz w:val="22"/>
              </w:rPr>
              <w:t>Amatpersonai (darbiniekam) mēnešalgu pārskata saskaņā ar šo likumu un citiem normatīvajiem aktiem, ņemot vērā arī izmaiņas normatīvajos aktos, atalgojumam apstiprināto finanšu līdzekļu apmērā, amatu klasificēšanas rezultātos un individuālās kvalifikācijas un prasmju novērtējumā.</w:t>
            </w:r>
          </w:p>
        </w:tc>
        <w:tc>
          <w:tcPr>
            <w:tcW w:w="3969" w:type="dxa"/>
            <w:shd w:val="clear" w:color="auto" w:fill="auto"/>
          </w:tcPr>
          <w:p w:rsidR="00043241" w:rsidRPr="00CC4314" w:rsidRDefault="00043241" w:rsidP="003446BF">
            <w:pPr>
              <w:ind w:firstLine="567"/>
              <w:jc w:val="both"/>
              <w:rPr>
                <w:rFonts w:eastAsia="Times New Roman"/>
                <w:color w:val="000000"/>
                <w:sz w:val="22"/>
                <w:lang w:eastAsia="lv-LV"/>
              </w:rPr>
            </w:pPr>
          </w:p>
        </w:tc>
        <w:tc>
          <w:tcPr>
            <w:tcW w:w="567" w:type="dxa"/>
          </w:tcPr>
          <w:p w:rsidR="00043241" w:rsidRPr="0095142A" w:rsidRDefault="00C8153E" w:rsidP="0095142A">
            <w:pPr>
              <w:jc w:val="center"/>
              <w:rPr>
                <w:rFonts w:eastAsia="Times New Roman"/>
                <w:b/>
                <w:color w:val="000000"/>
                <w:sz w:val="22"/>
                <w:lang w:eastAsia="lv-LV"/>
              </w:rPr>
            </w:pPr>
            <w:r>
              <w:rPr>
                <w:rFonts w:eastAsia="Times New Roman"/>
                <w:b/>
                <w:color w:val="000000"/>
                <w:sz w:val="22"/>
                <w:lang w:eastAsia="lv-LV"/>
              </w:rPr>
              <w:t>8</w:t>
            </w:r>
          </w:p>
        </w:tc>
        <w:tc>
          <w:tcPr>
            <w:tcW w:w="3969" w:type="dxa"/>
          </w:tcPr>
          <w:p w:rsidR="00043241" w:rsidRDefault="005B3E6A" w:rsidP="003446BF">
            <w:pPr>
              <w:ind w:firstLine="567"/>
              <w:jc w:val="both"/>
              <w:rPr>
                <w:rFonts w:eastAsia="Times New Roman"/>
                <w:b/>
                <w:color w:val="000000"/>
                <w:sz w:val="22"/>
                <w:u w:val="single"/>
                <w:lang w:eastAsia="lv-LV"/>
              </w:rPr>
            </w:pPr>
            <w:r>
              <w:rPr>
                <w:rFonts w:eastAsia="Times New Roman"/>
                <w:b/>
                <w:color w:val="000000"/>
                <w:sz w:val="22"/>
                <w:u w:val="single"/>
                <w:lang w:eastAsia="lv-LV"/>
              </w:rPr>
              <w:t>Deputāts I.Brīvers</w:t>
            </w:r>
          </w:p>
          <w:p w:rsidR="00EB6B7F" w:rsidRPr="00EB6B7F" w:rsidRDefault="00EB6B7F" w:rsidP="00EB6B7F">
            <w:pPr>
              <w:ind w:firstLine="567"/>
              <w:jc w:val="both"/>
              <w:rPr>
                <w:rFonts w:eastAsia="Times New Roman"/>
                <w:color w:val="000000"/>
                <w:sz w:val="22"/>
                <w:lang w:eastAsia="lv-LV"/>
              </w:rPr>
            </w:pPr>
            <w:r w:rsidRPr="00EB6B7F">
              <w:rPr>
                <w:rFonts w:eastAsia="Times New Roman"/>
                <w:color w:val="000000"/>
                <w:sz w:val="22"/>
                <w:lang w:eastAsia="lv-LV"/>
              </w:rPr>
              <w:t>Papildināt likuma 4.</w:t>
            </w:r>
            <w:r w:rsidRPr="00EB6B7F">
              <w:rPr>
                <w:rFonts w:eastAsia="Times New Roman"/>
                <w:color w:val="000000"/>
                <w:sz w:val="22"/>
                <w:vertAlign w:val="superscript"/>
                <w:lang w:eastAsia="lv-LV"/>
              </w:rPr>
              <w:t>2</w:t>
            </w:r>
            <w:r w:rsidRPr="00EB6B7F">
              <w:rPr>
                <w:rFonts w:eastAsia="Times New Roman"/>
                <w:color w:val="000000"/>
                <w:sz w:val="22"/>
                <w:lang w:eastAsia="lv-LV"/>
              </w:rPr>
              <w:t xml:space="preserve"> pantu ar otro daļu šādā redakcijā:</w:t>
            </w:r>
          </w:p>
          <w:p w:rsidR="005B3E6A" w:rsidRPr="005B3E6A" w:rsidRDefault="00EB6B7F" w:rsidP="00EB6B7F">
            <w:pPr>
              <w:ind w:firstLine="567"/>
              <w:jc w:val="both"/>
              <w:rPr>
                <w:rFonts w:eastAsia="Times New Roman"/>
                <w:color w:val="000000"/>
                <w:sz w:val="22"/>
                <w:lang w:eastAsia="lv-LV"/>
              </w:rPr>
            </w:pPr>
            <w:r w:rsidRPr="00EB6B7F">
              <w:rPr>
                <w:rFonts w:eastAsia="Times New Roman"/>
                <w:color w:val="000000"/>
                <w:sz w:val="22"/>
                <w:lang w:eastAsia="lv-LV"/>
              </w:rPr>
              <w:t>(2) Amatpersonai (darbiniekam) darba samaksas pieaugums gada laikā nedrīkst pārsniegt prognozēto nominālā iekšzemes kopprodukta procentuālo pieaugumu kārtējam kalendārajam gadam.</w:t>
            </w:r>
          </w:p>
        </w:tc>
        <w:tc>
          <w:tcPr>
            <w:tcW w:w="1418" w:type="dxa"/>
          </w:tcPr>
          <w:p w:rsidR="00043241" w:rsidRPr="00CC4314" w:rsidRDefault="00043241" w:rsidP="003446BF">
            <w:pPr>
              <w:ind w:firstLine="567"/>
              <w:jc w:val="both"/>
              <w:rPr>
                <w:rFonts w:eastAsia="Times New Roman"/>
                <w:color w:val="000000"/>
                <w:sz w:val="22"/>
                <w:lang w:eastAsia="lv-LV"/>
              </w:rPr>
            </w:pPr>
          </w:p>
        </w:tc>
        <w:tc>
          <w:tcPr>
            <w:tcW w:w="1418" w:type="dxa"/>
          </w:tcPr>
          <w:p w:rsidR="00043241" w:rsidRPr="00CC4314" w:rsidRDefault="00043241" w:rsidP="003446BF">
            <w:pPr>
              <w:ind w:firstLine="567"/>
              <w:jc w:val="both"/>
              <w:rPr>
                <w:rFonts w:eastAsia="Times New Roman"/>
                <w:color w:val="000000"/>
                <w:sz w:val="22"/>
                <w:lang w:eastAsia="lv-LV"/>
              </w:rPr>
            </w:pPr>
          </w:p>
        </w:tc>
      </w:tr>
      <w:tr w:rsidR="00A60E61" w:rsidRPr="001B3F41" w:rsidTr="0095142A">
        <w:tc>
          <w:tcPr>
            <w:tcW w:w="3969" w:type="dxa"/>
            <w:shd w:val="clear" w:color="auto" w:fill="auto"/>
          </w:tcPr>
          <w:p w:rsidR="00A60E61" w:rsidRPr="00A60E61" w:rsidRDefault="00A60E61" w:rsidP="00A60E61">
            <w:pPr>
              <w:ind w:firstLine="567"/>
              <w:jc w:val="both"/>
              <w:rPr>
                <w:bCs/>
                <w:sz w:val="22"/>
              </w:rPr>
            </w:pPr>
            <w:r w:rsidRPr="00A60E61">
              <w:rPr>
                <w:b/>
                <w:bCs/>
                <w:sz w:val="22"/>
              </w:rPr>
              <w:t>5.</w:t>
            </w:r>
            <w:r w:rsidRPr="00A60E61">
              <w:rPr>
                <w:b/>
                <w:bCs/>
                <w:sz w:val="22"/>
                <w:vertAlign w:val="superscript"/>
              </w:rPr>
              <w:t>1</w:t>
            </w:r>
            <w:r w:rsidRPr="00A60E61">
              <w:rPr>
                <w:b/>
                <w:bCs/>
                <w:sz w:val="22"/>
              </w:rPr>
              <w:t xml:space="preserve"> pants. Saeimas deputāta mēnešalga </w:t>
            </w:r>
          </w:p>
          <w:p w:rsidR="00A60E61" w:rsidRPr="00A60E61" w:rsidRDefault="00A60E61" w:rsidP="00A60E61">
            <w:pPr>
              <w:ind w:firstLine="567"/>
              <w:jc w:val="both"/>
              <w:rPr>
                <w:bCs/>
                <w:sz w:val="22"/>
              </w:rPr>
            </w:pPr>
            <w:r w:rsidRPr="00A60E61">
              <w:rPr>
                <w:bCs/>
                <w:sz w:val="22"/>
              </w:rPr>
              <w:t xml:space="preserve">(1) Saeimas deputāta mēnešalgu nosaka, mēneša vidējās darba samaksas apmēram, kas noapaļots pilnos </w:t>
            </w:r>
            <w:r w:rsidRPr="00A60E61">
              <w:rPr>
                <w:bCs/>
                <w:i/>
                <w:iCs/>
                <w:sz w:val="22"/>
              </w:rPr>
              <w:t>euro</w:t>
            </w:r>
            <w:r w:rsidRPr="00A60E61">
              <w:rPr>
                <w:bCs/>
                <w:sz w:val="22"/>
              </w:rPr>
              <w:t>, piemērojot koeficientu 3,2.</w:t>
            </w:r>
          </w:p>
          <w:p w:rsidR="00A60E61" w:rsidRPr="00A60E61" w:rsidRDefault="00A60E61" w:rsidP="00A60E61">
            <w:pPr>
              <w:ind w:firstLine="567"/>
              <w:jc w:val="both"/>
              <w:rPr>
                <w:bCs/>
                <w:sz w:val="22"/>
              </w:rPr>
            </w:pPr>
            <w:r w:rsidRPr="00A60E61">
              <w:rPr>
                <w:bCs/>
                <w:sz w:val="22"/>
              </w:rPr>
              <w:t xml:space="preserve">(2) Papildus šā panta pirmajā daļā noteiktajam deputātiem, kuri pilda kādu no šajā daļā minētajiem amatiem, izmaksā arī mēnešalgas daļu par attiecīgo amatu pildīšanu un to nosaka, mēneša vidējās darba samaksas apmēram, kas noapaļots pilnos </w:t>
            </w:r>
            <w:r w:rsidRPr="00A60E61">
              <w:rPr>
                <w:bCs/>
                <w:i/>
                <w:iCs/>
                <w:sz w:val="22"/>
              </w:rPr>
              <w:t>euro</w:t>
            </w:r>
            <w:r w:rsidRPr="00A60E61">
              <w:rPr>
                <w:bCs/>
                <w:sz w:val="22"/>
              </w:rPr>
              <w:t>, piemērojot šādu koeficientu:</w:t>
            </w:r>
          </w:p>
          <w:p w:rsidR="00A60E61" w:rsidRPr="00A60E61" w:rsidRDefault="00A60E61" w:rsidP="00A60E61">
            <w:pPr>
              <w:ind w:firstLine="567"/>
              <w:jc w:val="both"/>
              <w:rPr>
                <w:bCs/>
                <w:sz w:val="22"/>
              </w:rPr>
            </w:pPr>
            <w:r w:rsidRPr="00A60E61">
              <w:rPr>
                <w:bCs/>
                <w:sz w:val="22"/>
              </w:rPr>
              <w:t>1) Saeimas priekšsēdētājam — 1,73;</w:t>
            </w:r>
          </w:p>
          <w:p w:rsidR="00A60E61" w:rsidRPr="00A60E61" w:rsidRDefault="00A60E61" w:rsidP="00A60E61">
            <w:pPr>
              <w:ind w:firstLine="567"/>
              <w:jc w:val="both"/>
              <w:rPr>
                <w:bCs/>
                <w:sz w:val="22"/>
              </w:rPr>
            </w:pPr>
            <w:r w:rsidRPr="00A60E61">
              <w:rPr>
                <w:bCs/>
                <w:sz w:val="22"/>
              </w:rPr>
              <w:t>2) Saeimas priekšsēdētāja biedram — 1,48;</w:t>
            </w:r>
          </w:p>
          <w:p w:rsidR="00A60E61" w:rsidRPr="00A60E61" w:rsidRDefault="00A60E61" w:rsidP="00A60E61">
            <w:pPr>
              <w:ind w:firstLine="567"/>
              <w:jc w:val="both"/>
              <w:rPr>
                <w:bCs/>
                <w:sz w:val="22"/>
              </w:rPr>
            </w:pPr>
            <w:r w:rsidRPr="00A60E61">
              <w:rPr>
                <w:bCs/>
                <w:sz w:val="22"/>
              </w:rPr>
              <w:t>3) Saeimas sekretāram — 1,48;</w:t>
            </w:r>
          </w:p>
          <w:p w:rsidR="00A60E61" w:rsidRPr="00A60E61" w:rsidRDefault="00A60E61" w:rsidP="00A60E61">
            <w:pPr>
              <w:ind w:firstLine="567"/>
              <w:jc w:val="both"/>
              <w:rPr>
                <w:bCs/>
                <w:sz w:val="22"/>
              </w:rPr>
            </w:pPr>
            <w:r w:rsidRPr="00A60E61">
              <w:rPr>
                <w:bCs/>
                <w:sz w:val="22"/>
              </w:rPr>
              <w:t>4) Saeimas sekretāra biedram — 1,39;</w:t>
            </w:r>
          </w:p>
          <w:p w:rsidR="00A60E61" w:rsidRPr="00A60E61" w:rsidRDefault="00A60E61" w:rsidP="00A60E61">
            <w:pPr>
              <w:ind w:firstLine="567"/>
              <w:jc w:val="both"/>
              <w:rPr>
                <w:bCs/>
                <w:sz w:val="22"/>
              </w:rPr>
            </w:pPr>
            <w:r w:rsidRPr="00A60E61">
              <w:rPr>
                <w:bCs/>
                <w:sz w:val="22"/>
              </w:rPr>
              <w:t>5) Saeimas komisijas priekšsēdētājam — 1,39;</w:t>
            </w:r>
          </w:p>
          <w:p w:rsidR="00A60E61" w:rsidRPr="00A60E61" w:rsidRDefault="00A60E61" w:rsidP="00A60E61">
            <w:pPr>
              <w:ind w:firstLine="567"/>
              <w:jc w:val="both"/>
              <w:rPr>
                <w:bCs/>
                <w:sz w:val="22"/>
              </w:rPr>
            </w:pPr>
            <w:r w:rsidRPr="00A60E61">
              <w:rPr>
                <w:bCs/>
                <w:sz w:val="22"/>
              </w:rPr>
              <w:t>6) Saeimas frakcijas priekšsēdētājam — 1,39;</w:t>
            </w:r>
          </w:p>
          <w:p w:rsidR="00A60E61" w:rsidRPr="00A60E61" w:rsidRDefault="00A60E61" w:rsidP="00A60E61">
            <w:pPr>
              <w:ind w:firstLine="567"/>
              <w:jc w:val="both"/>
              <w:rPr>
                <w:bCs/>
                <w:sz w:val="22"/>
              </w:rPr>
            </w:pPr>
            <w:r w:rsidRPr="00A60E61">
              <w:rPr>
                <w:bCs/>
                <w:sz w:val="22"/>
              </w:rPr>
              <w:t>7) Saeimas komisijas priekšsēdētāja biedram — 0,35;</w:t>
            </w:r>
          </w:p>
          <w:p w:rsidR="00A60E61" w:rsidRPr="00A60E61" w:rsidRDefault="00A60E61" w:rsidP="00A60E61">
            <w:pPr>
              <w:ind w:firstLine="567"/>
              <w:jc w:val="both"/>
              <w:rPr>
                <w:bCs/>
                <w:sz w:val="22"/>
              </w:rPr>
            </w:pPr>
            <w:r w:rsidRPr="00A60E61">
              <w:rPr>
                <w:bCs/>
                <w:sz w:val="22"/>
              </w:rPr>
              <w:t>8) Saeimas frakcijas priekšsēdētāja biedram — 0,35;</w:t>
            </w:r>
          </w:p>
          <w:p w:rsidR="00A60E61" w:rsidRPr="00A60E61" w:rsidRDefault="00A60E61" w:rsidP="00A60E61">
            <w:pPr>
              <w:ind w:firstLine="567"/>
              <w:jc w:val="both"/>
              <w:rPr>
                <w:bCs/>
                <w:sz w:val="22"/>
              </w:rPr>
            </w:pPr>
            <w:r w:rsidRPr="00A60E61">
              <w:rPr>
                <w:bCs/>
                <w:sz w:val="22"/>
              </w:rPr>
              <w:t>9) Saeimas komisijas sekretāram — 0,35;</w:t>
            </w:r>
          </w:p>
          <w:p w:rsidR="00A60E61" w:rsidRPr="00A60E61" w:rsidRDefault="00A60E61" w:rsidP="00A60E61">
            <w:pPr>
              <w:ind w:firstLine="567"/>
              <w:jc w:val="both"/>
              <w:rPr>
                <w:bCs/>
                <w:sz w:val="22"/>
              </w:rPr>
            </w:pPr>
            <w:r w:rsidRPr="00A60E61">
              <w:rPr>
                <w:bCs/>
                <w:sz w:val="22"/>
              </w:rPr>
              <w:t>10) Saeimas apakškomisijas priekšsēdētājam — 0,27;</w:t>
            </w:r>
          </w:p>
          <w:p w:rsidR="00A60E61" w:rsidRPr="00A60E61" w:rsidRDefault="00A60E61" w:rsidP="00A60E61">
            <w:pPr>
              <w:ind w:firstLine="567"/>
              <w:jc w:val="both"/>
              <w:rPr>
                <w:bCs/>
                <w:sz w:val="22"/>
              </w:rPr>
            </w:pPr>
            <w:r w:rsidRPr="00A60E61">
              <w:rPr>
                <w:bCs/>
                <w:sz w:val="22"/>
              </w:rPr>
              <w:t>11) Saeimas apakškomisijas sekretāram — 0,17.</w:t>
            </w:r>
          </w:p>
          <w:p w:rsidR="00A60E61" w:rsidRPr="00A60E61" w:rsidRDefault="00A60E61" w:rsidP="00A60E61">
            <w:pPr>
              <w:ind w:firstLine="567"/>
              <w:jc w:val="both"/>
              <w:rPr>
                <w:bCs/>
                <w:sz w:val="22"/>
              </w:rPr>
            </w:pPr>
            <w:r w:rsidRPr="00A60E61">
              <w:rPr>
                <w:bCs/>
                <w:sz w:val="22"/>
              </w:rPr>
              <w:t>(3) Saeimas priekšsēdētāja reprezentācijas izdevumi mēnesī nepārsniedz 95 procentus no gadskārtējā valsts budžeta likumā noteiktajiem Valsts prezidenta reprezentācijas izdevumiem mēnesī.</w:t>
            </w:r>
          </w:p>
        </w:tc>
        <w:tc>
          <w:tcPr>
            <w:tcW w:w="3969" w:type="dxa"/>
            <w:shd w:val="clear" w:color="auto" w:fill="auto"/>
          </w:tcPr>
          <w:p w:rsidR="00A60E61" w:rsidRPr="00CC4314" w:rsidRDefault="00A60E61" w:rsidP="003446BF">
            <w:pPr>
              <w:ind w:firstLine="567"/>
              <w:jc w:val="both"/>
              <w:rPr>
                <w:rFonts w:eastAsia="Times New Roman"/>
                <w:color w:val="000000"/>
                <w:sz w:val="22"/>
                <w:lang w:eastAsia="lv-LV"/>
              </w:rPr>
            </w:pPr>
          </w:p>
        </w:tc>
        <w:tc>
          <w:tcPr>
            <w:tcW w:w="567" w:type="dxa"/>
          </w:tcPr>
          <w:p w:rsidR="00A60E61" w:rsidRPr="0095142A" w:rsidRDefault="00C8153E" w:rsidP="0095142A">
            <w:pPr>
              <w:jc w:val="center"/>
              <w:rPr>
                <w:rFonts w:eastAsia="Times New Roman"/>
                <w:b/>
                <w:color w:val="000000"/>
                <w:sz w:val="22"/>
                <w:lang w:eastAsia="lv-LV"/>
              </w:rPr>
            </w:pPr>
            <w:r>
              <w:rPr>
                <w:rFonts w:eastAsia="Times New Roman"/>
                <w:b/>
                <w:color w:val="000000"/>
                <w:sz w:val="22"/>
                <w:lang w:eastAsia="lv-LV"/>
              </w:rPr>
              <w:t>9</w:t>
            </w:r>
          </w:p>
        </w:tc>
        <w:tc>
          <w:tcPr>
            <w:tcW w:w="3969" w:type="dxa"/>
          </w:tcPr>
          <w:p w:rsidR="00A60E61" w:rsidRDefault="00A60E61" w:rsidP="003446BF">
            <w:pPr>
              <w:ind w:firstLine="567"/>
              <w:jc w:val="both"/>
              <w:rPr>
                <w:rFonts w:eastAsia="Times New Roman"/>
                <w:b/>
                <w:color w:val="000000"/>
                <w:sz w:val="22"/>
                <w:u w:val="single"/>
                <w:lang w:eastAsia="lv-LV"/>
              </w:rPr>
            </w:pPr>
            <w:r w:rsidRPr="00A60E61">
              <w:rPr>
                <w:rFonts w:eastAsia="Times New Roman"/>
                <w:b/>
                <w:color w:val="000000"/>
                <w:sz w:val="22"/>
                <w:u w:val="single"/>
                <w:lang w:eastAsia="lv-LV"/>
              </w:rPr>
              <w:t>Latvijas Reģionu apvienības frakcija</w:t>
            </w:r>
          </w:p>
          <w:p w:rsidR="00A60E61" w:rsidRPr="00A60E61" w:rsidRDefault="00A60E61" w:rsidP="00A60E61">
            <w:pPr>
              <w:ind w:firstLine="567"/>
              <w:jc w:val="both"/>
              <w:rPr>
                <w:rFonts w:eastAsia="Times New Roman"/>
                <w:color w:val="000000"/>
                <w:sz w:val="22"/>
                <w:lang w:eastAsia="lv-LV"/>
              </w:rPr>
            </w:pPr>
            <w:r w:rsidRPr="00A60E61">
              <w:rPr>
                <w:rFonts w:eastAsia="Times New Roman"/>
                <w:color w:val="000000"/>
                <w:sz w:val="22"/>
                <w:lang w:eastAsia="lv-LV"/>
              </w:rPr>
              <w:t xml:space="preserve">Papildināt </w:t>
            </w:r>
            <w:r w:rsidRPr="00A60E61">
              <w:rPr>
                <w:rFonts w:eastAsia="Times New Roman"/>
                <w:bCs/>
                <w:color w:val="000000"/>
                <w:sz w:val="22"/>
                <w:lang w:eastAsia="lv-LV"/>
              </w:rPr>
              <w:t>5.</w:t>
            </w:r>
            <w:r w:rsidRPr="00A60E61">
              <w:rPr>
                <w:rFonts w:eastAsia="Times New Roman"/>
                <w:bCs/>
                <w:color w:val="000000"/>
                <w:sz w:val="22"/>
                <w:vertAlign w:val="superscript"/>
                <w:lang w:eastAsia="lv-LV"/>
              </w:rPr>
              <w:t>1</w:t>
            </w:r>
            <w:r w:rsidRPr="00A60E61">
              <w:rPr>
                <w:rFonts w:eastAsia="Times New Roman"/>
                <w:bCs/>
                <w:color w:val="000000"/>
                <w:sz w:val="22"/>
                <w:lang w:eastAsia="lv-LV"/>
              </w:rPr>
              <w:t xml:space="preserve"> pantu ar ceturto</w:t>
            </w:r>
            <w:r w:rsidRPr="00A60E61">
              <w:rPr>
                <w:rFonts w:eastAsia="Times New Roman"/>
                <w:color w:val="000000"/>
                <w:sz w:val="22"/>
                <w:lang w:eastAsia="lv-LV"/>
              </w:rPr>
              <w:t xml:space="preserve"> daļu šādā redakcijā:</w:t>
            </w:r>
          </w:p>
          <w:p w:rsidR="00A60E61" w:rsidRPr="00A60E61" w:rsidRDefault="00A60E61" w:rsidP="00A60E61">
            <w:pPr>
              <w:ind w:firstLine="567"/>
              <w:jc w:val="both"/>
              <w:rPr>
                <w:rFonts w:eastAsia="Times New Roman"/>
                <w:color w:val="000000"/>
                <w:sz w:val="22"/>
                <w:lang w:eastAsia="lv-LV"/>
              </w:rPr>
            </w:pPr>
            <w:r w:rsidRPr="00A60E61">
              <w:rPr>
                <w:rFonts w:eastAsia="Times New Roman"/>
                <w:color w:val="000000"/>
                <w:sz w:val="22"/>
                <w:lang w:eastAsia="lv-LV"/>
              </w:rPr>
              <w:t>"(4) Saeimas deputāta mēnešalga tiek aprēķināta sākoties viņa pilnvarām un paliek nemainīga līdz pilnvaru izbeigšanās brīdim.”</w:t>
            </w:r>
          </w:p>
        </w:tc>
        <w:tc>
          <w:tcPr>
            <w:tcW w:w="1418" w:type="dxa"/>
          </w:tcPr>
          <w:p w:rsidR="00A60E61" w:rsidRPr="00CC4314" w:rsidRDefault="00A60E61" w:rsidP="003446BF">
            <w:pPr>
              <w:ind w:firstLine="567"/>
              <w:jc w:val="both"/>
              <w:rPr>
                <w:rFonts w:eastAsia="Times New Roman"/>
                <w:color w:val="000000"/>
                <w:sz w:val="22"/>
                <w:lang w:eastAsia="lv-LV"/>
              </w:rPr>
            </w:pPr>
          </w:p>
        </w:tc>
        <w:tc>
          <w:tcPr>
            <w:tcW w:w="1418" w:type="dxa"/>
          </w:tcPr>
          <w:p w:rsidR="00A60E61" w:rsidRPr="00CC4314" w:rsidRDefault="00A60E61" w:rsidP="003446BF">
            <w:pPr>
              <w:ind w:firstLine="567"/>
              <w:jc w:val="both"/>
              <w:rPr>
                <w:rFonts w:eastAsia="Times New Roman"/>
                <w:color w:val="000000"/>
                <w:sz w:val="22"/>
                <w:lang w:eastAsia="lv-LV"/>
              </w:rPr>
            </w:pPr>
          </w:p>
        </w:tc>
      </w:tr>
      <w:tr w:rsidR="00BB32DD" w:rsidRPr="001B3F41" w:rsidTr="0095142A">
        <w:tc>
          <w:tcPr>
            <w:tcW w:w="3969" w:type="dxa"/>
            <w:shd w:val="clear" w:color="auto" w:fill="auto"/>
          </w:tcPr>
          <w:p w:rsidR="00BB32DD" w:rsidRDefault="00AB33B5" w:rsidP="00A60E61">
            <w:pPr>
              <w:ind w:firstLine="567"/>
              <w:jc w:val="both"/>
              <w:rPr>
                <w:b/>
                <w:bCs/>
                <w:sz w:val="22"/>
              </w:rPr>
            </w:pPr>
            <w:r w:rsidRPr="00AB33B5">
              <w:rPr>
                <w:b/>
                <w:bCs/>
                <w:sz w:val="22"/>
              </w:rPr>
              <w:t>6.</w:t>
            </w:r>
            <w:r>
              <w:rPr>
                <w:b/>
                <w:bCs/>
                <w:sz w:val="22"/>
              </w:rPr>
              <w:t xml:space="preserve"> </w:t>
            </w:r>
            <w:r w:rsidRPr="00AB33B5">
              <w:rPr>
                <w:b/>
                <w:bCs/>
                <w:sz w:val="22"/>
              </w:rPr>
              <w:t>pants. Saeimas ievēlēto, apstiprināto un iecelto amatpersonu, izņemot Korupcijas novēršanas un apkarošanas biroja priekšnieku, mēnešalga</w:t>
            </w:r>
          </w:p>
          <w:p w:rsidR="00AB33B5" w:rsidRPr="00AB33B5" w:rsidRDefault="00AB33B5" w:rsidP="00A60E61">
            <w:pPr>
              <w:ind w:firstLine="567"/>
              <w:jc w:val="both"/>
              <w:rPr>
                <w:bCs/>
                <w:sz w:val="22"/>
              </w:rPr>
            </w:pPr>
            <w:r w:rsidRPr="00AB33B5">
              <w:rPr>
                <w:bCs/>
                <w:sz w:val="22"/>
              </w:rPr>
              <w:t xml:space="preserve">(2) Saeimas ievēlētajām, apstiprinātajām un ieceltajām amatpersonām — valsts kontrolierim un Valsts kontroles padomes locekļiem, tiesībsargam, Nacionālās elektronisko plašsaziņas līdzekļu padomes priekšsēdētājam un locekļiem, Centrālās vēlēšanu komisijas priekšsēdētājam, viņa vietniekam, komisijas sekretāram un locekļiem, Centrālās zemes komisijas priekšsēdētājam, Augstākās </w:t>
            </w:r>
            <w:r w:rsidRPr="00447CA1">
              <w:rPr>
                <w:bCs/>
                <w:sz w:val="22"/>
                <w:u w:val="single"/>
              </w:rPr>
              <w:t>izglītības padomes priekšsēdētājam</w:t>
            </w:r>
            <w:r w:rsidRPr="00AB33B5">
              <w:rPr>
                <w:bCs/>
                <w:sz w:val="22"/>
              </w:rPr>
              <w:t xml:space="preserve"> — mēnešalgu nosaka, mēneša vidējās darba samaksas apmēram, kas noapaļots pilnos </w:t>
            </w:r>
            <w:r w:rsidRPr="00AB33B5">
              <w:rPr>
                <w:bCs/>
                <w:i/>
                <w:iCs/>
                <w:sz w:val="22"/>
              </w:rPr>
              <w:t>euro</w:t>
            </w:r>
            <w:r w:rsidRPr="00AB33B5">
              <w:rPr>
                <w:bCs/>
                <w:sz w:val="22"/>
              </w:rPr>
              <w:t>, piemērojot šādu koeficientu:</w:t>
            </w:r>
          </w:p>
        </w:tc>
        <w:tc>
          <w:tcPr>
            <w:tcW w:w="3969" w:type="dxa"/>
            <w:shd w:val="clear" w:color="auto" w:fill="auto"/>
          </w:tcPr>
          <w:p w:rsidR="00BB32DD" w:rsidRPr="00CC4314" w:rsidRDefault="00BB32DD" w:rsidP="003446BF">
            <w:pPr>
              <w:ind w:firstLine="567"/>
              <w:jc w:val="both"/>
              <w:rPr>
                <w:rFonts w:eastAsia="Times New Roman"/>
                <w:color w:val="000000"/>
                <w:sz w:val="22"/>
                <w:lang w:eastAsia="lv-LV"/>
              </w:rPr>
            </w:pPr>
          </w:p>
        </w:tc>
        <w:tc>
          <w:tcPr>
            <w:tcW w:w="567" w:type="dxa"/>
          </w:tcPr>
          <w:p w:rsidR="00BB32DD" w:rsidRDefault="00C8153E" w:rsidP="0095142A">
            <w:pPr>
              <w:jc w:val="center"/>
              <w:rPr>
                <w:rFonts w:eastAsia="Times New Roman"/>
                <w:b/>
                <w:color w:val="000000"/>
                <w:sz w:val="22"/>
                <w:lang w:eastAsia="lv-LV"/>
              </w:rPr>
            </w:pPr>
            <w:r>
              <w:rPr>
                <w:rFonts w:eastAsia="Times New Roman"/>
                <w:b/>
                <w:color w:val="000000"/>
                <w:sz w:val="22"/>
                <w:lang w:eastAsia="lv-LV"/>
              </w:rPr>
              <w:t>10</w:t>
            </w:r>
          </w:p>
          <w:p w:rsidR="00C8153E" w:rsidRDefault="00C8153E" w:rsidP="0095142A">
            <w:pPr>
              <w:jc w:val="center"/>
              <w:rPr>
                <w:rFonts w:eastAsia="Times New Roman"/>
                <w:b/>
                <w:color w:val="000000"/>
                <w:sz w:val="22"/>
                <w:lang w:eastAsia="lv-LV"/>
              </w:rPr>
            </w:pPr>
          </w:p>
          <w:p w:rsidR="00C8153E" w:rsidRDefault="00C8153E" w:rsidP="0095142A">
            <w:pPr>
              <w:jc w:val="center"/>
              <w:rPr>
                <w:rFonts w:eastAsia="Times New Roman"/>
                <w:b/>
                <w:color w:val="000000"/>
                <w:sz w:val="22"/>
                <w:lang w:eastAsia="lv-LV"/>
              </w:rPr>
            </w:pPr>
          </w:p>
          <w:p w:rsidR="00C8153E" w:rsidRDefault="00C8153E" w:rsidP="0095142A">
            <w:pPr>
              <w:jc w:val="center"/>
              <w:rPr>
                <w:rFonts w:eastAsia="Times New Roman"/>
                <w:b/>
                <w:color w:val="000000"/>
                <w:sz w:val="22"/>
                <w:lang w:eastAsia="lv-LV"/>
              </w:rPr>
            </w:pPr>
          </w:p>
          <w:p w:rsidR="00C8153E" w:rsidRDefault="00C8153E" w:rsidP="0095142A">
            <w:pPr>
              <w:jc w:val="center"/>
              <w:rPr>
                <w:rFonts w:eastAsia="Times New Roman"/>
                <w:b/>
                <w:color w:val="000000"/>
                <w:sz w:val="22"/>
                <w:lang w:eastAsia="lv-LV"/>
              </w:rPr>
            </w:pPr>
          </w:p>
          <w:p w:rsidR="00C8153E" w:rsidRDefault="00C8153E" w:rsidP="0095142A">
            <w:pPr>
              <w:jc w:val="center"/>
              <w:rPr>
                <w:rFonts w:eastAsia="Times New Roman"/>
                <w:b/>
                <w:color w:val="000000"/>
                <w:sz w:val="22"/>
                <w:lang w:eastAsia="lv-LV"/>
              </w:rPr>
            </w:pPr>
          </w:p>
          <w:p w:rsidR="00C8153E" w:rsidRPr="0095142A" w:rsidRDefault="00C8153E" w:rsidP="0095142A">
            <w:pPr>
              <w:jc w:val="center"/>
              <w:rPr>
                <w:rFonts w:eastAsia="Times New Roman"/>
                <w:b/>
                <w:color w:val="000000"/>
                <w:sz w:val="22"/>
                <w:lang w:eastAsia="lv-LV"/>
              </w:rPr>
            </w:pPr>
            <w:r>
              <w:rPr>
                <w:rFonts w:eastAsia="Times New Roman"/>
                <w:b/>
                <w:color w:val="000000"/>
                <w:sz w:val="22"/>
                <w:lang w:eastAsia="lv-LV"/>
              </w:rPr>
              <w:t>11</w:t>
            </w:r>
          </w:p>
        </w:tc>
        <w:tc>
          <w:tcPr>
            <w:tcW w:w="3969" w:type="dxa"/>
          </w:tcPr>
          <w:p w:rsidR="00BB32DD" w:rsidRDefault="00BB32DD" w:rsidP="003446BF">
            <w:pPr>
              <w:ind w:firstLine="567"/>
              <w:jc w:val="both"/>
              <w:rPr>
                <w:rFonts w:eastAsia="Times New Roman"/>
                <w:b/>
                <w:bCs/>
                <w:color w:val="000000"/>
                <w:sz w:val="22"/>
                <w:u w:val="single"/>
                <w:lang w:eastAsia="lv-LV"/>
              </w:rPr>
            </w:pPr>
            <w:r>
              <w:rPr>
                <w:rFonts w:eastAsia="Times New Roman"/>
                <w:b/>
                <w:bCs/>
                <w:color w:val="000000"/>
                <w:sz w:val="22"/>
                <w:u w:val="single"/>
                <w:lang w:eastAsia="lv-LV"/>
              </w:rPr>
              <w:t>F</w:t>
            </w:r>
            <w:r w:rsidRPr="00591194">
              <w:rPr>
                <w:rFonts w:eastAsia="Times New Roman"/>
                <w:b/>
                <w:bCs/>
                <w:color w:val="000000"/>
                <w:sz w:val="22"/>
                <w:u w:val="single"/>
                <w:lang w:eastAsia="lv-LV"/>
              </w:rPr>
              <w:t>rakcija “No sirds Latvijai”</w:t>
            </w:r>
          </w:p>
          <w:p w:rsidR="00BB32DD" w:rsidRDefault="00AB33B5" w:rsidP="003446BF">
            <w:pPr>
              <w:ind w:firstLine="567"/>
              <w:jc w:val="both"/>
              <w:rPr>
                <w:rFonts w:eastAsia="Times New Roman"/>
                <w:color w:val="000000"/>
                <w:sz w:val="22"/>
                <w:lang w:eastAsia="lv-LV"/>
              </w:rPr>
            </w:pPr>
            <w:r>
              <w:rPr>
                <w:rFonts w:eastAsia="Times New Roman"/>
                <w:color w:val="000000"/>
                <w:sz w:val="22"/>
                <w:lang w:eastAsia="lv-LV"/>
              </w:rPr>
              <w:t>P</w:t>
            </w:r>
            <w:r w:rsidRPr="00AB33B5">
              <w:rPr>
                <w:rFonts w:eastAsia="Times New Roman"/>
                <w:color w:val="000000"/>
                <w:sz w:val="22"/>
                <w:lang w:eastAsia="lv-LV"/>
              </w:rPr>
              <w:t>apildināt likuma 6.panta otras daļas teikumu pēc vārdiem "izglītības padomes priekšsēdētājam" ar vārdu " rajona (pilsētas) tiesas tiesnesim” ,</w:t>
            </w:r>
          </w:p>
          <w:p w:rsidR="00447CA1" w:rsidRDefault="00447CA1" w:rsidP="00C8153E">
            <w:pPr>
              <w:jc w:val="both"/>
              <w:rPr>
                <w:rFonts w:eastAsia="Times New Roman"/>
                <w:color w:val="000000"/>
                <w:sz w:val="22"/>
                <w:lang w:eastAsia="lv-LV"/>
              </w:rPr>
            </w:pPr>
          </w:p>
          <w:p w:rsidR="00447CA1" w:rsidRDefault="00447CA1" w:rsidP="003446BF">
            <w:pPr>
              <w:ind w:firstLine="567"/>
              <w:jc w:val="both"/>
              <w:rPr>
                <w:rFonts w:eastAsia="Times New Roman"/>
                <w:b/>
                <w:bCs/>
                <w:color w:val="000000"/>
                <w:sz w:val="22"/>
                <w:u w:val="single"/>
                <w:lang w:eastAsia="lv-LV"/>
              </w:rPr>
            </w:pPr>
            <w:r>
              <w:rPr>
                <w:rFonts w:eastAsia="Times New Roman"/>
                <w:b/>
                <w:bCs/>
                <w:color w:val="000000"/>
                <w:sz w:val="22"/>
                <w:u w:val="single"/>
                <w:lang w:eastAsia="lv-LV"/>
              </w:rPr>
              <w:t>F</w:t>
            </w:r>
            <w:r w:rsidRPr="00591194">
              <w:rPr>
                <w:rFonts w:eastAsia="Times New Roman"/>
                <w:b/>
                <w:bCs/>
                <w:color w:val="000000"/>
                <w:sz w:val="22"/>
                <w:u w:val="single"/>
                <w:lang w:eastAsia="lv-LV"/>
              </w:rPr>
              <w:t>rakcija “No sirds Latvijai”</w:t>
            </w:r>
          </w:p>
          <w:p w:rsidR="00447CA1" w:rsidRPr="00447CA1" w:rsidRDefault="00447CA1" w:rsidP="00447CA1">
            <w:pPr>
              <w:ind w:firstLine="567"/>
              <w:jc w:val="both"/>
              <w:rPr>
                <w:rFonts w:eastAsia="Times New Roman"/>
                <w:color w:val="000000"/>
                <w:sz w:val="22"/>
                <w:lang w:eastAsia="lv-LV"/>
              </w:rPr>
            </w:pPr>
            <w:r w:rsidRPr="00447CA1">
              <w:rPr>
                <w:rFonts w:eastAsia="Times New Roman"/>
                <w:color w:val="000000"/>
                <w:sz w:val="22"/>
                <w:lang w:eastAsia="lv-LV"/>
              </w:rPr>
              <w:t>papildināt likuma 6.panta otro daļu ar 16.punktu šādā redakcijā:</w:t>
            </w:r>
          </w:p>
          <w:p w:rsidR="00447CA1" w:rsidRPr="00AB33B5" w:rsidRDefault="00447CA1" w:rsidP="00447CA1">
            <w:pPr>
              <w:ind w:firstLine="567"/>
              <w:jc w:val="both"/>
              <w:rPr>
                <w:rFonts w:eastAsia="Times New Roman"/>
                <w:color w:val="000000"/>
                <w:sz w:val="22"/>
                <w:lang w:eastAsia="lv-LV"/>
              </w:rPr>
            </w:pPr>
            <w:r w:rsidRPr="00447CA1">
              <w:rPr>
                <w:rFonts w:eastAsia="Times New Roman"/>
                <w:color w:val="000000"/>
                <w:sz w:val="22"/>
                <w:lang w:eastAsia="lv-LV"/>
              </w:rPr>
              <w:t>"16) rajona (pilsētas) tiesas tiesnesim - 2,29."."</w:t>
            </w:r>
          </w:p>
        </w:tc>
        <w:tc>
          <w:tcPr>
            <w:tcW w:w="1418" w:type="dxa"/>
          </w:tcPr>
          <w:p w:rsidR="00BB32DD" w:rsidRPr="00CC4314" w:rsidRDefault="00BB32DD" w:rsidP="003446BF">
            <w:pPr>
              <w:ind w:firstLine="567"/>
              <w:jc w:val="both"/>
              <w:rPr>
                <w:rFonts w:eastAsia="Times New Roman"/>
                <w:color w:val="000000"/>
                <w:sz w:val="22"/>
                <w:lang w:eastAsia="lv-LV"/>
              </w:rPr>
            </w:pPr>
          </w:p>
        </w:tc>
        <w:tc>
          <w:tcPr>
            <w:tcW w:w="1418" w:type="dxa"/>
          </w:tcPr>
          <w:p w:rsidR="00BB32DD" w:rsidRPr="00CC4314" w:rsidRDefault="00BB32DD" w:rsidP="003446BF">
            <w:pPr>
              <w:ind w:firstLine="567"/>
              <w:jc w:val="both"/>
              <w:rPr>
                <w:rFonts w:eastAsia="Times New Roman"/>
                <w:color w:val="000000"/>
                <w:sz w:val="22"/>
                <w:lang w:eastAsia="lv-LV"/>
              </w:rPr>
            </w:pPr>
          </w:p>
        </w:tc>
      </w:tr>
      <w:tr w:rsidR="0095142A" w:rsidRPr="001B3F41" w:rsidTr="0095142A">
        <w:tc>
          <w:tcPr>
            <w:tcW w:w="3969" w:type="dxa"/>
            <w:shd w:val="clear" w:color="auto" w:fill="auto"/>
          </w:tcPr>
          <w:p w:rsidR="0095142A" w:rsidRPr="0021159A" w:rsidRDefault="0095142A" w:rsidP="0021159A">
            <w:pPr>
              <w:ind w:firstLine="567"/>
              <w:jc w:val="both"/>
              <w:rPr>
                <w:sz w:val="22"/>
              </w:rPr>
            </w:pPr>
            <w:r w:rsidRPr="0021159A">
              <w:rPr>
                <w:b/>
                <w:bCs/>
                <w:sz w:val="22"/>
              </w:rPr>
              <w:t>6.</w:t>
            </w:r>
            <w:r w:rsidRPr="0021159A">
              <w:rPr>
                <w:b/>
                <w:bCs/>
                <w:sz w:val="22"/>
                <w:vertAlign w:val="superscript"/>
              </w:rPr>
              <w:t>1</w:t>
            </w:r>
            <w:r w:rsidRPr="0021159A">
              <w:rPr>
                <w:b/>
                <w:bCs/>
                <w:sz w:val="22"/>
              </w:rPr>
              <w:t xml:space="preserve"> pants. Tiesneša mēnešalga</w:t>
            </w:r>
          </w:p>
          <w:p w:rsidR="0095142A" w:rsidRPr="005B3A48" w:rsidRDefault="0095142A" w:rsidP="0021159A">
            <w:pPr>
              <w:ind w:firstLine="567"/>
              <w:jc w:val="both"/>
              <w:rPr>
                <w:sz w:val="22"/>
              </w:rPr>
            </w:pPr>
            <w:r w:rsidRPr="0021159A">
              <w:rPr>
                <w:sz w:val="22"/>
              </w:rPr>
              <w:t>(1) Rajona (pilsētas) tiesas tiesneša mēnešalgu nosaka, to pielīdzinot valsts tiešās pārvaldes iestādes juridiskās struktūrvienības vadītāja mēnešalgas maksimālajam apmēram (12.mēnešalgu grupa) saskaņā ar šā likuma 3.pielikumu.</w:t>
            </w:r>
          </w:p>
        </w:tc>
        <w:tc>
          <w:tcPr>
            <w:tcW w:w="3969" w:type="dxa"/>
            <w:shd w:val="clear" w:color="auto" w:fill="auto"/>
          </w:tcPr>
          <w:p w:rsidR="0095142A" w:rsidRPr="00CC4314" w:rsidRDefault="0095142A" w:rsidP="00CC4314">
            <w:pPr>
              <w:ind w:firstLine="567"/>
              <w:jc w:val="both"/>
              <w:rPr>
                <w:rFonts w:eastAsia="Times New Roman"/>
                <w:bCs/>
                <w:color w:val="000000"/>
                <w:sz w:val="22"/>
                <w:lang w:eastAsia="lv-LV"/>
              </w:rPr>
            </w:pPr>
            <w:r w:rsidRPr="00CC4314">
              <w:rPr>
                <w:rFonts w:eastAsia="Times New Roman"/>
                <w:bCs/>
                <w:color w:val="000000"/>
                <w:sz w:val="22"/>
                <w:lang w:eastAsia="lv-LV"/>
              </w:rPr>
              <w:t>2. Izteikt 6.</w:t>
            </w:r>
            <w:r w:rsidRPr="00CC4314">
              <w:rPr>
                <w:rFonts w:eastAsia="Times New Roman"/>
                <w:bCs/>
                <w:color w:val="000000"/>
                <w:sz w:val="22"/>
                <w:vertAlign w:val="superscript"/>
                <w:lang w:eastAsia="lv-LV"/>
              </w:rPr>
              <w:t>1</w:t>
            </w:r>
            <w:r w:rsidRPr="00CC4314">
              <w:rPr>
                <w:rFonts w:eastAsia="Times New Roman"/>
                <w:bCs/>
                <w:color w:val="000000"/>
                <w:sz w:val="22"/>
                <w:lang w:eastAsia="lv-LV"/>
              </w:rPr>
              <w:t> panta pirmo daļu šādā redakcijā:</w:t>
            </w:r>
          </w:p>
          <w:p w:rsidR="0095142A" w:rsidRPr="00F5367D" w:rsidRDefault="0095142A" w:rsidP="00CC4314">
            <w:pPr>
              <w:ind w:firstLine="567"/>
              <w:jc w:val="both"/>
              <w:rPr>
                <w:rFonts w:eastAsia="Times New Roman"/>
                <w:color w:val="000000"/>
                <w:sz w:val="22"/>
                <w:lang w:eastAsia="lv-LV"/>
              </w:rPr>
            </w:pPr>
            <w:r w:rsidRPr="00CC4314">
              <w:rPr>
                <w:rFonts w:eastAsia="Times New Roman"/>
                <w:color w:val="000000"/>
                <w:sz w:val="22"/>
                <w:lang w:eastAsia="lv-LV"/>
              </w:rPr>
              <w:t>"(1) Rajona (pilsētas) tiesas tiesneša mēnešalgu nosaka saskaņā ar gadskārtējā valsts budžeta likumā un vidēja termiņa budžeta ietvara likumā noteikto rajona (pilsētas) tiesas tiesneša mēnešalgu."</w:t>
            </w:r>
          </w:p>
        </w:tc>
        <w:tc>
          <w:tcPr>
            <w:tcW w:w="567" w:type="dxa"/>
          </w:tcPr>
          <w:p w:rsidR="0095142A" w:rsidRDefault="00C8153E" w:rsidP="0095142A">
            <w:pPr>
              <w:jc w:val="center"/>
              <w:rPr>
                <w:rFonts w:eastAsia="Times New Roman"/>
                <w:b/>
                <w:bCs/>
                <w:color w:val="000000"/>
                <w:sz w:val="22"/>
                <w:lang w:eastAsia="lv-LV"/>
              </w:rPr>
            </w:pPr>
            <w:r>
              <w:rPr>
                <w:rFonts w:eastAsia="Times New Roman"/>
                <w:b/>
                <w:bCs/>
                <w:color w:val="000000"/>
                <w:sz w:val="22"/>
                <w:lang w:eastAsia="lv-LV"/>
              </w:rPr>
              <w:t>12</w:t>
            </w:r>
          </w:p>
          <w:p w:rsidR="00C8153E" w:rsidRDefault="00C8153E" w:rsidP="0095142A">
            <w:pPr>
              <w:jc w:val="center"/>
              <w:rPr>
                <w:rFonts w:eastAsia="Times New Roman"/>
                <w:b/>
                <w:bCs/>
                <w:color w:val="000000"/>
                <w:sz w:val="22"/>
                <w:lang w:eastAsia="lv-LV"/>
              </w:rPr>
            </w:pPr>
          </w:p>
          <w:p w:rsidR="00C8153E" w:rsidRDefault="00C8153E" w:rsidP="0095142A">
            <w:pPr>
              <w:jc w:val="center"/>
              <w:rPr>
                <w:rFonts w:eastAsia="Times New Roman"/>
                <w:b/>
                <w:bCs/>
                <w:color w:val="000000"/>
                <w:sz w:val="22"/>
                <w:lang w:eastAsia="lv-LV"/>
              </w:rPr>
            </w:pPr>
          </w:p>
          <w:p w:rsidR="00C8153E" w:rsidRDefault="00C8153E" w:rsidP="0095142A">
            <w:pPr>
              <w:jc w:val="center"/>
              <w:rPr>
                <w:rFonts w:eastAsia="Times New Roman"/>
                <w:b/>
                <w:bCs/>
                <w:color w:val="000000"/>
                <w:sz w:val="22"/>
                <w:lang w:eastAsia="lv-LV"/>
              </w:rPr>
            </w:pPr>
          </w:p>
          <w:p w:rsidR="00C8153E" w:rsidRDefault="00C8153E" w:rsidP="0095142A">
            <w:pPr>
              <w:jc w:val="center"/>
              <w:rPr>
                <w:rFonts w:eastAsia="Times New Roman"/>
                <w:b/>
                <w:bCs/>
                <w:color w:val="000000"/>
                <w:sz w:val="22"/>
                <w:lang w:eastAsia="lv-LV"/>
              </w:rPr>
            </w:pPr>
          </w:p>
          <w:p w:rsidR="00C8153E" w:rsidRDefault="00C8153E" w:rsidP="0095142A">
            <w:pPr>
              <w:jc w:val="center"/>
              <w:rPr>
                <w:rFonts w:eastAsia="Times New Roman"/>
                <w:b/>
                <w:bCs/>
                <w:color w:val="000000"/>
                <w:sz w:val="22"/>
                <w:lang w:eastAsia="lv-LV"/>
              </w:rPr>
            </w:pPr>
          </w:p>
          <w:p w:rsidR="00C8153E" w:rsidRPr="0095142A" w:rsidRDefault="00C8153E" w:rsidP="0095142A">
            <w:pPr>
              <w:jc w:val="center"/>
              <w:rPr>
                <w:rFonts w:eastAsia="Times New Roman"/>
                <w:b/>
                <w:bCs/>
                <w:color w:val="000000"/>
                <w:sz w:val="22"/>
                <w:lang w:eastAsia="lv-LV"/>
              </w:rPr>
            </w:pPr>
            <w:r>
              <w:rPr>
                <w:rFonts w:eastAsia="Times New Roman"/>
                <w:b/>
                <w:bCs/>
                <w:color w:val="000000"/>
                <w:sz w:val="22"/>
                <w:lang w:eastAsia="lv-LV"/>
              </w:rPr>
              <w:t>13</w:t>
            </w:r>
          </w:p>
        </w:tc>
        <w:tc>
          <w:tcPr>
            <w:tcW w:w="3969" w:type="dxa"/>
          </w:tcPr>
          <w:p w:rsidR="006B2A6F" w:rsidRDefault="006B2A6F" w:rsidP="00CC4314">
            <w:pPr>
              <w:ind w:firstLine="567"/>
              <w:jc w:val="both"/>
              <w:rPr>
                <w:rFonts w:eastAsia="Times New Roman"/>
                <w:b/>
                <w:bCs/>
                <w:color w:val="000000"/>
                <w:sz w:val="22"/>
                <w:u w:val="single"/>
                <w:lang w:eastAsia="lv-LV"/>
              </w:rPr>
            </w:pPr>
            <w:r>
              <w:rPr>
                <w:rFonts w:eastAsia="Times New Roman"/>
                <w:b/>
                <w:bCs/>
                <w:color w:val="000000"/>
                <w:sz w:val="22"/>
                <w:u w:val="single"/>
                <w:lang w:eastAsia="lv-LV"/>
              </w:rPr>
              <w:t>F</w:t>
            </w:r>
            <w:r w:rsidRPr="00591194">
              <w:rPr>
                <w:rFonts w:eastAsia="Times New Roman"/>
                <w:b/>
                <w:bCs/>
                <w:color w:val="000000"/>
                <w:sz w:val="22"/>
                <w:u w:val="single"/>
                <w:lang w:eastAsia="lv-LV"/>
              </w:rPr>
              <w:t>rakcija “No sirds Latvijai”</w:t>
            </w:r>
          </w:p>
          <w:p w:rsidR="006B2A6F" w:rsidRPr="006B2A6F" w:rsidRDefault="006B2A6F" w:rsidP="006B2A6F">
            <w:pPr>
              <w:ind w:firstLine="567"/>
              <w:jc w:val="both"/>
              <w:rPr>
                <w:rFonts w:eastAsia="Times New Roman"/>
                <w:color w:val="000000"/>
                <w:sz w:val="22"/>
                <w:lang w:eastAsia="lv-LV"/>
              </w:rPr>
            </w:pPr>
            <w:r w:rsidRPr="006B2A6F">
              <w:rPr>
                <w:rFonts w:eastAsia="Times New Roman"/>
                <w:color w:val="000000"/>
                <w:sz w:val="22"/>
                <w:lang w:eastAsia="lv-LV"/>
              </w:rPr>
              <w:t>Izteikt likumprojekta 2.pantu šādā redakcijā:</w:t>
            </w:r>
          </w:p>
          <w:p w:rsidR="006B2A6F" w:rsidRPr="006B2A6F" w:rsidRDefault="006B2A6F" w:rsidP="006B2A6F">
            <w:pPr>
              <w:ind w:firstLine="567"/>
              <w:jc w:val="both"/>
              <w:rPr>
                <w:rFonts w:eastAsia="Times New Roman"/>
                <w:color w:val="000000"/>
                <w:sz w:val="22"/>
                <w:lang w:eastAsia="lv-LV"/>
              </w:rPr>
            </w:pPr>
            <w:r w:rsidRPr="006B2A6F">
              <w:rPr>
                <w:rFonts w:eastAsia="Times New Roman"/>
                <w:color w:val="000000"/>
                <w:sz w:val="22"/>
                <w:lang w:eastAsia="lv-LV"/>
              </w:rPr>
              <w:t>"Izslēgt likuma 6.</w:t>
            </w:r>
            <w:r w:rsidRPr="006B2A6F">
              <w:rPr>
                <w:rFonts w:eastAsia="Times New Roman"/>
                <w:color w:val="000000"/>
                <w:sz w:val="22"/>
                <w:vertAlign w:val="superscript"/>
                <w:lang w:eastAsia="lv-LV"/>
              </w:rPr>
              <w:t>1</w:t>
            </w:r>
            <w:r w:rsidRPr="006B2A6F">
              <w:rPr>
                <w:rFonts w:eastAsia="Times New Roman"/>
                <w:color w:val="000000"/>
                <w:sz w:val="22"/>
                <w:lang w:eastAsia="lv-LV"/>
              </w:rPr>
              <w:t>.panta pirmo daļu."</w:t>
            </w:r>
          </w:p>
          <w:p w:rsidR="006B2A6F" w:rsidRDefault="006B2A6F" w:rsidP="00CC4314">
            <w:pPr>
              <w:ind w:firstLine="567"/>
              <w:jc w:val="both"/>
              <w:rPr>
                <w:rFonts w:eastAsia="Times New Roman"/>
                <w:b/>
                <w:color w:val="000000"/>
                <w:sz w:val="22"/>
                <w:u w:val="single"/>
                <w:lang w:eastAsia="lv-LV"/>
              </w:rPr>
            </w:pPr>
          </w:p>
          <w:p w:rsidR="0095142A" w:rsidRDefault="002D364A" w:rsidP="00CC4314">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D364A" w:rsidRPr="002D364A" w:rsidRDefault="002D364A" w:rsidP="002D364A">
            <w:pPr>
              <w:ind w:firstLine="567"/>
              <w:jc w:val="both"/>
              <w:rPr>
                <w:rFonts w:eastAsia="Times New Roman"/>
                <w:bCs/>
                <w:color w:val="000000"/>
                <w:sz w:val="22"/>
                <w:lang w:eastAsia="lv-LV"/>
              </w:rPr>
            </w:pPr>
            <w:r w:rsidRPr="002D364A">
              <w:rPr>
                <w:rFonts w:eastAsia="Times New Roman"/>
                <w:bCs/>
                <w:color w:val="000000"/>
                <w:sz w:val="22"/>
                <w:lang w:eastAsia="lv-LV"/>
              </w:rPr>
              <w:t>Likumprojekta 2.pantu uzskatīt par likumprojekta 1.pantu un izteikt to šādā redakcijā:</w:t>
            </w:r>
          </w:p>
          <w:p w:rsidR="002D364A" w:rsidRPr="002D364A" w:rsidRDefault="002D364A" w:rsidP="002D364A">
            <w:pPr>
              <w:ind w:firstLine="567"/>
              <w:jc w:val="both"/>
              <w:rPr>
                <w:rFonts w:eastAsia="Times New Roman"/>
                <w:bCs/>
                <w:color w:val="000000"/>
                <w:sz w:val="22"/>
                <w:lang w:eastAsia="lv-LV"/>
              </w:rPr>
            </w:pPr>
            <w:r w:rsidRPr="002D364A">
              <w:rPr>
                <w:rFonts w:eastAsia="Times New Roman"/>
                <w:bCs/>
                <w:color w:val="000000"/>
                <w:sz w:val="22"/>
                <w:lang w:eastAsia="lv-LV"/>
              </w:rPr>
              <w:t>“1. Papildināt pārejas noteikumus ar 36. un 37.punktu šādā redakcijā:</w:t>
            </w:r>
          </w:p>
          <w:p w:rsidR="002D364A" w:rsidRPr="002D364A" w:rsidRDefault="002D364A" w:rsidP="002D364A">
            <w:pPr>
              <w:ind w:firstLine="567"/>
              <w:jc w:val="both"/>
              <w:rPr>
                <w:rFonts w:eastAsia="Times New Roman"/>
                <w:bCs/>
                <w:color w:val="000000"/>
                <w:sz w:val="22"/>
                <w:lang w:eastAsia="lv-LV"/>
              </w:rPr>
            </w:pPr>
            <w:r w:rsidRPr="002D364A">
              <w:rPr>
                <w:rFonts w:eastAsia="Times New Roman"/>
                <w:bCs/>
                <w:color w:val="000000"/>
                <w:sz w:val="22"/>
                <w:lang w:eastAsia="lv-LV"/>
              </w:rPr>
              <w:t>36. Šā likuma 4.panta pirmajā daļā atsauci uz devīto daļu, 4.panta devīto daļu un 6.</w:t>
            </w:r>
            <w:r w:rsidRPr="002D364A">
              <w:rPr>
                <w:rFonts w:eastAsia="Times New Roman"/>
                <w:bCs/>
                <w:color w:val="000000"/>
                <w:sz w:val="22"/>
                <w:vertAlign w:val="superscript"/>
                <w:lang w:eastAsia="lv-LV"/>
              </w:rPr>
              <w:t>1</w:t>
            </w:r>
            <w:r w:rsidRPr="002D364A">
              <w:rPr>
                <w:rFonts w:eastAsia="Times New Roman"/>
                <w:bCs/>
                <w:color w:val="000000"/>
                <w:sz w:val="22"/>
                <w:lang w:eastAsia="lv-LV"/>
              </w:rPr>
              <w:t xml:space="preserve"> panta pirmo daļu nepiemēro 2018.gadā, nosakot tiesneša un prokurora mēnešalgu. Tiesneša un prokurora mēnešalgu 2018.gadā nosaka, ņemot vērā, ka rajona (pilsētas) tiesas tiesneša mēnešalga ir 1966 </w:t>
            </w:r>
            <w:r w:rsidRPr="002D364A">
              <w:rPr>
                <w:rFonts w:eastAsia="Times New Roman"/>
                <w:bCs/>
                <w:i/>
                <w:color w:val="000000"/>
                <w:sz w:val="22"/>
                <w:lang w:eastAsia="lv-LV"/>
              </w:rPr>
              <w:t xml:space="preserve">euro </w:t>
            </w:r>
            <w:r w:rsidRPr="002D364A">
              <w:rPr>
                <w:rFonts w:eastAsia="Times New Roman"/>
                <w:bCs/>
                <w:color w:val="000000"/>
                <w:sz w:val="22"/>
                <w:lang w:eastAsia="lv-LV"/>
              </w:rPr>
              <w:t>un piemērojot likumā paredzēto koeficientu.</w:t>
            </w:r>
          </w:p>
          <w:p w:rsidR="002D364A" w:rsidRPr="00CC4314" w:rsidRDefault="002D364A" w:rsidP="002D364A">
            <w:pPr>
              <w:ind w:firstLine="567"/>
              <w:jc w:val="both"/>
              <w:rPr>
                <w:rFonts w:eastAsia="Times New Roman"/>
                <w:bCs/>
                <w:color w:val="000000"/>
                <w:sz w:val="22"/>
                <w:lang w:eastAsia="lv-LV"/>
              </w:rPr>
            </w:pPr>
            <w:r w:rsidRPr="002D364A">
              <w:rPr>
                <w:rFonts w:eastAsia="Times New Roman"/>
                <w:bCs/>
                <w:color w:val="000000"/>
                <w:sz w:val="22"/>
                <w:lang w:eastAsia="lv-LV"/>
              </w:rPr>
              <w:t>37. Ministru kabinets iesniedz Saeimai likumprojektu, kas, sākot ar 2019.gada 1.janvāri, paredz tādu tiesnešu darba samaksas sistēmu, kas nodrošina tiesnešu darba samaksas faktiskās vērtības saglabāšanu un finansiālo drošību atbilstoši tiesnešu neatkarības principam.”.</w:t>
            </w:r>
          </w:p>
        </w:tc>
        <w:tc>
          <w:tcPr>
            <w:tcW w:w="1418" w:type="dxa"/>
          </w:tcPr>
          <w:p w:rsidR="0095142A" w:rsidRPr="00CC4314" w:rsidRDefault="0095142A" w:rsidP="00CC4314">
            <w:pPr>
              <w:ind w:firstLine="567"/>
              <w:jc w:val="both"/>
              <w:rPr>
                <w:rFonts w:eastAsia="Times New Roman"/>
                <w:bCs/>
                <w:color w:val="000000"/>
                <w:sz w:val="22"/>
                <w:lang w:eastAsia="lv-LV"/>
              </w:rPr>
            </w:pPr>
          </w:p>
        </w:tc>
        <w:tc>
          <w:tcPr>
            <w:tcW w:w="1418" w:type="dxa"/>
          </w:tcPr>
          <w:p w:rsidR="0095142A" w:rsidRPr="00CC4314" w:rsidRDefault="0095142A" w:rsidP="00CC4314">
            <w:pPr>
              <w:ind w:firstLine="567"/>
              <w:jc w:val="both"/>
              <w:rPr>
                <w:rFonts w:eastAsia="Times New Roman"/>
                <w:bCs/>
                <w:color w:val="000000"/>
                <w:sz w:val="22"/>
                <w:lang w:eastAsia="lv-LV"/>
              </w:rPr>
            </w:pPr>
          </w:p>
        </w:tc>
      </w:tr>
      <w:tr w:rsidR="009B2BB5" w:rsidRPr="001B3F41" w:rsidTr="0095142A">
        <w:tc>
          <w:tcPr>
            <w:tcW w:w="3969" w:type="dxa"/>
            <w:shd w:val="clear" w:color="auto" w:fill="auto"/>
          </w:tcPr>
          <w:p w:rsidR="009B2BB5" w:rsidRPr="0021159A" w:rsidRDefault="009B2BB5" w:rsidP="0021159A">
            <w:pPr>
              <w:ind w:firstLine="567"/>
              <w:jc w:val="both"/>
              <w:rPr>
                <w:b/>
                <w:bCs/>
                <w:sz w:val="22"/>
              </w:rPr>
            </w:pPr>
          </w:p>
        </w:tc>
        <w:tc>
          <w:tcPr>
            <w:tcW w:w="3969" w:type="dxa"/>
            <w:shd w:val="clear" w:color="auto" w:fill="auto"/>
          </w:tcPr>
          <w:p w:rsidR="009B2BB5" w:rsidRPr="00CC4314" w:rsidRDefault="009B2BB5" w:rsidP="00CC4314">
            <w:pPr>
              <w:ind w:firstLine="567"/>
              <w:jc w:val="both"/>
              <w:rPr>
                <w:rFonts w:eastAsia="Times New Roman"/>
                <w:bCs/>
                <w:color w:val="000000"/>
                <w:sz w:val="22"/>
                <w:lang w:eastAsia="lv-LV"/>
              </w:rPr>
            </w:pPr>
          </w:p>
        </w:tc>
        <w:tc>
          <w:tcPr>
            <w:tcW w:w="567" w:type="dxa"/>
          </w:tcPr>
          <w:p w:rsidR="009B2BB5" w:rsidRPr="0095142A" w:rsidRDefault="00C8153E" w:rsidP="0095142A">
            <w:pPr>
              <w:jc w:val="center"/>
              <w:rPr>
                <w:rFonts w:eastAsia="Times New Roman"/>
                <w:b/>
                <w:bCs/>
                <w:color w:val="000000"/>
                <w:sz w:val="22"/>
                <w:lang w:eastAsia="lv-LV"/>
              </w:rPr>
            </w:pPr>
            <w:r>
              <w:rPr>
                <w:rFonts w:eastAsia="Times New Roman"/>
                <w:b/>
                <w:bCs/>
                <w:color w:val="000000"/>
                <w:sz w:val="22"/>
                <w:lang w:eastAsia="lv-LV"/>
              </w:rPr>
              <w:t>14</w:t>
            </w:r>
          </w:p>
        </w:tc>
        <w:tc>
          <w:tcPr>
            <w:tcW w:w="3969" w:type="dxa"/>
          </w:tcPr>
          <w:p w:rsidR="009B2BB5" w:rsidRDefault="009B2BB5" w:rsidP="009B2BB5">
            <w:pPr>
              <w:ind w:firstLine="567"/>
              <w:jc w:val="both"/>
              <w:rPr>
                <w:rFonts w:eastAsia="Times New Roman"/>
                <w:b/>
                <w:bCs/>
                <w:color w:val="000000"/>
                <w:sz w:val="22"/>
                <w:u w:val="single"/>
                <w:lang w:eastAsia="lv-LV"/>
              </w:rPr>
            </w:pPr>
            <w:r w:rsidRPr="007B57C8">
              <w:rPr>
                <w:rFonts w:eastAsia="Times New Roman"/>
                <w:b/>
                <w:bCs/>
                <w:color w:val="000000"/>
                <w:sz w:val="22"/>
                <w:u w:val="single"/>
                <w:lang w:eastAsia="lv-LV"/>
              </w:rPr>
              <w:t>Ministru prezidenta biedrs,</w:t>
            </w:r>
            <w:r>
              <w:rPr>
                <w:rFonts w:eastAsia="Times New Roman"/>
                <w:b/>
                <w:bCs/>
                <w:color w:val="000000"/>
                <w:sz w:val="22"/>
                <w:u w:val="single"/>
                <w:lang w:eastAsia="lv-LV"/>
              </w:rPr>
              <w:t xml:space="preserve"> ekonomikas ministrs </w:t>
            </w:r>
            <w:r w:rsidRPr="007B57C8">
              <w:rPr>
                <w:rFonts w:eastAsia="Times New Roman"/>
                <w:b/>
                <w:bCs/>
                <w:color w:val="000000"/>
                <w:sz w:val="22"/>
                <w:u w:val="single"/>
                <w:lang w:eastAsia="lv-LV"/>
              </w:rPr>
              <w:t>A.Ašeradens</w:t>
            </w:r>
          </w:p>
          <w:p w:rsidR="00AD61D6" w:rsidRPr="00AD61D6" w:rsidRDefault="00AD61D6" w:rsidP="00AD61D6">
            <w:pPr>
              <w:ind w:firstLine="567"/>
              <w:jc w:val="both"/>
              <w:rPr>
                <w:rFonts w:eastAsia="Times New Roman"/>
                <w:bCs/>
                <w:color w:val="000000"/>
                <w:sz w:val="22"/>
                <w:lang w:eastAsia="lv-LV"/>
              </w:rPr>
            </w:pPr>
            <w:r w:rsidRPr="00AD61D6">
              <w:rPr>
                <w:rFonts w:eastAsia="Times New Roman"/>
                <w:bCs/>
                <w:color w:val="000000"/>
                <w:sz w:val="22"/>
                <w:lang w:eastAsia="lv-LV"/>
              </w:rPr>
              <w:t>papildināt Likumprojektu ar grozījumu, kas paredz papildināt likumu ar 13.</w:t>
            </w:r>
            <w:r w:rsidRPr="00AD61D6">
              <w:rPr>
                <w:rFonts w:eastAsia="Times New Roman"/>
                <w:bCs/>
                <w:color w:val="000000"/>
                <w:sz w:val="22"/>
                <w:vertAlign w:val="superscript"/>
                <w:lang w:eastAsia="lv-LV"/>
              </w:rPr>
              <w:t>5</w:t>
            </w:r>
            <w:r w:rsidRPr="00AD61D6">
              <w:rPr>
                <w:rFonts w:eastAsia="Times New Roman"/>
                <w:bCs/>
                <w:color w:val="000000"/>
                <w:sz w:val="22"/>
                <w:lang w:eastAsia="lv-LV"/>
              </w:rPr>
              <w:t xml:space="preserve"> pantu šādā redakcijā:</w:t>
            </w:r>
          </w:p>
          <w:p w:rsidR="00AD61D6" w:rsidRPr="00AD61D6" w:rsidRDefault="00AD61D6" w:rsidP="00AD61D6">
            <w:pPr>
              <w:ind w:firstLine="567"/>
              <w:jc w:val="both"/>
              <w:rPr>
                <w:rFonts w:eastAsia="Times New Roman"/>
                <w:b/>
                <w:bCs/>
                <w:color w:val="000000"/>
                <w:sz w:val="22"/>
                <w:lang w:eastAsia="lv-LV"/>
              </w:rPr>
            </w:pPr>
            <w:r w:rsidRPr="00AD61D6">
              <w:rPr>
                <w:rFonts w:eastAsia="Times New Roman"/>
                <w:bCs/>
                <w:color w:val="000000"/>
                <w:sz w:val="22"/>
                <w:lang w:eastAsia="lv-LV"/>
              </w:rPr>
              <w:t>“</w:t>
            </w:r>
            <w:r w:rsidRPr="00AD61D6">
              <w:rPr>
                <w:rFonts w:eastAsia="Times New Roman"/>
                <w:b/>
                <w:bCs/>
                <w:color w:val="000000"/>
                <w:sz w:val="22"/>
                <w:lang w:eastAsia="lv-LV"/>
              </w:rPr>
              <w:t>13.</w:t>
            </w:r>
            <w:r w:rsidRPr="00AD61D6">
              <w:rPr>
                <w:rFonts w:eastAsia="Times New Roman"/>
                <w:b/>
                <w:bCs/>
                <w:color w:val="000000"/>
                <w:sz w:val="22"/>
                <w:vertAlign w:val="superscript"/>
                <w:lang w:eastAsia="lv-LV"/>
              </w:rPr>
              <w:t>5</w:t>
            </w:r>
            <w:r w:rsidRPr="00AD61D6">
              <w:rPr>
                <w:rFonts w:eastAsia="Times New Roman"/>
                <w:b/>
                <w:bCs/>
                <w:color w:val="000000"/>
                <w:sz w:val="22"/>
                <w:lang w:eastAsia="lv-LV"/>
              </w:rPr>
              <w:t xml:space="preserve"> pants. Konkurences padomes amatpersonu (darbinieku) mēnešalga</w:t>
            </w:r>
          </w:p>
          <w:p w:rsidR="009B2BB5" w:rsidRPr="009B2BB5" w:rsidRDefault="00AD61D6" w:rsidP="00AD61D6">
            <w:pPr>
              <w:ind w:firstLine="567"/>
              <w:jc w:val="both"/>
              <w:rPr>
                <w:rFonts w:eastAsia="Times New Roman"/>
                <w:bCs/>
                <w:color w:val="000000"/>
                <w:sz w:val="22"/>
                <w:lang w:eastAsia="lv-LV"/>
              </w:rPr>
            </w:pPr>
            <w:r w:rsidRPr="00AD61D6">
              <w:rPr>
                <w:rFonts w:eastAsia="Times New Roman"/>
                <w:bCs/>
                <w:color w:val="000000"/>
                <w:sz w:val="22"/>
                <w:lang w:eastAsia="lv-LV"/>
              </w:rPr>
              <w:t xml:space="preserve">Konkurences padomes amatpersonu (darbinieku) mēnešalgu šīs institūcijas reglamentētajā kārtībā nosaka, ņemot vērā amata vērtību (atbildības līmeni un sarežģītību), konkrētās amatpersonas (darbinieka) individuālās kvalifikācijas un kompetenču novērtējumu, kā arī mēneša vidējās darba samaksas apmēru. Konkurences padomes amatpersonu (darbinieku) mēnešalga nedrīkst pārsniegt mēneša vidējās darba samaksas apmēru, kas noapaļots pilnos </w:t>
            </w:r>
            <w:r w:rsidRPr="00AD61D6">
              <w:rPr>
                <w:rFonts w:eastAsia="Times New Roman"/>
                <w:bCs/>
                <w:i/>
                <w:color w:val="000000"/>
                <w:sz w:val="22"/>
                <w:lang w:eastAsia="lv-LV"/>
              </w:rPr>
              <w:t>euro</w:t>
            </w:r>
            <w:r w:rsidRPr="00AD61D6">
              <w:rPr>
                <w:rFonts w:eastAsia="Times New Roman"/>
                <w:bCs/>
                <w:color w:val="000000"/>
                <w:sz w:val="22"/>
                <w:lang w:eastAsia="lv-LV"/>
              </w:rPr>
              <w:t xml:space="preserve"> un kam piemērots koeficients 4,05.”.</w:t>
            </w:r>
          </w:p>
        </w:tc>
        <w:tc>
          <w:tcPr>
            <w:tcW w:w="1418" w:type="dxa"/>
          </w:tcPr>
          <w:p w:rsidR="009B2BB5" w:rsidRPr="00CC4314" w:rsidRDefault="009B2BB5" w:rsidP="00CC4314">
            <w:pPr>
              <w:ind w:firstLine="567"/>
              <w:jc w:val="both"/>
              <w:rPr>
                <w:rFonts w:eastAsia="Times New Roman"/>
                <w:bCs/>
                <w:color w:val="000000"/>
                <w:sz w:val="22"/>
                <w:lang w:eastAsia="lv-LV"/>
              </w:rPr>
            </w:pPr>
          </w:p>
        </w:tc>
        <w:tc>
          <w:tcPr>
            <w:tcW w:w="1418" w:type="dxa"/>
          </w:tcPr>
          <w:p w:rsidR="009B2BB5" w:rsidRPr="00CC4314" w:rsidRDefault="009B2BB5" w:rsidP="00CC4314">
            <w:pPr>
              <w:ind w:firstLine="567"/>
              <w:jc w:val="both"/>
              <w:rPr>
                <w:rFonts w:eastAsia="Times New Roman"/>
                <w:bCs/>
                <w:color w:val="000000"/>
                <w:sz w:val="22"/>
                <w:lang w:eastAsia="lv-LV"/>
              </w:rPr>
            </w:pPr>
          </w:p>
        </w:tc>
      </w:tr>
      <w:tr w:rsidR="0095142A" w:rsidRPr="001B3F41" w:rsidTr="0095142A">
        <w:tc>
          <w:tcPr>
            <w:tcW w:w="3969" w:type="dxa"/>
            <w:shd w:val="clear" w:color="auto" w:fill="auto"/>
          </w:tcPr>
          <w:p w:rsidR="0095142A" w:rsidRPr="0021159A" w:rsidRDefault="0095142A" w:rsidP="0021159A">
            <w:pPr>
              <w:ind w:firstLine="567"/>
              <w:jc w:val="right"/>
              <w:rPr>
                <w:sz w:val="22"/>
              </w:rPr>
            </w:pPr>
            <w:r w:rsidRPr="0021159A">
              <w:rPr>
                <w:sz w:val="22"/>
              </w:rPr>
              <w:t xml:space="preserve">Valsts un pašvaldību institūciju amatpersonu un </w:t>
            </w:r>
            <w:r w:rsidRPr="0021159A">
              <w:rPr>
                <w:sz w:val="22"/>
              </w:rPr>
              <w:br/>
              <w:t xml:space="preserve">darbinieku atlīdzības likuma </w:t>
            </w:r>
            <w:r w:rsidRPr="0021159A">
              <w:rPr>
                <w:sz w:val="22"/>
              </w:rPr>
              <w:br/>
            </w:r>
            <w:bookmarkStart w:id="2" w:name="piel3"/>
            <w:bookmarkEnd w:id="2"/>
            <w:r w:rsidRPr="0021159A">
              <w:rPr>
                <w:sz w:val="22"/>
              </w:rPr>
              <w:t>3.pielikums</w:t>
            </w:r>
          </w:p>
          <w:p w:rsidR="0095142A" w:rsidRDefault="0095142A" w:rsidP="0021159A">
            <w:pPr>
              <w:ind w:firstLine="567"/>
              <w:jc w:val="center"/>
              <w:rPr>
                <w:b/>
                <w:sz w:val="22"/>
              </w:rPr>
            </w:pPr>
            <w:bookmarkStart w:id="3" w:name="606485"/>
            <w:bookmarkEnd w:id="3"/>
            <w:r w:rsidRPr="0021159A">
              <w:rPr>
                <w:b/>
                <w:sz w:val="22"/>
              </w:rPr>
              <w:t>Mēnešalgu grupas un to maksimālās mēnešalgas</w:t>
            </w:r>
          </w:p>
          <w:p w:rsidR="0095142A" w:rsidRDefault="0095142A" w:rsidP="0021159A">
            <w:pPr>
              <w:ind w:firstLine="567"/>
              <w:jc w:val="center"/>
              <w:rPr>
                <w:b/>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63"/>
              <w:gridCol w:w="363"/>
              <w:gridCol w:w="2711"/>
            </w:tblGrid>
            <w:tr w:rsidR="0095142A" w:rsidRPr="00D901D7" w:rsidTr="0095142A">
              <w:trPr>
                <w:tblCellSpacing w:w="15" w:type="dxa"/>
              </w:trPr>
              <w:tc>
                <w:tcPr>
                  <w:tcW w:w="611" w:type="dxa"/>
                  <w:tcBorders>
                    <w:top w:val="outset" w:sz="6" w:space="0" w:color="auto"/>
                    <w:left w:val="outset" w:sz="6" w:space="0" w:color="auto"/>
                    <w:bottom w:val="outset" w:sz="6" w:space="0" w:color="auto"/>
                    <w:right w:val="outset" w:sz="6" w:space="0" w:color="auto"/>
                  </w:tcBorders>
                  <w:vAlign w:val="center"/>
                  <w:hideMark/>
                </w:tcPr>
                <w:p w:rsidR="0095142A" w:rsidRPr="0095142A" w:rsidRDefault="0095142A" w:rsidP="00D901D7">
                  <w:pPr>
                    <w:spacing w:before="100" w:beforeAutospacing="1" w:after="100" w:afterAutospacing="1"/>
                    <w:jc w:val="center"/>
                    <w:rPr>
                      <w:rFonts w:eastAsia="Times New Roman"/>
                      <w:sz w:val="22"/>
                      <w:lang w:eastAsia="lv-LV"/>
                    </w:rPr>
                  </w:pPr>
                  <w:r w:rsidRPr="0095142A">
                    <w:rPr>
                      <w:rFonts w:eastAsia="Times New Roman"/>
                      <w:sz w:val="22"/>
                      <w:lang w:eastAsia="lv-LV"/>
                    </w:rPr>
                    <w:t>15.</w:t>
                  </w:r>
                </w:p>
              </w:tc>
              <w:tc>
                <w:tcPr>
                  <w:tcW w:w="329" w:type="dxa"/>
                  <w:tcBorders>
                    <w:top w:val="outset" w:sz="6" w:space="0" w:color="auto"/>
                    <w:left w:val="outset" w:sz="6" w:space="0" w:color="auto"/>
                    <w:bottom w:val="outset" w:sz="6" w:space="0" w:color="auto"/>
                    <w:right w:val="outset" w:sz="6" w:space="0" w:color="auto"/>
                  </w:tcBorders>
                  <w:vAlign w:val="center"/>
                  <w:hideMark/>
                </w:tcPr>
                <w:p w:rsidR="0095142A" w:rsidRPr="0095142A" w:rsidRDefault="0095142A" w:rsidP="00D901D7">
                  <w:pPr>
                    <w:spacing w:before="100" w:beforeAutospacing="1" w:after="100" w:afterAutospacing="1"/>
                    <w:jc w:val="center"/>
                    <w:rPr>
                      <w:rFonts w:eastAsia="Times New Roman"/>
                      <w:sz w:val="22"/>
                      <w:lang w:eastAsia="lv-LV"/>
                    </w:rPr>
                  </w:pPr>
                  <w:r w:rsidRPr="0095142A">
                    <w:rPr>
                      <w:rFonts w:eastAsia="Times New Roman"/>
                      <w:sz w:val="22"/>
                      <w:lang w:eastAsia="lv-LV"/>
                    </w:rPr>
                    <w:t>2</w:t>
                  </w:r>
                </w:p>
              </w:tc>
              <w:tc>
                <w:tcPr>
                  <w:tcW w:w="2635" w:type="dxa"/>
                  <w:tcBorders>
                    <w:top w:val="outset" w:sz="6" w:space="0" w:color="auto"/>
                    <w:left w:val="outset" w:sz="6" w:space="0" w:color="auto"/>
                    <w:bottom w:val="outset" w:sz="6" w:space="0" w:color="auto"/>
                    <w:right w:val="outset" w:sz="6" w:space="0" w:color="auto"/>
                  </w:tcBorders>
                  <w:vAlign w:val="center"/>
                  <w:hideMark/>
                </w:tcPr>
                <w:p w:rsidR="0095142A" w:rsidRPr="0095142A" w:rsidRDefault="0095142A" w:rsidP="00D901D7">
                  <w:pPr>
                    <w:spacing w:before="100" w:beforeAutospacing="1" w:after="100" w:afterAutospacing="1"/>
                    <w:jc w:val="center"/>
                    <w:rPr>
                      <w:rFonts w:eastAsia="Times New Roman"/>
                      <w:sz w:val="22"/>
                      <w:lang w:eastAsia="lv-LV"/>
                    </w:rPr>
                  </w:pPr>
                  <w:r w:rsidRPr="0095142A">
                    <w:rPr>
                      <w:rFonts w:eastAsia="Times New Roman"/>
                      <w:sz w:val="22"/>
                      <w:lang w:eastAsia="lv-LV"/>
                    </w:rPr>
                    <w:t>ne vairāk kā 511</w:t>
                  </w:r>
                </w:p>
              </w:tc>
            </w:tr>
            <w:tr w:rsidR="0095142A" w:rsidRPr="00D901D7" w:rsidTr="0095142A">
              <w:trPr>
                <w:tblCellSpacing w:w="15" w:type="dxa"/>
              </w:trPr>
              <w:tc>
                <w:tcPr>
                  <w:tcW w:w="611" w:type="dxa"/>
                  <w:tcBorders>
                    <w:top w:val="outset" w:sz="6" w:space="0" w:color="auto"/>
                    <w:left w:val="outset" w:sz="6" w:space="0" w:color="auto"/>
                    <w:bottom w:val="outset" w:sz="6" w:space="0" w:color="auto"/>
                    <w:right w:val="outset" w:sz="6" w:space="0" w:color="auto"/>
                  </w:tcBorders>
                  <w:vAlign w:val="center"/>
                  <w:hideMark/>
                </w:tcPr>
                <w:p w:rsidR="0095142A" w:rsidRPr="0095142A" w:rsidRDefault="0095142A" w:rsidP="00D901D7">
                  <w:pPr>
                    <w:spacing w:before="100" w:beforeAutospacing="1" w:after="100" w:afterAutospacing="1"/>
                    <w:jc w:val="center"/>
                    <w:rPr>
                      <w:rFonts w:eastAsia="Times New Roman"/>
                      <w:sz w:val="22"/>
                      <w:lang w:eastAsia="lv-LV"/>
                    </w:rPr>
                  </w:pPr>
                  <w:r w:rsidRPr="0095142A">
                    <w:rPr>
                      <w:rFonts w:eastAsia="Times New Roman"/>
                      <w:sz w:val="22"/>
                      <w:lang w:eastAsia="lv-LV"/>
                    </w:rPr>
                    <w:t>16.</w:t>
                  </w:r>
                </w:p>
              </w:tc>
              <w:tc>
                <w:tcPr>
                  <w:tcW w:w="329" w:type="dxa"/>
                  <w:tcBorders>
                    <w:top w:val="outset" w:sz="6" w:space="0" w:color="auto"/>
                    <w:left w:val="outset" w:sz="6" w:space="0" w:color="auto"/>
                    <w:bottom w:val="outset" w:sz="6" w:space="0" w:color="auto"/>
                    <w:right w:val="outset" w:sz="6" w:space="0" w:color="auto"/>
                  </w:tcBorders>
                  <w:vAlign w:val="center"/>
                  <w:hideMark/>
                </w:tcPr>
                <w:p w:rsidR="0095142A" w:rsidRPr="0095142A" w:rsidRDefault="0095142A" w:rsidP="00D901D7">
                  <w:pPr>
                    <w:spacing w:before="100" w:beforeAutospacing="1" w:after="100" w:afterAutospacing="1"/>
                    <w:jc w:val="center"/>
                    <w:rPr>
                      <w:rFonts w:eastAsia="Times New Roman"/>
                      <w:sz w:val="22"/>
                      <w:lang w:eastAsia="lv-LV"/>
                    </w:rPr>
                  </w:pPr>
                  <w:r w:rsidRPr="0095142A">
                    <w:rPr>
                      <w:rFonts w:eastAsia="Times New Roman"/>
                      <w:sz w:val="22"/>
                      <w:lang w:eastAsia="lv-LV"/>
                    </w:rPr>
                    <w:t>1</w:t>
                  </w:r>
                </w:p>
              </w:tc>
              <w:tc>
                <w:tcPr>
                  <w:tcW w:w="2635" w:type="dxa"/>
                  <w:tcBorders>
                    <w:top w:val="outset" w:sz="6" w:space="0" w:color="auto"/>
                    <w:left w:val="outset" w:sz="6" w:space="0" w:color="auto"/>
                    <w:bottom w:val="outset" w:sz="6" w:space="0" w:color="auto"/>
                    <w:right w:val="outset" w:sz="6" w:space="0" w:color="auto"/>
                  </w:tcBorders>
                  <w:vAlign w:val="center"/>
                  <w:hideMark/>
                </w:tcPr>
                <w:p w:rsidR="0095142A" w:rsidRPr="0095142A" w:rsidRDefault="0095142A" w:rsidP="00D901D7">
                  <w:pPr>
                    <w:spacing w:before="100" w:beforeAutospacing="1" w:after="100" w:afterAutospacing="1"/>
                    <w:jc w:val="center"/>
                    <w:rPr>
                      <w:rFonts w:eastAsia="Times New Roman"/>
                      <w:sz w:val="22"/>
                      <w:lang w:eastAsia="lv-LV"/>
                    </w:rPr>
                  </w:pPr>
                  <w:r w:rsidRPr="0095142A">
                    <w:rPr>
                      <w:rFonts w:eastAsia="Times New Roman"/>
                      <w:sz w:val="22"/>
                      <w:lang w:eastAsia="lv-LV"/>
                    </w:rPr>
                    <w:t>ne vairāk kā 430</w:t>
                  </w:r>
                </w:p>
              </w:tc>
            </w:tr>
          </w:tbl>
          <w:p w:rsidR="0095142A" w:rsidRPr="00DC2434" w:rsidRDefault="0095142A" w:rsidP="000804CF">
            <w:pPr>
              <w:rPr>
                <w:sz w:val="22"/>
              </w:rPr>
            </w:pPr>
          </w:p>
        </w:tc>
        <w:tc>
          <w:tcPr>
            <w:tcW w:w="3969" w:type="dxa"/>
            <w:shd w:val="clear" w:color="auto" w:fill="auto"/>
          </w:tcPr>
          <w:p w:rsidR="0095142A" w:rsidRPr="00CC4314" w:rsidRDefault="0095142A" w:rsidP="00CC4314">
            <w:pPr>
              <w:ind w:firstLine="567"/>
              <w:jc w:val="both"/>
              <w:rPr>
                <w:rFonts w:eastAsia="Times New Roman"/>
                <w:color w:val="000000"/>
                <w:sz w:val="22"/>
                <w:lang w:eastAsia="lv-LV"/>
              </w:rPr>
            </w:pPr>
            <w:r w:rsidRPr="00CC4314">
              <w:rPr>
                <w:rFonts w:eastAsia="Times New Roman"/>
                <w:color w:val="000000"/>
                <w:sz w:val="22"/>
                <w:lang w:eastAsia="lv-LV"/>
              </w:rPr>
              <w:t>3. Izteikt 3. pielikuma 15. un 16. punktu šādā redakcijā:</w:t>
            </w:r>
          </w:p>
          <w:p w:rsidR="0095142A" w:rsidRPr="00CC4314" w:rsidRDefault="0095142A" w:rsidP="00CC4314">
            <w:pPr>
              <w:ind w:firstLine="567"/>
              <w:jc w:val="both"/>
              <w:rPr>
                <w:rFonts w:eastAsia="Times New Roman"/>
                <w:color w:val="000000"/>
                <w:sz w:val="22"/>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44"/>
              <w:gridCol w:w="1150"/>
              <w:gridCol w:w="2143"/>
            </w:tblGrid>
            <w:tr w:rsidR="0095142A" w:rsidRPr="00CC4314" w:rsidTr="0095142A">
              <w:tc>
                <w:tcPr>
                  <w:tcW w:w="594" w:type="pct"/>
                  <w:tcBorders>
                    <w:top w:val="outset" w:sz="6" w:space="0" w:color="414142"/>
                    <w:left w:val="outset" w:sz="6" w:space="0" w:color="414142"/>
                    <w:bottom w:val="outset" w:sz="6" w:space="0" w:color="414142"/>
                    <w:right w:val="outset" w:sz="6" w:space="0" w:color="414142"/>
                  </w:tcBorders>
                </w:tcPr>
                <w:p w:rsidR="0095142A" w:rsidRPr="00CC4314" w:rsidRDefault="0095142A" w:rsidP="00CC4314">
                  <w:pPr>
                    <w:ind w:firstLine="567"/>
                    <w:jc w:val="both"/>
                    <w:rPr>
                      <w:rFonts w:eastAsia="Times New Roman"/>
                      <w:color w:val="000000"/>
                      <w:sz w:val="22"/>
                      <w:lang w:eastAsia="lv-LV"/>
                    </w:rPr>
                  </w:pPr>
                  <w:r w:rsidRPr="00CC4314">
                    <w:rPr>
                      <w:rFonts w:eastAsia="Times New Roman"/>
                      <w:color w:val="000000"/>
                      <w:sz w:val="22"/>
                      <w:lang w:eastAsia="lv-LV"/>
                    </w:rPr>
                    <w:t>"15.</w:t>
                  </w:r>
                </w:p>
              </w:tc>
              <w:tc>
                <w:tcPr>
                  <w:tcW w:w="1539" w:type="pct"/>
                  <w:tcBorders>
                    <w:top w:val="outset" w:sz="6" w:space="0" w:color="414142"/>
                    <w:left w:val="outset" w:sz="6" w:space="0" w:color="414142"/>
                    <w:bottom w:val="outset" w:sz="6" w:space="0" w:color="414142"/>
                    <w:right w:val="outset" w:sz="6" w:space="0" w:color="414142"/>
                  </w:tcBorders>
                  <w:vAlign w:val="bottom"/>
                  <w:hideMark/>
                </w:tcPr>
                <w:p w:rsidR="0095142A" w:rsidRPr="00CC4314" w:rsidRDefault="0095142A" w:rsidP="00CC4314">
                  <w:pPr>
                    <w:ind w:firstLine="567"/>
                    <w:jc w:val="both"/>
                    <w:rPr>
                      <w:rFonts w:eastAsia="Times New Roman"/>
                      <w:color w:val="000000"/>
                      <w:sz w:val="22"/>
                      <w:lang w:eastAsia="lv-LV"/>
                    </w:rPr>
                  </w:pPr>
                  <w:r w:rsidRPr="00CC4314">
                    <w:rPr>
                      <w:rFonts w:eastAsia="Times New Roman"/>
                      <w:color w:val="000000"/>
                      <w:sz w:val="22"/>
                      <w:lang w:eastAsia="lv-LV"/>
                    </w:rPr>
                    <w:t>2</w:t>
                  </w:r>
                </w:p>
              </w:tc>
              <w:tc>
                <w:tcPr>
                  <w:tcW w:w="2867" w:type="pct"/>
                  <w:tcBorders>
                    <w:top w:val="outset" w:sz="6" w:space="0" w:color="414142"/>
                    <w:left w:val="outset" w:sz="6" w:space="0" w:color="414142"/>
                    <w:bottom w:val="outset" w:sz="6" w:space="0" w:color="414142"/>
                    <w:right w:val="outset" w:sz="6" w:space="0" w:color="414142"/>
                  </w:tcBorders>
                  <w:vAlign w:val="bottom"/>
                  <w:hideMark/>
                </w:tcPr>
                <w:p w:rsidR="0095142A" w:rsidRPr="00CC4314" w:rsidRDefault="0095142A" w:rsidP="00CC4314">
                  <w:pPr>
                    <w:ind w:firstLine="567"/>
                    <w:jc w:val="both"/>
                    <w:rPr>
                      <w:rFonts w:eastAsia="Times New Roman"/>
                      <w:color w:val="000000"/>
                      <w:sz w:val="22"/>
                      <w:lang w:eastAsia="lv-LV"/>
                    </w:rPr>
                  </w:pPr>
                  <w:r w:rsidRPr="00CC4314">
                    <w:rPr>
                      <w:rFonts w:eastAsia="Times New Roman"/>
                      <w:color w:val="000000"/>
                      <w:sz w:val="22"/>
                      <w:lang w:eastAsia="lv-LV"/>
                    </w:rPr>
                    <w:t>ne vairāk kā 530</w:t>
                  </w:r>
                </w:p>
              </w:tc>
            </w:tr>
            <w:tr w:rsidR="0095142A" w:rsidRPr="00CC4314" w:rsidTr="0095142A">
              <w:tc>
                <w:tcPr>
                  <w:tcW w:w="594" w:type="pct"/>
                  <w:tcBorders>
                    <w:top w:val="outset" w:sz="6" w:space="0" w:color="414142"/>
                    <w:left w:val="outset" w:sz="6" w:space="0" w:color="414142"/>
                    <w:bottom w:val="outset" w:sz="6" w:space="0" w:color="414142"/>
                    <w:right w:val="outset" w:sz="6" w:space="0" w:color="414142"/>
                  </w:tcBorders>
                </w:tcPr>
                <w:p w:rsidR="0095142A" w:rsidRPr="00CC4314" w:rsidRDefault="0095142A" w:rsidP="00CC4314">
                  <w:pPr>
                    <w:ind w:firstLine="567"/>
                    <w:jc w:val="both"/>
                    <w:rPr>
                      <w:rFonts w:eastAsia="Times New Roman"/>
                      <w:color w:val="000000"/>
                      <w:sz w:val="22"/>
                      <w:lang w:eastAsia="lv-LV"/>
                    </w:rPr>
                  </w:pPr>
                  <w:r w:rsidRPr="00CC4314">
                    <w:rPr>
                      <w:rFonts w:eastAsia="Times New Roman"/>
                      <w:color w:val="000000"/>
                      <w:sz w:val="22"/>
                      <w:lang w:eastAsia="lv-LV"/>
                    </w:rPr>
                    <w:t>16.</w:t>
                  </w:r>
                </w:p>
              </w:tc>
              <w:tc>
                <w:tcPr>
                  <w:tcW w:w="1539" w:type="pct"/>
                  <w:tcBorders>
                    <w:top w:val="outset" w:sz="6" w:space="0" w:color="414142"/>
                    <w:left w:val="outset" w:sz="6" w:space="0" w:color="414142"/>
                    <w:bottom w:val="outset" w:sz="6" w:space="0" w:color="414142"/>
                    <w:right w:val="outset" w:sz="6" w:space="0" w:color="414142"/>
                  </w:tcBorders>
                  <w:vAlign w:val="bottom"/>
                </w:tcPr>
                <w:p w:rsidR="0095142A" w:rsidRPr="00CC4314" w:rsidRDefault="0095142A" w:rsidP="00CC4314">
                  <w:pPr>
                    <w:ind w:firstLine="567"/>
                    <w:jc w:val="both"/>
                    <w:rPr>
                      <w:rFonts w:eastAsia="Times New Roman"/>
                      <w:color w:val="000000"/>
                      <w:sz w:val="22"/>
                      <w:lang w:eastAsia="lv-LV"/>
                    </w:rPr>
                  </w:pPr>
                  <w:r w:rsidRPr="00CC4314">
                    <w:rPr>
                      <w:rFonts w:eastAsia="Times New Roman"/>
                      <w:color w:val="000000"/>
                      <w:sz w:val="22"/>
                      <w:lang w:eastAsia="lv-LV"/>
                    </w:rPr>
                    <w:t>1</w:t>
                  </w:r>
                </w:p>
              </w:tc>
              <w:tc>
                <w:tcPr>
                  <w:tcW w:w="2867" w:type="pct"/>
                  <w:tcBorders>
                    <w:top w:val="outset" w:sz="6" w:space="0" w:color="414142"/>
                    <w:left w:val="outset" w:sz="6" w:space="0" w:color="414142"/>
                    <w:bottom w:val="outset" w:sz="6" w:space="0" w:color="414142"/>
                    <w:right w:val="outset" w:sz="6" w:space="0" w:color="414142"/>
                  </w:tcBorders>
                  <w:vAlign w:val="bottom"/>
                </w:tcPr>
                <w:p w:rsidR="0095142A" w:rsidRPr="00CC4314" w:rsidRDefault="0095142A" w:rsidP="00CC4314">
                  <w:pPr>
                    <w:ind w:firstLine="567"/>
                    <w:jc w:val="both"/>
                    <w:rPr>
                      <w:rFonts w:eastAsia="Times New Roman"/>
                      <w:color w:val="000000"/>
                      <w:sz w:val="22"/>
                      <w:lang w:eastAsia="lv-LV"/>
                    </w:rPr>
                  </w:pPr>
                  <w:r w:rsidRPr="00CC4314">
                    <w:rPr>
                      <w:rFonts w:eastAsia="Times New Roman"/>
                      <w:color w:val="000000"/>
                      <w:sz w:val="22"/>
                      <w:lang w:eastAsia="lv-LV"/>
                    </w:rPr>
                    <w:t>ne vairāk kā 450"</w:t>
                  </w:r>
                </w:p>
              </w:tc>
            </w:tr>
          </w:tbl>
          <w:p w:rsidR="0095142A" w:rsidRDefault="0095142A" w:rsidP="001A7561">
            <w:pPr>
              <w:ind w:firstLine="567"/>
              <w:jc w:val="both"/>
              <w:rPr>
                <w:rFonts w:eastAsia="Times New Roman"/>
                <w:color w:val="000000"/>
                <w:sz w:val="22"/>
                <w:lang w:eastAsia="lv-LV"/>
              </w:rPr>
            </w:pPr>
          </w:p>
          <w:p w:rsidR="0095142A" w:rsidRDefault="0095142A" w:rsidP="001A7561">
            <w:pPr>
              <w:ind w:firstLine="567"/>
              <w:jc w:val="both"/>
              <w:rPr>
                <w:rFonts w:eastAsia="Times New Roman"/>
                <w:color w:val="000000"/>
                <w:sz w:val="22"/>
                <w:lang w:eastAsia="lv-LV"/>
              </w:rPr>
            </w:pPr>
          </w:p>
          <w:p w:rsidR="0095142A" w:rsidRDefault="0095142A" w:rsidP="001A7561">
            <w:pPr>
              <w:ind w:firstLine="567"/>
              <w:jc w:val="both"/>
              <w:rPr>
                <w:rFonts w:eastAsia="Times New Roman"/>
                <w:color w:val="000000"/>
                <w:sz w:val="22"/>
                <w:lang w:eastAsia="lv-LV"/>
              </w:rPr>
            </w:pPr>
          </w:p>
          <w:p w:rsidR="0095142A" w:rsidRDefault="0095142A" w:rsidP="001A7561">
            <w:pPr>
              <w:ind w:firstLine="567"/>
              <w:jc w:val="both"/>
              <w:rPr>
                <w:rFonts w:eastAsia="Times New Roman"/>
                <w:color w:val="000000"/>
                <w:sz w:val="22"/>
                <w:lang w:eastAsia="lv-LV"/>
              </w:rPr>
            </w:pPr>
          </w:p>
          <w:p w:rsidR="0095142A" w:rsidRPr="00F5367D" w:rsidRDefault="0095142A" w:rsidP="001A7561">
            <w:pPr>
              <w:ind w:firstLine="567"/>
              <w:jc w:val="both"/>
              <w:rPr>
                <w:rFonts w:eastAsia="Times New Roman"/>
                <w:color w:val="000000"/>
                <w:sz w:val="22"/>
                <w:lang w:eastAsia="lv-LV"/>
              </w:rPr>
            </w:pPr>
          </w:p>
        </w:tc>
        <w:tc>
          <w:tcPr>
            <w:tcW w:w="567" w:type="dxa"/>
          </w:tcPr>
          <w:p w:rsidR="0095142A" w:rsidRPr="0095142A" w:rsidRDefault="0095142A" w:rsidP="0095142A">
            <w:pPr>
              <w:jc w:val="center"/>
              <w:rPr>
                <w:rFonts w:eastAsia="Times New Roman"/>
                <w:b/>
                <w:color w:val="000000"/>
                <w:sz w:val="22"/>
                <w:lang w:eastAsia="lv-LV"/>
              </w:rPr>
            </w:pPr>
          </w:p>
        </w:tc>
        <w:tc>
          <w:tcPr>
            <w:tcW w:w="3969" w:type="dxa"/>
          </w:tcPr>
          <w:p w:rsidR="0095142A" w:rsidRPr="00CC4314" w:rsidRDefault="0095142A" w:rsidP="00CC4314">
            <w:pPr>
              <w:ind w:firstLine="567"/>
              <w:jc w:val="both"/>
              <w:rPr>
                <w:rFonts w:eastAsia="Times New Roman"/>
                <w:color w:val="000000"/>
                <w:sz w:val="22"/>
                <w:lang w:eastAsia="lv-LV"/>
              </w:rPr>
            </w:pPr>
          </w:p>
        </w:tc>
        <w:tc>
          <w:tcPr>
            <w:tcW w:w="1418" w:type="dxa"/>
          </w:tcPr>
          <w:p w:rsidR="0095142A" w:rsidRPr="00CC4314" w:rsidRDefault="0095142A" w:rsidP="00CC4314">
            <w:pPr>
              <w:ind w:firstLine="567"/>
              <w:jc w:val="both"/>
              <w:rPr>
                <w:rFonts w:eastAsia="Times New Roman"/>
                <w:color w:val="000000"/>
                <w:sz w:val="22"/>
                <w:lang w:eastAsia="lv-LV"/>
              </w:rPr>
            </w:pPr>
          </w:p>
        </w:tc>
        <w:tc>
          <w:tcPr>
            <w:tcW w:w="1418" w:type="dxa"/>
          </w:tcPr>
          <w:p w:rsidR="0095142A" w:rsidRPr="00CC4314" w:rsidRDefault="0095142A" w:rsidP="00CC4314">
            <w:pPr>
              <w:ind w:firstLine="567"/>
              <w:jc w:val="both"/>
              <w:rPr>
                <w:rFonts w:eastAsia="Times New Roman"/>
                <w:color w:val="000000"/>
                <w:sz w:val="22"/>
                <w:lang w:eastAsia="lv-LV"/>
              </w:rPr>
            </w:pPr>
          </w:p>
        </w:tc>
      </w:tr>
      <w:tr w:rsidR="0095142A" w:rsidRPr="001B3F41" w:rsidTr="0095142A">
        <w:tc>
          <w:tcPr>
            <w:tcW w:w="3969" w:type="dxa"/>
            <w:shd w:val="clear" w:color="auto" w:fill="auto"/>
          </w:tcPr>
          <w:p w:rsidR="0095142A" w:rsidRPr="00942AC6" w:rsidRDefault="0095142A" w:rsidP="00942AC6">
            <w:pPr>
              <w:ind w:firstLine="567"/>
              <w:jc w:val="right"/>
              <w:rPr>
                <w:sz w:val="22"/>
              </w:rPr>
            </w:pPr>
            <w:r w:rsidRPr="00942AC6">
              <w:rPr>
                <w:sz w:val="22"/>
              </w:rPr>
              <w:t xml:space="preserve">Valsts un pašvaldību institūciju amatpersonu un </w:t>
            </w:r>
            <w:r w:rsidRPr="00942AC6">
              <w:rPr>
                <w:sz w:val="22"/>
              </w:rPr>
              <w:br/>
              <w:t xml:space="preserve">darbinieku atlīdzības likuma </w:t>
            </w:r>
            <w:r w:rsidRPr="00942AC6">
              <w:rPr>
                <w:sz w:val="22"/>
              </w:rPr>
              <w:br/>
            </w:r>
            <w:bookmarkStart w:id="4" w:name="piel4"/>
            <w:bookmarkEnd w:id="4"/>
            <w:r w:rsidRPr="00942AC6">
              <w:rPr>
                <w:sz w:val="22"/>
              </w:rPr>
              <w:t>4.pielikums</w:t>
            </w:r>
          </w:p>
          <w:p w:rsidR="0095142A" w:rsidRDefault="0095142A" w:rsidP="00942AC6">
            <w:pPr>
              <w:ind w:firstLine="567"/>
              <w:jc w:val="center"/>
              <w:rPr>
                <w:b/>
                <w:sz w:val="22"/>
              </w:rPr>
            </w:pPr>
            <w:bookmarkStart w:id="5" w:name="600777"/>
            <w:bookmarkEnd w:id="5"/>
            <w:r w:rsidRPr="00942AC6">
              <w:rPr>
                <w:b/>
                <w:sz w:val="22"/>
              </w:rPr>
              <w:t>Valsts ieņēmumu dienesta amatpersonu (darbinieku) maksimālā mēnešalga</w:t>
            </w:r>
          </w:p>
          <w:p w:rsidR="0095142A" w:rsidRDefault="0095142A" w:rsidP="00942AC6">
            <w:pPr>
              <w:ind w:firstLine="567"/>
              <w:jc w:val="center"/>
              <w:rPr>
                <w:b/>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0"/>
              <w:gridCol w:w="871"/>
              <w:gridCol w:w="2456"/>
            </w:tblGrid>
            <w:tr w:rsidR="0095142A" w:rsidRPr="00942AC6" w:rsidTr="0095142A">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95142A" w:rsidRPr="0095142A" w:rsidRDefault="0095142A" w:rsidP="00942AC6">
                  <w:pPr>
                    <w:jc w:val="center"/>
                    <w:rPr>
                      <w:rFonts w:eastAsia="Times New Roman"/>
                      <w:sz w:val="22"/>
                      <w:lang w:eastAsia="lv-LV"/>
                    </w:rPr>
                  </w:pPr>
                  <w:r w:rsidRPr="0095142A">
                    <w:rPr>
                      <w:rFonts w:eastAsia="Times New Roman"/>
                      <w:sz w:val="22"/>
                      <w:lang w:eastAsia="lv-LV"/>
                    </w:rPr>
                    <w:t>16.</w:t>
                  </w:r>
                </w:p>
              </w:tc>
              <w:tc>
                <w:tcPr>
                  <w:tcW w:w="1150" w:type="pct"/>
                  <w:tcBorders>
                    <w:top w:val="outset" w:sz="6" w:space="0" w:color="auto"/>
                    <w:left w:val="outset" w:sz="6" w:space="0" w:color="auto"/>
                    <w:bottom w:val="outset" w:sz="6" w:space="0" w:color="auto"/>
                    <w:right w:val="outset" w:sz="6" w:space="0" w:color="auto"/>
                  </w:tcBorders>
                  <w:vAlign w:val="center"/>
                  <w:hideMark/>
                </w:tcPr>
                <w:p w:rsidR="0095142A" w:rsidRPr="0095142A" w:rsidRDefault="0095142A" w:rsidP="00942AC6">
                  <w:pPr>
                    <w:jc w:val="center"/>
                    <w:rPr>
                      <w:rFonts w:eastAsia="Times New Roman"/>
                      <w:sz w:val="22"/>
                      <w:lang w:eastAsia="lv-LV"/>
                    </w:rPr>
                  </w:pPr>
                  <w:r w:rsidRPr="0095142A">
                    <w:rPr>
                      <w:rFonts w:eastAsia="Times New Roman"/>
                      <w:sz w:val="22"/>
                      <w:lang w:eastAsia="lv-LV"/>
                    </w:rPr>
                    <w:t>1</w:t>
                  </w:r>
                </w:p>
              </w:tc>
              <w:tc>
                <w:tcPr>
                  <w:tcW w:w="3300" w:type="pct"/>
                  <w:tcBorders>
                    <w:top w:val="outset" w:sz="6" w:space="0" w:color="auto"/>
                    <w:left w:val="outset" w:sz="6" w:space="0" w:color="auto"/>
                    <w:bottom w:val="outset" w:sz="6" w:space="0" w:color="auto"/>
                    <w:right w:val="outset" w:sz="6" w:space="0" w:color="auto"/>
                  </w:tcBorders>
                  <w:vAlign w:val="center"/>
                  <w:hideMark/>
                </w:tcPr>
                <w:p w:rsidR="0095142A" w:rsidRPr="0095142A" w:rsidRDefault="0095142A" w:rsidP="00942AC6">
                  <w:pPr>
                    <w:jc w:val="center"/>
                    <w:rPr>
                      <w:rFonts w:eastAsia="Times New Roman"/>
                      <w:sz w:val="22"/>
                      <w:lang w:eastAsia="lv-LV"/>
                    </w:rPr>
                  </w:pPr>
                  <w:r w:rsidRPr="0095142A">
                    <w:rPr>
                      <w:rFonts w:eastAsia="Times New Roman"/>
                      <w:sz w:val="22"/>
                      <w:lang w:eastAsia="lv-LV"/>
                    </w:rPr>
                    <w:t>ne vairāk kā 430</w:t>
                  </w:r>
                </w:p>
              </w:tc>
            </w:tr>
          </w:tbl>
          <w:p w:rsidR="0095142A" w:rsidRPr="009A3D9C" w:rsidRDefault="0095142A" w:rsidP="00942AC6">
            <w:pPr>
              <w:rPr>
                <w:sz w:val="22"/>
              </w:rPr>
            </w:pPr>
          </w:p>
        </w:tc>
        <w:tc>
          <w:tcPr>
            <w:tcW w:w="3969" w:type="dxa"/>
            <w:shd w:val="clear" w:color="auto" w:fill="auto"/>
          </w:tcPr>
          <w:p w:rsidR="0095142A" w:rsidRPr="00CC4314" w:rsidRDefault="0095142A" w:rsidP="00CC4314">
            <w:pPr>
              <w:ind w:firstLine="567"/>
              <w:jc w:val="both"/>
              <w:rPr>
                <w:rFonts w:eastAsia="Times New Roman"/>
                <w:color w:val="000000"/>
                <w:sz w:val="22"/>
                <w:lang w:eastAsia="lv-LV"/>
              </w:rPr>
            </w:pPr>
            <w:r w:rsidRPr="00CC4314">
              <w:rPr>
                <w:rFonts w:eastAsia="Times New Roman"/>
                <w:color w:val="000000"/>
                <w:sz w:val="22"/>
                <w:lang w:eastAsia="lv-LV"/>
              </w:rPr>
              <w:t>4. Izteikt 4. pielikuma 16. punktu šādā redakcijā:</w:t>
            </w:r>
          </w:p>
          <w:p w:rsidR="0095142A" w:rsidRPr="00CC4314" w:rsidRDefault="0095142A" w:rsidP="00CC4314">
            <w:pPr>
              <w:ind w:firstLine="567"/>
              <w:jc w:val="both"/>
              <w:rPr>
                <w:rFonts w:eastAsia="Times New Roman"/>
                <w:color w:val="000000"/>
                <w:sz w:val="22"/>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44"/>
              <w:gridCol w:w="1150"/>
              <w:gridCol w:w="2143"/>
            </w:tblGrid>
            <w:tr w:rsidR="0095142A" w:rsidRPr="00CC4314" w:rsidTr="0095142A">
              <w:tc>
                <w:tcPr>
                  <w:tcW w:w="594" w:type="pct"/>
                  <w:tcBorders>
                    <w:top w:val="outset" w:sz="6" w:space="0" w:color="414142"/>
                    <w:left w:val="outset" w:sz="6" w:space="0" w:color="414142"/>
                    <w:bottom w:val="outset" w:sz="6" w:space="0" w:color="414142"/>
                    <w:right w:val="outset" w:sz="6" w:space="0" w:color="414142"/>
                  </w:tcBorders>
                </w:tcPr>
                <w:p w:rsidR="0095142A" w:rsidRPr="00CC4314" w:rsidRDefault="0095142A" w:rsidP="00CC4314">
                  <w:pPr>
                    <w:ind w:firstLine="567"/>
                    <w:jc w:val="both"/>
                    <w:rPr>
                      <w:rFonts w:eastAsia="Times New Roman"/>
                      <w:color w:val="000000"/>
                      <w:sz w:val="22"/>
                      <w:lang w:eastAsia="lv-LV"/>
                    </w:rPr>
                  </w:pPr>
                  <w:r w:rsidRPr="00CC4314">
                    <w:rPr>
                      <w:rFonts w:eastAsia="Times New Roman"/>
                      <w:color w:val="000000"/>
                      <w:sz w:val="22"/>
                      <w:lang w:eastAsia="lv-LV"/>
                    </w:rPr>
                    <w:t>"16.</w:t>
                  </w:r>
                </w:p>
              </w:tc>
              <w:tc>
                <w:tcPr>
                  <w:tcW w:w="1539" w:type="pct"/>
                  <w:tcBorders>
                    <w:top w:val="outset" w:sz="6" w:space="0" w:color="414142"/>
                    <w:left w:val="outset" w:sz="6" w:space="0" w:color="414142"/>
                    <w:bottom w:val="outset" w:sz="6" w:space="0" w:color="414142"/>
                    <w:right w:val="outset" w:sz="6" w:space="0" w:color="414142"/>
                  </w:tcBorders>
                  <w:vAlign w:val="bottom"/>
                </w:tcPr>
                <w:p w:rsidR="0095142A" w:rsidRPr="00CC4314" w:rsidRDefault="0095142A" w:rsidP="00CC4314">
                  <w:pPr>
                    <w:ind w:firstLine="567"/>
                    <w:jc w:val="both"/>
                    <w:rPr>
                      <w:rFonts w:eastAsia="Times New Roman"/>
                      <w:color w:val="000000"/>
                      <w:sz w:val="22"/>
                      <w:lang w:eastAsia="lv-LV"/>
                    </w:rPr>
                  </w:pPr>
                  <w:r w:rsidRPr="00CC4314">
                    <w:rPr>
                      <w:rFonts w:eastAsia="Times New Roman"/>
                      <w:color w:val="000000"/>
                      <w:sz w:val="22"/>
                      <w:lang w:eastAsia="lv-LV"/>
                    </w:rPr>
                    <w:t>1</w:t>
                  </w:r>
                </w:p>
              </w:tc>
              <w:tc>
                <w:tcPr>
                  <w:tcW w:w="2867" w:type="pct"/>
                  <w:tcBorders>
                    <w:top w:val="outset" w:sz="6" w:space="0" w:color="414142"/>
                    <w:left w:val="outset" w:sz="6" w:space="0" w:color="414142"/>
                    <w:bottom w:val="outset" w:sz="6" w:space="0" w:color="414142"/>
                    <w:right w:val="outset" w:sz="6" w:space="0" w:color="414142"/>
                  </w:tcBorders>
                  <w:vAlign w:val="bottom"/>
                </w:tcPr>
                <w:p w:rsidR="0095142A" w:rsidRPr="00CC4314" w:rsidRDefault="0095142A" w:rsidP="00CC4314">
                  <w:pPr>
                    <w:ind w:firstLine="567"/>
                    <w:jc w:val="both"/>
                    <w:rPr>
                      <w:rFonts w:eastAsia="Times New Roman"/>
                      <w:color w:val="000000"/>
                      <w:sz w:val="22"/>
                      <w:lang w:eastAsia="lv-LV"/>
                    </w:rPr>
                  </w:pPr>
                  <w:r w:rsidRPr="00CC4314">
                    <w:rPr>
                      <w:rFonts w:eastAsia="Times New Roman"/>
                      <w:color w:val="000000"/>
                      <w:sz w:val="22"/>
                      <w:lang w:eastAsia="lv-LV"/>
                    </w:rPr>
                    <w:t>ne vairāk kā 450"</w:t>
                  </w:r>
                </w:p>
              </w:tc>
            </w:tr>
          </w:tbl>
          <w:p w:rsidR="0095142A" w:rsidRPr="00F5367D" w:rsidRDefault="0095142A" w:rsidP="005012EB">
            <w:pPr>
              <w:ind w:firstLine="567"/>
              <w:jc w:val="both"/>
              <w:rPr>
                <w:rFonts w:eastAsia="Times New Roman"/>
                <w:color w:val="000000"/>
                <w:sz w:val="22"/>
                <w:lang w:eastAsia="lv-LV"/>
              </w:rPr>
            </w:pPr>
          </w:p>
        </w:tc>
        <w:tc>
          <w:tcPr>
            <w:tcW w:w="567" w:type="dxa"/>
          </w:tcPr>
          <w:p w:rsidR="0095142A" w:rsidRPr="0095142A" w:rsidRDefault="0095142A" w:rsidP="0095142A">
            <w:pPr>
              <w:jc w:val="center"/>
              <w:rPr>
                <w:rFonts w:eastAsia="Times New Roman"/>
                <w:b/>
                <w:color w:val="000000"/>
                <w:sz w:val="22"/>
                <w:lang w:eastAsia="lv-LV"/>
              </w:rPr>
            </w:pPr>
          </w:p>
        </w:tc>
        <w:tc>
          <w:tcPr>
            <w:tcW w:w="3969" w:type="dxa"/>
          </w:tcPr>
          <w:p w:rsidR="0095142A" w:rsidRPr="00CC4314" w:rsidRDefault="0095142A" w:rsidP="00CC4314">
            <w:pPr>
              <w:ind w:firstLine="567"/>
              <w:jc w:val="both"/>
              <w:rPr>
                <w:rFonts w:eastAsia="Times New Roman"/>
                <w:color w:val="000000"/>
                <w:sz w:val="22"/>
                <w:lang w:eastAsia="lv-LV"/>
              </w:rPr>
            </w:pPr>
          </w:p>
        </w:tc>
        <w:tc>
          <w:tcPr>
            <w:tcW w:w="1418" w:type="dxa"/>
          </w:tcPr>
          <w:p w:rsidR="0095142A" w:rsidRPr="00CC4314" w:rsidRDefault="0095142A" w:rsidP="00CC4314">
            <w:pPr>
              <w:ind w:firstLine="567"/>
              <w:jc w:val="both"/>
              <w:rPr>
                <w:rFonts w:eastAsia="Times New Roman"/>
                <w:color w:val="000000"/>
                <w:sz w:val="22"/>
                <w:lang w:eastAsia="lv-LV"/>
              </w:rPr>
            </w:pPr>
          </w:p>
        </w:tc>
        <w:tc>
          <w:tcPr>
            <w:tcW w:w="1418" w:type="dxa"/>
          </w:tcPr>
          <w:p w:rsidR="0095142A" w:rsidRPr="00CC4314" w:rsidRDefault="0095142A" w:rsidP="00CC4314">
            <w:pPr>
              <w:ind w:firstLine="567"/>
              <w:jc w:val="both"/>
              <w:rPr>
                <w:rFonts w:eastAsia="Times New Roman"/>
                <w:color w:val="000000"/>
                <w:sz w:val="22"/>
                <w:lang w:eastAsia="lv-LV"/>
              </w:rPr>
            </w:pPr>
          </w:p>
        </w:tc>
      </w:tr>
      <w:tr w:rsidR="0095142A" w:rsidRPr="001B3F41" w:rsidTr="0095142A">
        <w:tc>
          <w:tcPr>
            <w:tcW w:w="3969" w:type="dxa"/>
            <w:shd w:val="clear" w:color="auto" w:fill="auto"/>
          </w:tcPr>
          <w:p w:rsidR="0095142A" w:rsidRPr="00536B9D" w:rsidRDefault="0095142A" w:rsidP="005012EB">
            <w:pPr>
              <w:ind w:firstLine="567"/>
              <w:jc w:val="both"/>
              <w:rPr>
                <w:b/>
                <w:sz w:val="22"/>
              </w:rPr>
            </w:pPr>
          </w:p>
        </w:tc>
        <w:tc>
          <w:tcPr>
            <w:tcW w:w="3969" w:type="dxa"/>
            <w:shd w:val="clear" w:color="auto" w:fill="auto"/>
          </w:tcPr>
          <w:p w:rsidR="0095142A" w:rsidRPr="00F5367D" w:rsidRDefault="0095142A" w:rsidP="00EF0958">
            <w:pPr>
              <w:ind w:firstLine="567"/>
              <w:jc w:val="both"/>
              <w:rPr>
                <w:rFonts w:eastAsia="Times New Roman"/>
                <w:color w:val="000000"/>
                <w:sz w:val="22"/>
                <w:lang w:eastAsia="lv-LV"/>
              </w:rPr>
            </w:pPr>
            <w:r w:rsidRPr="00CC4314">
              <w:rPr>
                <w:rFonts w:eastAsia="Times New Roman"/>
                <w:bCs/>
                <w:color w:val="000000"/>
                <w:sz w:val="22"/>
                <w:lang w:eastAsia="lv-LV"/>
              </w:rPr>
              <w:t>Likums stājas spēkā 2018. gada 1. janvārī.</w:t>
            </w:r>
          </w:p>
        </w:tc>
        <w:tc>
          <w:tcPr>
            <w:tcW w:w="567" w:type="dxa"/>
          </w:tcPr>
          <w:p w:rsidR="0095142A" w:rsidRPr="0095142A" w:rsidRDefault="0095142A" w:rsidP="0095142A">
            <w:pPr>
              <w:jc w:val="center"/>
              <w:rPr>
                <w:rFonts w:eastAsia="Times New Roman"/>
                <w:b/>
                <w:bCs/>
                <w:color w:val="000000"/>
                <w:sz w:val="22"/>
                <w:lang w:eastAsia="lv-LV"/>
              </w:rPr>
            </w:pPr>
          </w:p>
        </w:tc>
        <w:tc>
          <w:tcPr>
            <w:tcW w:w="3969" w:type="dxa"/>
          </w:tcPr>
          <w:p w:rsidR="0095142A" w:rsidRPr="00CC4314" w:rsidRDefault="0095142A" w:rsidP="00EF0958">
            <w:pPr>
              <w:ind w:firstLine="567"/>
              <w:jc w:val="both"/>
              <w:rPr>
                <w:rFonts w:eastAsia="Times New Roman"/>
                <w:bCs/>
                <w:color w:val="000000"/>
                <w:sz w:val="22"/>
                <w:lang w:eastAsia="lv-LV"/>
              </w:rPr>
            </w:pPr>
          </w:p>
        </w:tc>
        <w:tc>
          <w:tcPr>
            <w:tcW w:w="1418" w:type="dxa"/>
          </w:tcPr>
          <w:p w:rsidR="0095142A" w:rsidRPr="00CC4314" w:rsidRDefault="0095142A" w:rsidP="00EF0958">
            <w:pPr>
              <w:ind w:firstLine="567"/>
              <w:jc w:val="both"/>
              <w:rPr>
                <w:rFonts w:eastAsia="Times New Roman"/>
                <w:bCs/>
                <w:color w:val="000000"/>
                <w:sz w:val="22"/>
                <w:lang w:eastAsia="lv-LV"/>
              </w:rPr>
            </w:pPr>
          </w:p>
        </w:tc>
        <w:tc>
          <w:tcPr>
            <w:tcW w:w="1418" w:type="dxa"/>
          </w:tcPr>
          <w:p w:rsidR="0095142A" w:rsidRPr="00CC4314" w:rsidRDefault="0095142A" w:rsidP="00EF0958">
            <w:pPr>
              <w:ind w:firstLine="567"/>
              <w:jc w:val="both"/>
              <w:rPr>
                <w:rFonts w:eastAsia="Times New Roman"/>
                <w:bCs/>
                <w:color w:val="000000"/>
                <w:sz w:val="22"/>
                <w:lang w:eastAsia="lv-LV"/>
              </w:rPr>
            </w:pPr>
          </w:p>
        </w:tc>
      </w:tr>
    </w:tbl>
    <w:p w:rsidR="00576E16" w:rsidRDefault="00576E16" w:rsidP="00576E16"/>
    <w:p w:rsidR="00A400CF" w:rsidRDefault="00A400CF"/>
    <w:sectPr w:rsidR="00A400CF" w:rsidSect="00495B31">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17B" w:rsidRDefault="00BC3C78">
      <w:r>
        <w:separator/>
      </w:r>
    </w:p>
  </w:endnote>
  <w:endnote w:type="continuationSeparator" w:id="0">
    <w:p w:rsidR="0061617B" w:rsidRDefault="00BC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B72B41" w:rsidP="00511D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2B41">
      <w:rPr>
        <w:rStyle w:val="PageNumber"/>
        <w:noProof/>
      </w:rPr>
      <w:t>2</w:t>
    </w:r>
    <w:r>
      <w:rPr>
        <w:rStyle w:val="PageNumber"/>
      </w:rPr>
      <w:fldChar w:fldCharType="end"/>
    </w:r>
  </w:p>
  <w:p w:rsidR="00511D34" w:rsidRDefault="00B72B41" w:rsidP="00511D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17B" w:rsidRDefault="00BC3C78">
      <w:r>
        <w:separator/>
      </w:r>
    </w:p>
  </w:footnote>
  <w:footnote w:type="continuationSeparator" w:id="0">
    <w:p w:rsidR="0061617B" w:rsidRDefault="00BC3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06618"/>
    <w:multiLevelType w:val="hybridMultilevel"/>
    <w:tmpl w:val="745424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86A1149"/>
    <w:multiLevelType w:val="hybridMultilevel"/>
    <w:tmpl w:val="2F1A6344"/>
    <w:lvl w:ilvl="0" w:tplc="972AD5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1B0654A"/>
    <w:multiLevelType w:val="hybridMultilevel"/>
    <w:tmpl w:val="5B2297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16"/>
    <w:rsid w:val="00043241"/>
    <w:rsid w:val="000804CF"/>
    <w:rsid w:val="001017E1"/>
    <w:rsid w:val="00183F80"/>
    <w:rsid w:val="001A7561"/>
    <w:rsid w:val="0021159A"/>
    <w:rsid w:val="0029588D"/>
    <w:rsid w:val="002D364A"/>
    <w:rsid w:val="00303D58"/>
    <w:rsid w:val="0032448E"/>
    <w:rsid w:val="003446BF"/>
    <w:rsid w:val="00361246"/>
    <w:rsid w:val="003B4F80"/>
    <w:rsid w:val="003F30F6"/>
    <w:rsid w:val="00400CE7"/>
    <w:rsid w:val="00427D1D"/>
    <w:rsid w:val="00447CA1"/>
    <w:rsid w:val="00467954"/>
    <w:rsid w:val="004851B2"/>
    <w:rsid w:val="004A1313"/>
    <w:rsid w:val="004B2F46"/>
    <w:rsid w:val="004C7A98"/>
    <w:rsid w:val="00576E16"/>
    <w:rsid w:val="00591194"/>
    <w:rsid w:val="005A2CE9"/>
    <w:rsid w:val="005B3E6A"/>
    <w:rsid w:val="00606DBE"/>
    <w:rsid w:val="0061617B"/>
    <w:rsid w:val="0062475C"/>
    <w:rsid w:val="00626465"/>
    <w:rsid w:val="00653AA9"/>
    <w:rsid w:val="006B2A6F"/>
    <w:rsid w:val="00743F3B"/>
    <w:rsid w:val="007B57C8"/>
    <w:rsid w:val="00805DA6"/>
    <w:rsid w:val="00860777"/>
    <w:rsid w:val="00903E38"/>
    <w:rsid w:val="00920707"/>
    <w:rsid w:val="00942AC6"/>
    <w:rsid w:val="0095142A"/>
    <w:rsid w:val="00953442"/>
    <w:rsid w:val="0096593E"/>
    <w:rsid w:val="009A3D9C"/>
    <w:rsid w:val="009B2BB5"/>
    <w:rsid w:val="009D7372"/>
    <w:rsid w:val="009F6021"/>
    <w:rsid w:val="009F7075"/>
    <w:rsid w:val="00A400CF"/>
    <w:rsid w:val="00A60E61"/>
    <w:rsid w:val="00AB33B5"/>
    <w:rsid w:val="00AD61D6"/>
    <w:rsid w:val="00B12903"/>
    <w:rsid w:val="00B72B41"/>
    <w:rsid w:val="00BB32DD"/>
    <w:rsid w:val="00BC3C78"/>
    <w:rsid w:val="00BF0594"/>
    <w:rsid w:val="00BF08D2"/>
    <w:rsid w:val="00C15F4C"/>
    <w:rsid w:val="00C6073A"/>
    <w:rsid w:val="00C8153E"/>
    <w:rsid w:val="00CA1C01"/>
    <w:rsid w:val="00CB5CE2"/>
    <w:rsid w:val="00CC4314"/>
    <w:rsid w:val="00D62D1F"/>
    <w:rsid w:val="00D665E0"/>
    <w:rsid w:val="00D74397"/>
    <w:rsid w:val="00D83E97"/>
    <w:rsid w:val="00D901D7"/>
    <w:rsid w:val="00DC2434"/>
    <w:rsid w:val="00DE1238"/>
    <w:rsid w:val="00E56A15"/>
    <w:rsid w:val="00E612DB"/>
    <w:rsid w:val="00EA2760"/>
    <w:rsid w:val="00EB6B7F"/>
    <w:rsid w:val="00EF09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E6B95-F4DD-4994-97B6-773FC16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16"/>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E16"/>
    <w:rPr>
      <w:i/>
      <w:iCs/>
    </w:rPr>
  </w:style>
  <w:style w:type="paragraph" w:styleId="Footer">
    <w:name w:val="footer"/>
    <w:basedOn w:val="Normal"/>
    <w:link w:val="FooterChar"/>
    <w:rsid w:val="00576E1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576E16"/>
    <w:rPr>
      <w:rFonts w:eastAsia="Times New Roman" w:cs="Times New Roman"/>
      <w:szCs w:val="24"/>
      <w:lang w:val="en-GB"/>
    </w:rPr>
  </w:style>
  <w:style w:type="character" w:styleId="PageNumber">
    <w:name w:val="page number"/>
    <w:rsid w:val="00576E16"/>
  </w:style>
  <w:style w:type="paragraph" w:customStyle="1" w:styleId="naisvisr">
    <w:name w:val="naisvisr"/>
    <w:basedOn w:val="Normal"/>
    <w:rsid w:val="00576E16"/>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D665E0"/>
    <w:rPr>
      <w:color w:val="0563C1" w:themeColor="hyperlink"/>
      <w:u w:val="single"/>
    </w:rPr>
  </w:style>
  <w:style w:type="paragraph" w:customStyle="1" w:styleId="tvhtml">
    <w:name w:val="tv_html"/>
    <w:basedOn w:val="Normal"/>
    <w:rsid w:val="00D901D7"/>
    <w:pPr>
      <w:spacing w:before="100" w:beforeAutospacing="1" w:after="100" w:afterAutospacing="1"/>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69204">
      <w:bodyDiv w:val="1"/>
      <w:marLeft w:val="0"/>
      <w:marRight w:val="0"/>
      <w:marTop w:val="0"/>
      <w:marBottom w:val="0"/>
      <w:divBdr>
        <w:top w:val="none" w:sz="0" w:space="0" w:color="auto"/>
        <w:left w:val="none" w:sz="0" w:space="0" w:color="auto"/>
        <w:bottom w:val="none" w:sz="0" w:space="0" w:color="auto"/>
        <w:right w:val="none" w:sz="0" w:space="0" w:color="auto"/>
      </w:divBdr>
    </w:div>
    <w:div w:id="388652823">
      <w:bodyDiv w:val="1"/>
      <w:marLeft w:val="0"/>
      <w:marRight w:val="0"/>
      <w:marTop w:val="0"/>
      <w:marBottom w:val="0"/>
      <w:divBdr>
        <w:top w:val="none" w:sz="0" w:space="0" w:color="auto"/>
        <w:left w:val="none" w:sz="0" w:space="0" w:color="auto"/>
        <w:bottom w:val="none" w:sz="0" w:space="0" w:color="auto"/>
        <w:right w:val="none" w:sz="0" w:space="0" w:color="auto"/>
      </w:divBdr>
    </w:div>
    <w:div w:id="560292613">
      <w:bodyDiv w:val="1"/>
      <w:marLeft w:val="0"/>
      <w:marRight w:val="0"/>
      <w:marTop w:val="0"/>
      <w:marBottom w:val="0"/>
      <w:divBdr>
        <w:top w:val="none" w:sz="0" w:space="0" w:color="auto"/>
        <w:left w:val="none" w:sz="0" w:space="0" w:color="auto"/>
        <w:bottom w:val="none" w:sz="0" w:space="0" w:color="auto"/>
        <w:right w:val="none" w:sz="0" w:space="0" w:color="auto"/>
      </w:divBdr>
      <w:divsChild>
        <w:div w:id="2122795683">
          <w:marLeft w:val="0"/>
          <w:marRight w:val="0"/>
          <w:marTop w:val="0"/>
          <w:marBottom w:val="0"/>
          <w:divBdr>
            <w:top w:val="none" w:sz="0" w:space="0" w:color="auto"/>
            <w:left w:val="none" w:sz="0" w:space="0" w:color="auto"/>
            <w:bottom w:val="none" w:sz="0" w:space="0" w:color="auto"/>
            <w:right w:val="none" w:sz="0" w:space="0" w:color="auto"/>
          </w:divBdr>
        </w:div>
        <w:div w:id="1608778062">
          <w:marLeft w:val="0"/>
          <w:marRight w:val="0"/>
          <w:marTop w:val="0"/>
          <w:marBottom w:val="0"/>
          <w:divBdr>
            <w:top w:val="none" w:sz="0" w:space="0" w:color="auto"/>
            <w:left w:val="none" w:sz="0" w:space="0" w:color="auto"/>
            <w:bottom w:val="none" w:sz="0" w:space="0" w:color="auto"/>
            <w:right w:val="none" w:sz="0" w:space="0" w:color="auto"/>
          </w:divBdr>
        </w:div>
      </w:divsChild>
    </w:div>
    <w:div w:id="641230027">
      <w:bodyDiv w:val="1"/>
      <w:marLeft w:val="0"/>
      <w:marRight w:val="0"/>
      <w:marTop w:val="0"/>
      <w:marBottom w:val="0"/>
      <w:divBdr>
        <w:top w:val="none" w:sz="0" w:space="0" w:color="auto"/>
        <w:left w:val="none" w:sz="0" w:space="0" w:color="auto"/>
        <w:bottom w:val="none" w:sz="0" w:space="0" w:color="auto"/>
        <w:right w:val="none" w:sz="0" w:space="0" w:color="auto"/>
      </w:divBdr>
    </w:div>
    <w:div w:id="945962113">
      <w:bodyDiv w:val="1"/>
      <w:marLeft w:val="0"/>
      <w:marRight w:val="0"/>
      <w:marTop w:val="0"/>
      <w:marBottom w:val="0"/>
      <w:divBdr>
        <w:top w:val="none" w:sz="0" w:space="0" w:color="auto"/>
        <w:left w:val="none" w:sz="0" w:space="0" w:color="auto"/>
        <w:bottom w:val="none" w:sz="0" w:space="0" w:color="auto"/>
        <w:right w:val="none" w:sz="0" w:space="0" w:color="auto"/>
      </w:divBdr>
      <w:divsChild>
        <w:div w:id="778069464">
          <w:marLeft w:val="0"/>
          <w:marRight w:val="0"/>
          <w:marTop w:val="0"/>
          <w:marBottom w:val="0"/>
          <w:divBdr>
            <w:top w:val="none" w:sz="0" w:space="0" w:color="auto"/>
            <w:left w:val="none" w:sz="0" w:space="0" w:color="auto"/>
            <w:bottom w:val="none" w:sz="0" w:space="0" w:color="auto"/>
            <w:right w:val="none" w:sz="0" w:space="0" w:color="auto"/>
          </w:divBdr>
        </w:div>
        <w:div w:id="606885515">
          <w:marLeft w:val="0"/>
          <w:marRight w:val="0"/>
          <w:marTop w:val="0"/>
          <w:marBottom w:val="0"/>
          <w:divBdr>
            <w:top w:val="none" w:sz="0" w:space="0" w:color="auto"/>
            <w:left w:val="none" w:sz="0" w:space="0" w:color="auto"/>
            <w:bottom w:val="none" w:sz="0" w:space="0" w:color="auto"/>
            <w:right w:val="none" w:sz="0" w:space="0" w:color="auto"/>
          </w:divBdr>
        </w:div>
      </w:divsChild>
    </w:div>
    <w:div w:id="1117603345">
      <w:bodyDiv w:val="1"/>
      <w:marLeft w:val="0"/>
      <w:marRight w:val="0"/>
      <w:marTop w:val="0"/>
      <w:marBottom w:val="0"/>
      <w:divBdr>
        <w:top w:val="none" w:sz="0" w:space="0" w:color="auto"/>
        <w:left w:val="none" w:sz="0" w:space="0" w:color="auto"/>
        <w:bottom w:val="none" w:sz="0" w:space="0" w:color="auto"/>
        <w:right w:val="none" w:sz="0" w:space="0" w:color="auto"/>
      </w:divBdr>
      <w:divsChild>
        <w:div w:id="902373510">
          <w:marLeft w:val="0"/>
          <w:marRight w:val="0"/>
          <w:marTop w:val="0"/>
          <w:marBottom w:val="0"/>
          <w:divBdr>
            <w:top w:val="none" w:sz="0" w:space="0" w:color="auto"/>
            <w:left w:val="none" w:sz="0" w:space="0" w:color="auto"/>
            <w:bottom w:val="none" w:sz="0" w:space="0" w:color="auto"/>
            <w:right w:val="none" w:sz="0" w:space="0" w:color="auto"/>
          </w:divBdr>
        </w:div>
        <w:div w:id="1460145425">
          <w:marLeft w:val="0"/>
          <w:marRight w:val="0"/>
          <w:marTop w:val="0"/>
          <w:marBottom w:val="0"/>
          <w:divBdr>
            <w:top w:val="none" w:sz="0" w:space="0" w:color="auto"/>
            <w:left w:val="none" w:sz="0" w:space="0" w:color="auto"/>
            <w:bottom w:val="none" w:sz="0" w:space="0" w:color="auto"/>
            <w:right w:val="none" w:sz="0" w:space="0" w:color="auto"/>
          </w:divBdr>
        </w:div>
      </w:divsChild>
    </w:div>
    <w:div w:id="1257446703">
      <w:bodyDiv w:val="1"/>
      <w:marLeft w:val="0"/>
      <w:marRight w:val="0"/>
      <w:marTop w:val="0"/>
      <w:marBottom w:val="0"/>
      <w:divBdr>
        <w:top w:val="none" w:sz="0" w:space="0" w:color="auto"/>
        <w:left w:val="none" w:sz="0" w:space="0" w:color="auto"/>
        <w:bottom w:val="none" w:sz="0" w:space="0" w:color="auto"/>
        <w:right w:val="none" w:sz="0" w:space="0" w:color="auto"/>
      </w:divBdr>
    </w:div>
    <w:div w:id="1514682891">
      <w:bodyDiv w:val="1"/>
      <w:marLeft w:val="0"/>
      <w:marRight w:val="0"/>
      <w:marTop w:val="0"/>
      <w:marBottom w:val="0"/>
      <w:divBdr>
        <w:top w:val="none" w:sz="0" w:space="0" w:color="auto"/>
        <w:left w:val="none" w:sz="0" w:space="0" w:color="auto"/>
        <w:bottom w:val="none" w:sz="0" w:space="0" w:color="auto"/>
        <w:right w:val="none" w:sz="0" w:space="0" w:color="auto"/>
      </w:divBdr>
    </w:div>
    <w:div w:id="1521747754">
      <w:bodyDiv w:val="1"/>
      <w:marLeft w:val="0"/>
      <w:marRight w:val="0"/>
      <w:marTop w:val="0"/>
      <w:marBottom w:val="0"/>
      <w:divBdr>
        <w:top w:val="none" w:sz="0" w:space="0" w:color="auto"/>
        <w:left w:val="none" w:sz="0" w:space="0" w:color="auto"/>
        <w:bottom w:val="none" w:sz="0" w:space="0" w:color="auto"/>
        <w:right w:val="none" w:sz="0" w:space="0" w:color="auto"/>
      </w:divBdr>
    </w:div>
    <w:div w:id="174437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13019</Words>
  <Characters>7421</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Krustiņš</dc:creator>
  <cp:keywords/>
  <dc:description/>
  <cp:lastModifiedBy>Arnis Krustiņš</cp:lastModifiedBy>
  <cp:revision>2</cp:revision>
  <dcterms:created xsi:type="dcterms:W3CDTF">2017-11-02T13:03:00Z</dcterms:created>
  <dcterms:modified xsi:type="dcterms:W3CDTF">2017-11-02T13:03:00Z</dcterms:modified>
</cp:coreProperties>
</file>