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="00E2642C" w:rsidRPr="00C10557" w14:paraId="2D23C4E6" w14:textId="77777777" w:rsidTr="00F411BF">
        <w:trPr>
          <w:trHeight w:val="423"/>
        </w:trPr>
        <w:tc>
          <w:tcPr>
            <w:tcW w:w="675" w:type="dxa"/>
          </w:tcPr>
          <w:p w14:paraId="0AA6B7F2" w14:textId="77777777" w:rsidR="00C6250E" w:rsidRPr="00C10557" w:rsidRDefault="00C6250E" w:rsidP="00F411BF">
            <w:pPr>
              <w:spacing w:before="20"/>
              <w:ind w:righ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0557">
              <w:rPr>
                <w:rFonts w:ascii="Times New Roman" w:hAnsi="Times New Roman"/>
                <w:sz w:val="24"/>
                <w:szCs w:val="24"/>
                <w:lang w:val="lv-LV"/>
              </w:rPr>
              <w:t>Rīgā</w:t>
            </w:r>
          </w:p>
        </w:tc>
        <w:tc>
          <w:tcPr>
            <w:tcW w:w="1701" w:type="dxa"/>
          </w:tcPr>
          <w:p w14:paraId="38EB6B7F" w14:textId="01E3740D" w:rsidR="00C6250E" w:rsidRPr="00C10557" w:rsidRDefault="00F17275" w:rsidP="00A106F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</w:t>
            </w:r>
            <w:r w:rsidR="00A106F4">
              <w:rPr>
                <w:rFonts w:ascii="Times New Roman" w:hAnsi="Times New Roman"/>
                <w:sz w:val="24"/>
                <w:szCs w:val="24"/>
                <w:lang w:val="lv-LV"/>
              </w:rPr>
              <w:t>.10.2017</w:t>
            </w:r>
          </w:p>
        </w:tc>
        <w:tc>
          <w:tcPr>
            <w:tcW w:w="426" w:type="dxa"/>
          </w:tcPr>
          <w:p w14:paraId="3A87C3E6" w14:textId="77777777" w:rsidR="00C6250E" w:rsidRPr="00C10557" w:rsidRDefault="00C6250E" w:rsidP="00F411BF">
            <w:pPr>
              <w:spacing w:before="20"/>
              <w:ind w:right="-18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0557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2204" w:type="dxa"/>
          </w:tcPr>
          <w:p w14:paraId="05732374" w14:textId="2DDFAA1E" w:rsidR="00C6250E" w:rsidRPr="00C10557" w:rsidRDefault="00F17275" w:rsidP="00BE05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01-10/174</w:t>
            </w:r>
            <w:bookmarkStart w:id="0" w:name="_GoBack"/>
            <w:bookmarkEnd w:id="0"/>
          </w:p>
        </w:tc>
      </w:tr>
      <w:tr w:rsidR="00E2642C" w:rsidRPr="00C10557" w14:paraId="02037FEB" w14:textId="77777777" w:rsidTr="00F411BF">
        <w:trPr>
          <w:trHeight w:val="423"/>
        </w:trPr>
        <w:tc>
          <w:tcPr>
            <w:tcW w:w="675" w:type="dxa"/>
          </w:tcPr>
          <w:p w14:paraId="50458864" w14:textId="77777777" w:rsidR="00C6250E" w:rsidRPr="00C10557" w:rsidRDefault="00C6250E" w:rsidP="00F411BF">
            <w:pPr>
              <w:spacing w:before="20"/>
              <w:ind w:righ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0557">
              <w:rPr>
                <w:rFonts w:ascii="Times New Roman" w:hAnsi="Times New Roman"/>
                <w:sz w:val="24"/>
                <w:szCs w:val="24"/>
                <w:lang w:val="lv-LV"/>
              </w:rPr>
              <w:t>uz</w:t>
            </w:r>
          </w:p>
        </w:tc>
        <w:tc>
          <w:tcPr>
            <w:tcW w:w="1701" w:type="dxa"/>
          </w:tcPr>
          <w:p w14:paraId="168E4031" w14:textId="77777777" w:rsidR="00C6250E" w:rsidRPr="00C10557" w:rsidRDefault="00C6250E" w:rsidP="00B874E2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6" w:type="dxa"/>
          </w:tcPr>
          <w:p w14:paraId="6A4165CD" w14:textId="77777777" w:rsidR="00C6250E" w:rsidRPr="00C10557" w:rsidRDefault="00C6250E" w:rsidP="00F411BF">
            <w:pPr>
              <w:spacing w:before="20"/>
              <w:ind w:right="-18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0557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2204" w:type="dxa"/>
          </w:tcPr>
          <w:p w14:paraId="69EB46AE" w14:textId="77777777" w:rsidR="00C6250E" w:rsidRPr="00C10557" w:rsidRDefault="00C6250E" w:rsidP="00B874E2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B4F13C4" w14:textId="77777777" w:rsidR="00C6250E" w:rsidRPr="00C10557" w:rsidRDefault="00C6250E" w:rsidP="00F85B8C">
      <w:pPr>
        <w:pStyle w:val="Header"/>
        <w:rPr>
          <w:rFonts w:ascii="Times New Roman" w:hAnsi="Times New Roman"/>
          <w:sz w:val="24"/>
          <w:szCs w:val="24"/>
          <w:lang w:val="lv-LV"/>
        </w:rPr>
      </w:pPr>
    </w:p>
    <w:p w14:paraId="03B6254B" w14:textId="77777777" w:rsidR="00632E67" w:rsidRPr="00C10557" w:rsidRDefault="00632E67" w:rsidP="00632E6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DC1659D" w14:textId="77777777" w:rsidR="009B7315" w:rsidRPr="00C10557" w:rsidRDefault="009B7315" w:rsidP="009B73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F644127" w14:textId="6D038024" w:rsidR="00B7094F" w:rsidRPr="00C10557" w:rsidRDefault="00B7094F" w:rsidP="009B73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DE7F83E" w14:textId="7E5D74A6" w:rsidR="00F36DA0" w:rsidRDefault="00AA5F4B" w:rsidP="009B73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kancelejai</w:t>
      </w:r>
    </w:p>
    <w:p w14:paraId="62510FAB" w14:textId="17906A4A" w:rsidR="00AA5F4B" w:rsidRDefault="00AA5F4B" w:rsidP="009B73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A4A59D9" w14:textId="77777777" w:rsidR="00AA5F4B" w:rsidRPr="00C10557" w:rsidRDefault="00AA5F4B" w:rsidP="009B73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F53A0AE" w14:textId="77777777" w:rsidR="00490F2F" w:rsidRPr="00C10557" w:rsidRDefault="00490F2F" w:rsidP="00490F2F">
      <w:pPr>
        <w:pStyle w:val="NormalWeb"/>
        <w:spacing w:before="0" w:beforeAutospacing="0" w:after="0" w:afterAutospacing="0"/>
        <w:rPr>
          <w:bCs/>
        </w:rPr>
      </w:pPr>
      <w:r w:rsidRPr="00C10557">
        <w:rPr>
          <w:bCs/>
        </w:rPr>
        <w:t>Par Ministru kabineta 2016.gada 26.aprīļa sēdes</w:t>
      </w:r>
    </w:p>
    <w:p w14:paraId="420B64DF" w14:textId="77777777" w:rsidR="00490F2F" w:rsidRPr="00C10557" w:rsidRDefault="00490F2F" w:rsidP="00490F2F">
      <w:pPr>
        <w:pStyle w:val="NormalWeb"/>
        <w:spacing w:before="0" w:beforeAutospacing="0" w:after="0" w:afterAutospacing="0"/>
        <w:rPr>
          <w:bCs/>
        </w:rPr>
      </w:pPr>
      <w:r w:rsidRPr="00C10557">
        <w:rPr>
          <w:bCs/>
        </w:rPr>
        <w:t>protokollēmuma (prot.Nr.20 32.§) „Informatīvais</w:t>
      </w:r>
    </w:p>
    <w:p w14:paraId="7F369F65" w14:textId="77777777" w:rsidR="00490F2F" w:rsidRPr="00C10557" w:rsidRDefault="00490F2F" w:rsidP="00490F2F">
      <w:pPr>
        <w:pStyle w:val="NormalWeb"/>
        <w:spacing w:before="0" w:beforeAutospacing="0" w:after="0" w:afterAutospacing="0"/>
        <w:rPr>
          <w:bCs/>
        </w:rPr>
      </w:pPr>
      <w:r w:rsidRPr="00C10557">
        <w:rPr>
          <w:bCs/>
        </w:rPr>
        <w:t>ziņojums „Par autoostu sistēmas pilnveidošanu,</w:t>
      </w:r>
    </w:p>
    <w:p w14:paraId="4978953D" w14:textId="77777777" w:rsidR="00490F2F" w:rsidRPr="00C10557" w:rsidRDefault="00490F2F" w:rsidP="00490F2F">
      <w:pPr>
        <w:pStyle w:val="NormalWeb"/>
        <w:spacing w:before="0" w:beforeAutospacing="0" w:after="0" w:afterAutospacing="0"/>
        <w:rPr>
          <w:bCs/>
        </w:rPr>
      </w:pPr>
      <w:r w:rsidRPr="00C10557">
        <w:rPr>
          <w:bCs/>
        </w:rPr>
        <w:t>lai veicinātu sistēmas darbības efektivitāti un</w:t>
      </w:r>
    </w:p>
    <w:p w14:paraId="63A94400" w14:textId="494BEAFC" w:rsidR="00490F2F" w:rsidRPr="00C10557" w:rsidRDefault="006421D0" w:rsidP="00490F2F">
      <w:pPr>
        <w:pStyle w:val="NormalWeb"/>
        <w:spacing w:before="0" w:beforeAutospacing="0" w:after="0" w:afterAutospacing="0"/>
        <w:rPr>
          <w:bCs/>
        </w:rPr>
      </w:pPr>
      <w:r w:rsidRPr="00C10557">
        <w:rPr>
          <w:bCs/>
        </w:rPr>
        <w:t>izmaksu samazināšanu”” 3</w:t>
      </w:r>
      <w:r w:rsidR="00490F2F" w:rsidRPr="00C10557">
        <w:rPr>
          <w:bCs/>
        </w:rPr>
        <w:t>.punktā dotā</w:t>
      </w:r>
    </w:p>
    <w:p w14:paraId="090D9EDB" w14:textId="6FA29A33" w:rsidR="00490F2F" w:rsidRPr="00C10557" w:rsidRDefault="00490F2F" w:rsidP="00490F2F">
      <w:pPr>
        <w:pStyle w:val="NormalWeb"/>
        <w:spacing w:before="0" w:beforeAutospacing="0" w:after="0" w:afterAutospacing="0"/>
        <w:rPr>
          <w:bCs/>
        </w:rPr>
      </w:pPr>
      <w:r w:rsidRPr="00C10557">
        <w:rPr>
          <w:bCs/>
        </w:rPr>
        <w:t>uzdevuma izpildi</w:t>
      </w:r>
    </w:p>
    <w:p w14:paraId="55299ABF" w14:textId="7FCA306D" w:rsidR="00715F73" w:rsidRPr="00C10557" w:rsidRDefault="00715F73" w:rsidP="006E0B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EC83B31" w14:textId="77777777" w:rsidR="001819FE" w:rsidRDefault="001819FE" w:rsidP="00F36DA0">
      <w:pPr>
        <w:pStyle w:val="NormalWeb"/>
        <w:spacing w:before="0" w:beforeAutospacing="0" w:after="120" w:afterAutospacing="0"/>
        <w:ind w:firstLine="720"/>
        <w:jc w:val="both"/>
      </w:pPr>
    </w:p>
    <w:p w14:paraId="628CD32C" w14:textId="681EBD1C" w:rsidR="00F36DA0" w:rsidRPr="00C10557" w:rsidRDefault="00490F2F" w:rsidP="00F36DA0">
      <w:pPr>
        <w:pStyle w:val="NormalWeb"/>
        <w:spacing w:before="0" w:beforeAutospacing="0" w:after="120" w:afterAutospacing="0"/>
        <w:ind w:firstLine="720"/>
        <w:jc w:val="both"/>
      </w:pPr>
      <w:r w:rsidRPr="00C10557">
        <w:t xml:space="preserve">Pamatojoties uz </w:t>
      </w:r>
      <w:r w:rsidR="00BB1956" w:rsidRPr="00C10557">
        <w:t xml:space="preserve">Ministru kabineta 2009. gada 7. aprīļa noteikumu Nr. 300 ”Ministru kabineta kārtības rullis” </w:t>
      </w:r>
      <w:r w:rsidR="00B04C22" w:rsidRPr="00C10557">
        <w:t>164.4</w:t>
      </w:r>
      <w:r w:rsidRPr="00C10557">
        <w:t>.apakšpunktu</w:t>
      </w:r>
      <w:r w:rsidR="00BB1956" w:rsidRPr="00C10557">
        <w:t xml:space="preserve">, </w:t>
      </w:r>
      <w:r w:rsidR="00FC2999">
        <w:t>iesniedzu izskatīšanai Ministru kabineta sēdē</w:t>
      </w:r>
      <w:r w:rsidR="00B04C22" w:rsidRPr="00C10557">
        <w:t xml:space="preserve"> </w:t>
      </w:r>
      <w:r w:rsidR="00BB1956" w:rsidRPr="00C10557">
        <w:t>Ministru kabineta sēdes protokollēmuma projektu “</w:t>
      </w:r>
      <w:r w:rsidR="006E0B90" w:rsidRPr="00C10557">
        <w:t>Par Ministru kabineta 2016.gada 26.aprīļa s</w:t>
      </w:r>
      <w:r w:rsidRPr="00C10557">
        <w:t>ēdes protokollēmuma (prot.Nr.20</w:t>
      </w:r>
      <w:r w:rsidR="006E0B90" w:rsidRPr="00C10557">
        <w:t xml:space="preserve"> 32.§) „Informatīvais ziņojums „</w:t>
      </w:r>
      <w:r w:rsidRPr="00C10557">
        <w:t>Par autoostu sistēmas pilnveidošanu, lai veicinātu sistēmas darbības efektivitāti un izmaksu samazināšanu</w:t>
      </w:r>
      <w:r w:rsidR="00067FCC" w:rsidRPr="00C10557">
        <w:t>”” 3</w:t>
      </w:r>
      <w:r w:rsidR="006E0B90" w:rsidRPr="00C10557">
        <w:t>.</w:t>
      </w:r>
      <w:r w:rsidR="00FC2999">
        <w:t> </w:t>
      </w:r>
      <w:r w:rsidR="006E0B90" w:rsidRPr="00C10557">
        <w:t>punktā dotā uzdevuma izpildi</w:t>
      </w:r>
      <w:r w:rsidR="00B04C22" w:rsidRPr="00C10557">
        <w:t>”</w:t>
      </w:r>
      <w:r w:rsidR="00F36DA0" w:rsidRPr="00C10557">
        <w:t xml:space="preserve">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306"/>
        <w:gridCol w:w="5603"/>
      </w:tblGrid>
      <w:tr w:rsidR="00BB1956" w:rsidRPr="00F17275" w14:paraId="6022537B" w14:textId="77777777" w:rsidTr="00C105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FA3D" w14:textId="2D8DBD90" w:rsidR="007C09FD" w:rsidRPr="00C10557" w:rsidRDefault="007C09FD" w:rsidP="006E0B90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14:paraId="4E41E9A0" w14:textId="77777777" w:rsidR="007C09FD" w:rsidRPr="00A43EDD" w:rsidRDefault="007C09FD" w:rsidP="006E0B90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43ED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Iesniegšanas pamatojums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EDD" w14:textId="43B0402D" w:rsidR="007C09FD" w:rsidRPr="00A43EDD" w:rsidRDefault="00C160C1" w:rsidP="00A43ED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Ministru kabineta </w:t>
            </w:r>
            <w:r w:rsidR="006E0B90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2016.gada 26.aprīļa s</w:t>
            </w:r>
            <w:r w:rsidR="00490F2F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ēdes protokollēmums (prot.Nr.20</w:t>
            </w:r>
            <w:r w:rsid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E0B90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32.§) „Informatīvais ziņojums „</w:t>
            </w:r>
            <w:r w:rsidR="00490F2F"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autoostu sistēmas pilnveidošanu, lai veicinātu sistēmas darbības efektivitāti un izmaksu samazināšanu</w:t>
            </w:r>
            <w:r w:rsidR="006E0B90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067FCC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” 3</w:t>
            </w:r>
            <w:r w:rsidRPr="00A43ED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FC2999"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43EDD">
              <w:rPr>
                <w:rFonts w:ascii="Times New Roman" w:hAnsi="Times New Roman"/>
                <w:sz w:val="24"/>
                <w:szCs w:val="24"/>
                <w:lang w:val="lv-LV"/>
              </w:rPr>
              <w:t>punkts.</w:t>
            </w:r>
          </w:p>
          <w:p w14:paraId="51AC7571" w14:textId="409843E3" w:rsidR="004E23DD" w:rsidRPr="00A43EDD" w:rsidRDefault="00A43EDD" w:rsidP="000F551A">
            <w:pPr>
              <w:pStyle w:val="NormalWeb"/>
              <w:spacing w:before="0" w:beforeAutospacing="0" w:after="120" w:afterAutospacing="0"/>
              <w:jc w:val="both"/>
            </w:pPr>
            <w:r w:rsidRPr="00A43EDD">
              <w:t xml:space="preserve">Izskatīts Ministru kabineta </w:t>
            </w:r>
            <w:r w:rsidR="00794F22" w:rsidRPr="00A43EDD">
              <w:t>2017.gada 14.mart</w:t>
            </w:r>
            <w:r w:rsidR="000F551A">
              <w:t>a</w:t>
            </w:r>
            <w:r w:rsidRPr="00A43EDD">
              <w:t xml:space="preserve"> sēdē (prot.Nr.12 13.§) par</w:t>
            </w:r>
            <w:r>
              <w:t xml:space="preserve"> </w:t>
            </w:r>
            <w:r>
              <w:rPr>
                <w:bCs/>
              </w:rPr>
              <w:t>izpildes termiņa pagarināšanu līdz 2017.gada 1.oktobrim.</w:t>
            </w:r>
          </w:p>
        </w:tc>
      </w:tr>
      <w:tr w:rsidR="00BB1956" w:rsidRPr="00C10557" w14:paraId="46F90D12" w14:textId="77777777" w:rsidTr="00C10557">
        <w:tc>
          <w:tcPr>
            <w:tcW w:w="582" w:type="dxa"/>
            <w:tcBorders>
              <w:top w:val="single" w:sz="4" w:space="0" w:color="auto"/>
            </w:tcBorders>
          </w:tcPr>
          <w:p w14:paraId="1FE970F3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14:paraId="599ED6E5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Valsts sekretāru sanāksmes datums un numurs</w:t>
            </w:r>
          </w:p>
        </w:tc>
        <w:tc>
          <w:tcPr>
            <w:tcW w:w="5603" w:type="dxa"/>
            <w:tcBorders>
              <w:top w:val="single" w:sz="4" w:space="0" w:color="auto"/>
            </w:tcBorders>
          </w:tcPr>
          <w:p w14:paraId="3DA6E702" w14:textId="109CEE87" w:rsidR="007C09FD" w:rsidRPr="00C10557" w:rsidRDefault="00C160C1" w:rsidP="00E4706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 attiecināms (Ministru kabineta 2009.gada 7.aprīļa noteikumu Nr.300 „Ministru kabineta kārtības rullis” 73.1.apakšpunkts).</w:t>
            </w:r>
          </w:p>
        </w:tc>
      </w:tr>
      <w:tr w:rsidR="00BB1956" w:rsidRPr="00F17275" w14:paraId="4CAA82F0" w14:textId="77777777" w:rsidTr="00C10557">
        <w:tc>
          <w:tcPr>
            <w:tcW w:w="582" w:type="dxa"/>
          </w:tcPr>
          <w:p w14:paraId="5B77411B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306" w:type="dxa"/>
          </w:tcPr>
          <w:p w14:paraId="09099349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Informācija par saskaņojumiem</w:t>
            </w:r>
          </w:p>
        </w:tc>
        <w:tc>
          <w:tcPr>
            <w:tcW w:w="5603" w:type="dxa"/>
          </w:tcPr>
          <w:p w14:paraId="6745403C" w14:textId="1E20A098" w:rsidR="007F5F27" w:rsidRDefault="007F5F27" w:rsidP="007F5F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</w:t>
            </w:r>
            <w:r w:rsidR="00926AD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2017.gada 25.septembrī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nosūtīts saskaņošanai Finanšu ministrijai, Latvijas Pašvaldību savienībai</w:t>
            </w:r>
            <w:r w:rsidR="00794F2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Vides aizsardzības un reģionālās attīstības ministrijai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 Tieslietu ministrijai.</w:t>
            </w:r>
          </w:p>
          <w:p w14:paraId="7DD4AC84" w14:textId="77777777" w:rsidR="00FC2999" w:rsidRDefault="007F5F27" w:rsidP="000F551A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No Vides aizsardzības un </w:t>
            </w:r>
            <w:r w:rsidR="00794F2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reģionālās attīstības ministrijas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atzinums nav saņemts, bet pārējie saskaņošanas dalībnieki projektu saskaņo bez iebildumiem un priekšlikumiem.</w:t>
            </w:r>
          </w:p>
          <w:p w14:paraId="4F640F44" w14:textId="38891418" w:rsidR="000F551A" w:rsidRPr="00C10557" w:rsidRDefault="000F551A" w:rsidP="000F551A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B1956" w:rsidRPr="00926ADD" w14:paraId="56F0F27D" w14:textId="77777777" w:rsidTr="00C10557">
        <w:tc>
          <w:tcPr>
            <w:tcW w:w="582" w:type="dxa"/>
          </w:tcPr>
          <w:p w14:paraId="07A11408" w14:textId="7FB57FFA" w:rsidR="007C09FD" w:rsidRPr="00C10557" w:rsidRDefault="00ED7E54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4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306" w:type="dxa"/>
          </w:tcPr>
          <w:p w14:paraId="498A25D0" w14:textId="77777777" w:rsidR="007C09FD" w:rsidRPr="00C10557" w:rsidRDefault="007C09FD" w:rsidP="00E47061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Ziņas par saskaņojumu ar Eiropas Savienības institūcijām</w:t>
            </w:r>
          </w:p>
        </w:tc>
        <w:tc>
          <w:tcPr>
            <w:tcW w:w="5603" w:type="dxa"/>
          </w:tcPr>
          <w:p w14:paraId="53D96B29" w14:textId="77777777" w:rsidR="007C09FD" w:rsidRPr="00C10557" w:rsidRDefault="007C09FD" w:rsidP="00E4706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 attiecināms.</w:t>
            </w:r>
          </w:p>
        </w:tc>
      </w:tr>
      <w:tr w:rsidR="00BB1956" w:rsidRPr="00C10557" w14:paraId="65BEC222" w14:textId="77777777" w:rsidTr="00C10557">
        <w:tc>
          <w:tcPr>
            <w:tcW w:w="582" w:type="dxa"/>
          </w:tcPr>
          <w:p w14:paraId="74938324" w14:textId="00535E4B" w:rsidR="007C09FD" w:rsidRPr="00C10557" w:rsidRDefault="00ED7E54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306" w:type="dxa"/>
          </w:tcPr>
          <w:p w14:paraId="5A1B0532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Politikas joma</w:t>
            </w:r>
          </w:p>
        </w:tc>
        <w:tc>
          <w:tcPr>
            <w:tcW w:w="5603" w:type="dxa"/>
          </w:tcPr>
          <w:p w14:paraId="59A33896" w14:textId="77777777" w:rsidR="007C09FD" w:rsidRPr="00C10557" w:rsidRDefault="007C09FD" w:rsidP="00E4706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Transporta un sakaru politika.</w:t>
            </w:r>
          </w:p>
        </w:tc>
      </w:tr>
      <w:tr w:rsidR="00BB1956" w:rsidRPr="00C10557" w14:paraId="1E4A0379" w14:textId="77777777" w:rsidTr="00C10557">
        <w:tc>
          <w:tcPr>
            <w:tcW w:w="582" w:type="dxa"/>
          </w:tcPr>
          <w:p w14:paraId="622A84EA" w14:textId="6D7B69BA" w:rsidR="007C09FD" w:rsidRPr="00C10557" w:rsidRDefault="00ED7E54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306" w:type="dxa"/>
          </w:tcPr>
          <w:p w14:paraId="1439FACC" w14:textId="08432FA0" w:rsidR="007C09FD" w:rsidRPr="00C10557" w:rsidRDefault="00FA0118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Atbildīgā amatpersona</w:t>
            </w:r>
          </w:p>
        </w:tc>
        <w:tc>
          <w:tcPr>
            <w:tcW w:w="5603" w:type="dxa"/>
          </w:tcPr>
          <w:p w14:paraId="0F572C45" w14:textId="299D6794" w:rsidR="007C09FD" w:rsidRPr="00C10557" w:rsidRDefault="007C09FD" w:rsidP="00E4706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Satiksmes minist</w:t>
            </w:r>
            <w:r w:rsidR="00CC122E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rijas Autosatiksmes departamenta direktors Tālivaldis Vectirāns</w:t>
            </w: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BB1956" w:rsidRPr="00C10557" w14:paraId="3283150D" w14:textId="77777777" w:rsidTr="00C10557">
        <w:tc>
          <w:tcPr>
            <w:tcW w:w="582" w:type="dxa"/>
            <w:tcBorders>
              <w:bottom w:val="single" w:sz="4" w:space="0" w:color="auto"/>
            </w:tcBorders>
          </w:tcPr>
          <w:p w14:paraId="1873F979" w14:textId="7181D0EE" w:rsidR="007C09FD" w:rsidRPr="00C10557" w:rsidRDefault="00ED7E54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3436597F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Uzaicināmās personas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24141C01" w14:textId="541C2A02" w:rsidR="007C09FD" w:rsidRPr="00C10557" w:rsidRDefault="007B139C" w:rsidP="00E4706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Satiksmes ministrijas Autosatiksmes departamenta direktors Tālivaldis Vectirāns.</w:t>
            </w:r>
          </w:p>
        </w:tc>
      </w:tr>
      <w:tr w:rsidR="00BB1956" w:rsidRPr="00C10557" w14:paraId="24905C22" w14:textId="77777777" w:rsidTr="00C10557">
        <w:tc>
          <w:tcPr>
            <w:tcW w:w="582" w:type="dxa"/>
          </w:tcPr>
          <w:p w14:paraId="69CB6086" w14:textId="57142564" w:rsidR="007C09FD" w:rsidRPr="00C10557" w:rsidRDefault="00ED7E54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3306" w:type="dxa"/>
          </w:tcPr>
          <w:p w14:paraId="3A42D57D" w14:textId="77777777" w:rsidR="007C09FD" w:rsidRPr="00C10557" w:rsidRDefault="007C09FD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ierobežotas pieejamības statuss</w:t>
            </w:r>
          </w:p>
        </w:tc>
        <w:tc>
          <w:tcPr>
            <w:tcW w:w="5603" w:type="dxa"/>
          </w:tcPr>
          <w:p w14:paraId="3104E9F6" w14:textId="77777777" w:rsidR="007C09FD" w:rsidRPr="00C10557" w:rsidRDefault="007C09FD" w:rsidP="00E4706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 noteikts ierobežotas pieejamības statuss.</w:t>
            </w:r>
          </w:p>
        </w:tc>
      </w:tr>
      <w:tr w:rsidR="00BB1956" w:rsidRPr="00A43EDD" w14:paraId="21C8119A" w14:textId="77777777" w:rsidTr="00C10557">
        <w:tc>
          <w:tcPr>
            <w:tcW w:w="582" w:type="dxa"/>
            <w:tcBorders>
              <w:bottom w:val="single" w:sz="4" w:space="0" w:color="auto"/>
            </w:tcBorders>
          </w:tcPr>
          <w:p w14:paraId="512B4F0E" w14:textId="2B895A4D" w:rsidR="007C09FD" w:rsidRPr="00C10557" w:rsidRDefault="00ED7E54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0584A99A" w14:textId="7E844A7A" w:rsidR="007C09FD" w:rsidRPr="00C10557" w:rsidRDefault="00C160C1" w:rsidP="00E4706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Cita </w:t>
            </w:r>
            <w:r w:rsidR="007C09FD" w:rsidRPr="00C1055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informācija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7E675642" w14:textId="0CF96478" w:rsidR="00067FCC" w:rsidRDefault="00C160C1" w:rsidP="00072B1F">
            <w:pPr>
              <w:pStyle w:val="Footer"/>
              <w:ind w:firstLine="27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Ministru kabineta</w:t>
            </w:r>
            <w:r w:rsidR="002622BF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2016.gada 26.aprīļa</w:t>
            </w:r>
            <w:r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sēdes protoko</w:t>
            </w:r>
            <w:r w:rsidR="006E0B90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llēmuma (protokols Nr.20 32.§) </w:t>
            </w:r>
            <w:r w:rsidR="00067FCC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3</w:t>
            </w:r>
            <w:r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. punktā </w:t>
            </w:r>
            <w:r w:rsidR="006E0B90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dots uzdevums </w:t>
            </w:r>
            <w:r w:rsidR="00067FCC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Sati</w:t>
            </w:r>
            <w:r w:rsidR="00542360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ksmes ministrijai izstrādāt un s</w:t>
            </w:r>
            <w:r w:rsidR="00067FCC" w:rsidRPr="00C10557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atiksmes ministram noteiktā kārtībā līdz 2016.gada 31.decembrim iesniegt izskatīšanai Ministru kabinetā grozījumus VSIA "Autotransporta direkcija" maksas pakalpojumu cenrādī.</w:t>
            </w:r>
          </w:p>
          <w:p w14:paraId="294C65BD" w14:textId="704D3D73" w:rsidR="00A43EDD" w:rsidRPr="00A43EDD" w:rsidRDefault="00A43EDD" w:rsidP="00072B1F">
            <w:pPr>
              <w:pStyle w:val="NormalWeb"/>
              <w:spacing w:before="0" w:beforeAutospacing="0" w:after="0" w:afterAutospacing="0"/>
              <w:ind w:firstLine="278"/>
              <w:jc w:val="both"/>
            </w:pPr>
            <w:r>
              <w:t>Protokollēmuma projekts i</w:t>
            </w:r>
            <w:r w:rsidRPr="00A43EDD">
              <w:t>zskatīts Ministru kabineta 2017.gada 14.martā sēdē (prot.Nr.12 13.§) par</w:t>
            </w:r>
            <w:r>
              <w:t xml:space="preserve"> </w:t>
            </w:r>
            <w:r>
              <w:rPr>
                <w:bCs/>
              </w:rPr>
              <w:t>izpildes termiņa pagarināšanu līdz 2017.gada 1.oktobrim.</w:t>
            </w:r>
          </w:p>
          <w:p w14:paraId="765BBE49" w14:textId="7A2A3B78" w:rsidR="00FD3E8F" w:rsidRDefault="001819FE" w:rsidP="00FD3E8F">
            <w:pPr>
              <w:pStyle w:val="Footer"/>
              <w:ind w:firstLine="27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15518E"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inētā uzdevuma izpilde ir saistīta ar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likumu “</w:t>
            </w:r>
            <w:r w:rsidR="00414215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Grozījumi Autopārvadājumu likumā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414215"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likumprojekta Nr.858/Lp</w:t>
            </w:r>
            <w:r w:rsidR="00414215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Saeimā</w:t>
            </w:r>
            <w:r w:rsidR="00414215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C00AD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(turpmāk – Likums)</w:t>
            </w:r>
            <w:r w:rsidR="00A85F42" w:rsidRPr="00A43EDD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A43EDD"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kurš</w:t>
            </w:r>
            <w:r w:rsidR="00A43EDD" w:rsidRPr="00A43E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stāsies spēkā </w:t>
            </w:r>
            <w:r w:rsidR="00FD3E8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2017.gada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26</w:t>
            </w:r>
            <w:r w:rsidR="00FD3E8F">
              <w:rPr>
                <w:rFonts w:ascii="Times New Roman" w:hAnsi="Times New Roman"/>
                <w:sz w:val="24"/>
                <w:szCs w:val="24"/>
                <w:lang w:val="lv-LV"/>
              </w:rPr>
              <w:t>.oktobrī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00AD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Likuma </w:t>
            </w:r>
            <w:r w:rsidR="00F9452B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pārejas noteikumu 36.punkt</w:t>
            </w:r>
            <w:r w:rsidR="00FD3E8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 paredz </w:t>
            </w:r>
            <w:r w:rsidR="00BB5240">
              <w:rPr>
                <w:rFonts w:ascii="Times New Roman" w:hAnsi="Times New Roman"/>
                <w:sz w:val="24"/>
                <w:szCs w:val="24"/>
                <w:lang w:val="lv-LV"/>
              </w:rPr>
              <w:t>līdz 2018.gada 30.</w:t>
            </w:r>
            <w:r w:rsidR="00BA1A83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jūnijam</w:t>
            </w:r>
            <w:r w:rsidR="00BA1A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izdot jaunus noteikumu</w:t>
            </w:r>
            <w:r w:rsidR="00C00AD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s, no 2019.gada 1.janvāra </w:t>
            </w:r>
            <w:r w:rsidR="00CF35EB">
              <w:rPr>
                <w:rFonts w:ascii="Times New Roman" w:hAnsi="Times New Roman"/>
                <w:sz w:val="24"/>
                <w:szCs w:val="24"/>
                <w:lang w:val="lv-LV"/>
              </w:rPr>
              <w:t>VSIA </w:t>
            </w:r>
            <w:r w:rsidR="00FD3E8F">
              <w:rPr>
                <w:rFonts w:ascii="Times New Roman" w:hAnsi="Times New Roman"/>
                <w:sz w:val="24"/>
                <w:szCs w:val="24"/>
                <w:lang w:val="lv-LV"/>
              </w:rPr>
              <w:t>“Autotransporta direkcija” pār</w:t>
            </w:r>
            <w:r w:rsidR="00BA1A83">
              <w:rPr>
                <w:rFonts w:ascii="Times New Roman" w:hAnsi="Times New Roman"/>
                <w:sz w:val="24"/>
                <w:szCs w:val="24"/>
                <w:lang w:val="lv-LV"/>
              </w:rPr>
              <w:t>ņem</w:t>
            </w:r>
            <w:r w:rsidR="00FD3E8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 </w:t>
            </w:r>
            <w:r w:rsidR="00BA1A83">
              <w:rPr>
                <w:rFonts w:ascii="Times New Roman" w:hAnsi="Times New Roman"/>
                <w:sz w:val="24"/>
                <w:szCs w:val="24"/>
                <w:lang w:val="lv-LV"/>
              </w:rPr>
              <w:t>deleģējumā autoostu reģistr</w:t>
            </w:r>
            <w:r w:rsidR="00BB58BD">
              <w:rPr>
                <w:rFonts w:ascii="Times New Roman" w:hAnsi="Times New Roman"/>
                <w:sz w:val="24"/>
                <w:szCs w:val="24"/>
                <w:lang w:val="lv-LV"/>
              </w:rPr>
              <w:t>āciju</w:t>
            </w:r>
            <w:r w:rsidR="00BA1A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uzraudz</w:t>
            </w:r>
            <w:r w:rsidR="00BB58BD">
              <w:rPr>
                <w:rFonts w:ascii="Times New Roman" w:hAnsi="Times New Roman"/>
                <w:sz w:val="24"/>
                <w:szCs w:val="24"/>
                <w:lang w:val="lv-LV"/>
              </w:rPr>
              <w:t>ību. S</w:t>
            </w:r>
            <w:r w:rsidR="00BA1A8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avukārt </w:t>
            </w:r>
            <w:r w:rsidR="00BB5240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="00BB58BD">
              <w:rPr>
                <w:rFonts w:ascii="Times New Roman" w:hAnsi="Times New Roman"/>
                <w:sz w:val="24"/>
                <w:szCs w:val="24"/>
                <w:lang w:val="lv-LV"/>
              </w:rPr>
              <w:t>ikuma</w:t>
            </w:r>
            <w:r w:rsidR="00494B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5240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494BB4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BB524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494BB4">
              <w:rPr>
                <w:rFonts w:ascii="Times New Roman" w:hAnsi="Times New Roman"/>
                <w:sz w:val="24"/>
                <w:szCs w:val="24"/>
                <w:lang w:val="lv-LV"/>
              </w:rPr>
              <w:t>panta astotā daļa</w:t>
            </w:r>
            <w:r w:rsidR="00BB58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F35EB">
              <w:rPr>
                <w:rFonts w:ascii="Times New Roman" w:hAnsi="Times New Roman"/>
                <w:sz w:val="24"/>
                <w:szCs w:val="24"/>
                <w:lang w:val="lv-LV"/>
              </w:rPr>
              <w:t>paredz VSIA </w:t>
            </w:r>
            <w:r w:rsidR="00BB58BD">
              <w:rPr>
                <w:rFonts w:ascii="Times New Roman" w:hAnsi="Times New Roman"/>
                <w:sz w:val="24"/>
                <w:szCs w:val="24"/>
                <w:lang w:val="lv-LV"/>
              </w:rPr>
              <w:t>“Autotransporta direkcija”</w:t>
            </w:r>
            <w:r w:rsidR="00CF35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58BD">
              <w:rPr>
                <w:rFonts w:ascii="Times New Roman" w:hAnsi="Times New Roman"/>
                <w:sz w:val="24"/>
                <w:szCs w:val="24"/>
                <w:lang w:val="lv-LV"/>
              </w:rPr>
              <w:t>deleģ</w:t>
            </w:r>
            <w:r w:rsidR="00CF35EB">
              <w:rPr>
                <w:rFonts w:ascii="Times New Roman" w:hAnsi="Times New Roman"/>
                <w:sz w:val="24"/>
                <w:szCs w:val="24"/>
                <w:lang w:val="lv-LV"/>
              </w:rPr>
              <w:t>ējumu</w:t>
            </w:r>
            <w:r w:rsidR="00494B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A1A83" w:rsidRPr="00FD3E8F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veikt </w:t>
            </w:r>
            <w:r w:rsidR="00494BB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autovadītāju, kuri veic pasažieru komercpārvadājumus ar taksometru vai vieglo automobili </w:t>
            </w:r>
            <w:r w:rsidR="00BA1A83" w:rsidRPr="00FD3E8F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reģistrāciju</w:t>
            </w:r>
            <w:r w:rsidR="00BA1A8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r w:rsidR="00C00AD8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Līdz ar to grozījumi</w:t>
            </w:r>
            <w:r w:rsidR="00EE196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VSIA </w:t>
            </w:r>
            <w:r w:rsidR="00BA1A83" w:rsidRPr="00FD3E8F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"Autotransporta direkcija" maksas pakalpojumu cenrādī</w:t>
            </w:r>
            <w:r w:rsidR="00C00AD8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var tikt veikti ar jauno regulējumu pieņemšanu</w:t>
            </w:r>
            <w:r w:rsidR="00BB58BD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  <w:p w14:paraId="4D6B206F" w14:textId="094BF4C0" w:rsidR="00072B1F" w:rsidRPr="000F551A" w:rsidRDefault="00FD3E8F" w:rsidP="000F551A">
            <w:pPr>
              <w:pStyle w:val="Footer"/>
              <w:spacing w:after="120"/>
              <w:ind w:firstLine="27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Ņemot vērā </w:t>
            </w:r>
            <w:r w:rsidR="00F84E28">
              <w:rPr>
                <w:rFonts w:ascii="Times New Roman" w:hAnsi="Times New Roman"/>
                <w:sz w:val="24"/>
                <w:szCs w:val="24"/>
                <w:lang w:val="lv-LV"/>
              </w:rPr>
              <w:t>minēto</w:t>
            </w:r>
            <w:r w:rsidR="00F84E28" w:rsidRPr="00F84E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003657D3" w:rsidRPr="00F84E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lūdzu pagarināt </w:t>
            </w:r>
            <w:r w:rsidR="002622BF" w:rsidRPr="00F84E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Ministru kabineta 2016.gada 26.aprīļa sēdes protokollēmuma (protokols Nr.20 32.§) </w:t>
            </w:r>
            <w:r w:rsidR="009715C9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2622BF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. punktā</w:t>
            </w:r>
            <w:r w:rsidR="003657D3" w:rsidRPr="00F84E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715C9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dotā uzdevuma</w:t>
            </w:r>
            <w:r w:rsidR="003657D3" w:rsidRPr="00F84E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izpildes termiņu līdz </w:t>
            </w:r>
            <w:r w:rsidR="006421D0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201</w:t>
            </w:r>
            <w:r w:rsidR="00766031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6421D0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.gada 1</w:t>
            </w:r>
            <w:r w:rsidR="00FC1C64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5518E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jūlijam</w:t>
            </w:r>
            <w:r w:rsidR="003657D3" w:rsidRPr="00F84E2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79B6EC12" w14:textId="31B455AD" w:rsidR="004D0A43" w:rsidRPr="00C10557" w:rsidRDefault="004D0A43" w:rsidP="007C09FD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val="lv-LV" w:eastAsia="lv-LV"/>
        </w:rPr>
      </w:pPr>
    </w:p>
    <w:p w14:paraId="560C9575" w14:textId="77777777" w:rsidR="007C09FD" w:rsidRPr="00C10557" w:rsidRDefault="007C09FD" w:rsidP="00EB5E9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80BECC5" w14:textId="77777777" w:rsidR="00357A8E" w:rsidRPr="00C10557" w:rsidRDefault="00357A8E" w:rsidP="00CE3CC1">
      <w:pPr>
        <w:widowControl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Pielikumā: </w:t>
      </w:r>
    </w:p>
    <w:p w14:paraId="73F45105" w14:textId="44CEBBFF" w:rsidR="00CF35EB" w:rsidRDefault="003657D3" w:rsidP="00D025D4">
      <w:pPr>
        <w:pStyle w:val="ListParagraph"/>
        <w:widowControl/>
        <w:numPr>
          <w:ilvl w:val="0"/>
          <w:numId w:val="18"/>
        </w:num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>Ministru kabineta sēdes protokollēmuma projekts (</w:t>
      </w:r>
      <w:r w:rsidR="007F5F27">
        <w:rPr>
          <w:rFonts w:ascii="Times New Roman" w:eastAsia="Times New Roman" w:hAnsi="Times New Roman"/>
          <w:sz w:val="24"/>
          <w:szCs w:val="24"/>
          <w:lang w:val="lv-LV" w:eastAsia="lv-LV"/>
        </w:rPr>
        <w:t>SAMProt_18</w:t>
      </w:r>
      <w:r w:rsidR="00FC2999">
        <w:rPr>
          <w:rFonts w:ascii="Times New Roman" w:eastAsia="Times New Roman" w:hAnsi="Times New Roman"/>
          <w:sz w:val="24"/>
          <w:szCs w:val="24"/>
          <w:lang w:val="lv-LV" w:eastAsia="lv-LV"/>
        </w:rPr>
        <w:t>10</w:t>
      </w:r>
      <w:r w:rsidR="002622B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>17_AO</w:t>
      </w:r>
      <w:r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>) uz 1</w:t>
      </w:r>
      <w:r w:rsidR="00062061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>lapas</w:t>
      </w:r>
      <w:r w:rsidR="00062061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4A0EF3C9" w14:textId="77777777" w:rsidR="00CF35EB" w:rsidRDefault="00CF35E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page"/>
      </w:r>
    </w:p>
    <w:p w14:paraId="488BF4EE" w14:textId="3381AABC" w:rsidR="00062061" w:rsidRPr="00A87DFC" w:rsidRDefault="00A87DFC" w:rsidP="00D025D4">
      <w:pPr>
        <w:pStyle w:val="ListParagraph"/>
        <w:widowControl/>
        <w:numPr>
          <w:ilvl w:val="0"/>
          <w:numId w:val="18"/>
        </w:numPr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Latvijas Pašvaldību savienības 26.09.2017 atzinums Nr.</w:t>
      </w:r>
      <w:r>
        <w:rPr>
          <w:rFonts w:ascii="Times New Roman" w:hAnsi="Times New Roman"/>
          <w:sz w:val="28"/>
          <w:szCs w:val="28"/>
        </w:rPr>
        <w:t> </w:t>
      </w:r>
      <w:r w:rsidRPr="00A87DFC">
        <w:rPr>
          <w:rFonts w:ascii="Times New Roman" w:hAnsi="Times New Roman"/>
          <w:sz w:val="24"/>
          <w:szCs w:val="24"/>
        </w:rPr>
        <w:t>0920172481/A1506</w:t>
      </w:r>
      <w:r>
        <w:rPr>
          <w:rFonts w:ascii="Times New Roman" w:hAnsi="Times New Roman"/>
          <w:sz w:val="24"/>
          <w:szCs w:val="24"/>
        </w:rPr>
        <w:t xml:space="preserve"> (LPSatz_260917_AO) uz 1 lapas;</w:t>
      </w:r>
    </w:p>
    <w:p w14:paraId="107FAFB6" w14:textId="3CC160DF" w:rsidR="00A87DFC" w:rsidRPr="00A87DFC" w:rsidRDefault="00A87DFC" w:rsidP="00D025D4">
      <w:pPr>
        <w:pStyle w:val="ListParagraph"/>
        <w:widowControl/>
        <w:numPr>
          <w:ilvl w:val="0"/>
          <w:numId w:val="18"/>
        </w:numPr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ministrijas 29.09.2017 atzinums Nr. </w:t>
      </w:r>
      <w:r w:rsidRPr="00A87DFC">
        <w:rPr>
          <w:rFonts w:ascii="Times New Roman" w:hAnsi="Times New Roman"/>
          <w:sz w:val="24"/>
          <w:szCs w:val="24"/>
        </w:rPr>
        <w:t>A-SM-7/7092</w:t>
      </w:r>
      <w:r>
        <w:rPr>
          <w:rFonts w:ascii="Times New Roman" w:hAnsi="Times New Roman"/>
          <w:sz w:val="24"/>
          <w:szCs w:val="24"/>
        </w:rPr>
        <w:t xml:space="preserve"> (FMatz_290917_AO) uz 1 lapas;</w:t>
      </w:r>
    </w:p>
    <w:p w14:paraId="61AE1890" w14:textId="7BD69A03" w:rsidR="00A87DFC" w:rsidRPr="00C10557" w:rsidRDefault="00A87DFC" w:rsidP="00D025D4">
      <w:pPr>
        <w:pStyle w:val="ListParagraph"/>
        <w:widowControl/>
        <w:numPr>
          <w:ilvl w:val="0"/>
          <w:numId w:val="18"/>
        </w:numPr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Tieslietu ministrijas 02.10.2017 atzinums Nr. 1-9.1/1215 (TMatz_021017_AO) uz 1 lapas.</w:t>
      </w:r>
    </w:p>
    <w:p w14:paraId="3C7FAC0F" w14:textId="77777777" w:rsidR="00D025D4" w:rsidRPr="00C10557" w:rsidRDefault="00D025D4" w:rsidP="003657D3">
      <w:pPr>
        <w:widowControl/>
        <w:spacing w:before="75" w:after="75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73D6289" w14:textId="77777777" w:rsidR="003657D3" w:rsidRPr="00C10557" w:rsidRDefault="003657D3" w:rsidP="00CE3CC1">
      <w:pPr>
        <w:widowControl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00DD594" w14:textId="77777777" w:rsidR="008C4B5F" w:rsidRPr="00C10557" w:rsidRDefault="008C4B5F" w:rsidP="008C4B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7"/>
      <w:bookmarkStart w:id="6" w:name="OLE_LINK8"/>
    </w:p>
    <w:p w14:paraId="5DC78CB8" w14:textId="188163E0" w:rsidR="008C4B5F" w:rsidRPr="00C10557" w:rsidRDefault="007F5F27" w:rsidP="008C4B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Satiksmes ministrs</w:t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10557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8C4B5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U</w:t>
      </w:r>
      <w:r w:rsidR="004B7BDF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C10557" w:rsidRPr="00C10557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Augulis</w:t>
      </w:r>
    </w:p>
    <w:p w14:paraId="62DB5CBE" w14:textId="77777777" w:rsidR="008C4B5F" w:rsidRPr="00C10557" w:rsidRDefault="008C4B5F" w:rsidP="008C4B5F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lv-LV"/>
        </w:rPr>
      </w:pPr>
    </w:p>
    <w:p w14:paraId="1481CA41" w14:textId="77777777" w:rsidR="008C4B5F" w:rsidRPr="00C10557" w:rsidRDefault="008C4B5F" w:rsidP="008C4B5F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lv-LV"/>
        </w:rPr>
      </w:pPr>
    </w:p>
    <w:p w14:paraId="5238E24C" w14:textId="77777777" w:rsidR="008C4B5F" w:rsidRPr="00C10557" w:rsidRDefault="008C4B5F" w:rsidP="008C4B5F">
      <w:pPr>
        <w:widowControl/>
        <w:spacing w:after="0" w:line="240" w:lineRule="auto"/>
        <w:rPr>
          <w:rFonts w:ascii="Times New Roman" w:hAnsi="Times New Roman"/>
          <w:color w:val="000000"/>
          <w:sz w:val="20"/>
          <w:szCs w:val="24"/>
          <w:lang w:val="lv-LV"/>
        </w:rPr>
      </w:pPr>
      <w:r w:rsidRPr="00C10557">
        <w:rPr>
          <w:rFonts w:ascii="Times New Roman" w:hAnsi="Times New Roman"/>
          <w:color w:val="000000"/>
          <w:sz w:val="20"/>
          <w:szCs w:val="24"/>
          <w:lang w:val="lv-LV"/>
        </w:rPr>
        <w:t>Tālivaldis Vectirāns</w:t>
      </w:r>
    </w:p>
    <w:p w14:paraId="6B4E70C6" w14:textId="77777777" w:rsidR="008C4B5F" w:rsidRPr="00C10557" w:rsidRDefault="008C4B5F" w:rsidP="008C4B5F">
      <w:pPr>
        <w:widowControl/>
        <w:spacing w:after="0" w:line="240" w:lineRule="auto"/>
        <w:rPr>
          <w:rFonts w:ascii="Times New Roman" w:hAnsi="Times New Roman"/>
          <w:color w:val="000000"/>
          <w:sz w:val="20"/>
          <w:szCs w:val="24"/>
          <w:lang w:val="lv-LV" w:eastAsia="lv-LV"/>
        </w:rPr>
      </w:pPr>
      <w:r w:rsidRPr="00C10557">
        <w:rPr>
          <w:rFonts w:ascii="Times New Roman" w:hAnsi="Times New Roman"/>
          <w:color w:val="000000"/>
          <w:sz w:val="20"/>
          <w:szCs w:val="24"/>
          <w:lang w:val="lv-LV" w:eastAsia="lv-LV"/>
        </w:rPr>
        <w:t>Satiksmes ministrijas</w:t>
      </w:r>
    </w:p>
    <w:p w14:paraId="3B493CBD" w14:textId="77777777" w:rsidR="008C4B5F" w:rsidRPr="00C10557" w:rsidRDefault="008C4B5F" w:rsidP="008C4B5F">
      <w:pPr>
        <w:widowControl/>
        <w:spacing w:after="0" w:line="240" w:lineRule="auto"/>
        <w:rPr>
          <w:rFonts w:ascii="Times New Roman" w:hAnsi="Times New Roman"/>
          <w:color w:val="000000"/>
          <w:sz w:val="20"/>
          <w:szCs w:val="24"/>
          <w:lang w:val="lv-LV" w:eastAsia="lv-LV"/>
        </w:rPr>
      </w:pPr>
      <w:r w:rsidRPr="00C10557">
        <w:rPr>
          <w:rFonts w:ascii="Times New Roman" w:hAnsi="Times New Roman"/>
          <w:color w:val="000000"/>
          <w:sz w:val="20"/>
          <w:szCs w:val="24"/>
          <w:lang w:val="lv-LV" w:eastAsia="lv-LV"/>
        </w:rPr>
        <w:t>Autosatiksmes departamenta direktors</w:t>
      </w:r>
    </w:p>
    <w:p w14:paraId="03ABEC37" w14:textId="77777777" w:rsidR="008C4B5F" w:rsidRPr="00C10557" w:rsidRDefault="008C4B5F" w:rsidP="008C4B5F">
      <w:pPr>
        <w:widowControl/>
        <w:spacing w:after="0" w:line="240" w:lineRule="auto"/>
        <w:rPr>
          <w:rFonts w:ascii="Times New Roman" w:hAnsi="Times New Roman"/>
          <w:color w:val="000000"/>
          <w:sz w:val="20"/>
          <w:szCs w:val="24"/>
          <w:lang w:val="lv-LV" w:eastAsia="lv-LV"/>
        </w:rPr>
      </w:pPr>
      <w:r w:rsidRPr="00C10557">
        <w:rPr>
          <w:rFonts w:ascii="Times New Roman" w:hAnsi="Times New Roman"/>
          <w:sz w:val="20"/>
          <w:lang w:val="lv-LV"/>
        </w:rPr>
        <w:t>Tālr. 67028300, fakss 67028304</w:t>
      </w:r>
    </w:p>
    <w:p w14:paraId="7591AD61" w14:textId="2D94C39F" w:rsidR="008C4B5F" w:rsidRPr="00E31B51" w:rsidRDefault="00F17275" w:rsidP="008C4B5F">
      <w:pPr>
        <w:widowControl/>
        <w:spacing w:after="0" w:line="240" w:lineRule="auto"/>
        <w:rPr>
          <w:rFonts w:ascii="Times New Roman" w:hAnsi="Times New Roman"/>
          <w:sz w:val="20"/>
          <w:lang w:val="lv-LV"/>
        </w:rPr>
      </w:pPr>
      <w:hyperlink r:id="rId8" w:history="1">
        <w:r w:rsidR="00E31B51" w:rsidRPr="00E31B51">
          <w:rPr>
            <w:rStyle w:val="Hyperlink"/>
            <w:rFonts w:ascii="Times New Roman" w:hAnsi="Times New Roman"/>
            <w:color w:val="auto"/>
            <w:sz w:val="20"/>
            <w:u w:val="none"/>
            <w:lang w:val="lv-LV"/>
          </w:rPr>
          <w:t>Talivaldis.Vectirans@sam.gov.lv</w:t>
        </w:r>
      </w:hyperlink>
    </w:p>
    <w:p w14:paraId="70B5534D" w14:textId="77777777" w:rsidR="008C4B5F" w:rsidRPr="00C10557" w:rsidRDefault="008C4B5F" w:rsidP="008C4B5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bookmarkEnd w:id="1"/>
    <w:bookmarkEnd w:id="2"/>
    <w:bookmarkEnd w:id="3"/>
    <w:bookmarkEnd w:id="4"/>
    <w:bookmarkEnd w:id="5"/>
    <w:bookmarkEnd w:id="6"/>
    <w:p w14:paraId="69334C95" w14:textId="77777777" w:rsidR="008C4B5F" w:rsidRPr="00C10557" w:rsidRDefault="008C4B5F" w:rsidP="00447120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8C4B5F" w:rsidRPr="00C10557" w:rsidSect="009D62C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D7AA" w14:textId="77777777" w:rsidR="005D3671" w:rsidRDefault="005D3671">
      <w:pPr>
        <w:spacing w:after="0" w:line="240" w:lineRule="auto"/>
      </w:pPr>
      <w:r>
        <w:separator/>
      </w:r>
    </w:p>
  </w:endnote>
  <w:endnote w:type="continuationSeparator" w:id="0">
    <w:p w14:paraId="3CFE51C3" w14:textId="77777777" w:rsidR="005D3671" w:rsidRDefault="005D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8E8D5" w14:textId="2747CFB1" w:rsidR="00FC1A8E" w:rsidRPr="00C10557" w:rsidRDefault="007F5F27" w:rsidP="002622BF">
    <w:pPr>
      <w:spacing w:after="0" w:line="240" w:lineRule="auto"/>
      <w:jc w:val="both"/>
      <w:rPr>
        <w:rFonts w:ascii="Times New Roman" w:hAnsi="Times New Roman"/>
        <w:b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</w:t>
    </w:r>
    <w:r w:rsidR="002622BF" w:rsidRPr="00C10557">
      <w:rPr>
        <w:rFonts w:ascii="Times New Roman" w:hAnsi="Times New Roman"/>
        <w:sz w:val="20"/>
        <w:szCs w:val="20"/>
        <w:lang w:val="lv-LV"/>
      </w:rPr>
      <w:t>MP</w:t>
    </w:r>
    <w:r>
      <w:rPr>
        <w:rFonts w:ascii="Times New Roman" w:hAnsi="Times New Roman"/>
        <w:sz w:val="20"/>
        <w:szCs w:val="20"/>
        <w:lang w:val="lv-LV"/>
      </w:rPr>
      <w:t>av_18</w:t>
    </w:r>
    <w:r w:rsidR="00FC2999">
      <w:rPr>
        <w:rFonts w:ascii="Times New Roman" w:hAnsi="Times New Roman"/>
        <w:sz w:val="20"/>
        <w:szCs w:val="20"/>
        <w:lang w:val="lv-LV"/>
      </w:rPr>
      <w:t>10</w:t>
    </w:r>
    <w:r w:rsidR="00FC1C64" w:rsidRPr="00C10557">
      <w:rPr>
        <w:rFonts w:ascii="Times New Roman" w:hAnsi="Times New Roman"/>
        <w:sz w:val="20"/>
        <w:szCs w:val="20"/>
        <w:lang w:val="lv-LV"/>
      </w:rPr>
      <w:t>17</w:t>
    </w:r>
    <w:r w:rsidR="00490F2F" w:rsidRPr="00C10557">
      <w:rPr>
        <w:rFonts w:ascii="Times New Roman" w:hAnsi="Times New Roman"/>
        <w:sz w:val="20"/>
        <w:szCs w:val="20"/>
        <w:lang w:val="lv-LV"/>
      </w:rPr>
      <w:t>_AO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CA45" w14:textId="30BC21C7" w:rsidR="0071599D" w:rsidRPr="00C10557" w:rsidRDefault="007F5F27" w:rsidP="002622BF">
    <w:pPr>
      <w:spacing w:after="0" w:line="240" w:lineRule="auto"/>
      <w:jc w:val="both"/>
      <w:rPr>
        <w:rFonts w:ascii="Times New Roman" w:hAnsi="Times New Roman"/>
        <w:b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</w:t>
    </w:r>
    <w:r w:rsidR="002622BF" w:rsidRPr="00C10557">
      <w:rPr>
        <w:rFonts w:ascii="Times New Roman" w:hAnsi="Times New Roman"/>
        <w:sz w:val="20"/>
        <w:szCs w:val="20"/>
        <w:lang w:val="lv-LV"/>
      </w:rPr>
      <w:t>MP</w:t>
    </w:r>
    <w:r w:rsidR="008E4E39">
      <w:rPr>
        <w:rFonts w:ascii="Times New Roman" w:hAnsi="Times New Roman"/>
        <w:sz w:val="20"/>
        <w:szCs w:val="20"/>
        <w:lang w:val="lv-LV"/>
      </w:rPr>
      <w:t>av_1</w:t>
    </w:r>
    <w:r>
      <w:rPr>
        <w:rFonts w:ascii="Times New Roman" w:hAnsi="Times New Roman"/>
        <w:sz w:val="20"/>
        <w:szCs w:val="20"/>
        <w:lang w:val="lv-LV"/>
      </w:rPr>
      <w:t>8</w:t>
    </w:r>
    <w:r w:rsidR="008E4E39">
      <w:rPr>
        <w:rFonts w:ascii="Times New Roman" w:hAnsi="Times New Roman"/>
        <w:sz w:val="20"/>
        <w:szCs w:val="20"/>
        <w:lang w:val="lv-LV"/>
      </w:rPr>
      <w:t>10</w:t>
    </w:r>
    <w:r w:rsidR="00FC1C64" w:rsidRPr="00C10557">
      <w:rPr>
        <w:rFonts w:ascii="Times New Roman" w:hAnsi="Times New Roman"/>
        <w:sz w:val="20"/>
        <w:szCs w:val="20"/>
        <w:lang w:val="lv-LV"/>
      </w:rPr>
      <w:t>17</w:t>
    </w:r>
    <w:r w:rsidR="00490F2F" w:rsidRPr="00C10557">
      <w:rPr>
        <w:rFonts w:ascii="Times New Roman" w:hAnsi="Times New Roman"/>
        <w:sz w:val="20"/>
        <w:szCs w:val="20"/>
        <w:lang w:val="lv-LV"/>
      </w:rPr>
      <w:t>_AO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FBDE5" w14:textId="77777777" w:rsidR="005D3671" w:rsidRDefault="005D3671">
      <w:pPr>
        <w:spacing w:after="0" w:line="240" w:lineRule="auto"/>
      </w:pPr>
      <w:r>
        <w:separator/>
      </w:r>
    </w:p>
  </w:footnote>
  <w:footnote w:type="continuationSeparator" w:id="0">
    <w:p w14:paraId="5C272388" w14:textId="77777777" w:rsidR="005D3671" w:rsidRDefault="005D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63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9C72AB" w14:textId="4004C2B0" w:rsidR="0022534C" w:rsidRDefault="002253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E7E635" w14:textId="77777777" w:rsidR="001F0569" w:rsidRDefault="001F0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E5A5" w14:textId="77777777" w:rsidR="009D62CD" w:rsidRDefault="009D62CD" w:rsidP="009D62CD">
    <w:pPr>
      <w:pStyle w:val="Header"/>
      <w:rPr>
        <w:rFonts w:ascii="Times New Roman" w:hAnsi="Times New Roman"/>
      </w:rPr>
    </w:pPr>
  </w:p>
  <w:p w14:paraId="2207E30E" w14:textId="77777777" w:rsidR="009D62CD" w:rsidRDefault="009D62CD" w:rsidP="009D62CD">
    <w:pPr>
      <w:pStyle w:val="Header"/>
      <w:rPr>
        <w:rFonts w:ascii="Times New Roman" w:hAnsi="Times New Roman"/>
      </w:rPr>
    </w:pPr>
  </w:p>
  <w:p w14:paraId="239E4A28" w14:textId="77777777" w:rsidR="009D62CD" w:rsidRDefault="009D62CD" w:rsidP="009D62CD">
    <w:pPr>
      <w:pStyle w:val="Header"/>
      <w:rPr>
        <w:rFonts w:ascii="Times New Roman" w:hAnsi="Times New Roman"/>
      </w:rPr>
    </w:pPr>
  </w:p>
  <w:p w14:paraId="0A8FB19B" w14:textId="77777777" w:rsidR="009D62CD" w:rsidRDefault="009D62CD" w:rsidP="009D62CD">
    <w:pPr>
      <w:pStyle w:val="Header"/>
      <w:rPr>
        <w:rFonts w:ascii="Times New Roman" w:hAnsi="Times New Roman"/>
      </w:rPr>
    </w:pPr>
  </w:p>
  <w:p w14:paraId="459D4F51" w14:textId="77777777" w:rsidR="009D62CD" w:rsidRDefault="009D62CD" w:rsidP="009D62CD">
    <w:pPr>
      <w:pStyle w:val="Header"/>
      <w:rPr>
        <w:rFonts w:ascii="Times New Roman" w:hAnsi="Times New Roman"/>
      </w:rPr>
    </w:pPr>
  </w:p>
  <w:p w14:paraId="3EF89F42" w14:textId="77777777" w:rsidR="009D62CD" w:rsidRDefault="009D62CD" w:rsidP="009D62CD">
    <w:pPr>
      <w:pStyle w:val="Header"/>
      <w:rPr>
        <w:rFonts w:ascii="Times New Roman" w:hAnsi="Times New Roman"/>
      </w:rPr>
    </w:pPr>
  </w:p>
  <w:p w14:paraId="63026FBB" w14:textId="77777777" w:rsidR="009D62CD" w:rsidRDefault="009D62CD" w:rsidP="009D62CD">
    <w:pPr>
      <w:pStyle w:val="Header"/>
      <w:rPr>
        <w:rFonts w:ascii="Times New Roman" w:hAnsi="Times New Roman"/>
      </w:rPr>
    </w:pPr>
  </w:p>
  <w:p w14:paraId="6F854115" w14:textId="77777777" w:rsidR="009D62CD" w:rsidRDefault="009D62CD" w:rsidP="009D62CD">
    <w:pPr>
      <w:pStyle w:val="Header"/>
      <w:rPr>
        <w:rFonts w:ascii="Times New Roman" w:hAnsi="Times New Roman"/>
      </w:rPr>
    </w:pPr>
  </w:p>
  <w:p w14:paraId="661EAEE6" w14:textId="77777777" w:rsidR="009D62CD" w:rsidRDefault="009D62CD" w:rsidP="009D62CD">
    <w:pPr>
      <w:pStyle w:val="Header"/>
      <w:rPr>
        <w:rFonts w:ascii="Times New Roman" w:hAnsi="Times New Roman"/>
      </w:rPr>
    </w:pPr>
  </w:p>
  <w:p w14:paraId="42289987" w14:textId="77777777" w:rsidR="009D62CD" w:rsidRDefault="009D62CD" w:rsidP="009D62CD">
    <w:pPr>
      <w:pStyle w:val="Header"/>
      <w:rPr>
        <w:rFonts w:ascii="Times New Roman" w:hAnsi="Times New Roman"/>
      </w:rPr>
    </w:pPr>
  </w:p>
  <w:p w14:paraId="2A96A011" w14:textId="77777777" w:rsidR="009D62CD" w:rsidRPr="00815277" w:rsidRDefault="00F85B8C" w:rsidP="009D62CD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B3DA3BF" wp14:editId="16BFA643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5A23F1" wp14:editId="0A21B8F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7F025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B10C1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A23F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1687F025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lv-LV"/>
                      </w:rPr>
                    </w:pPr>
                    <w:r w:rsidRPr="00B10C1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AC151C4" wp14:editId="756A9FF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CB8D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F8785B6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CF54AA"/>
    <w:multiLevelType w:val="hybridMultilevel"/>
    <w:tmpl w:val="C0D66E1A"/>
    <w:lvl w:ilvl="0" w:tplc="A9BAEB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5746C"/>
    <w:multiLevelType w:val="hybridMultilevel"/>
    <w:tmpl w:val="6E34313C"/>
    <w:lvl w:ilvl="0" w:tplc="3536B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66D4F"/>
    <w:multiLevelType w:val="hybridMultilevel"/>
    <w:tmpl w:val="F7B45758"/>
    <w:lvl w:ilvl="0" w:tplc="5A32AE6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9F6796"/>
    <w:multiLevelType w:val="hybridMultilevel"/>
    <w:tmpl w:val="7818AB86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95671B"/>
    <w:multiLevelType w:val="hybridMultilevel"/>
    <w:tmpl w:val="0214F12E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A0212E7"/>
    <w:multiLevelType w:val="hybridMultilevel"/>
    <w:tmpl w:val="9B8CE4E2"/>
    <w:lvl w:ilvl="0" w:tplc="E2E033D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D26FA"/>
    <w:multiLevelType w:val="hybridMultilevel"/>
    <w:tmpl w:val="0214F12E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6C"/>
    <w:rsid w:val="00006384"/>
    <w:rsid w:val="00017979"/>
    <w:rsid w:val="00023FE6"/>
    <w:rsid w:val="00030349"/>
    <w:rsid w:val="00031F84"/>
    <w:rsid w:val="0004172C"/>
    <w:rsid w:val="00057D24"/>
    <w:rsid w:val="00061D30"/>
    <w:rsid w:val="00062061"/>
    <w:rsid w:val="00066DD0"/>
    <w:rsid w:val="00067FCC"/>
    <w:rsid w:val="00072B1F"/>
    <w:rsid w:val="0008500E"/>
    <w:rsid w:val="000868AF"/>
    <w:rsid w:val="000B0D59"/>
    <w:rsid w:val="000C1C14"/>
    <w:rsid w:val="000C3B9C"/>
    <w:rsid w:val="000D314F"/>
    <w:rsid w:val="000F551A"/>
    <w:rsid w:val="00105E69"/>
    <w:rsid w:val="00124173"/>
    <w:rsid w:val="00141A6D"/>
    <w:rsid w:val="00144463"/>
    <w:rsid w:val="00144802"/>
    <w:rsid w:val="0015518E"/>
    <w:rsid w:val="00165F5E"/>
    <w:rsid w:val="001819FE"/>
    <w:rsid w:val="00183DCB"/>
    <w:rsid w:val="001862D9"/>
    <w:rsid w:val="00187C24"/>
    <w:rsid w:val="001A2B28"/>
    <w:rsid w:val="001A43FB"/>
    <w:rsid w:val="001B37CB"/>
    <w:rsid w:val="001B438C"/>
    <w:rsid w:val="001E5FC8"/>
    <w:rsid w:val="001F0569"/>
    <w:rsid w:val="0020635C"/>
    <w:rsid w:val="00211FC1"/>
    <w:rsid w:val="0022534C"/>
    <w:rsid w:val="00226784"/>
    <w:rsid w:val="002538D9"/>
    <w:rsid w:val="002622BF"/>
    <w:rsid w:val="0026444A"/>
    <w:rsid w:val="00275B9E"/>
    <w:rsid w:val="00283A82"/>
    <w:rsid w:val="0029312E"/>
    <w:rsid w:val="00296F2D"/>
    <w:rsid w:val="002974A6"/>
    <w:rsid w:val="002B3077"/>
    <w:rsid w:val="002C2EC7"/>
    <w:rsid w:val="002D5D87"/>
    <w:rsid w:val="002D6830"/>
    <w:rsid w:val="002E1474"/>
    <w:rsid w:val="00305F79"/>
    <w:rsid w:val="003227E4"/>
    <w:rsid w:val="00335032"/>
    <w:rsid w:val="00357A8E"/>
    <w:rsid w:val="00361592"/>
    <w:rsid w:val="00364FAF"/>
    <w:rsid w:val="003657D3"/>
    <w:rsid w:val="00393B09"/>
    <w:rsid w:val="003952A2"/>
    <w:rsid w:val="003A090C"/>
    <w:rsid w:val="003A43B9"/>
    <w:rsid w:val="003B74A0"/>
    <w:rsid w:val="003E53CC"/>
    <w:rsid w:val="003E56E7"/>
    <w:rsid w:val="003E6C03"/>
    <w:rsid w:val="003F0E45"/>
    <w:rsid w:val="003F77CE"/>
    <w:rsid w:val="004111D4"/>
    <w:rsid w:val="00412D49"/>
    <w:rsid w:val="00414215"/>
    <w:rsid w:val="004158C9"/>
    <w:rsid w:val="00416CD3"/>
    <w:rsid w:val="004372EE"/>
    <w:rsid w:val="00447120"/>
    <w:rsid w:val="00467222"/>
    <w:rsid w:val="00481530"/>
    <w:rsid w:val="00490F2F"/>
    <w:rsid w:val="00493308"/>
    <w:rsid w:val="00494BB4"/>
    <w:rsid w:val="004B57F4"/>
    <w:rsid w:val="004B7BDF"/>
    <w:rsid w:val="004C338C"/>
    <w:rsid w:val="004D0A43"/>
    <w:rsid w:val="004D16ED"/>
    <w:rsid w:val="004D77F7"/>
    <w:rsid w:val="004E00D8"/>
    <w:rsid w:val="004E23DD"/>
    <w:rsid w:val="004E49D0"/>
    <w:rsid w:val="004F7D47"/>
    <w:rsid w:val="0051456C"/>
    <w:rsid w:val="00527E96"/>
    <w:rsid w:val="00531A6B"/>
    <w:rsid w:val="00535564"/>
    <w:rsid w:val="00542360"/>
    <w:rsid w:val="00543405"/>
    <w:rsid w:val="00545EB9"/>
    <w:rsid w:val="00561E03"/>
    <w:rsid w:val="005676F2"/>
    <w:rsid w:val="005A1329"/>
    <w:rsid w:val="005A1866"/>
    <w:rsid w:val="005C2DDF"/>
    <w:rsid w:val="005D3671"/>
    <w:rsid w:val="005D514D"/>
    <w:rsid w:val="005F45FD"/>
    <w:rsid w:val="00632E67"/>
    <w:rsid w:val="00632ED0"/>
    <w:rsid w:val="006421D0"/>
    <w:rsid w:val="00655726"/>
    <w:rsid w:val="00656D71"/>
    <w:rsid w:val="00663C3A"/>
    <w:rsid w:val="006706F2"/>
    <w:rsid w:val="00683EC3"/>
    <w:rsid w:val="0069323D"/>
    <w:rsid w:val="006B0B65"/>
    <w:rsid w:val="006B6263"/>
    <w:rsid w:val="006B6455"/>
    <w:rsid w:val="006C1639"/>
    <w:rsid w:val="006D25AE"/>
    <w:rsid w:val="006E0B90"/>
    <w:rsid w:val="006E57DA"/>
    <w:rsid w:val="006F1964"/>
    <w:rsid w:val="006F4D78"/>
    <w:rsid w:val="00713A63"/>
    <w:rsid w:val="00713ED5"/>
    <w:rsid w:val="0071599D"/>
    <w:rsid w:val="00715F73"/>
    <w:rsid w:val="0074188E"/>
    <w:rsid w:val="00747CCB"/>
    <w:rsid w:val="00755155"/>
    <w:rsid w:val="00756A83"/>
    <w:rsid w:val="00766031"/>
    <w:rsid w:val="007704BD"/>
    <w:rsid w:val="00794F22"/>
    <w:rsid w:val="007974FB"/>
    <w:rsid w:val="007B139C"/>
    <w:rsid w:val="007B3BA5"/>
    <w:rsid w:val="007B48EC"/>
    <w:rsid w:val="007C09FD"/>
    <w:rsid w:val="007C3823"/>
    <w:rsid w:val="007D3C8D"/>
    <w:rsid w:val="007D4989"/>
    <w:rsid w:val="007D7AF5"/>
    <w:rsid w:val="007E3BB4"/>
    <w:rsid w:val="007E4D1F"/>
    <w:rsid w:val="007F5F27"/>
    <w:rsid w:val="00803285"/>
    <w:rsid w:val="008039E2"/>
    <w:rsid w:val="00804D6C"/>
    <w:rsid w:val="00811CC8"/>
    <w:rsid w:val="00815277"/>
    <w:rsid w:val="0082209D"/>
    <w:rsid w:val="00833542"/>
    <w:rsid w:val="00850F03"/>
    <w:rsid w:val="0087358B"/>
    <w:rsid w:val="00876C21"/>
    <w:rsid w:val="00880680"/>
    <w:rsid w:val="008A5081"/>
    <w:rsid w:val="008C2ED1"/>
    <w:rsid w:val="008C46A5"/>
    <w:rsid w:val="008C4B5F"/>
    <w:rsid w:val="008D353B"/>
    <w:rsid w:val="008E0697"/>
    <w:rsid w:val="008E2FD9"/>
    <w:rsid w:val="008E4E39"/>
    <w:rsid w:val="00913937"/>
    <w:rsid w:val="009258D3"/>
    <w:rsid w:val="00926ADD"/>
    <w:rsid w:val="00954A6D"/>
    <w:rsid w:val="00954D5A"/>
    <w:rsid w:val="00966F0D"/>
    <w:rsid w:val="009715C9"/>
    <w:rsid w:val="00993B63"/>
    <w:rsid w:val="009A7388"/>
    <w:rsid w:val="009B7315"/>
    <w:rsid w:val="009B7C84"/>
    <w:rsid w:val="009D1C0B"/>
    <w:rsid w:val="009D4C27"/>
    <w:rsid w:val="009D62CD"/>
    <w:rsid w:val="009D7D70"/>
    <w:rsid w:val="009E78C1"/>
    <w:rsid w:val="009F3C10"/>
    <w:rsid w:val="00A03097"/>
    <w:rsid w:val="00A03F54"/>
    <w:rsid w:val="00A04682"/>
    <w:rsid w:val="00A106F4"/>
    <w:rsid w:val="00A26E3B"/>
    <w:rsid w:val="00A352BC"/>
    <w:rsid w:val="00A43EDD"/>
    <w:rsid w:val="00A44089"/>
    <w:rsid w:val="00A475BB"/>
    <w:rsid w:val="00A50748"/>
    <w:rsid w:val="00A54474"/>
    <w:rsid w:val="00A54AFF"/>
    <w:rsid w:val="00A6624F"/>
    <w:rsid w:val="00A71011"/>
    <w:rsid w:val="00A7328B"/>
    <w:rsid w:val="00A77EDA"/>
    <w:rsid w:val="00A85F42"/>
    <w:rsid w:val="00A87DFC"/>
    <w:rsid w:val="00A900BD"/>
    <w:rsid w:val="00AA5F4B"/>
    <w:rsid w:val="00AC4809"/>
    <w:rsid w:val="00AD0F24"/>
    <w:rsid w:val="00AD224E"/>
    <w:rsid w:val="00AE3C45"/>
    <w:rsid w:val="00B03F32"/>
    <w:rsid w:val="00B04C22"/>
    <w:rsid w:val="00B06A1B"/>
    <w:rsid w:val="00B10C18"/>
    <w:rsid w:val="00B260CE"/>
    <w:rsid w:val="00B34E43"/>
    <w:rsid w:val="00B56CA0"/>
    <w:rsid w:val="00B62F3A"/>
    <w:rsid w:val="00B7094F"/>
    <w:rsid w:val="00B74DD0"/>
    <w:rsid w:val="00B76FDF"/>
    <w:rsid w:val="00B80D7F"/>
    <w:rsid w:val="00B81E03"/>
    <w:rsid w:val="00B874E2"/>
    <w:rsid w:val="00BA1839"/>
    <w:rsid w:val="00BA1A83"/>
    <w:rsid w:val="00BB1956"/>
    <w:rsid w:val="00BB5240"/>
    <w:rsid w:val="00BB58BD"/>
    <w:rsid w:val="00BC0022"/>
    <w:rsid w:val="00BC764F"/>
    <w:rsid w:val="00BD7E25"/>
    <w:rsid w:val="00BE0522"/>
    <w:rsid w:val="00BE5485"/>
    <w:rsid w:val="00C00AD8"/>
    <w:rsid w:val="00C05346"/>
    <w:rsid w:val="00C06517"/>
    <w:rsid w:val="00C10557"/>
    <w:rsid w:val="00C160C1"/>
    <w:rsid w:val="00C258BE"/>
    <w:rsid w:val="00C33C50"/>
    <w:rsid w:val="00C43AF0"/>
    <w:rsid w:val="00C47F57"/>
    <w:rsid w:val="00C6250E"/>
    <w:rsid w:val="00C82049"/>
    <w:rsid w:val="00C9351C"/>
    <w:rsid w:val="00CB6DFC"/>
    <w:rsid w:val="00CC122E"/>
    <w:rsid w:val="00CC1EF9"/>
    <w:rsid w:val="00CC3A23"/>
    <w:rsid w:val="00CC63C6"/>
    <w:rsid w:val="00CD2BCA"/>
    <w:rsid w:val="00CE3CC1"/>
    <w:rsid w:val="00CE4D3F"/>
    <w:rsid w:val="00CE5507"/>
    <w:rsid w:val="00CF35EB"/>
    <w:rsid w:val="00CF43EA"/>
    <w:rsid w:val="00D00702"/>
    <w:rsid w:val="00D01997"/>
    <w:rsid w:val="00D025D4"/>
    <w:rsid w:val="00D05778"/>
    <w:rsid w:val="00D06097"/>
    <w:rsid w:val="00D13EAB"/>
    <w:rsid w:val="00D152E8"/>
    <w:rsid w:val="00D21FA6"/>
    <w:rsid w:val="00D26040"/>
    <w:rsid w:val="00D30B20"/>
    <w:rsid w:val="00D30C1D"/>
    <w:rsid w:val="00D55B4B"/>
    <w:rsid w:val="00D60C7B"/>
    <w:rsid w:val="00D6114E"/>
    <w:rsid w:val="00D66D22"/>
    <w:rsid w:val="00DA36B8"/>
    <w:rsid w:val="00DC06F8"/>
    <w:rsid w:val="00DE2F8D"/>
    <w:rsid w:val="00E008BE"/>
    <w:rsid w:val="00E02FBD"/>
    <w:rsid w:val="00E03C92"/>
    <w:rsid w:val="00E12666"/>
    <w:rsid w:val="00E12767"/>
    <w:rsid w:val="00E2642C"/>
    <w:rsid w:val="00E300D6"/>
    <w:rsid w:val="00E31B51"/>
    <w:rsid w:val="00E33E71"/>
    <w:rsid w:val="00E365CE"/>
    <w:rsid w:val="00E55E9D"/>
    <w:rsid w:val="00E57540"/>
    <w:rsid w:val="00E64DA3"/>
    <w:rsid w:val="00E710CC"/>
    <w:rsid w:val="00E9003C"/>
    <w:rsid w:val="00EB55DF"/>
    <w:rsid w:val="00EB5E94"/>
    <w:rsid w:val="00ED7E54"/>
    <w:rsid w:val="00EE196C"/>
    <w:rsid w:val="00EE75CA"/>
    <w:rsid w:val="00F01842"/>
    <w:rsid w:val="00F0285D"/>
    <w:rsid w:val="00F17275"/>
    <w:rsid w:val="00F21B55"/>
    <w:rsid w:val="00F22C93"/>
    <w:rsid w:val="00F27D1C"/>
    <w:rsid w:val="00F31B62"/>
    <w:rsid w:val="00F36DA0"/>
    <w:rsid w:val="00F37B55"/>
    <w:rsid w:val="00F40288"/>
    <w:rsid w:val="00F44DEA"/>
    <w:rsid w:val="00F60586"/>
    <w:rsid w:val="00F61F07"/>
    <w:rsid w:val="00F62ADC"/>
    <w:rsid w:val="00F64DBE"/>
    <w:rsid w:val="00F65BA7"/>
    <w:rsid w:val="00F673D1"/>
    <w:rsid w:val="00F84864"/>
    <w:rsid w:val="00F84E28"/>
    <w:rsid w:val="00F85B8C"/>
    <w:rsid w:val="00F9452B"/>
    <w:rsid w:val="00FA0118"/>
    <w:rsid w:val="00FB3FC8"/>
    <w:rsid w:val="00FB4A83"/>
    <w:rsid w:val="00FB6E20"/>
    <w:rsid w:val="00FC168A"/>
    <w:rsid w:val="00FC1A8E"/>
    <w:rsid w:val="00FC1C64"/>
    <w:rsid w:val="00FC2999"/>
    <w:rsid w:val="00FD3E8F"/>
    <w:rsid w:val="00FD480A"/>
    <w:rsid w:val="00FD7EEA"/>
    <w:rsid w:val="00FE0BD3"/>
    <w:rsid w:val="00FE2FD7"/>
    <w:rsid w:val="00FF6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72E5F9"/>
  <w15:docId w15:val="{1591B344-6C65-41E7-8340-6ABFFC3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974F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31F84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F84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87358B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87358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D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D71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67222"/>
    <w:rPr>
      <w:sz w:val="22"/>
      <w:szCs w:val="22"/>
      <w:lang w:val="en-US" w:eastAsia="en-US"/>
    </w:rPr>
  </w:style>
  <w:style w:type="paragraph" w:styleId="NormalWeb">
    <w:name w:val="Normal (Web)"/>
    <w:basedOn w:val="Normal"/>
    <w:rsid w:val="00BB19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valdis.Vectirans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colka\Desktop\Ministrijas%20veidlapa%20L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FBB-89E4-4EBF-88D1-B39C726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Ministrijas veidlapa LV1</Template>
  <TotalTime>2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26.aprīļa sēdes protokollēmuma (prot.Nr.20 32.§) „Informatīvais ziņojums „Par autoostu sistēmas pilnveidošanu, lai veicinātu sistēmas darbības efektivitāti un izmaksu samazināšanu”” 3.punktā dotā uzdevuma izpildi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26.aprīļa sēdes protokollēmuma (prot.Nr.20 32.§) „Informatīvais ziņojums „Par autoostu sistēmas pilnveidošanu, lai veicinātu sistēmas darbības efektivitāti un izmaksu samazināšanu”” 3.punktā dotā uzdevuma izpildi</dc:title>
  <dc:creator>Zans.Butans@sam.gov.lv</dc:creator>
  <cp:lastModifiedBy>Astra Vilnīte</cp:lastModifiedBy>
  <cp:revision>5</cp:revision>
  <cp:lastPrinted>2017-10-20T06:29:00Z</cp:lastPrinted>
  <dcterms:created xsi:type="dcterms:W3CDTF">2017-10-20T06:30:00Z</dcterms:created>
  <dcterms:modified xsi:type="dcterms:W3CDTF">2017-10-23T07:41:00Z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