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0B26" w14:textId="77777777" w:rsidR="00C33FCB" w:rsidRDefault="00C33FCB" w:rsidP="00AE49B4">
      <w:pPr>
        <w:ind w:firstLine="709"/>
        <w:jc w:val="right"/>
      </w:pPr>
    </w:p>
    <w:p w14:paraId="7ACB7EB5" w14:textId="77777777" w:rsidR="002E648C" w:rsidRPr="003F1815" w:rsidRDefault="002E648C" w:rsidP="00AE49B4">
      <w:pPr>
        <w:ind w:firstLine="709"/>
        <w:jc w:val="right"/>
      </w:pPr>
    </w:p>
    <w:p w14:paraId="67F79E7F" w14:textId="77777777" w:rsidR="00C33FCB" w:rsidRPr="00346524" w:rsidRDefault="00C33FCB" w:rsidP="00AE49B4">
      <w:pPr>
        <w:tabs>
          <w:tab w:val="left" w:pos="567"/>
        </w:tabs>
        <w:ind w:right="-6"/>
        <w:jc w:val="center"/>
        <w:rPr>
          <w:b/>
          <w:sz w:val="28"/>
          <w:szCs w:val="28"/>
        </w:rPr>
      </w:pPr>
      <w:r w:rsidRPr="00346524">
        <w:rPr>
          <w:b/>
          <w:sz w:val="28"/>
          <w:szCs w:val="28"/>
        </w:rPr>
        <w:t>Informatīvais ziņojums par iespējamību piesaistīt papildu finansējumu ceļu uzturēšanai, pārbūvei un atjaunošanai papildus valsts budžetā paredzētajam finansējumam</w:t>
      </w:r>
    </w:p>
    <w:p w14:paraId="21886B58" w14:textId="77777777" w:rsidR="00C33FCB" w:rsidRPr="003E3A7C" w:rsidRDefault="00C33FCB" w:rsidP="00AE49B4">
      <w:pPr>
        <w:rPr>
          <w:sz w:val="28"/>
          <w:szCs w:val="28"/>
          <w:u w:val="single"/>
        </w:rPr>
      </w:pPr>
    </w:p>
    <w:p w14:paraId="098AD674" w14:textId="77777777" w:rsidR="00C33FCB" w:rsidRPr="003E3A7C" w:rsidRDefault="00C33FCB" w:rsidP="00AE49B4">
      <w:pPr>
        <w:jc w:val="center"/>
        <w:rPr>
          <w:b/>
          <w:sz w:val="28"/>
          <w:szCs w:val="28"/>
          <w:u w:val="single"/>
        </w:rPr>
      </w:pPr>
      <w:r w:rsidRPr="003E3A7C">
        <w:rPr>
          <w:b/>
          <w:sz w:val="28"/>
          <w:szCs w:val="28"/>
          <w:u w:val="single"/>
        </w:rPr>
        <w:t>Ievads</w:t>
      </w:r>
    </w:p>
    <w:p w14:paraId="2E51DE8F" w14:textId="77777777" w:rsidR="00C33FCB" w:rsidRPr="003F1815" w:rsidRDefault="00C33FCB" w:rsidP="00AE49B4">
      <w:pPr>
        <w:ind w:firstLine="709"/>
        <w:jc w:val="both"/>
      </w:pPr>
    </w:p>
    <w:p w14:paraId="15D3D331" w14:textId="77777777" w:rsidR="00C33FCB" w:rsidRPr="008C64F4" w:rsidRDefault="00C33FCB" w:rsidP="00AE49B4">
      <w:pPr>
        <w:ind w:firstLine="709"/>
        <w:jc w:val="both"/>
      </w:pPr>
      <w:r w:rsidRPr="008C64F4">
        <w:t>Informatīvais ziņojums izstrādāts, pamatojoties uz:</w:t>
      </w:r>
    </w:p>
    <w:p w14:paraId="7A59BDF6" w14:textId="77777777" w:rsidR="00C33FCB" w:rsidRPr="008C64F4" w:rsidRDefault="00C33FCB" w:rsidP="00AE49B4">
      <w:pPr>
        <w:ind w:firstLine="709"/>
        <w:jc w:val="both"/>
      </w:pPr>
      <w:r w:rsidRPr="008C64F4">
        <w:t>1. Valdības rīcības plāna 21.1. pasākumu, saskaņā ar kuru Satiksmes ministrijai uzdots:</w:t>
      </w:r>
    </w:p>
    <w:p w14:paraId="5FD98B4A" w14:textId="77777777" w:rsidR="00C33FCB" w:rsidRPr="003F1815" w:rsidRDefault="00C33FCB" w:rsidP="00AE49B4">
      <w:pPr>
        <w:ind w:firstLine="709"/>
        <w:jc w:val="both"/>
      </w:pPr>
      <w:r w:rsidRPr="003F1815">
        <w:t>1) izstrādāt priekšlikumu</w:t>
      </w:r>
      <w:r>
        <w:t>s</w:t>
      </w:r>
      <w:r w:rsidRPr="003F1815">
        <w:t xml:space="preserve"> autoceļu infrastruktūras uzturēšanas un attīstības finansēšanas modelim, lai apturētu autoceļu pakāpenisku sabrukumu un sekmētu to turpmāku attīstību;</w:t>
      </w:r>
    </w:p>
    <w:p w14:paraId="37C178B7" w14:textId="77777777" w:rsidR="00C33FCB" w:rsidRPr="003F1815" w:rsidRDefault="00C33FCB" w:rsidP="00AE49B4">
      <w:pPr>
        <w:ind w:firstLine="709"/>
        <w:jc w:val="both"/>
      </w:pPr>
      <w:r w:rsidRPr="003F1815">
        <w:t>2) sagatavot informatīvu ziņojumu, kas ļautu valdībai pieņemt pamatotu lēmumu par Valsts autoceļu sakārtošanas programmas finansēšanu un realizēšanu.</w:t>
      </w:r>
    </w:p>
    <w:p w14:paraId="1440CE5D" w14:textId="77777777" w:rsidR="00C33FCB" w:rsidRDefault="00C33FCB" w:rsidP="00AE49B4">
      <w:pPr>
        <w:tabs>
          <w:tab w:val="left" w:pos="567"/>
        </w:tabs>
        <w:ind w:firstLine="709"/>
        <w:jc w:val="both"/>
        <w:rPr>
          <w:b/>
        </w:rPr>
      </w:pPr>
      <w:r w:rsidRPr="003F1815">
        <w:t xml:space="preserve">2. </w:t>
      </w:r>
      <w:r>
        <w:t>Ministru kabineta 2016. gada 20. </w:t>
      </w:r>
      <w:r w:rsidRPr="00380E2E">
        <w:t>decembra sēdes protoko</w:t>
      </w:r>
      <w:r>
        <w:t xml:space="preserve">la (prot. Nr. 69 82.§) </w:t>
      </w:r>
      <w:r w:rsidRPr="007B4111">
        <w:t>8.</w:t>
      </w:r>
      <w:r>
        <w:t> </w:t>
      </w:r>
      <w:r w:rsidRPr="007B4111">
        <w:t>punkt</w:t>
      </w:r>
      <w:r>
        <w:t xml:space="preserve">u, kurš noteic, ka </w:t>
      </w:r>
      <w:r w:rsidRPr="00DC4338">
        <w:t>Satiksmes ministrijai sadarbībā ar Finanšu ministriju līdz 2017.</w:t>
      </w:r>
      <w:r>
        <w:t> </w:t>
      </w:r>
      <w:r w:rsidRPr="00DC4338">
        <w:t>gada 31.</w:t>
      </w:r>
      <w:r>
        <w:t> </w:t>
      </w:r>
      <w:r w:rsidRPr="00DC4338">
        <w:t xml:space="preserve">augustam </w:t>
      </w:r>
      <w:r>
        <w:t xml:space="preserve">uzdots </w:t>
      </w:r>
      <w:r w:rsidRPr="00DC4338">
        <w:t>sagatavot un iesniegt izskatīšanai Ministru kabinetā informatīvo ziņojumu par iespējamību piesaistīt papildu finansējumu ceļu uzturēšanai, pārbūvei un atjaunošanai papildus valsts budžetā paredzētajam finansējumam (piemēram, izmantojot publiskās un privātās partnerības finansēšanas modeli), ievērojot fiskālās disciplīnas nosacījumus</w:t>
      </w:r>
      <w:r w:rsidRPr="00DC4338">
        <w:rPr>
          <w:b/>
        </w:rPr>
        <w:t>.</w:t>
      </w:r>
    </w:p>
    <w:p w14:paraId="15397D03" w14:textId="77777777" w:rsidR="004406A6" w:rsidRPr="004406A6" w:rsidRDefault="004406A6" w:rsidP="00AE49B4">
      <w:pPr>
        <w:tabs>
          <w:tab w:val="left" w:pos="567"/>
        </w:tabs>
        <w:ind w:firstLine="709"/>
        <w:jc w:val="both"/>
      </w:pPr>
      <w:r w:rsidRPr="004406A6">
        <w:t xml:space="preserve">3. Ministru prezidenta </w:t>
      </w:r>
      <w:r>
        <w:t>2017. gada 27. jūlija rezolūciju</w:t>
      </w:r>
      <w:r w:rsidRPr="004406A6">
        <w:t xml:space="preserve"> Nr. 90/TA-1601, saskaņā ar kuru satiksmes ministram uzdots </w:t>
      </w:r>
      <w:r>
        <w:t>sagatavot atbildes projektu</w:t>
      </w:r>
      <w:r w:rsidRPr="004406A6">
        <w:t xml:space="preserve"> </w:t>
      </w:r>
      <w:r>
        <w:t>uz</w:t>
      </w:r>
      <w:r w:rsidRPr="004406A6">
        <w:t xml:space="preserve"> Saeimas Tautsaimniecības, agrārās, vides un reģionālās politikas komisijas 2017. gada 21. jūlija vēstuli Nr. 142.9/8-25-12/17, kurā Ministru kabinetam lūgts iesniegt savu redzējumu par Valsts autoceļu fonda kā speciālā budžeta atjaunošanu, paredzot finansējuma iezīmēšanu tā darbības nodrošināšanai</w:t>
      </w:r>
      <w:r>
        <w:t>.</w:t>
      </w:r>
    </w:p>
    <w:p w14:paraId="597D8A8B" w14:textId="77777777" w:rsidR="00C33FCB" w:rsidRPr="003F1815" w:rsidRDefault="00C33FCB" w:rsidP="00AE49B4">
      <w:pPr>
        <w:jc w:val="both"/>
      </w:pPr>
    </w:p>
    <w:p w14:paraId="4038E803" w14:textId="77777777" w:rsidR="00C33FCB" w:rsidRPr="003E3A7C" w:rsidRDefault="00C33FCB" w:rsidP="00AE49B4">
      <w:pPr>
        <w:tabs>
          <w:tab w:val="left" w:pos="426"/>
        </w:tabs>
        <w:jc w:val="center"/>
        <w:rPr>
          <w:b/>
          <w:sz w:val="28"/>
          <w:szCs w:val="28"/>
          <w:u w:val="single"/>
        </w:rPr>
      </w:pPr>
      <w:r w:rsidRPr="003E3A7C">
        <w:rPr>
          <w:b/>
          <w:sz w:val="28"/>
          <w:szCs w:val="28"/>
          <w:u w:val="single"/>
        </w:rPr>
        <w:t>Pašreizējā situācija</w:t>
      </w:r>
    </w:p>
    <w:p w14:paraId="62299C0C" w14:textId="77777777" w:rsidR="00C33FCB" w:rsidRPr="003F1815" w:rsidRDefault="00C33FCB" w:rsidP="00AE49B4">
      <w:pPr>
        <w:pStyle w:val="naisf"/>
        <w:spacing w:before="0" w:after="0"/>
        <w:ind w:firstLine="709"/>
      </w:pPr>
    </w:p>
    <w:p w14:paraId="715453D8" w14:textId="77777777" w:rsidR="00C33FCB" w:rsidRPr="003F1815" w:rsidRDefault="00C33FCB" w:rsidP="00AE49B4">
      <w:pPr>
        <w:ind w:right="-2" w:firstLine="709"/>
        <w:jc w:val="both"/>
      </w:pPr>
      <w:r w:rsidRPr="003F1815">
        <w:t xml:space="preserve">Saskaņā ar likuma “Par autoceļiem” 4. panta pirmo daļu valsts autoceļi (galvenie, reģionālie un vietējie) un to zemes, </w:t>
      </w:r>
      <w:r>
        <w:t>tostarp</w:t>
      </w:r>
      <w:r w:rsidRPr="003F1815">
        <w:t xml:space="preserve"> ceļu zemes nodalījuma joslas, ar visām šo autoceļu kompleksā ietilpstošajām būvēm ir Latvijas Repu</w:t>
      </w:r>
      <w:r>
        <w:t>blikas īpašums, kas nodots VAS “Latvijas Valsts ceļi”</w:t>
      </w:r>
      <w:r w:rsidRPr="003F1815">
        <w:t xml:space="preserve"> </w:t>
      </w:r>
      <w:r>
        <w:t xml:space="preserve">(turpmāk – LVC) </w:t>
      </w:r>
      <w:r w:rsidRPr="003F1815">
        <w:t>pārziņā saskaņā ar deleģēšanas līgumu. Saskaņā ar likuma “Par autoceļiem” 23.</w:t>
      </w:r>
      <w:r w:rsidRPr="003F1815">
        <w:rPr>
          <w:vertAlign w:val="superscript"/>
        </w:rPr>
        <w:t>2</w:t>
      </w:r>
      <w:r>
        <w:t> </w:t>
      </w:r>
      <w:r w:rsidRPr="003F1815">
        <w:t>pantu un deleģēšanas līgumu valsts autoceļu kompleksās ikdienas uzturēšanas darbu veikšana ir nodota VAS “Latvijas autoceļu uzturētājs”.</w:t>
      </w:r>
    </w:p>
    <w:p w14:paraId="4B217D5B" w14:textId="77777777" w:rsidR="00C33FCB" w:rsidRPr="003F1815" w:rsidRDefault="00C33FCB" w:rsidP="00AE49B4">
      <w:pPr>
        <w:ind w:right="-2" w:firstLine="709"/>
        <w:jc w:val="both"/>
      </w:pPr>
      <w:r w:rsidRPr="003F1815">
        <w:t>Nacionālajā attīstības plānā 2014. – 2020. gadam (turpmāk – NAP2020) ir izvirzīts mērķis „[397] Nodrošināt attīstības centru ērtu un drošu sasniedzamību, t.sk., panākot 2020.gadā labu braukšanas kvalitāti pa autoceļiem, kas savieno nacionālas un reģionālas nozīmes attīstības centrus(..)”.</w:t>
      </w:r>
    </w:p>
    <w:p w14:paraId="5ED2D783" w14:textId="77777777" w:rsidR="00C33FCB" w:rsidRDefault="00C33FCB" w:rsidP="00AE49B4">
      <w:pPr>
        <w:ind w:firstLine="720"/>
        <w:jc w:val="both"/>
      </w:pPr>
      <w:r w:rsidRPr="006F2E96">
        <w:t xml:space="preserve">LVC pārvaldījumā ir 20 122 km valsts autoceļu, no kuriem 9 012 km jeb 45 procenti ir ar melno segumu un 11 110 km jeb 55 procenti ir ar grants segumu. Detalizētāks sadalījums parādīts </w:t>
      </w:r>
      <w:r>
        <w:t>1</w:t>
      </w:r>
      <w:r w:rsidRPr="006F2E96">
        <w:t>. tabulā.</w:t>
      </w:r>
    </w:p>
    <w:p w14:paraId="59A2930E" w14:textId="77777777" w:rsidR="00632ABE" w:rsidRDefault="00632ABE" w:rsidP="00632ABE">
      <w:pPr>
        <w:ind w:right="-1" w:firstLine="720"/>
        <w:jc w:val="both"/>
      </w:pPr>
      <w:r>
        <w:t>P</w:t>
      </w:r>
      <w:r w:rsidRPr="003F1815">
        <w:t>ašreizējais</w:t>
      </w:r>
      <w:r w:rsidRPr="00632ABE">
        <w:rPr>
          <w:b/>
        </w:rPr>
        <w:t xml:space="preserve"> Valsts autoceļu ar melno segumu vizuālais vērtējums</w:t>
      </w:r>
      <w:r w:rsidRPr="008B788F">
        <w:t>. 2016. gadā 24 </w:t>
      </w:r>
      <w:r>
        <w:t>procenti</w:t>
      </w:r>
      <w:r w:rsidRPr="008B788F">
        <w:t xml:space="preserve"> jeb 2 204 km autoceļu ar melno segumu bija klasificējami kā sabrukuši un tiem </w:t>
      </w:r>
      <w:r>
        <w:t>bija</w:t>
      </w:r>
      <w:r w:rsidRPr="008B788F">
        <w:t xml:space="preserve"> nepieciešama segas pārbūve (2014. gadā – 26 </w:t>
      </w:r>
      <w:r>
        <w:t>procenti</w:t>
      </w:r>
      <w:r w:rsidRPr="008B788F">
        <w:t xml:space="preserve">, 2015. gadā – 25 </w:t>
      </w:r>
      <w:r>
        <w:t>procenti</w:t>
      </w:r>
      <w:r w:rsidRPr="008B788F">
        <w:t xml:space="preserve">). Detalizētāka informācija par valsts autoceļu ar melno segumu stāvokli ir parādīta </w:t>
      </w:r>
      <w:r>
        <w:t>2</w:t>
      </w:r>
      <w:r w:rsidRPr="008B788F">
        <w:t>. tabulā.</w:t>
      </w:r>
    </w:p>
    <w:p w14:paraId="4CF07174" w14:textId="77777777" w:rsidR="00C33FCB" w:rsidRDefault="00C33FCB" w:rsidP="00AE49B4">
      <w:pPr>
        <w:ind w:firstLine="720"/>
        <w:jc w:val="both"/>
      </w:pPr>
    </w:p>
    <w:p w14:paraId="3F3D4229" w14:textId="77777777" w:rsidR="00F5659E" w:rsidRDefault="00F5659E" w:rsidP="00AE49B4">
      <w:pPr>
        <w:ind w:firstLine="720"/>
        <w:jc w:val="both"/>
      </w:pPr>
    </w:p>
    <w:p w14:paraId="2C2002A0" w14:textId="77777777" w:rsidR="00C33FCB" w:rsidRPr="007A05A7" w:rsidRDefault="00C33FCB" w:rsidP="00AE49B4">
      <w:pPr>
        <w:pStyle w:val="ListParagraph"/>
        <w:numPr>
          <w:ilvl w:val="0"/>
          <w:numId w:val="5"/>
        </w:numPr>
        <w:tabs>
          <w:tab w:val="left" w:pos="3510"/>
          <w:tab w:val="right" w:pos="8400"/>
        </w:tabs>
        <w:ind w:hanging="536"/>
        <w:rPr>
          <w:b/>
          <w:sz w:val="20"/>
        </w:rPr>
      </w:pPr>
      <w:r w:rsidRPr="007A05A7">
        <w:rPr>
          <w:b/>
          <w:sz w:val="20"/>
        </w:rPr>
        <w:lastRenderedPageBreak/>
        <w:t>tabula</w:t>
      </w:r>
    </w:p>
    <w:p w14:paraId="631184E5" w14:textId="77777777" w:rsidR="00C33FCB" w:rsidRPr="007A05A7" w:rsidRDefault="00C33FCB" w:rsidP="00AE49B4">
      <w:pPr>
        <w:pStyle w:val="ListParagraph"/>
        <w:tabs>
          <w:tab w:val="left" w:pos="3510"/>
          <w:tab w:val="right" w:pos="9071"/>
        </w:tabs>
        <w:ind w:left="0"/>
        <w:jc w:val="center"/>
        <w:rPr>
          <w:b/>
        </w:rPr>
      </w:pPr>
      <w:r w:rsidRPr="007A05A7">
        <w:rPr>
          <w:b/>
        </w:rPr>
        <w:t>Valsts autoceļu garums 2016. gada 31. decembrī</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1105"/>
        <w:gridCol w:w="1135"/>
        <w:gridCol w:w="1246"/>
        <w:gridCol w:w="1119"/>
        <w:gridCol w:w="1218"/>
        <w:gridCol w:w="1081"/>
      </w:tblGrid>
      <w:tr w:rsidR="00C33FCB" w:rsidRPr="006F2E96" w14:paraId="4BD3D73A" w14:textId="77777777" w:rsidTr="00672350">
        <w:trPr>
          <w:trHeight w:val="642"/>
          <w:jc w:val="center"/>
        </w:trPr>
        <w:tc>
          <w:tcPr>
            <w:tcW w:w="2145" w:type="dxa"/>
            <w:vMerge w:val="restart"/>
            <w:vAlign w:val="center"/>
          </w:tcPr>
          <w:p w14:paraId="32243E0D" w14:textId="77777777" w:rsidR="00C33FCB" w:rsidRPr="006F2E96" w:rsidRDefault="00C33FCB" w:rsidP="00AE49B4">
            <w:pPr>
              <w:jc w:val="center"/>
              <w:rPr>
                <w:b/>
                <w:bCs/>
              </w:rPr>
            </w:pPr>
            <w:r w:rsidRPr="006F2E96">
              <w:rPr>
                <w:b/>
                <w:bCs/>
              </w:rPr>
              <w:t>Valsts autoceļi</w:t>
            </w:r>
          </w:p>
        </w:tc>
        <w:tc>
          <w:tcPr>
            <w:tcW w:w="1105" w:type="dxa"/>
            <w:vAlign w:val="center"/>
          </w:tcPr>
          <w:p w14:paraId="336D520A" w14:textId="77777777" w:rsidR="00C33FCB" w:rsidRPr="006F2E96" w:rsidRDefault="00C33FCB" w:rsidP="00AE49B4">
            <w:pPr>
              <w:jc w:val="center"/>
              <w:rPr>
                <w:b/>
                <w:bCs/>
              </w:rPr>
            </w:pPr>
            <w:r w:rsidRPr="006F2E96">
              <w:rPr>
                <w:b/>
                <w:bCs/>
              </w:rPr>
              <w:t>Kopā</w:t>
            </w:r>
          </w:p>
        </w:tc>
        <w:tc>
          <w:tcPr>
            <w:tcW w:w="1135" w:type="dxa"/>
            <w:vAlign w:val="center"/>
          </w:tcPr>
          <w:p w14:paraId="03F110E5" w14:textId="77777777" w:rsidR="00C33FCB" w:rsidRPr="006F2E96" w:rsidRDefault="00C33FCB" w:rsidP="00AE49B4">
            <w:pPr>
              <w:jc w:val="center"/>
              <w:rPr>
                <w:b/>
                <w:bCs/>
              </w:rPr>
            </w:pPr>
            <w:r w:rsidRPr="006F2E96">
              <w:rPr>
                <w:b/>
                <w:bCs/>
              </w:rPr>
              <w:t>% no kopējā garuma</w:t>
            </w:r>
          </w:p>
        </w:tc>
        <w:tc>
          <w:tcPr>
            <w:tcW w:w="1246" w:type="dxa"/>
            <w:vAlign w:val="center"/>
          </w:tcPr>
          <w:p w14:paraId="5221CAB3" w14:textId="77777777" w:rsidR="00C33FCB" w:rsidRPr="006F2E96" w:rsidRDefault="00C33FCB" w:rsidP="00AE49B4">
            <w:pPr>
              <w:jc w:val="center"/>
              <w:rPr>
                <w:b/>
                <w:bCs/>
              </w:rPr>
            </w:pPr>
            <w:r w:rsidRPr="006F2E96">
              <w:rPr>
                <w:b/>
                <w:bCs/>
              </w:rPr>
              <w:t>Ar melno segumu</w:t>
            </w:r>
          </w:p>
        </w:tc>
        <w:tc>
          <w:tcPr>
            <w:tcW w:w="1119" w:type="dxa"/>
            <w:vAlign w:val="center"/>
          </w:tcPr>
          <w:p w14:paraId="756A26FE" w14:textId="77777777" w:rsidR="00C33FCB" w:rsidRPr="006F2E96" w:rsidRDefault="00C33FCB" w:rsidP="00AE49B4">
            <w:pPr>
              <w:jc w:val="center"/>
              <w:rPr>
                <w:b/>
                <w:bCs/>
              </w:rPr>
            </w:pPr>
            <w:r w:rsidRPr="006F2E96">
              <w:rPr>
                <w:b/>
                <w:bCs/>
              </w:rPr>
              <w:t>% no kopējā garuma</w:t>
            </w:r>
          </w:p>
        </w:tc>
        <w:tc>
          <w:tcPr>
            <w:tcW w:w="1218" w:type="dxa"/>
            <w:vAlign w:val="center"/>
          </w:tcPr>
          <w:p w14:paraId="0466C2AE" w14:textId="77777777" w:rsidR="00C33FCB" w:rsidRPr="006F2E96" w:rsidRDefault="00C33FCB" w:rsidP="00AE49B4">
            <w:pPr>
              <w:jc w:val="center"/>
              <w:rPr>
                <w:b/>
                <w:bCs/>
              </w:rPr>
            </w:pPr>
            <w:r w:rsidRPr="006F2E96">
              <w:rPr>
                <w:b/>
                <w:bCs/>
              </w:rPr>
              <w:t>Ar grants segumu</w:t>
            </w:r>
          </w:p>
        </w:tc>
        <w:tc>
          <w:tcPr>
            <w:tcW w:w="1081" w:type="dxa"/>
            <w:vAlign w:val="center"/>
          </w:tcPr>
          <w:p w14:paraId="75474FF8" w14:textId="77777777" w:rsidR="00C33FCB" w:rsidRPr="006F2E96" w:rsidRDefault="00C33FCB" w:rsidP="00AE49B4">
            <w:pPr>
              <w:jc w:val="center"/>
              <w:rPr>
                <w:b/>
                <w:bCs/>
              </w:rPr>
            </w:pPr>
            <w:r w:rsidRPr="006F2E96">
              <w:rPr>
                <w:b/>
                <w:bCs/>
              </w:rPr>
              <w:t>% no kopējā garuma</w:t>
            </w:r>
          </w:p>
        </w:tc>
      </w:tr>
      <w:tr w:rsidR="00C33FCB" w:rsidRPr="006F2E96" w14:paraId="6BC89846" w14:textId="77777777" w:rsidTr="00672350">
        <w:trPr>
          <w:trHeight w:val="73"/>
          <w:jc w:val="center"/>
        </w:trPr>
        <w:tc>
          <w:tcPr>
            <w:tcW w:w="2145" w:type="dxa"/>
            <w:vMerge/>
            <w:vAlign w:val="center"/>
          </w:tcPr>
          <w:p w14:paraId="18F4A8E9" w14:textId="77777777" w:rsidR="00C33FCB" w:rsidRPr="006F2E96" w:rsidRDefault="00C33FCB" w:rsidP="00AE49B4">
            <w:pPr>
              <w:rPr>
                <w:b/>
                <w:bCs/>
              </w:rPr>
            </w:pPr>
          </w:p>
        </w:tc>
        <w:tc>
          <w:tcPr>
            <w:tcW w:w="1105" w:type="dxa"/>
            <w:vAlign w:val="center"/>
          </w:tcPr>
          <w:p w14:paraId="7D00A824" w14:textId="77777777" w:rsidR="00C33FCB" w:rsidRPr="006F2E96" w:rsidRDefault="00C33FCB" w:rsidP="00AE49B4">
            <w:pPr>
              <w:jc w:val="center"/>
              <w:rPr>
                <w:b/>
                <w:bCs/>
              </w:rPr>
            </w:pPr>
            <w:r w:rsidRPr="006F2E96">
              <w:rPr>
                <w:b/>
                <w:bCs/>
              </w:rPr>
              <w:t>km</w:t>
            </w:r>
          </w:p>
        </w:tc>
        <w:tc>
          <w:tcPr>
            <w:tcW w:w="1135" w:type="dxa"/>
            <w:vAlign w:val="center"/>
          </w:tcPr>
          <w:p w14:paraId="1D3F6172" w14:textId="77777777" w:rsidR="00C33FCB" w:rsidRPr="006F2E96" w:rsidRDefault="00C33FCB" w:rsidP="00AE49B4">
            <w:pPr>
              <w:jc w:val="center"/>
              <w:rPr>
                <w:b/>
                <w:bCs/>
              </w:rPr>
            </w:pPr>
            <w:r w:rsidRPr="006F2E96">
              <w:rPr>
                <w:b/>
                <w:bCs/>
              </w:rPr>
              <w:t>%</w:t>
            </w:r>
          </w:p>
        </w:tc>
        <w:tc>
          <w:tcPr>
            <w:tcW w:w="1246" w:type="dxa"/>
            <w:vAlign w:val="center"/>
          </w:tcPr>
          <w:p w14:paraId="238A0957" w14:textId="77777777" w:rsidR="00C33FCB" w:rsidRPr="006F2E96" w:rsidRDefault="00C33FCB" w:rsidP="00AE49B4">
            <w:pPr>
              <w:jc w:val="center"/>
              <w:rPr>
                <w:b/>
                <w:bCs/>
              </w:rPr>
            </w:pPr>
            <w:r w:rsidRPr="006F2E96">
              <w:rPr>
                <w:b/>
                <w:bCs/>
              </w:rPr>
              <w:t>km</w:t>
            </w:r>
          </w:p>
        </w:tc>
        <w:tc>
          <w:tcPr>
            <w:tcW w:w="1119" w:type="dxa"/>
            <w:vAlign w:val="center"/>
          </w:tcPr>
          <w:p w14:paraId="0195078E" w14:textId="77777777" w:rsidR="00C33FCB" w:rsidRPr="006F2E96" w:rsidRDefault="00C33FCB" w:rsidP="00AE49B4">
            <w:pPr>
              <w:jc w:val="center"/>
              <w:rPr>
                <w:b/>
                <w:bCs/>
              </w:rPr>
            </w:pPr>
            <w:r w:rsidRPr="006F2E96">
              <w:rPr>
                <w:b/>
                <w:bCs/>
              </w:rPr>
              <w:t>%</w:t>
            </w:r>
          </w:p>
        </w:tc>
        <w:tc>
          <w:tcPr>
            <w:tcW w:w="1218" w:type="dxa"/>
            <w:vAlign w:val="center"/>
          </w:tcPr>
          <w:p w14:paraId="4D4F87DC" w14:textId="77777777" w:rsidR="00C33FCB" w:rsidRPr="006F2E96" w:rsidRDefault="00C33FCB" w:rsidP="00AE49B4">
            <w:pPr>
              <w:jc w:val="center"/>
              <w:rPr>
                <w:b/>
                <w:bCs/>
              </w:rPr>
            </w:pPr>
            <w:r w:rsidRPr="006F2E96">
              <w:rPr>
                <w:b/>
                <w:bCs/>
              </w:rPr>
              <w:t>km</w:t>
            </w:r>
          </w:p>
        </w:tc>
        <w:tc>
          <w:tcPr>
            <w:tcW w:w="1081" w:type="dxa"/>
            <w:vAlign w:val="center"/>
          </w:tcPr>
          <w:p w14:paraId="7F1BE261" w14:textId="77777777" w:rsidR="00C33FCB" w:rsidRPr="006F2E96" w:rsidRDefault="00C33FCB" w:rsidP="00AE49B4">
            <w:pPr>
              <w:jc w:val="center"/>
              <w:rPr>
                <w:b/>
                <w:bCs/>
              </w:rPr>
            </w:pPr>
            <w:r w:rsidRPr="006F2E96">
              <w:rPr>
                <w:b/>
                <w:bCs/>
              </w:rPr>
              <w:t>%</w:t>
            </w:r>
          </w:p>
        </w:tc>
      </w:tr>
      <w:tr w:rsidR="00C33FCB" w:rsidRPr="006F2E96" w14:paraId="658C409D" w14:textId="77777777" w:rsidTr="00672350">
        <w:trPr>
          <w:trHeight w:val="43"/>
          <w:jc w:val="center"/>
        </w:trPr>
        <w:tc>
          <w:tcPr>
            <w:tcW w:w="2145" w:type="dxa"/>
            <w:vAlign w:val="center"/>
          </w:tcPr>
          <w:p w14:paraId="0986AB25" w14:textId="77777777" w:rsidR="00C33FCB" w:rsidRPr="006F2E96" w:rsidRDefault="00C33FCB" w:rsidP="00AE49B4">
            <w:r w:rsidRPr="006F2E96">
              <w:t>Galvenie autoceļi</w:t>
            </w:r>
          </w:p>
        </w:tc>
        <w:tc>
          <w:tcPr>
            <w:tcW w:w="1105" w:type="dxa"/>
            <w:vAlign w:val="center"/>
          </w:tcPr>
          <w:p w14:paraId="0E606BB5" w14:textId="77777777" w:rsidR="00C33FCB" w:rsidRPr="006F2E96" w:rsidRDefault="00C33FCB" w:rsidP="00CB4F15">
            <w:pPr>
              <w:jc w:val="center"/>
            </w:pPr>
            <w:r w:rsidRPr="006F2E96">
              <w:t>1 672</w:t>
            </w:r>
          </w:p>
        </w:tc>
        <w:tc>
          <w:tcPr>
            <w:tcW w:w="1135" w:type="dxa"/>
            <w:noWrap/>
            <w:vAlign w:val="center"/>
          </w:tcPr>
          <w:p w14:paraId="2410BA40" w14:textId="77777777" w:rsidR="00C33FCB" w:rsidRPr="006F2E96" w:rsidRDefault="00C33FCB" w:rsidP="00CB4F15">
            <w:pPr>
              <w:jc w:val="center"/>
            </w:pPr>
            <w:r w:rsidRPr="006F2E96">
              <w:t>8</w:t>
            </w:r>
          </w:p>
        </w:tc>
        <w:tc>
          <w:tcPr>
            <w:tcW w:w="1246" w:type="dxa"/>
            <w:vAlign w:val="center"/>
          </w:tcPr>
          <w:p w14:paraId="30C5E545" w14:textId="77777777" w:rsidR="00C33FCB" w:rsidRPr="006F2E96" w:rsidRDefault="00C33FCB" w:rsidP="00CB4F15">
            <w:pPr>
              <w:jc w:val="center"/>
            </w:pPr>
            <w:r w:rsidRPr="006F2E96">
              <w:t>1 672</w:t>
            </w:r>
          </w:p>
        </w:tc>
        <w:tc>
          <w:tcPr>
            <w:tcW w:w="1119" w:type="dxa"/>
            <w:noWrap/>
            <w:vAlign w:val="center"/>
          </w:tcPr>
          <w:p w14:paraId="32F94E80" w14:textId="77777777" w:rsidR="00C33FCB" w:rsidRPr="006F2E96" w:rsidRDefault="00C33FCB" w:rsidP="00CB4F15">
            <w:pPr>
              <w:jc w:val="center"/>
            </w:pPr>
            <w:r w:rsidRPr="006F2E96">
              <w:t>100</w:t>
            </w:r>
          </w:p>
        </w:tc>
        <w:tc>
          <w:tcPr>
            <w:tcW w:w="1218" w:type="dxa"/>
            <w:vAlign w:val="center"/>
          </w:tcPr>
          <w:p w14:paraId="21455473" w14:textId="77777777" w:rsidR="00C33FCB" w:rsidRPr="006F2E96" w:rsidRDefault="00C33FCB" w:rsidP="00CB4F15">
            <w:pPr>
              <w:jc w:val="center"/>
            </w:pPr>
            <w:r w:rsidRPr="006F2E96">
              <w:t>-</w:t>
            </w:r>
          </w:p>
        </w:tc>
        <w:tc>
          <w:tcPr>
            <w:tcW w:w="1081" w:type="dxa"/>
            <w:noWrap/>
            <w:vAlign w:val="center"/>
          </w:tcPr>
          <w:p w14:paraId="7BC59258" w14:textId="77777777" w:rsidR="00C33FCB" w:rsidRPr="006F2E96" w:rsidRDefault="00C33FCB" w:rsidP="00CB4F15">
            <w:pPr>
              <w:jc w:val="center"/>
            </w:pPr>
            <w:r w:rsidRPr="006F2E96">
              <w:t>-</w:t>
            </w:r>
          </w:p>
        </w:tc>
      </w:tr>
      <w:tr w:rsidR="00C33FCB" w:rsidRPr="006F2E96" w14:paraId="2A79FA1D" w14:textId="77777777" w:rsidTr="00672350">
        <w:trPr>
          <w:trHeight w:val="43"/>
          <w:jc w:val="center"/>
        </w:trPr>
        <w:tc>
          <w:tcPr>
            <w:tcW w:w="2145" w:type="dxa"/>
            <w:vAlign w:val="center"/>
          </w:tcPr>
          <w:p w14:paraId="5097B09C" w14:textId="77777777" w:rsidR="00C33FCB" w:rsidRPr="006F2E96" w:rsidRDefault="00C33FCB" w:rsidP="00AE49B4">
            <w:r w:rsidRPr="006F2E96">
              <w:t>Reģionālie autoceļi</w:t>
            </w:r>
          </w:p>
        </w:tc>
        <w:tc>
          <w:tcPr>
            <w:tcW w:w="1105" w:type="dxa"/>
            <w:vAlign w:val="center"/>
          </w:tcPr>
          <w:p w14:paraId="665F27E3" w14:textId="77777777" w:rsidR="00C33FCB" w:rsidRPr="006F2E96" w:rsidRDefault="00C33FCB" w:rsidP="00CB4F15">
            <w:pPr>
              <w:jc w:val="center"/>
            </w:pPr>
            <w:r w:rsidRPr="006F2E96">
              <w:t>5 466</w:t>
            </w:r>
          </w:p>
        </w:tc>
        <w:tc>
          <w:tcPr>
            <w:tcW w:w="1135" w:type="dxa"/>
            <w:noWrap/>
            <w:vAlign w:val="center"/>
          </w:tcPr>
          <w:p w14:paraId="6B8A19C9" w14:textId="77777777" w:rsidR="00C33FCB" w:rsidRPr="006F2E96" w:rsidRDefault="00C33FCB" w:rsidP="00CB4F15">
            <w:pPr>
              <w:jc w:val="center"/>
            </w:pPr>
            <w:r w:rsidRPr="006F2E96">
              <w:t>27</w:t>
            </w:r>
          </w:p>
        </w:tc>
        <w:tc>
          <w:tcPr>
            <w:tcW w:w="1246" w:type="dxa"/>
            <w:vAlign w:val="center"/>
          </w:tcPr>
          <w:p w14:paraId="2C0C2A8F" w14:textId="77777777" w:rsidR="00C33FCB" w:rsidRPr="006F2E96" w:rsidRDefault="00C33FCB" w:rsidP="00CB4F15">
            <w:pPr>
              <w:jc w:val="center"/>
            </w:pPr>
            <w:r w:rsidRPr="006F2E96">
              <w:t>4 611</w:t>
            </w:r>
          </w:p>
        </w:tc>
        <w:tc>
          <w:tcPr>
            <w:tcW w:w="1119" w:type="dxa"/>
            <w:noWrap/>
            <w:vAlign w:val="center"/>
          </w:tcPr>
          <w:p w14:paraId="69C97136" w14:textId="77777777" w:rsidR="00C33FCB" w:rsidRPr="006F2E96" w:rsidRDefault="00C33FCB" w:rsidP="00CB4F15">
            <w:pPr>
              <w:jc w:val="center"/>
            </w:pPr>
            <w:r w:rsidRPr="006F2E96">
              <w:t>84</w:t>
            </w:r>
          </w:p>
        </w:tc>
        <w:tc>
          <w:tcPr>
            <w:tcW w:w="1218" w:type="dxa"/>
            <w:vAlign w:val="center"/>
          </w:tcPr>
          <w:p w14:paraId="70090679" w14:textId="77777777" w:rsidR="00C33FCB" w:rsidRPr="006F2E96" w:rsidRDefault="00C33FCB" w:rsidP="00CB4F15">
            <w:pPr>
              <w:jc w:val="center"/>
            </w:pPr>
            <w:r w:rsidRPr="006F2E96">
              <w:t>855</w:t>
            </w:r>
          </w:p>
        </w:tc>
        <w:tc>
          <w:tcPr>
            <w:tcW w:w="1081" w:type="dxa"/>
            <w:noWrap/>
            <w:vAlign w:val="center"/>
          </w:tcPr>
          <w:p w14:paraId="254A3257" w14:textId="77777777" w:rsidR="00C33FCB" w:rsidRPr="006F2E96" w:rsidRDefault="00C33FCB" w:rsidP="00CB4F15">
            <w:pPr>
              <w:jc w:val="center"/>
            </w:pPr>
            <w:r w:rsidRPr="006F2E96">
              <w:t>16</w:t>
            </w:r>
          </w:p>
        </w:tc>
      </w:tr>
      <w:tr w:rsidR="00C33FCB" w:rsidRPr="006F2E96" w14:paraId="0D2AB127" w14:textId="77777777" w:rsidTr="00672350">
        <w:trPr>
          <w:trHeight w:val="185"/>
          <w:jc w:val="center"/>
        </w:trPr>
        <w:tc>
          <w:tcPr>
            <w:tcW w:w="2145" w:type="dxa"/>
            <w:vAlign w:val="center"/>
          </w:tcPr>
          <w:p w14:paraId="247D0174" w14:textId="77777777" w:rsidR="00C33FCB" w:rsidRPr="006F2E96" w:rsidRDefault="00C33FCB" w:rsidP="00AE49B4">
            <w:r w:rsidRPr="006F2E96">
              <w:t>Vietējie autoceļi</w:t>
            </w:r>
          </w:p>
        </w:tc>
        <w:tc>
          <w:tcPr>
            <w:tcW w:w="1105" w:type="dxa"/>
            <w:vAlign w:val="center"/>
          </w:tcPr>
          <w:p w14:paraId="6AAD8D97" w14:textId="77777777" w:rsidR="00C33FCB" w:rsidRPr="006F2E96" w:rsidRDefault="00C33FCB" w:rsidP="00CB4F15">
            <w:pPr>
              <w:jc w:val="center"/>
            </w:pPr>
            <w:r w:rsidRPr="006F2E96">
              <w:t>12 927</w:t>
            </w:r>
          </w:p>
        </w:tc>
        <w:tc>
          <w:tcPr>
            <w:tcW w:w="1135" w:type="dxa"/>
            <w:noWrap/>
            <w:vAlign w:val="center"/>
          </w:tcPr>
          <w:p w14:paraId="1F1DBA84" w14:textId="77777777" w:rsidR="00C33FCB" w:rsidRPr="006F2E96" w:rsidRDefault="00C33FCB" w:rsidP="00CB4F15">
            <w:pPr>
              <w:jc w:val="center"/>
            </w:pPr>
            <w:r w:rsidRPr="006F2E96">
              <w:t>65</w:t>
            </w:r>
          </w:p>
        </w:tc>
        <w:tc>
          <w:tcPr>
            <w:tcW w:w="1246" w:type="dxa"/>
            <w:vAlign w:val="center"/>
          </w:tcPr>
          <w:p w14:paraId="52891991" w14:textId="77777777" w:rsidR="00C33FCB" w:rsidRPr="006F2E96" w:rsidRDefault="00C33FCB" w:rsidP="00CB4F15">
            <w:pPr>
              <w:jc w:val="center"/>
            </w:pPr>
            <w:r w:rsidRPr="006F2E96">
              <w:t>2 725</w:t>
            </w:r>
          </w:p>
        </w:tc>
        <w:tc>
          <w:tcPr>
            <w:tcW w:w="1119" w:type="dxa"/>
            <w:noWrap/>
            <w:vAlign w:val="center"/>
          </w:tcPr>
          <w:p w14:paraId="70A6B1AE" w14:textId="77777777" w:rsidR="00C33FCB" w:rsidRPr="006F2E96" w:rsidRDefault="00C33FCB" w:rsidP="00CB4F15">
            <w:pPr>
              <w:jc w:val="center"/>
            </w:pPr>
            <w:r w:rsidRPr="006F2E96">
              <w:t>21</w:t>
            </w:r>
          </w:p>
        </w:tc>
        <w:tc>
          <w:tcPr>
            <w:tcW w:w="1218" w:type="dxa"/>
            <w:vAlign w:val="center"/>
          </w:tcPr>
          <w:p w14:paraId="45FB5087" w14:textId="77777777" w:rsidR="00C33FCB" w:rsidRPr="006F2E96" w:rsidRDefault="00C33FCB" w:rsidP="00CB4F15">
            <w:pPr>
              <w:jc w:val="center"/>
            </w:pPr>
            <w:r w:rsidRPr="006F2E96">
              <w:t>10 202</w:t>
            </w:r>
          </w:p>
        </w:tc>
        <w:tc>
          <w:tcPr>
            <w:tcW w:w="1081" w:type="dxa"/>
            <w:noWrap/>
            <w:vAlign w:val="center"/>
          </w:tcPr>
          <w:p w14:paraId="554D2FAC" w14:textId="77777777" w:rsidR="00C33FCB" w:rsidRPr="006F2E96" w:rsidRDefault="00C33FCB" w:rsidP="00CB4F15">
            <w:pPr>
              <w:jc w:val="center"/>
            </w:pPr>
            <w:r w:rsidRPr="006F2E96">
              <w:t>79</w:t>
            </w:r>
          </w:p>
        </w:tc>
      </w:tr>
      <w:tr w:rsidR="00C33FCB" w:rsidRPr="006F2E96" w14:paraId="5F888B7C" w14:textId="77777777" w:rsidTr="00672350">
        <w:trPr>
          <w:trHeight w:val="43"/>
          <w:jc w:val="center"/>
        </w:trPr>
        <w:tc>
          <w:tcPr>
            <w:tcW w:w="2145" w:type="dxa"/>
            <w:vAlign w:val="center"/>
          </w:tcPr>
          <w:p w14:paraId="39DAEC93" w14:textId="77777777" w:rsidR="00C33FCB" w:rsidRPr="006F2E96" w:rsidRDefault="00C33FCB" w:rsidP="00AE49B4">
            <w:pPr>
              <w:rPr>
                <w:b/>
                <w:bCs/>
              </w:rPr>
            </w:pPr>
            <w:r w:rsidRPr="006F2E96">
              <w:rPr>
                <w:b/>
                <w:bCs/>
              </w:rPr>
              <w:t>Kopā</w:t>
            </w:r>
          </w:p>
        </w:tc>
        <w:tc>
          <w:tcPr>
            <w:tcW w:w="1105" w:type="dxa"/>
            <w:vAlign w:val="center"/>
          </w:tcPr>
          <w:p w14:paraId="1EB2A137" w14:textId="77777777" w:rsidR="00C33FCB" w:rsidRPr="006F2E96" w:rsidRDefault="00C33FCB" w:rsidP="00CB4F15">
            <w:pPr>
              <w:jc w:val="center"/>
              <w:rPr>
                <w:b/>
                <w:bCs/>
              </w:rPr>
            </w:pPr>
            <w:r w:rsidRPr="006F2E96">
              <w:rPr>
                <w:b/>
                <w:bCs/>
              </w:rPr>
              <w:t>20 065</w:t>
            </w:r>
          </w:p>
        </w:tc>
        <w:tc>
          <w:tcPr>
            <w:tcW w:w="1135" w:type="dxa"/>
            <w:noWrap/>
            <w:vAlign w:val="center"/>
          </w:tcPr>
          <w:p w14:paraId="45DF7E57" w14:textId="77777777" w:rsidR="00C33FCB" w:rsidRPr="006F2E96" w:rsidRDefault="00C33FCB" w:rsidP="00CB4F15">
            <w:pPr>
              <w:jc w:val="center"/>
              <w:rPr>
                <w:b/>
                <w:bCs/>
              </w:rPr>
            </w:pPr>
            <w:r w:rsidRPr="006F2E96">
              <w:rPr>
                <w:b/>
                <w:bCs/>
              </w:rPr>
              <w:t>100</w:t>
            </w:r>
          </w:p>
        </w:tc>
        <w:tc>
          <w:tcPr>
            <w:tcW w:w="1246" w:type="dxa"/>
            <w:vAlign w:val="center"/>
          </w:tcPr>
          <w:p w14:paraId="29FEB4C3" w14:textId="77777777" w:rsidR="00C33FCB" w:rsidRPr="006F2E96" w:rsidRDefault="00C33FCB" w:rsidP="00CB4F15">
            <w:pPr>
              <w:jc w:val="center"/>
              <w:rPr>
                <w:b/>
                <w:bCs/>
              </w:rPr>
            </w:pPr>
            <w:r w:rsidRPr="006F2E96">
              <w:rPr>
                <w:b/>
                <w:bCs/>
              </w:rPr>
              <w:t>9 008</w:t>
            </w:r>
          </w:p>
        </w:tc>
        <w:tc>
          <w:tcPr>
            <w:tcW w:w="1119" w:type="dxa"/>
            <w:noWrap/>
            <w:vAlign w:val="center"/>
          </w:tcPr>
          <w:p w14:paraId="2B69588F" w14:textId="77777777" w:rsidR="00C33FCB" w:rsidRPr="006F2E96" w:rsidRDefault="00C33FCB" w:rsidP="00CB4F15">
            <w:pPr>
              <w:jc w:val="center"/>
            </w:pPr>
            <w:r w:rsidRPr="006F2E96">
              <w:t>45</w:t>
            </w:r>
          </w:p>
        </w:tc>
        <w:tc>
          <w:tcPr>
            <w:tcW w:w="1218" w:type="dxa"/>
            <w:vAlign w:val="center"/>
          </w:tcPr>
          <w:p w14:paraId="037736E0" w14:textId="77777777" w:rsidR="00C33FCB" w:rsidRPr="006F2E96" w:rsidRDefault="00C33FCB" w:rsidP="00CB4F15">
            <w:pPr>
              <w:jc w:val="center"/>
              <w:rPr>
                <w:b/>
                <w:bCs/>
              </w:rPr>
            </w:pPr>
            <w:r w:rsidRPr="006F2E96">
              <w:rPr>
                <w:b/>
                <w:bCs/>
              </w:rPr>
              <w:t>11 057</w:t>
            </w:r>
          </w:p>
        </w:tc>
        <w:tc>
          <w:tcPr>
            <w:tcW w:w="1081" w:type="dxa"/>
            <w:noWrap/>
            <w:vAlign w:val="center"/>
          </w:tcPr>
          <w:p w14:paraId="0F80E973" w14:textId="77777777" w:rsidR="00C33FCB" w:rsidRPr="006F2E96" w:rsidRDefault="00C33FCB" w:rsidP="00CB4F15">
            <w:pPr>
              <w:jc w:val="center"/>
            </w:pPr>
            <w:r w:rsidRPr="006F2E96">
              <w:t>55</w:t>
            </w:r>
          </w:p>
        </w:tc>
      </w:tr>
      <w:tr w:rsidR="00C33FCB" w:rsidRPr="006F2E96" w14:paraId="072AD2F6" w14:textId="77777777" w:rsidTr="00672350">
        <w:trPr>
          <w:trHeight w:val="151"/>
          <w:jc w:val="center"/>
        </w:trPr>
        <w:tc>
          <w:tcPr>
            <w:tcW w:w="2145" w:type="dxa"/>
            <w:vAlign w:val="center"/>
          </w:tcPr>
          <w:p w14:paraId="145C026B" w14:textId="77777777" w:rsidR="00C33FCB" w:rsidRPr="006F2E96" w:rsidRDefault="00C33FCB" w:rsidP="00AE49B4">
            <w:r w:rsidRPr="006F2E96">
              <w:t>Blakusceļi*</w:t>
            </w:r>
          </w:p>
        </w:tc>
        <w:tc>
          <w:tcPr>
            <w:tcW w:w="1105" w:type="dxa"/>
            <w:vAlign w:val="center"/>
          </w:tcPr>
          <w:p w14:paraId="28D58BB4" w14:textId="77777777" w:rsidR="00C33FCB" w:rsidRPr="006F2E96" w:rsidRDefault="00C33FCB" w:rsidP="00CB4F15">
            <w:pPr>
              <w:jc w:val="center"/>
            </w:pPr>
            <w:r w:rsidRPr="006F2E96">
              <w:t>57</w:t>
            </w:r>
          </w:p>
        </w:tc>
        <w:tc>
          <w:tcPr>
            <w:tcW w:w="1135" w:type="dxa"/>
            <w:noWrap/>
            <w:vAlign w:val="center"/>
          </w:tcPr>
          <w:p w14:paraId="235D4126" w14:textId="77777777" w:rsidR="00C33FCB" w:rsidRPr="006F2E96" w:rsidRDefault="00C33FCB" w:rsidP="00CB4F15">
            <w:pPr>
              <w:jc w:val="center"/>
            </w:pPr>
            <w:r w:rsidRPr="006F2E96">
              <w:t>-</w:t>
            </w:r>
          </w:p>
        </w:tc>
        <w:tc>
          <w:tcPr>
            <w:tcW w:w="1246" w:type="dxa"/>
            <w:vAlign w:val="center"/>
          </w:tcPr>
          <w:p w14:paraId="4B991097" w14:textId="77777777" w:rsidR="00C33FCB" w:rsidRPr="006F2E96" w:rsidRDefault="00C33FCB" w:rsidP="00CB4F15">
            <w:pPr>
              <w:jc w:val="center"/>
            </w:pPr>
            <w:r w:rsidRPr="006F2E96">
              <w:t>4</w:t>
            </w:r>
          </w:p>
        </w:tc>
        <w:tc>
          <w:tcPr>
            <w:tcW w:w="1119" w:type="dxa"/>
            <w:noWrap/>
            <w:vAlign w:val="center"/>
          </w:tcPr>
          <w:p w14:paraId="4A1E5D20" w14:textId="77777777" w:rsidR="00C33FCB" w:rsidRPr="006F2E96" w:rsidRDefault="00C33FCB" w:rsidP="00CB4F15">
            <w:pPr>
              <w:jc w:val="center"/>
            </w:pPr>
            <w:r w:rsidRPr="006F2E96">
              <w:t>7</w:t>
            </w:r>
          </w:p>
        </w:tc>
        <w:tc>
          <w:tcPr>
            <w:tcW w:w="1218" w:type="dxa"/>
            <w:vAlign w:val="center"/>
          </w:tcPr>
          <w:p w14:paraId="09E78086" w14:textId="77777777" w:rsidR="00C33FCB" w:rsidRPr="006F2E96" w:rsidRDefault="00C33FCB" w:rsidP="00CB4F15">
            <w:pPr>
              <w:jc w:val="center"/>
            </w:pPr>
            <w:r w:rsidRPr="006F2E96">
              <w:t>53</w:t>
            </w:r>
          </w:p>
        </w:tc>
        <w:tc>
          <w:tcPr>
            <w:tcW w:w="1081" w:type="dxa"/>
            <w:noWrap/>
            <w:vAlign w:val="center"/>
          </w:tcPr>
          <w:p w14:paraId="113A5DBD" w14:textId="77777777" w:rsidR="00C33FCB" w:rsidRPr="006F2E96" w:rsidRDefault="00C33FCB" w:rsidP="00CB4F15">
            <w:pPr>
              <w:jc w:val="center"/>
            </w:pPr>
            <w:r w:rsidRPr="006F2E96">
              <w:t>93</w:t>
            </w:r>
          </w:p>
        </w:tc>
      </w:tr>
      <w:tr w:rsidR="00C33FCB" w:rsidRPr="006F2E96" w14:paraId="3001F988" w14:textId="77777777" w:rsidTr="00672350">
        <w:trPr>
          <w:trHeight w:val="141"/>
          <w:jc w:val="center"/>
        </w:trPr>
        <w:tc>
          <w:tcPr>
            <w:tcW w:w="2145" w:type="dxa"/>
            <w:vAlign w:val="center"/>
          </w:tcPr>
          <w:p w14:paraId="10EBDCCB" w14:textId="77777777" w:rsidR="00C33FCB" w:rsidRPr="006F2E96" w:rsidRDefault="00C33FCB" w:rsidP="00AE49B4">
            <w:pPr>
              <w:rPr>
                <w:b/>
                <w:bCs/>
              </w:rPr>
            </w:pPr>
            <w:r w:rsidRPr="006F2E96">
              <w:rPr>
                <w:b/>
                <w:bCs/>
              </w:rPr>
              <w:t>Pavisam kopā</w:t>
            </w:r>
          </w:p>
        </w:tc>
        <w:tc>
          <w:tcPr>
            <w:tcW w:w="1105" w:type="dxa"/>
            <w:vAlign w:val="center"/>
          </w:tcPr>
          <w:p w14:paraId="43821EC7" w14:textId="77777777" w:rsidR="00C33FCB" w:rsidRPr="006F2E96" w:rsidRDefault="00C33FCB" w:rsidP="00CB4F15">
            <w:pPr>
              <w:jc w:val="center"/>
              <w:rPr>
                <w:b/>
                <w:bCs/>
              </w:rPr>
            </w:pPr>
            <w:r w:rsidRPr="006F2E96">
              <w:rPr>
                <w:b/>
                <w:bCs/>
              </w:rPr>
              <w:t>20 122</w:t>
            </w:r>
          </w:p>
        </w:tc>
        <w:tc>
          <w:tcPr>
            <w:tcW w:w="1135" w:type="dxa"/>
            <w:noWrap/>
            <w:vAlign w:val="center"/>
          </w:tcPr>
          <w:p w14:paraId="71E3999F" w14:textId="77777777" w:rsidR="00C33FCB" w:rsidRPr="006F2E96" w:rsidRDefault="00C33FCB" w:rsidP="00CB4F15">
            <w:pPr>
              <w:jc w:val="center"/>
              <w:rPr>
                <w:b/>
                <w:bCs/>
              </w:rPr>
            </w:pPr>
            <w:r w:rsidRPr="006F2E96">
              <w:rPr>
                <w:b/>
                <w:bCs/>
              </w:rPr>
              <w:t>100</w:t>
            </w:r>
          </w:p>
        </w:tc>
        <w:tc>
          <w:tcPr>
            <w:tcW w:w="1246" w:type="dxa"/>
            <w:vAlign w:val="center"/>
          </w:tcPr>
          <w:p w14:paraId="43896717" w14:textId="77777777" w:rsidR="00C33FCB" w:rsidRPr="006F2E96" w:rsidRDefault="00C33FCB" w:rsidP="00CB4F15">
            <w:pPr>
              <w:jc w:val="center"/>
              <w:rPr>
                <w:b/>
                <w:bCs/>
              </w:rPr>
            </w:pPr>
            <w:r w:rsidRPr="006F2E96">
              <w:rPr>
                <w:b/>
                <w:bCs/>
              </w:rPr>
              <w:t>9 012</w:t>
            </w:r>
          </w:p>
        </w:tc>
        <w:tc>
          <w:tcPr>
            <w:tcW w:w="1119" w:type="dxa"/>
            <w:noWrap/>
            <w:vAlign w:val="center"/>
          </w:tcPr>
          <w:p w14:paraId="0944C0CA" w14:textId="77777777" w:rsidR="00C33FCB" w:rsidRPr="006F2E96" w:rsidRDefault="00C33FCB" w:rsidP="00CB4F15">
            <w:pPr>
              <w:jc w:val="center"/>
            </w:pPr>
            <w:r w:rsidRPr="006F2E96">
              <w:t>45</w:t>
            </w:r>
          </w:p>
        </w:tc>
        <w:tc>
          <w:tcPr>
            <w:tcW w:w="1218" w:type="dxa"/>
            <w:vAlign w:val="center"/>
          </w:tcPr>
          <w:p w14:paraId="2DA4BA49" w14:textId="77777777" w:rsidR="00C33FCB" w:rsidRPr="006F2E96" w:rsidRDefault="00C33FCB" w:rsidP="00CB4F15">
            <w:pPr>
              <w:jc w:val="center"/>
              <w:rPr>
                <w:b/>
                <w:bCs/>
              </w:rPr>
            </w:pPr>
            <w:r w:rsidRPr="006F2E96">
              <w:rPr>
                <w:b/>
                <w:bCs/>
              </w:rPr>
              <w:t>11 110</w:t>
            </w:r>
          </w:p>
        </w:tc>
        <w:tc>
          <w:tcPr>
            <w:tcW w:w="1081" w:type="dxa"/>
            <w:noWrap/>
            <w:vAlign w:val="center"/>
          </w:tcPr>
          <w:p w14:paraId="238B3F23" w14:textId="77777777" w:rsidR="00C33FCB" w:rsidRPr="006F2E96" w:rsidRDefault="00C33FCB" w:rsidP="00CB4F15">
            <w:pPr>
              <w:jc w:val="center"/>
            </w:pPr>
            <w:r w:rsidRPr="006F2E96">
              <w:t>55</w:t>
            </w:r>
          </w:p>
        </w:tc>
      </w:tr>
    </w:tbl>
    <w:p w14:paraId="56CEABC0" w14:textId="77777777" w:rsidR="00C33FCB" w:rsidRPr="006F2E96" w:rsidRDefault="00C33FCB" w:rsidP="00AE49B4">
      <w:pPr>
        <w:jc w:val="both"/>
        <w:rPr>
          <w:b/>
          <w:sz w:val="20"/>
        </w:rPr>
      </w:pPr>
      <w:r w:rsidRPr="006F2E96">
        <w:rPr>
          <w:sz w:val="20"/>
          <w:szCs w:val="20"/>
        </w:rPr>
        <w:t>* Blakusceļi – ceļu pārbūves rezultātā izbūvēti valsts autoceļu blakusceļi (lokālie ceļi).</w:t>
      </w:r>
    </w:p>
    <w:p w14:paraId="519FBA51" w14:textId="77777777" w:rsidR="00C33FCB" w:rsidRDefault="00C33FCB" w:rsidP="00AE49B4">
      <w:pPr>
        <w:ind w:firstLine="709"/>
        <w:jc w:val="both"/>
      </w:pPr>
    </w:p>
    <w:p w14:paraId="77BB9FE5" w14:textId="77777777" w:rsidR="00C33FCB" w:rsidRDefault="00C33FCB" w:rsidP="00AE49B4">
      <w:pPr>
        <w:ind w:firstLine="720"/>
        <w:jc w:val="right"/>
        <w:rPr>
          <w:b/>
          <w:sz w:val="20"/>
        </w:rPr>
      </w:pPr>
      <w:r>
        <w:rPr>
          <w:b/>
          <w:sz w:val="20"/>
        </w:rPr>
        <w:t>2</w:t>
      </w:r>
      <w:r w:rsidRPr="008B788F">
        <w:rPr>
          <w:b/>
          <w:sz w:val="20"/>
        </w:rPr>
        <w:t>. tabula</w:t>
      </w:r>
    </w:p>
    <w:p w14:paraId="73F218A9" w14:textId="77777777" w:rsidR="00C33FCB" w:rsidRPr="007A05A7" w:rsidRDefault="00C33FCB" w:rsidP="00AE49B4">
      <w:pPr>
        <w:jc w:val="center"/>
        <w:rPr>
          <w:b/>
        </w:rPr>
      </w:pPr>
      <w:r w:rsidRPr="007A05A7">
        <w:rPr>
          <w:b/>
        </w:rPr>
        <w:t>Melno segumu stāvoklis 2016. gadā</w:t>
      </w:r>
    </w:p>
    <w:tbl>
      <w:tblPr>
        <w:tblW w:w="9059" w:type="dxa"/>
        <w:jc w:val="center"/>
        <w:tblLook w:val="0000" w:firstRow="0" w:lastRow="0" w:firstColumn="0" w:lastColumn="0" w:noHBand="0" w:noVBand="0"/>
      </w:tblPr>
      <w:tblGrid>
        <w:gridCol w:w="2780"/>
        <w:gridCol w:w="1648"/>
        <w:gridCol w:w="1529"/>
        <w:gridCol w:w="1512"/>
        <w:gridCol w:w="1590"/>
      </w:tblGrid>
      <w:tr w:rsidR="00C33FCB" w:rsidRPr="008B788F" w14:paraId="31C1C1BF" w14:textId="77777777" w:rsidTr="00B40A3B">
        <w:trPr>
          <w:trHeight w:val="191"/>
          <w:jc w:val="center"/>
        </w:trPr>
        <w:tc>
          <w:tcPr>
            <w:tcW w:w="2780" w:type="dxa"/>
            <w:tcBorders>
              <w:top w:val="single" w:sz="4" w:space="0" w:color="auto"/>
              <w:left w:val="single" w:sz="4" w:space="0" w:color="auto"/>
              <w:bottom w:val="single" w:sz="4" w:space="0" w:color="auto"/>
              <w:right w:val="single" w:sz="4" w:space="0" w:color="auto"/>
            </w:tcBorders>
            <w:vAlign w:val="center"/>
          </w:tcPr>
          <w:p w14:paraId="29A910FE" w14:textId="77777777" w:rsidR="00C33FCB" w:rsidRPr="008B788F" w:rsidRDefault="00C33FCB" w:rsidP="00AE49B4">
            <w:pPr>
              <w:ind w:right="-1"/>
              <w:rPr>
                <w:b/>
              </w:rPr>
            </w:pPr>
            <w:r w:rsidRPr="008B788F">
              <w:rPr>
                <w:b/>
                <w:sz w:val="22"/>
                <w:szCs w:val="22"/>
              </w:rPr>
              <w:t>Autoceļu seguma stāvoklis pēc vizuālā vērtējuma</w:t>
            </w:r>
          </w:p>
        </w:tc>
        <w:tc>
          <w:tcPr>
            <w:tcW w:w="1648" w:type="dxa"/>
            <w:tcBorders>
              <w:top w:val="single" w:sz="4" w:space="0" w:color="auto"/>
              <w:left w:val="nil"/>
              <w:bottom w:val="single" w:sz="4" w:space="0" w:color="auto"/>
              <w:right w:val="single" w:sz="4" w:space="0" w:color="auto"/>
            </w:tcBorders>
            <w:vAlign w:val="center"/>
          </w:tcPr>
          <w:p w14:paraId="55FDB504" w14:textId="77777777" w:rsidR="00C33FCB" w:rsidRPr="008B788F" w:rsidRDefault="00C33FCB" w:rsidP="00AE49B4">
            <w:pPr>
              <w:ind w:right="-1"/>
              <w:jc w:val="center"/>
              <w:rPr>
                <w:b/>
              </w:rPr>
            </w:pPr>
            <w:r w:rsidRPr="008B788F">
              <w:rPr>
                <w:b/>
                <w:sz w:val="22"/>
                <w:szCs w:val="22"/>
              </w:rPr>
              <w:t>Galvenie autoceļi, %</w:t>
            </w:r>
          </w:p>
        </w:tc>
        <w:tc>
          <w:tcPr>
            <w:tcW w:w="1529" w:type="dxa"/>
            <w:tcBorders>
              <w:top w:val="single" w:sz="4" w:space="0" w:color="auto"/>
              <w:left w:val="nil"/>
              <w:bottom w:val="single" w:sz="4" w:space="0" w:color="auto"/>
              <w:right w:val="single" w:sz="4" w:space="0" w:color="auto"/>
            </w:tcBorders>
            <w:vAlign w:val="center"/>
          </w:tcPr>
          <w:p w14:paraId="01164501" w14:textId="77777777" w:rsidR="00C33FCB" w:rsidRPr="008B788F" w:rsidRDefault="00C33FCB" w:rsidP="00AE49B4">
            <w:pPr>
              <w:ind w:right="-1"/>
              <w:jc w:val="center"/>
              <w:rPr>
                <w:b/>
              </w:rPr>
            </w:pPr>
            <w:r w:rsidRPr="008B788F">
              <w:rPr>
                <w:b/>
                <w:sz w:val="22"/>
                <w:szCs w:val="22"/>
              </w:rPr>
              <w:t>Reģionālie autoceļi, %</w:t>
            </w:r>
          </w:p>
        </w:tc>
        <w:tc>
          <w:tcPr>
            <w:tcW w:w="1512" w:type="dxa"/>
            <w:tcBorders>
              <w:top w:val="single" w:sz="4" w:space="0" w:color="auto"/>
              <w:left w:val="nil"/>
              <w:bottom w:val="single" w:sz="4" w:space="0" w:color="auto"/>
              <w:right w:val="single" w:sz="4" w:space="0" w:color="auto"/>
            </w:tcBorders>
            <w:vAlign w:val="center"/>
          </w:tcPr>
          <w:p w14:paraId="4E61F614" w14:textId="77777777" w:rsidR="00C33FCB" w:rsidRPr="008B788F" w:rsidRDefault="00C33FCB" w:rsidP="00AE49B4">
            <w:pPr>
              <w:ind w:right="-1"/>
              <w:jc w:val="center"/>
              <w:rPr>
                <w:b/>
              </w:rPr>
            </w:pPr>
            <w:r w:rsidRPr="008B788F">
              <w:rPr>
                <w:b/>
                <w:sz w:val="22"/>
                <w:szCs w:val="22"/>
              </w:rPr>
              <w:t>Vietējie autoceļi, %</w:t>
            </w:r>
          </w:p>
        </w:tc>
        <w:tc>
          <w:tcPr>
            <w:tcW w:w="1590" w:type="dxa"/>
            <w:tcBorders>
              <w:top w:val="single" w:sz="4" w:space="0" w:color="auto"/>
              <w:left w:val="single" w:sz="4" w:space="0" w:color="auto"/>
              <w:bottom w:val="single" w:sz="4" w:space="0" w:color="auto"/>
              <w:right w:val="single" w:sz="4" w:space="0" w:color="auto"/>
            </w:tcBorders>
            <w:vAlign w:val="center"/>
          </w:tcPr>
          <w:p w14:paraId="1F2A3862" w14:textId="77777777" w:rsidR="00C33FCB" w:rsidRPr="008B788F" w:rsidRDefault="00C33FCB" w:rsidP="00AE49B4">
            <w:pPr>
              <w:ind w:right="-1"/>
              <w:jc w:val="center"/>
              <w:rPr>
                <w:b/>
              </w:rPr>
            </w:pPr>
            <w:r w:rsidRPr="008B788F">
              <w:rPr>
                <w:b/>
                <w:sz w:val="22"/>
                <w:szCs w:val="22"/>
              </w:rPr>
              <w:t>No kopējā garuma, %</w:t>
            </w:r>
          </w:p>
        </w:tc>
      </w:tr>
      <w:tr w:rsidR="00C33FCB" w:rsidRPr="008B788F" w14:paraId="61F7BB17" w14:textId="77777777" w:rsidTr="00B40A3B">
        <w:trPr>
          <w:trHeight w:val="50"/>
          <w:jc w:val="center"/>
        </w:trPr>
        <w:tc>
          <w:tcPr>
            <w:tcW w:w="2780" w:type="dxa"/>
            <w:tcBorders>
              <w:top w:val="nil"/>
              <w:left w:val="single" w:sz="4" w:space="0" w:color="auto"/>
              <w:bottom w:val="single" w:sz="4" w:space="0" w:color="auto"/>
              <w:right w:val="single" w:sz="4" w:space="0" w:color="auto"/>
            </w:tcBorders>
            <w:vAlign w:val="center"/>
          </w:tcPr>
          <w:p w14:paraId="7132946D" w14:textId="77777777" w:rsidR="00C33FCB" w:rsidRPr="008B788F" w:rsidRDefault="00C33FCB" w:rsidP="00AE49B4">
            <w:pPr>
              <w:ind w:right="-1"/>
            </w:pPr>
            <w:r w:rsidRPr="008B788F">
              <w:t>Ļoti labs</w:t>
            </w:r>
          </w:p>
        </w:tc>
        <w:tc>
          <w:tcPr>
            <w:tcW w:w="1648" w:type="dxa"/>
            <w:tcBorders>
              <w:top w:val="nil"/>
              <w:left w:val="nil"/>
              <w:bottom w:val="single" w:sz="4" w:space="0" w:color="auto"/>
              <w:right w:val="single" w:sz="4" w:space="0" w:color="auto"/>
            </w:tcBorders>
            <w:vAlign w:val="center"/>
          </w:tcPr>
          <w:p w14:paraId="3C7503D9" w14:textId="77777777" w:rsidR="00C33FCB" w:rsidRPr="008B788F" w:rsidRDefault="00C33FCB" w:rsidP="00AE49B4">
            <w:pPr>
              <w:ind w:right="-1"/>
              <w:jc w:val="center"/>
            </w:pPr>
            <w:r w:rsidRPr="008B788F">
              <w:t>32</w:t>
            </w:r>
          </w:p>
        </w:tc>
        <w:tc>
          <w:tcPr>
            <w:tcW w:w="1529" w:type="dxa"/>
            <w:tcBorders>
              <w:top w:val="nil"/>
              <w:left w:val="nil"/>
              <w:bottom w:val="single" w:sz="4" w:space="0" w:color="auto"/>
              <w:right w:val="single" w:sz="4" w:space="0" w:color="auto"/>
            </w:tcBorders>
            <w:vAlign w:val="center"/>
          </w:tcPr>
          <w:p w14:paraId="7021652F" w14:textId="77777777" w:rsidR="00C33FCB" w:rsidRPr="008B788F" w:rsidRDefault="00C33FCB" w:rsidP="00AE49B4">
            <w:pPr>
              <w:ind w:right="-1"/>
              <w:jc w:val="center"/>
            </w:pPr>
            <w:r w:rsidRPr="008B788F">
              <w:t>11</w:t>
            </w:r>
          </w:p>
        </w:tc>
        <w:tc>
          <w:tcPr>
            <w:tcW w:w="1512" w:type="dxa"/>
            <w:tcBorders>
              <w:top w:val="nil"/>
              <w:left w:val="nil"/>
              <w:bottom w:val="single" w:sz="4" w:space="0" w:color="auto"/>
              <w:right w:val="single" w:sz="4" w:space="0" w:color="auto"/>
            </w:tcBorders>
            <w:vAlign w:val="center"/>
          </w:tcPr>
          <w:p w14:paraId="4C33B59C" w14:textId="77777777" w:rsidR="00C33FCB" w:rsidRPr="008B788F" w:rsidRDefault="00C33FCB" w:rsidP="00AE49B4">
            <w:pPr>
              <w:ind w:right="-1"/>
              <w:jc w:val="center"/>
            </w:pPr>
            <w:r w:rsidRPr="008B788F">
              <w:t>9</w:t>
            </w:r>
          </w:p>
        </w:tc>
        <w:tc>
          <w:tcPr>
            <w:tcW w:w="1590" w:type="dxa"/>
            <w:tcBorders>
              <w:top w:val="nil"/>
              <w:left w:val="nil"/>
              <w:bottom w:val="single" w:sz="4" w:space="0" w:color="auto"/>
              <w:right w:val="single" w:sz="4" w:space="0" w:color="auto"/>
            </w:tcBorders>
            <w:vAlign w:val="bottom"/>
          </w:tcPr>
          <w:p w14:paraId="76CAED1F" w14:textId="77777777" w:rsidR="00C33FCB" w:rsidRPr="008B788F" w:rsidRDefault="00C33FCB" w:rsidP="00AE49B4">
            <w:pPr>
              <w:ind w:right="-1"/>
              <w:jc w:val="center"/>
            </w:pPr>
            <w:r w:rsidRPr="008B788F">
              <w:t>15</w:t>
            </w:r>
          </w:p>
        </w:tc>
      </w:tr>
      <w:tr w:rsidR="00C33FCB" w:rsidRPr="008B788F" w14:paraId="4457B122" w14:textId="77777777" w:rsidTr="00B40A3B">
        <w:trPr>
          <w:trHeight w:val="72"/>
          <w:jc w:val="center"/>
        </w:trPr>
        <w:tc>
          <w:tcPr>
            <w:tcW w:w="2780" w:type="dxa"/>
            <w:tcBorders>
              <w:top w:val="nil"/>
              <w:left w:val="single" w:sz="4" w:space="0" w:color="auto"/>
              <w:bottom w:val="single" w:sz="4" w:space="0" w:color="auto"/>
              <w:right w:val="single" w:sz="4" w:space="0" w:color="auto"/>
            </w:tcBorders>
            <w:vAlign w:val="center"/>
          </w:tcPr>
          <w:p w14:paraId="77D152DE" w14:textId="77777777" w:rsidR="00C33FCB" w:rsidRPr="008B788F" w:rsidRDefault="00C33FCB" w:rsidP="00AE49B4">
            <w:pPr>
              <w:ind w:right="-1"/>
            </w:pPr>
            <w:r w:rsidRPr="008B788F">
              <w:t>Labs</w:t>
            </w:r>
          </w:p>
        </w:tc>
        <w:tc>
          <w:tcPr>
            <w:tcW w:w="1648" w:type="dxa"/>
            <w:tcBorders>
              <w:top w:val="nil"/>
              <w:left w:val="nil"/>
              <w:bottom w:val="single" w:sz="4" w:space="0" w:color="auto"/>
              <w:right w:val="single" w:sz="4" w:space="0" w:color="auto"/>
            </w:tcBorders>
            <w:vAlign w:val="center"/>
          </w:tcPr>
          <w:p w14:paraId="346515F8" w14:textId="77777777" w:rsidR="00C33FCB" w:rsidRPr="008B788F" w:rsidRDefault="00C33FCB" w:rsidP="00AE49B4">
            <w:pPr>
              <w:ind w:right="-1"/>
              <w:jc w:val="center"/>
            </w:pPr>
            <w:r w:rsidRPr="008B788F">
              <w:t>23</w:t>
            </w:r>
          </w:p>
        </w:tc>
        <w:tc>
          <w:tcPr>
            <w:tcW w:w="1529" w:type="dxa"/>
            <w:tcBorders>
              <w:top w:val="nil"/>
              <w:left w:val="nil"/>
              <w:bottom w:val="single" w:sz="4" w:space="0" w:color="auto"/>
              <w:right w:val="single" w:sz="4" w:space="0" w:color="auto"/>
            </w:tcBorders>
            <w:vAlign w:val="center"/>
          </w:tcPr>
          <w:p w14:paraId="2508A6BC" w14:textId="77777777" w:rsidR="00C33FCB" w:rsidRPr="008B788F" w:rsidRDefault="00C33FCB" w:rsidP="00AE49B4">
            <w:pPr>
              <w:ind w:right="-1"/>
              <w:jc w:val="center"/>
            </w:pPr>
            <w:r w:rsidRPr="008B788F">
              <w:t>19</w:t>
            </w:r>
          </w:p>
        </w:tc>
        <w:tc>
          <w:tcPr>
            <w:tcW w:w="1512" w:type="dxa"/>
            <w:tcBorders>
              <w:top w:val="nil"/>
              <w:left w:val="nil"/>
              <w:bottom w:val="single" w:sz="4" w:space="0" w:color="auto"/>
              <w:right w:val="single" w:sz="4" w:space="0" w:color="auto"/>
            </w:tcBorders>
            <w:vAlign w:val="center"/>
          </w:tcPr>
          <w:p w14:paraId="57F13364" w14:textId="77777777" w:rsidR="00C33FCB" w:rsidRPr="008B788F" w:rsidRDefault="00C33FCB" w:rsidP="00AE49B4">
            <w:pPr>
              <w:ind w:right="-1"/>
              <w:jc w:val="center"/>
            </w:pPr>
            <w:r w:rsidRPr="008B788F">
              <w:t>23</w:t>
            </w:r>
          </w:p>
        </w:tc>
        <w:tc>
          <w:tcPr>
            <w:tcW w:w="1590" w:type="dxa"/>
            <w:tcBorders>
              <w:top w:val="nil"/>
              <w:left w:val="nil"/>
              <w:bottom w:val="single" w:sz="4" w:space="0" w:color="auto"/>
              <w:right w:val="single" w:sz="4" w:space="0" w:color="auto"/>
            </w:tcBorders>
            <w:vAlign w:val="bottom"/>
          </w:tcPr>
          <w:p w14:paraId="5B4D6CE7" w14:textId="77777777" w:rsidR="00C33FCB" w:rsidRPr="008B788F" w:rsidRDefault="00C33FCB" w:rsidP="00AE49B4">
            <w:pPr>
              <w:ind w:right="-1"/>
              <w:jc w:val="center"/>
            </w:pPr>
            <w:r w:rsidRPr="008B788F">
              <w:t>21</w:t>
            </w:r>
          </w:p>
        </w:tc>
      </w:tr>
      <w:tr w:rsidR="00C33FCB" w:rsidRPr="008B788F" w14:paraId="490350EE" w14:textId="77777777" w:rsidTr="00B40A3B">
        <w:trPr>
          <w:trHeight w:val="138"/>
          <w:jc w:val="center"/>
        </w:trPr>
        <w:tc>
          <w:tcPr>
            <w:tcW w:w="2780" w:type="dxa"/>
            <w:tcBorders>
              <w:top w:val="single" w:sz="4" w:space="0" w:color="auto"/>
              <w:left w:val="single" w:sz="4" w:space="0" w:color="auto"/>
              <w:bottom w:val="single" w:sz="4" w:space="0" w:color="auto"/>
              <w:right w:val="single" w:sz="4" w:space="0" w:color="auto"/>
            </w:tcBorders>
            <w:vAlign w:val="center"/>
          </w:tcPr>
          <w:p w14:paraId="73334FAC" w14:textId="77777777" w:rsidR="00C33FCB" w:rsidRPr="008B788F" w:rsidRDefault="00C33FCB" w:rsidP="00AE49B4">
            <w:pPr>
              <w:ind w:right="-1"/>
            </w:pPr>
            <w:r w:rsidRPr="008B788F">
              <w:t>Apmierinošs</w:t>
            </w:r>
          </w:p>
        </w:tc>
        <w:tc>
          <w:tcPr>
            <w:tcW w:w="1648" w:type="dxa"/>
            <w:tcBorders>
              <w:top w:val="single" w:sz="4" w:space="0" w:color="auto"/>
              <w:left w:val="nil"/>
              <w:bottom w:val="single" w:sz="4" w:space="0" w:color="auto"/>
              <w:right w:val="single" w:sz="4" w:space="0" w:color="auto"/>
            </w:tcBorders>
            <w:vAlign w:val="center"/>
          </w:tcPr>
          <w:p w14:paraId="12847006" w14:textId="77777777" w:rsidR="00C33FCB" w:rsidRPr="008B788F" w:rsidRDefault="00C33FCB" w:rsidP="00AE49B4">
            <w:pPr>
              <w:ind w:right="-1"/>
              <w:jc w:val="center"/>
            </w:pPr>
            <w:r w:rsidRPr="008B788F">
              <w:t>10</w:t>
            </w:r>
          </w:p>
        </w:tc>
        <w:tc>
          <w:tcPr>
            <w:tcW w:w="1529" w:type="dxa"/>
            <w:tcBorders>
              <w:top w:val="single" w:sz="4" w:space="0" w:color="auto"/>
              <w:left w:val="nil"/>
              <w:bottom w:val="single" w:sz="4" w:space="0" w:color="auto"/>
              <w:right w:val="single" w:sz="4" w:space="0" w:color="auto"/>
            </w:tcBorders>
            <w:vAlign w:val="center"/>
          </w:tcPr>
          <w:p w14:paraId="7DCA5770" w14:textId="77777777" w:rsidR="00C33FCB" w:rsidRPr="008B788F" w:rsidRDefault="00C33FCB" w:rsidP="00AE49B4">
            <w:pPr>
              <w:ind w:right="-1"/>
              <w:jc w:val="center"/>
            </w:pPr>
            <w:r w:rsidRPr="008B788F">
              <w:t>22</w:t>
            </w:r>
          </w:p>
        </w:tc>
        <w:tc>
          <w:tcPr>
            <w:tcW w:w="1512" w:type="dxa"/>
            <w:tcBorders>
              <w:top w:val="single" w:sz="4" w:space="0" w:color="auto"/>
              <w:left w:val="nil"/>
              <w:bottom w:val="single" w:sz="4" w:space="0" w:color="auto"/>
              <w:right w:val="single" w:sz="4" w:space="0" w:color="auto"/>
            </w:tcBorders>
            <w:vAlign w:val="center"/>
          </w:tcPr>
          <w:p w14:paraId="56896BE8" w14:textId="77777777" w:rsidR="00C33FCB" w:rsidRPr="008B788F" w:rsidRDefault="00C33FCB" w:rsidP="00AE49B4">
            <w:pPr>
              <w:ind w:right="-1"/>
              <w:jc w:val="center"/>
            </w:pPr>
            <w:r w:rsidRPr="008B788F">
              <w:t>25</w:t>
            </w:r>
          </w:p>
        </w:tc>
        <w:tc>
          <w:tcPr>
            <w:tcW w:w="1590" w:type="dxa"/>
            <w:tcBorders>
              <w:top w:val="single" w:sz="4" w:space="0" w:color="auto"/>
              <w:left w:val="nil"/>
              <w:bottom w:val="single" w:sz="4" w:space="0" w:color="auto"/>
              <w:right w:val="single" w:sz="4" w:space="0" w:color="auto"/>
            </w:tcBorders>
            <w:vAlign w:val="bottom"/>
          </w:tcPr>
          <w:p w14:paraId="70FD85CF" w14:textId="77777777" w:rsidR="00C33FCB" w:rsidRPr="008B788F" w:rsidRDefault="00C33FCB" w:rsidP="00AE49B4">
            <w:pPr>
              <w:ind w:right="-1"/>
              <w:jc w:val="center"/>
            </w:pPr>
            <w:r w:rsidRPr="008B788F">
              <w:t>20</w:t>
            </w:r>
          </w:p>
        </w:tc>
      </w:tr>
      <w:tr w:rsidR="00C33FCB" w:rsidRPr="008B788F" w14:paraId="72BEE2D7" w14:textId="77777777" w:rsidTr="00B40A3B">
        <w:trPr>
          <w:trHeight w:val="50"/>
          <w:jc w:val="center"/>
        </w:trPr>
        <w:tc>
          <w:tcPr>
            <w:tcW w:w="2780" w:type="dxa"/>
            <w:tcBorders>
              <w:top w:val="single" w:sz="4" w:space="0" w:color="auto"/>
              <w:left w:val="single" w:sz="4" w:space="0" w:color="auto"/>
              <w:bottom w:val="single" w:sz="4" w:space="0" w:color="auto"/>
              <w:right w:val="single" w:sz="4" w:space="0" w:color="auto"/>
            </w:tcBorders>
            <w:vAlign w:val="center"/>
          </w:tcPr>
          <w:p w14:paraId="1F44A8AF" w14:textId="77777777" w:rsidR="00C33FCB" w:rsidRPr="008B788F" w:rsidRDefault="00C33FCB" w:rsidP="00AE49B4">
            <w:pPr>
              <w:ind w:right="-1"/>
            </w:pPr>
            <w:r w:rsidRPr="008B788F">
              <w:t>Slikts</w:t>
            </w:r>
          </w:p>
        </w:tc>
        <w:tc>
          <w:tcPr>
            <w:tcW w:w="1648" w:type="dxa"/>
            <w:tcBorders>
              <w:top w:val="single" w:sz="4" w:space="0" w:color="auto"/>
              <w:left w:val="nil"/>
              <w:bottom w:val="single" w:sz="4" w:space="0" w:color="auto"/>
              <w:right w:val="single" w:sz="4" w:space="0" w:color="auto"/>
            </w:tcBorders>
            <w:vAlign w:val="center"/>
          </w:tcPr>
          <w:p w14:paraId="2807FC78" w14:textId="77777777" w:rsidR="00C33FCB" w:rsidRPr="008B788F" w:rsidRDefault="00C33FCB" w:rsidP="00AE49B4">
            <w:pPr>
              <w:ind w:right="-1"/>
              <w:jc w:val="center"/>
            </w:pPr>
            <w:r w:rsidRPr="008B788F">
              <w:t>18</w:t>
            </w:r>
          </w:p>
        </w:tc>
        <w:tc>
          <w:tcPr>
            <w:tcW w:w="1529" w:type="dxa"/>
            <w:tcBorders>
              <w:top w:val="single" w:sz="4" w:space="0" w:color="auto"/>
              <w:left w:val="nil"/>
              <w:bottom w:val="single" w:sz="4" w:space="0" w:color="auto"/>
              <w:right w:val="single" w:sz="4" w:space="0" w:color="auto"/>
            </w:tcBorders>
            <w:vAlign w:val="center"/>
          </w:tcPr>
          <w:p w14:paraId="556D5897" w14:textId="77777777" w:rsidR="00C33FCB" w:rsidRPr="008B788F" w:rsidRDefault="00C33FCB" w:rsidP="00AE49B4">
            <w:pPr>
              <w:ind w:right="-1"/>
              <w:jc w:val="center"/>
            </w:pPr>
            <w:r w:rsidRPr="008B788F">
              <w:t>20</w:t>
            </w:r>
          </w:p>
        </w:tc>
        <w:tc>
          <w:tcPr>
            <w:tcW w:w="1512" w:type="dxa"/>
            <w:tcBorders>
              <w:top w:val="single" w:sz="4" w:space="0" w:color="auto"/>
              <w:left w:val="nil"/>
              <w:bottom w:val="single" w:sz="4" w:space="0" w:color="auto"/>
              <w:right w:val="single" w:sz="4" w:space="0" w:color="auto"/>
            </w:tcBorders>
            <w:vAlign w:val="center"/>
          </w:tcPr>
          <w:p w14:paraId="5EEC8041" w14:textId="77777777" w:rsidR="00C33FCB" w:rsidRPr="008B788F" w:rsidRDefault="00C33FCB" w:rsidP="00AE49B4">
            <w:pPr>
              <w:ind w:right="-1"/>
              <w:jc w:val="center"/>
            </w:pPr>
            <w:r w:rsidRPr="008B788F">
              <w:t>21</w:t>
            </w:r>
          </w:p>
        </w:tc>
        <w:tc>
          <w:tcPr>
            <w:tcW w:w="1590" w:type="dxa"/>
            <w:tcBorders>
              <w:top w:val="single" w:sz="4" w:space="0" w:color="auto"/>
              <w:left w:val="nil"/>
              <w:bottom w:val="single" w:sz="4" w:space="0" w:color="auto"/>
              <w:right w:val="single" w:sz="4" w:space="0" w:color="auto"/>
            </w:tcBorders>
            <w:vAlign w:val="bottom"/>
          </w:tcPr>
          <w:p w14:paraId="320130EE" w14:textId="77777777" w:rsidR="00C33FCB" w:rsidRPr="008B788F" w:rsidRDefault="00C33FCB" w:rsidP="00AE49B4">
            <w:pPr>
              <w:ind w:right="-1"/>
              <w:jc w:val="center"/>
            </w:pPr>
            <w:r w:rsidRPr="008B788F">
              <w:t>20</w:t>
            </w:r>
          </w:p>
        </w:tc>
      </w:tr>
      <w:tr w:rsidR="00C33FCB" w:rsidRPr="008B788F" w14:paraId="4FB6674B" w14:textId="77777777" w:rsidTr="00B40A3B">
        <w:trPr>
          <w:trHeight w:val="104"/>
          <w:jc w:val="center"/>
        </w:trPr>
        <w:tc>
          <w:tcPr>
            <w:tcW w:w="2780" w:type="dxa"/>
            <w:tcBorders>
              <w:top w:val="nil"/>
              <w:left w:val="single" w:sz="4" w:space="0" w:color="auto"/>
              <w:bottom w:val="single" w:sz="4" w:space="0" w:color="auto"/>
              <w:right w:val="single" w:sz="4" w:space="0" w:color="auto"/>
            </w:tcBorders>
            <w:vAlign w:val="center"/>
          </w:tcPr>
          <w:p w14:paraId="20113DC8" w14:textId="77777777" w:rsidR="00C33FCB" w:rsidRPr="008B788F" w:rsidRDefault="00C33FCB" w:rsidP="00AE49B4">
            <w:pPr>
              <w:ind w:right="-1"/>
            </w:pPr>
            <w:r w:rsidRPr="008B788F">
              <w:t>Ļoti slikts</w:t>
            </w:r>
          </w:p>
        </w:tc>
        <w:tc>
          <w:tcPr>
            <w:tcW w:w="1648" w:type="dxa"/>
            <w:tcBorders>
              <w:top w:val="nil"/>
              <w:left w:val="nil"/>
              <w:bottom w:val="single" w:sz="4" w:space="0" w:color="auto"/>
              <w:right w:val="single" w:sz="4" w:space="0" w:color="auto"/>
            </w:tcBorders>
            <w:vAlign w:val="center"/>
          </w:tcPr>
          <w:p w14:paraId="507BD5E1" w14:textId="77777777" w:rsidR="00C33FCB" w:rsidRPr="008B788F" w:rsidRDefault="00C33FCB" w:rsidP="00AE49B4">
            <w:pPr>
              <w:ind w:right="-1"/>
              <w:jc w:val="center"/>
            </w:pPr>
            <w:r w:rsidRPr="008B788F">
              <w:t>17</w:t>
            </w:r>
          </w:p>
        </w:tc>
        <w:tc>
          <w:tcPr>
            <w:tcW w:w="1529" w:type="dxa"/>
            <w:tcBorders>
              <w:top w:val="nil"/>
              <w:left w:val="nil"/>
              <w:bottom w:val="single" w:sz="4" w:space="0" w:color="auto"/>
              <w:right w:val="single" w:sz="4" w:space="0" w:color="auto"/>
            </w:tcBorders>
            <w:vAlign w:val="center"/>
          </w:tcPr>
          <w:p w14:paraId="39C909BB" w14:textId="77777777" w:rsidR="00C33FCB" w:rsidRPr="008B788F" w:rsidRDefault="00C33FCB" w:rsidP="00AE49B4">
            <w:pPr>
              <w:ind w:right="-1"/>
              <w:jc w:val="center"/>
            </w:pPr>
            <w:r w:rsidRPr="008B788F">
              <w:t>28</w:t>
            </w:r>
          </w:p>
        </w:tc>
        <w:tc>
          <w:tcPr>
            <w:tcW w:w="1512" w:type="dxa"/>
            <w:tcBorders>
              <w:top w:val="nil"/>
              <w:left w:val="nil"/>
              <w:bottom w:val="single" w:sz="4" w:space="0" w:color="auto"/>
              <w:right w:val="single" w:sz="4" w:space="0" w:color="auto"/>
            </w:tcBorders>
            <w:vAlign w:val="center"/>
          </w:tcPr>
          <w:p w14:paraId="70872179" w14:textId="77777777" w:rsidR="00C33FCB" w:rsidRPr="008B788F" w:rsidRDefault="00C33FCB" w:rsidP="00AE49B4">
            <w:pPr>
              <w:ind w:right="-1"/>
              <w:jc w:val="center"/>
            </w:pPr>
            <w:r w:rsidRPr="008B788F">
              <w:t>22</w:t>
            </w:r>
          </w:p>
        </w:tc>
        <w:tc>
          <w:tcPr>
            <w:tcW w:w="1590" w:type="dxa"/>
            <w:tcBorders>
              <w:top w:val="nil"/>
              <w:left w:val="nil"/>
              <w:bottom w:val="single" w:sz="4" w:space="0" w:color="auto"/>
              <w:right w:val="single" w:sz="4" w:space="0" w:color="auto"/>
            </w:tcBorders>
            <w:vAlign w:val="bottom"/>
          </w:tcPr>
          <w:p w14:paraId="0B1C174C" w14:textId="77777777" w:rsidR="00C33FCB" w:rsidRPr="008B788F" w:rsidRDefault="00C33FCB" w:rsidP="00AE49B4">
            <w:pPr>
              <w:ind w:right="-1"/>
              <w:jc w:val="center"/>
            </w:pPr>
            <w:r w:rsidRPr="008B788F">
              <w:t>24</w:t>
            </w:r>
          </w:p>
        </w:tc>
      </w:tr>
    </w:tbl>
    <w:p w14:paraId="23A59A4A" w14:textId="77777777" w:rsidR="00C33FCB" w:rsidRPr="003153D8" w:rsidRDefault="00C33FCB" w:rsidP="00AE49B4">
      <w:pPr>
        <w:ind w:right="-1"/>
        <w:rPr>
          <w:b/>
          <w:sz w:val="20"/>
        </w:rPr>
      </w:pPr>
    </w:p>
    <w:p w14:paraId="231CCDE5" w14:textId="77777777" w:rsidR="00C33FCB" w:rsidRDefault="00C33FCB" w:rsidP="001F29A9">
      <w:pPr>
        <w:ind w:right="-1" w:firstLine="720"/>
        <w:jc w:val="both"/>
        <w:rPr>
          <w:b/>
          <w:lang w:eastAsia="en-US"/>
        </w:rPr>
      </w:pPr>
      <w:r w:rsidRPr="006F2E96">
        <w:rPr>
          <w:b/>
          <w:bCs/>
          <w:lang w:eastAsia="en-US"/>
        </w:rPr>
        <w:t>9 012</w:t>
      </w:r>
      <w:r w:rsidRPr="00050132">
        <w:rPr>
          <w:b/>
          <w:bCs/>
          <w:lang w:eastAsia="en-US"/>
        </w:rPr>
        <w:t xml:space="preserve"> </w:t>
      </w:r>
      <w:r w:rsidRPr="006F2E96">
        <w:rPr>
          <w:lang w:eastAsia="en-US"/>
        </w:rPr>
        <w:t xml:space="preserve">km valsts autoceļu </w:t>
      </w:r>
      <w:r w:rsidR="00632ABE" w:rsidRPr="006F2E96">
        <w:rPr>
          <w:lang w:eastAsia="en-US"/>
        </w:rPr>
        <w:t xml:space="preserve">ir </w:t>
      </w:r>
      <w:r w:rsidRPr="006F2E96">
        <w:rPr>
          <w:lang w:eastAsia="en-US"/>
        </w:rPr>
        <w:t>ar asfalta segumu. Autoceļu segu stāvokli kopumā nosaka savlaicīga un pietiek</w:t>
      </w:r>
      <w:r>
        <w:rPr>
          <w:lang w:eastAsia="en-US"/>
        </w:rPr>
        <w:t>amā</w:t>
      </w:r>
      <w:r w:rsidRPr="006F2E96">
        <w:rPr>
          <w:lang w:eastAsia="en-US"/>
        </w:rPr>
        <w:t xml:space="preserve"> apjomā veikta ikgadējo atjaunošanas programmu izpilde, atļauto satiksmes slodžu ievērošana un </w:t>
      </w:r>
      <w:r w:rsidR="00744D25">
        <w:rPr>
          <w:lang w:eastAsia="en-US"/>
        </w:rPr>
        <w:t>kalpošanas laika</w:t>
      </w:r>
      <w:r w:rsidRPr="006F2E96">
        <w:rPr>
          <w:lang w:eastAsia="en-US"/>
        </w:rPr>
        <w:t xml:space="preserve"> ietekme (</w:t>
      </w:r>
      <w:r w:rsidR="00F5659E">
        <w:rPr>
          <w:lang w:eastAsia="en-US"/>
        </w:rPr>
        <w:t>1</w:t>
      </w:r>
      <w:r>
        <w:rPr>
          <w:lang w:eastAsia="en-US"/>
        </w:rPr>
        <w:t>.</w:t>
      </w:r>
      <w:r w:rsidRPr="006F2E96">
        <w:rPr>
          <w:lang w:eastAsia="en-US"/>
        </w:rPr>
        <w:t> grafiks).</w:t>
      </w:r>
      <w:r w:rsidRPr="006F2E96">
        <w:rPr>
          <w:b/>
          <w:lang w:eastAsia="en-US"/>
        </w:rPr>
        <w:t xml:space="preserve">                                            </w:t>
      </w:r>
    </w:p>
    <w:p w14:paraId="231388D5" w14:textId="77777777" w:rsidR="00C33FCB" w:rsidRDefault="00F97885" w:rsidP="00C25C29">
      <w:pPr>
        <w:pStyle w:val="ListParagraph"/>
        <w:numPr>
          <w:ilvl w:val="0"/>
          <w:numId w:val="8"/>
        </w:numPr>
        <w:jc w:val="right"/>
        <w:rPr>
          <w:b/>
          <w:sz w:val="20"/>
        </w:rPr>
      </w:pPr>
      <w:r>
        <w:rPr>
          <w:b/>
          <w:sz w:val="20"/>
        </w:rPr>
        <w:t>g</w:t>
      </w:r>
      <w:r w:rsidR="00C33FCB" w:rsidRPr="00C25C29">
        <w:rPr>
          <w:b/>
          <w:sz w:val="20"/>
        </w:rPr>
        <w:t>rafiks</w:t>
      </w:r>
    </w:p>
    <w:p w14:paraId="3F752786" w14:textId="77777777" w:rsidR="00F97885" w:rsidRPr="00F97885" w:rsidRDefault="00F97885" w:rsidP="00F97885">
      <w:pPr>
        <w:jc w:val="right"/>
        <w:rPr>
          <w:b/>
          <w:sz w:val="20"/>
        </w:rPr>
      </w:pPr>
      <w:r>
        <w:rPr>
          <w:b/>
          <w:noProof/>
          <w:sz w:val="20"/>
        </w:rPr>
        <w:drawing>
          <wp:inline distT="0" distB="0" distL="0" distR="0" wp14:anchorId="0738CD82" wp14:editId="2930AC6D">
            <wp:extent cx="5280831"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831" cy="3514725"/>
                    </a:xfrm>
                    <a:prstGeom prst="rect">
                      <a:avLst/>
                    </a:prstGeom>
                    <a:noFill/>
                    <a:ln>
                      <a:noFill/>
                    </a:ln>
                  </pic:spPr>
                </pic:pic>
              </a:graphicData>
            </a:graphic>
          </wp:inline>
        </w:drawing>
      </w:r>
    </w:p>
    <w:p w14:paraId="0C7A18D9" w14:textId="77777777" w:rsidR="00C33FCB" w:rsidRPr="00C25C29" w:rsidRDefault="00C33FCB" w:rsidP="00C25C29">
      <w:pPr>
        <w:pStyle w:val="ListParagraph"/>
        <w:rPr>
          <w:b/>
          <w:sz w:val="20"/>
        </w:rPr>
      </w:pPr>
    </w:p>
    <w:p w14:paraId="4317F627" w14:textId="77777777" w:rsidR="00C33FCB" w:rsidRPr="006F2E96" w:rsidRDefault="00C33FCB" w:rsidP="001F29A9">
      <w:pPr>
        <w:ind w:right="-1"/>
        <w:jc w:val="center"/>
        <w:rPr>
          <w:sz w:val="20"/>
        </w:rPr>
      </w:pPr>
    </w:p>
    <w:p w14:paraId="094B0E4A" w14:textId="77777777" w:rsidR="00C33FCB" w:rsidRPr="006F2E96" w:rsidRDefault="00C33FCB" w:rsidP="001F29A9">
      <w:pPr>
        <w:ind w:firstLine="851"/>
        <w:jc w:val="both"/>
      </w:pPr>
    </w:p>
    <w:p w14:paraId="1F6FD160" w14:textId="77777777" w:rsidR="00C33FCB" w:rsidRPr="006F2E96" w:rsidRDefault="00C33FCB" w:rsidP="001F29A9">
      <w:pPr>
        <w:ind w:firstLine="720"/>
        <w:jc w:val="both"/>
      </w:pPr>
      <w:r w:rsidRPr="006F2E96">
        <w:lastRenderedPageBreak/>
        <w:t>Atbilstoši projektētajai slodzei izbūvēt</w:t>
      </w:r>
      <w:r w:rsidR="00744D25">
        <w:t>am</w:t>
      </w:r>
      <w:r w:rsidRPr="006F2E96">
        <w:t xml:space="preserve"> asfaltbetona segum</w:t>
      </w:r>
      <w:r w:rsidR="00744D25">
        <w:t>am</w:t>
      </w:r>
      <w:r w:rsidRPr="006F2E96">
        <w:t xml:space="preserve"> </w:t>
      </w:r>
      <w:r w:rsidR="00744D25">
        <w:t>jākalpo</w:t>
      </w:r>
      <w:r w:rsidR="00744D25" w:rsidRPr="006F2E96">
        <w:t xml:space="preserve"> </w:t>
      </w:r>
      <w:r w:rsidRPr="006F2E96">
        <w:t>8-10 gad</w:t>
      </w:r>
      <w:r w:rsidR="00744D25">
        <w:t>i</w:t>
      </w:r>
      <w:r w:rsidRPr="006F2E96">
        <w:t>, taču šajā laikā segā uzkrājas paliekošas deformācijas, rodas seguma izdilums rišu v</w:t>
      </w:r>
      <w:r>
        <w:t>eidā</w:t>
      </w:r>
      <w:r w:rsidRPr="006F2E96">
        <w:t>, parādās plaisas un virsmas izdrupumi</w:t>
      </w:r>
      <w:r w:rsidR="00744D25">
        <w:t>,</w:t>
      </w:r>
      <w:r w:rsidRPr="006F2E96">
        <w:t xml:space="preserve"> sega noveco. Asfaltbetona segumus ir ekonomiski lietderīgi atjaunot savlaicīgi, kad defekti nav kļuvuši masveidīgi un neprognozējami un šo segumu vidējais kalpošanas vecums nepārsniedz 12 gadus. Tad asfaltbetona seguma atjaunošanas izmaksas ir viszemākās (</w:t>
      </w:r>
      <w:r w:rsidR="00565EC3">
        <w:t>1</w:t>
      </w:r>
      <w:r w:rsidRPr="006F2E96">
        <w:t xml:space="preserve">. grafiks). </w:t>
      </w:r>
    </w:p>
    <w:p w14:paraId="1FC014F6" w14:textId="77777777" w:rsidR="00C33FCB" w:rsidRPr="00496536" w:rsidRDefault="00C33FCB" w:rsidP="00496536">
      <w:pPr>
        <w:pStyle w:val="ListParagraph"/>
        <w:ind w:left="1080" w:right="-1"/>
        <w:jc w:val="both"/>
      </w:pPr>
    </w:p>
    <w:p w14:paraId="26F0E6FA" w14:textId="77777777" w:rsidR="00C33FCB" w:rsidRDefault="00C33FCB" w:rsidP="00496536">
      <w:pPr>
        <w:pStyle w:val="ListParagraph"/>
        <w:numPr>
          <w:ilvl w:val="0"/>
          <w:numId w:val="7"/>
        </w:numPr>
        <w:ind w:right="-1"/>
        <w:jc w:val="both"/>
      </w:pPr>
      <w:r w:rsidRPr="00496536">
        <w:rPr>
          <w:b/>
        </w:rPr>
        <w:t>Valsts autoceļu ar grants segumu vizuālais vērtējums.</w:t>
      </w:r>
      <w:r w:rsidRPr="00BA633A">
        <w:t xml:space="preserve"> </w:t>
      </w:r>
      <w:r w:rsidRPr="007A05A7">
        <w:t>43</w:t>
      </w:r>
      <w:r w:rsidRPr="007B7768">
        <w:t> </w:t>
      </w:r>
      <w:r w:rsidRPr="007A05A7">
        <w:t>procenti jeb 4</w:t>
      </w:r>
      <w:r w:rsidRPr="007B7768">
        <w:t> </w:t>
      </w:r>
      <w:r w:rsidRPr="007A05A7">
        <w:t>725</w:t>
      </w:r>
      <w:r w:rsidRPr="007B7768">
        <w:t> </w:t>
      </w:r>
      <w:r w:rsidRPr="007A05A7">
        <w:t>km autoceļu ar grants segumu ir klasificējami kā sabrukuši</w:t>
      </w:r>
      <w:r>
        <w:t>,</w:t>
      </w:r>
      <w:r w:rsidRPr="008B788F">
        <w:t xml:space="preserve"> un tiem ir nepieciešama segas pārbūve </w:t>
      </w:r>
      <w:r w:rsidR="00744D25">
        <w:t>(</w:t>
      </w:r>
      <w:r w:rsidRPr="008B788F">
        <w:t>2015. gadā 42 % jeb 4 652 km</w:t>
      </w:r>
      <w:r w:rsidR="00744D25">
        <w:t>)</w:t>
      </w:r>
      <w:r w:rsidRPr="008B788F">
        <w:t xml:space="preserve">. Detalizētāka informācija par valsts autoceļu ar grants segumu stāvokli ir parādīta </w:t>
      </w:r>
      <w:r>
        <w:t>3</w:t>
      </w:r>
      <w:r w:rsidRPr="008B788F">
        <w:t>. </w:t>
      </w:r>
      <w:r>
        <w:t>t</w:t>
      </w:r>
      <w:r w:rsidRPr="008B788F">
        <w:t>abulā.</w:t>
      </w:r>
    </w:p>
    <w:p w14:paraId="02D9D4D9" w14:textId="77777777" w:rsidR="00C33FCB" w:rsidRDefault="00C33FCB" w:rsidP="00C25C29">
      <w:pPr>
        <w:pStyle w:val="ListParagraph"/>
        <w:ind w:left="1080" w:right="-1"/>
        <w:jc w:val="both"/>
      </w:pPr>
    </w:p>
    <w:p w14:paraId="79C73C01" w14:textId="77777777" w:rsidR="00C33FCB" w:rsidRDefault="00C33FCB" w:rsidP="00AE49B4">
      <w:pPr>
        <w:ind w:left="7201" w:firstLine="720"/>
        <w:jc w:val="both"/>
        <w:rPr>
          <w:b/>
          <w:sz w:val="20"/>
        </w:rPr>
      </w:pPr>
      <w:r w:rsidRPr="008B788F">
        <w:rPr>
          <w:b/>
          <w:sz w:val="20"/>
        </w:rPr>
        <w:t xml:space="preserve">     </w:t>
      </w:r>
      <w:r>
        <w:rPr>
          <w:b/>
          <w:sz w:val="20"/>
        </w:rPr>
        <w:t xml:space="preserve"> </w:t>
      </w:r>
    </w:p>
    <w:p w14:paraId="6B55F4E3" w14:textId="77777777" w:rsidR="00C33FCB" w:rsidRDefault="00C33FCB" w:rsidP="00AE49B4">
      <w:pPr>
        <w:ind w:left="7201" w:firstLine="720"/>
        <w:jc w:val="both"/>
        <w:rPr>
          <w:b/>
          <w:sz w:val="20"/>
        </w:rPr>
      </w:pPr>
      <w:r>
        <w:rPr>
          <w:b/>
          <w:sz w:val="20"/>
        </w:rPr>
        <w:t>3</w:t>
      </w:r>
      <w:r w:rsidRPr="008B788F">
        <w:rPr>
          <w:b/>
          <w:sz w:val="20"/>
        </w:rPr>
        <w:t>. tabula</w:t>
      </w:r>
    </w:p>
    <w:p w14:paraId="5BA0A96A" w14:textId="77777777" w:rsidR="00C33FCB" w:rsidRPr="007A05A7" w:rsidRDefault="00C33FCB" w:rsidP="00AE49B4">
      <w:pPr>
        <w:jc w:val="center"/>
        <w:rPr>
          <w:b/>
        </w:rPr>
      </w:pPr>
      <w:r w:rsidRPr="00561DB5">
        <w:rPr>
          <w:b/>
        </w:rPr>
        <w:t xml:space="preserve">Valsts autoceļu ar </w:t>
      </w:r>
      <w:r>
        <w:rPr>
          <w:b/>
        </w:rPr>
        <w:t>g</w:t>
      </w:r>
      <w:r w:rsidRPr="007A05A7">
        <w:rPr>
          <w:b/>
        </w:rPr>
        <w:t>rants segumu stāvoklis 2016. gadā</w:t>
      </w:r>
    </w:p>
    <w:tbl>
      <w:tblPr>
        <w:tblW w:w="9091" w:type="dxa"/>
        <w:jc w:val="center"/>
        <w:tblLook w:val="0000" w:firstRow="0" w:lastRow="0" w:firstColumn="0" w:lastColumn="0" w:noHBand="0" w:noVBand="0"/>
      </w:tblPr>
      <w:tblGrid>
        <w:gridCol w:w="2769"/>
        <w:gridCol w:w="1961"/>
        <w:gridCol w:w="2011"/>
        <w:gridCol w:w="2350"/>
      </w:tblGrid>
      <w:tr w:rsidR="00C33FCB" w:rsidRPr="008B788F" w14:paraId="239B3566" w14:textId="77777777" w:rsidTr="00B40A3B">
        <w:trPr>
          <w:trHeight w:val="484"/>
          <w:jc w:val="center"/>
        </w:trPr>
        <w:tc>
          <w:tcPr>
            <w:tcW w:w="2769" w:type="dxa"/>
            <w:tcBorders>
              <w:top w:val="single" w:sz="4" w:space="0" w:color="auto"/>
              <w:left w:val="single" w:sz="4" w:space="0" w:color="auto"/>
              <w:bottom w:val="single" w:sz="4" w:space="0" w:color="auto"/>
              <w:right w:val="single" w:sz="4" w:space="0" w:color="auto"/>
            </w:tcBorders>
            <w:vAlign w:val="center"/>
          </w:tcPr>
          <w:p w14:paraId="3D903893" w14:textId="77777777" w:rsidR="00C33FCB" w:rsidRPr="008B788F" w:rsidRDefault="00C33FCB" w:rsidP="00AE49B4">
            <w:pPr>
              <w:ind w:left="-272" w:right="-1" w:firstLine="272"/>
              <w:rPr>
                <w:b/>
                <w:sz w:val="20"/>
              </w:rPr>
            </w:pPr>
            <w:r w:rsidRPr="008B788F">
              <w:rPr>
                <w:b/>
                <w:sz w:val="20"/>
              </w:rPr>
              <w:t xml:space="preserve">Autoceļu seguma stāvoklis </w:t>
            </w:r>
          </w:p>
          <w:p w14:paraId="60D73CE9" w14:textId="77777777" w:rsidR="00C33FCB" w:rsidRPr="008B788F" w:rsidRDefault="00C33FCB" w:rsidP="00AE49B4">
            <w:pPr>
              <w:ind w:left="-272" w:right="-1" w:firstLine="272"/>
              <w:rPr>
                <w:b/>
                <w:sz w:val="20"/>
              </w:rPr>
            </w:pPr>
            <w:r w:rsidRPr="008B788F">
              <w:rPr>
                <w:b/>
                <w:sz w:val="20"/>
              </w:rPr>
              <w:t>pēc vizuālā vērtējuma</w:t>
            </w:r>
          </w:p>
        </w:tc>
        <w:tc>
          <w:tcPr>
            <w:tcW w:w="1961" w:type="dxa"/>
            <w:tcBorders>
              <w:top w:val="single" w:sz="4" w:space="0" w:color="auto"/>
              <w:left w:val="nil"/>
              <w:bottom w:val="single" w:sz="4" w:space="0" w:color="auto"/>
              <w:right w:val="single" w:sz="4" w:space="0" w:color="auto"/>
            </w:tcBorders>
            <w:vAlign w:val="center"/>
          </w:tcPr>
          <w:p w14:paraId="3C48AADC" w14:textId="77777777" w:rsidR="00C33FCB" w:rsidRPr="008B788F" w:rsidRDefault="00C33FCB" w:rsidP="00AE49B4">
            <w:pPr>
              <w:ind w:left="-272" w:right="-1" w:firstLine="272"/>
              <w:jc w:val="center"/>
              <w:rPr>
                <w:b/>
                <w:sz w:val="20"/>
              </w:rPr>
            </w:pPr>
            <w:r w:rsidRPr="008B788F">
              <w:rPr>
                <w:b/>
                <w:sz w:val="20"/>
              </w:rPr>
              <w:t>Reģionālie autoceļi</w:t>
            </w:r>
          </w:p>
        </w:tc>
        <w:tc>
          <w:tcPr>
            <w:tcW w:w="2011" w:type="dxa"/>
            <w:tcBorders>
              <w:top w:val="single" w:sz="4" w:space="0" w:color="auto"/>
              <w:left w:val="nil"/>
              <w:bottom w:val="single" w:sz="4" w:space="0" w:color="auto"/>
              <w:right w:val="single" w:sz="4" w:space="0" w:color="auto"/>
            </w:tcBorders>
            <w:vAlign w:val="center"/>
          </w:tcPr>
          <w:p w14:paraId="4ACF8932" w14:textId="77777777" w:rsidR="00C33FCB" w:rsidRPr="008B788F" w:rsidRDefault="00C33FCB" w:rsidP="00AE49B4">
            <w:pPr>
              <w:ind w:left="-272" w:right="-1" w:firstLine="272"/>
              <w:jc w:val="center"/>
              <w:rPr>
                <w:b/>
                <w:sz w:val="20"/>
              </w:rPr>
            </w:pPr>
            <w:r w:rsidRPr="008B788F">
              <w:rPr>
                <w:b/>
                <w:sz w:val="20"/>
              </w:rPr>
              <w:t>Vietējie autoceļi</w:t>
            </w:r>
          </w:p>
        </w:tc>
        <w:tc>
          <w:tcPr>
            <w:tcW w:w="2350" w:type="dxa"/>
            <w:tcBorders>
              <w:top w:val="single" w:sz="4" w:space="0" w:color="auto"/>
              <w:left w:val="single" w:sz="4" w:space="0" w:color="auto"/>
              <w:bottom w:val="single" w:sz="4" w:space="0" w:color="000000"/>
              <w:right w:val="single" w:sz="4" w:space="0" w:color="auto"/>
            </w:tcBorders>
            <w:vAlign w:val="center"/>
          </w:tcPr>
          <w:p w14:paraId="16CF23C0" w14:textId="77777777" w:rsidR="00C33FCB" w:rsidRPr="008B788F" w:rsidRDefault="00C33FCB" w:rsidP="00AE49B4">
            <w:pPr>
              <w:ind w:left="-272" w:right="-1" w:firstLine="272"/>
              <w:jc w:val="center"/>
              <w:rPr>
                <w:b/>
                <w:sz w:val="20"/>
              </w:rPr>
            </w:pPr>
            <w:r w:rsidRPr="008B788F">
              <w:rPr>
                <w:b/>
                <w:sz w:val="20"/>
              </w:rPr>
              <w:t>% no kopējā garuma</w:t>
            </w:r>
          </w:p>
        </w:tc>
      </w:tr>
      <w:tr w:rsidR="00C33FCB" w:rsidRPr="008B788F" w14:paraId="506E3B3E" w14:textId="77777777" w:rsidTr="00B40A3B">
        <w:trPr>
          <w:trHeight w:val="79"/>
          <w:jc w:val="center"/>
        </w:trPr>
        <w:tc>
          <w:tcPr>
            <w:tcW w:w="2769" w:type="dxa"/>
            <w:tcBorders>
              <w:top w:val="nil"/>
              <w:left w:val="single" w:sz="4" w:space="0" w:color="auto"/>
              <w:bottom w:val="single" w:sz="4" w:space="0" w:color="auto"/>
              <w:right w:val="single" w:sz="4" w:space="0" w:color="auto"/>
            </w:tcBorders>
            <w:vAlign w:val="center"/>
          </w:tcPr>
          <w:p w14:paraId="145C49D2" w14:textId="77777777" w:rsidR="00C33FCB" w:rsidRPr="008B788F" w:rsidRDefault="00C33FCB" w:rsidP="00AE49B4">
            <w:pPr>
              <w:ind w:left="-272" w:firstLine="272"/>
            </w:pPr>
            <w:r w:rsidRPr="008B788F">
              <w:t>Labs</w:t>
            </w:r>
          </w:p>
        </w:tc>
        <w:tc>
          <w:tcPr>
            <w:tcW w:w="1961" w:type="dxa"/>
            <w:tcBorders>
              <w:top w:val="nil"/>
              <w:left w:val="nil"/>
              <w:bottom w:val="single" w:sz="4" w:space="0" w:color="auto"/>
              <w:right w:val="single" w:sz="4" w:space="0" w:color="auto"/>
            </w:tcBorders>
            <w:vAlign w:val="center"/>
          </w:tcPr>
          <w:p w14:paraId="3388C6DF" w14:textId="77777777" w:rsidR="00C33FCB" w:rsidRPr="008B788F" w:rsidRDefault="00C33FCB" w:rsidP="00AE49B4">
            <w:pPr>
              <w:ind w:left="-272" w:right="-1" w:firstLine="272"/>
              <w:jc w:val="center"/>
            </w:pPr>
            <w:r w:rsidRPr="008B788F">
              <w:t>8</w:t>
            </w:r>
          </w:p>
        </w:tc>
        <w:tc>
          <w:tcPr>
            <w:tcW w:w="2011" w:type="dxa"/>
            <w:tcBorders>
              <w:top w:val="nil"/>
              <w:left w:val="nil"/>
              <w:bottom w:val="single" w:sz="4" w:space="0" w:color="auto"/>
              <w:right w:val="single" w:sz="4" w:space="0" w:color="auto"/>
            </w:tcBorders>
            <w:vAlign w:val="center"/>
          </w:tcPr>
          <w:p w14:paraId="21421ABA" w14:textId="77777777" w:rsidR="00C33FCB" w:rsidRPr="008B788F" w:rsidRDefault="00C33FCB" w:rsidP="00AE49B4">
            <w:pPr>
              <w:ind w:left="-272" w:right="-1" w:firstLine="272"/>
              <w:jc w:val="center"/>
            </w:pPr>
            <w:r w:rsidRPr="008B788F">
              <w:t>7</w:t>
            </w:r>
          </w:p>
        </w:tc>
        <w:tc>
          <w:tcPr>
            <w:tcW w:w="2350" w:type="dxa"/>
            <w:tcBorders>
              <w:top w:val="nil"/>
              <w:left w:val="nil"/>
              <w:bottom w:val="single" w:sz="4" w:space="0" w:color="auto"/>
              <w:right w:val="single" w:sz="4" w:space="0" w:color="auto"/>
            </w:tcBorders>
            <w:vAlign w:val="center"/>
          </w:tcPr>
          <w:p w14:paraId="00081084" w14:textId="77777777" w:rsidR="00C33FCB" w:rsidRPr="008B788F" w:rsidRDefault="00C33FCB" w:rsidP="00AE49B4">
            <w:pPr>
              <w:ind w:left="-272" w:right="-1" w:firstLine="272"/>
              <w:jc w:val="center"/>
            </w:pPr>
            <w:r w:rsidRPr="008B788F">
              <w:t>7</w:t>
            </w:r>
          </w:p>
        </w:tc>
      </w:tr>
      <w:tr w:rsidR="00C33FCB" w:rsidRPr="008B788F" w14:paraId="479922F4" w14:textId="77777777" w:rsidTr="00B40A3B">
        <w:trPr>
          <w:trHeight w:val="259"/>
          <w:jc w:val="center"/>
        </w:trPr>
        <w:tc>
          <w:tcPr>
            <w:tcW w:w="2769" w:type="dxa"/>
            <w:tcBorders>
              <w:top w:val="nil"/>
              <w:left w:val="single" w:sz="4" w:space="0" w:color="auto"/>
              <w:bottom w:val="single" w:sz="4" w:space="0" w:color="auto"/>
              <w:right w:val="single" w:sz="4" w:space="0" w:color="auto"/>
            </w:tcBorders>
            <w:vAlign w:val="center"/>
          </w:tcPr>
          <w:p w14:paraId="2FE3A892" w14:textId="77777777" w:rsidR="00C33FCB" w:rsidRPr="008B788F" w:rsidRDefault="00C33FCB" w:rsidP="00AE49B4">
            <w:pPr>
              <w:ind w:left="-272" w:firstLine="272"/>
            </w:pPr>
            <w:r w:rsidRPr="008B788F">
              <w:t>Apmierinošs</w:t>
            </w:r>
          </w:p>
        </w:tc>
        <w:tc>
          <w:tcPr>
            <w:tcW w:w="1961" w:type="dxa"/>
            <w:tcBorders>
              <w:top w:val="nil"/>
              <w:left w:val="nil"/>
              <w:bottom w:val="single" w:sz="4" w:space="0" w:color="auto"/>
              <w:right w:val="single" w:sz="4" w:space="0" w:color="auto"/>
            </w:tcBorders>
            <w:vAlign w:val="center"/>
          </w:tcPr>
          <w:p w14:paraId="4BC6B17F" w14:textId="77777777" w:rsidR="00C33FCB" w:rsidRPr="008B788F" w:rsidRDefault="00C33FCB" w:rsidP="00AE49B4">
            <w:pPr>
              <w:ind w:left="-272" w:right="-1" w:firstLine="272"/>
              <w:jc w:val="center"/>
            </w:pPr>
            <w:r w:rsidRPr="008B788F">
              <w:t>52</w:t>
            </w:r>
          </w:p>
        </w:tc>
        <w:tc>
          <w:tcPr>
            <w:tcW w:w="2011" w:type="dxa"/>
            <w:tcBorders>
              <w:top w:val="nil"/>
              <w:left w:val="nil"/>
              <w:bottom w:val="single" w:sz="4" w:space="0" w:color="auto"/>
              <w:right w:val="single" w:sz="4" w:space="0" w:color="auto"/>
            </w:tcBorders>
            <w:vAlign w:val="center"/>
          </w:tcPr>
          <w:p w14:paraId="2094216A" w14:textId="77777777" w:rsidR="00C33FCB" w:rsidRPr="008B788F" w:rsidRDefault="00C33FCB" w:rsidP="00AE49B4">
            <w:pPr>
              <w:ind w:left="-272" w:right="-1" w:firstLine="272"/>
              <w:jc w:val="center"/>
            </w:pPr>
            <w:r w:rsidRPr="008B788F">
              <w:t>50</w:t>
            </w:r>
          </w:p>
        </w:tc>
        <w:tc>
          <w:tcPr>
            <w:tcW w:w="2350" w:type="dxa"/>
            <w:tcBorders>
              <w:top w:val="nil"/>
              <w:left w:val="nil"/>
              <w:bottom w:val="single" w:sz="4" w:space="0" w:color="auto"/>
              <w:right w:val="single" w:sz="4" w:space="0" w:color="auto"/>
            </w:tcBorders>
            <w:vAlign w:val="center"/>
          </w:tcPr>
          <w:p w14:paraId="6DD2B5E6" w14:textId="77777777" w:rsidR="00C33FCB" w:rsidRPr="008B788F" w:rsidRDefault="00C33FCB" w:rsidP="00AE49B4">
            <w:pPr>
              <w:ind w:left="-272" w:right="-1" w:firstLine="272"/>
              <w:jc w:val="center"/>
            </w:pPr>
            <w:r w:rsidRPr="008B788F">
              <w:t>50</w:t>
            </w:r>
          </w:p>
        </w:tc>
      </w:tr>
      <w:tr w:rsidR="00C33FCB" w:rsidRPr="008B788F" w14:paraId="3584CAB4" w14:textId="77777777" w:rsidTr="00B40A3B">
        <w:trPr>
          <w:trHeight w:val="237"/>
          <w:jc w:val="center"/>
        </w:trPr>
        <w:tc>
          <w:tcPr>
            <w:tcW w:w="2769" w:type="dxa"/>
            <w:tcBorders>
              <w:top w:val="nil"/>
              <w:left w:val="single" w:sz="4" w:space="0" w:color="auto"/>
              <w:bottom w:val="single" w:sz="4" w:space="0" w:color="auto"/>
              <w:right w:val="single" w:sz="4" w:space="0" w:color="auto"/>
            </w:tcBorders>
            <w:vAlign w:val="center"/>
          </w:tcPr>
          <w:p w14:paraId="58DEC1C8" w14:textId="77777777" w:rsidR="00C33FCB" w:rsidRPr="008B788F" w:rsidRDefault="00C33FCB" w:rsidP="00AE49B4">
            <w:pPr>
              <w:ind w:left="-272" w:firstLine="272"/>
            </w:pPr>
            <w:r w:rsidRPr="008B788F">
              <w:t>Slikts</w:t>
            </w:r>
          </w:p>
        </w:tc>
        <w:tc>
          <w:tcPr>
            <w:tcW w:w="1961" w:type="dxa"/>
            <w:tcBorders>
              <w:top w:val="nil"/>
              <w:left w:val="nil"/>
              <w:bottom w:val="single" w:sz="4" w:space="0" w:color="auto"/>
              <w:right w:val="single" w:sz="4" w:space="0" w:color="auto"/>
            </w:tcBorders>
            <w:vAlign w:val="center"/>
          </w:tcPr>
          <w:p w14:paraId="74BCF902" w14:textId="77777777" w:rsidR="00C33FCB" w:rsidRPr="008B788F" w:rsidRDefault="00C33FCB" w:rsidP="00AE49B4">
            <w:pPr>
              <w:ind w:left="-272" w:right="-1" w:firstLine="272"/>
              <w:jc w:val="center"/>
            </w:pPr>
            <w:r w:rsidRPr="008B788F">
              <w:t>40</w:t>
            </w:r>
          </w:p>
        </w:tc>
        <w:tc>
          <w:tcPr>
            <w:tcW w:w="2011" w:type="dxa"/>
            <w:tcBorders>
              <w:top w:val="nil"/>
              <w:left w:val="nil"/>
              <w:bottom w:val="single" w:sz="4" w:space="0" w:color="auto"/>
              <w:right w:val="single" w:sz="4" w:space="0" w:color="auto"/>
            </w:tcBorders>
            <w:vAlign w:val="center"/>
          </w:tcPr>
          <w:p w14:paraId="10A9BC63" w14:textId="77777777" w:rsidR="00C33FCB" w:rsidRPr="008B788F" w:rsidRDefault="00C33FCB" w:rsidP="00AE49B4">
            <w:pPr>
              <w:ind w:left="-272" w:right="-1" w:firstLine="272"/>
              <w:jc w:val="center"/>
            </w:pPr>
            <w:r w:rsidRPr="008B788F">
              <w:t>43</w:t>
            </w:r>
          </w:p>
        </w:tc>
        <w:tc>
          <w:tcPr>
            <w:tcW w:w="2350" w:type="dxa"/>
            <w:tcBorders>
              <w:top w:val="nil"/>
              <w:left w:val="nil"/>
              <w:bottom w:val="single" w:sz="4" w:space="0" w:color="auto"/>
              <w:right w:val="single" w:sz="4" w:space="0" w:color="auto"/>
            </w:tcBorders>
            <w:vAlign w:val="center"/>
          </w:tcPr>
          <w:p w14:paraId="5AACE2C7" w14:textId="77777777" w:rsidR="00C33FCB" w:rsidRPr="008B788F" w:rsidRDefault="00C33FCB" w:rsidP="00AE49B4">
            <w:pPr>
              <w:ind w:left="-272" w:right="-1" w:firstLine="272"/>
              <w:jc w:val="center"/>
            </w:pPr>
            <w:r w:rsidRPr="008B788F">
              <w:t>43</w:t>
            </w:r>
          </w:p>
        </w:tc>
      </w:tr>
    </w:tbl>
    <w:p w14:paraId="42613022" w14:textId="77777777" w:rsidR="00C33FCB" w:rsidRDefault="00C33FCB" w:rsidP="00AE49B4">
      <w:pPr>
        <w:ind w:right="-2" w:firstLine="720"/>
        <w:jc w:val="both"/>
      </w:pPr>
    </w:p>
    <w:p w14:paraId="258072E7" w14:textId="77777777" w:rsidR="00C33FCB" w:rsidRDefault="00C33FCB" w:rsidP="00AE49B4">
      <w:pPr>
        <w:ind w:right="-2" w:firstLine="720"/>
        <w:jc w:val="both"/>
      </w:pPr>
      <w:r>
        <w:t xml:space="preserve">Šāda </w:t>
      </w:r>
      <w:r w:rsidRPr="009A2070">
        <w:t xml:space="preserve">situācija katru gadu tautsaimniecībai nodara zaudējumus </w:t>
      </w:r>
      <w:r w:rsidR="00704E96">
        <w:t>1,1</w:t>
      </w:r>
      <w:r w:rsidRPr="009A2070">
        <w:t xml:space="preserve"> milj</w:t>
      </w:r>
      <w:r w:rsidR="00704E96">
        <w:t>ardu</w:t>
      </w:r>
      <w:r w:rsidRPr="009A2070">
        <w:t xml:space="preserve"> </w:t>
      </w:r>
      <w:proofErr w:type="spellStart"/>
      <w:r>
        <w:rPr>
          <w:i/>
        </w:rPr>
        <w:t>euro</w:t>
      </w:r>
      <w:proofErr w:type="spellEnd"/>
      <w:r w:rsidR="00704E96">
        <w:rPr>
          <w:rStyle w:val="FootnoteReference"/>
          <w:i/>
        </w:rPr>
        <w:footnoteReference w:id="1"/>
      </w:r>
      <w:r w:rsidRPr="009A2070">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 sakārtošanai nepieciešami 4,5 miljardi </w:t>
      </w:r>
      <w:proofErr w:type="spellStart"/>
      <w:r>
        <w:rPr>
          <w:i/>
        </w:rPr>
        <w:t>euro</w:t>
      </w:r>
      <w:proofErr w:type="spellEnd"/>
      <w:r w:rsidRPr="009A2070">
        <w:t>.</w:t>
      </w:r>
    </w:p>
    <w:p w14:paraId="4BC4C6A2" w14:textId="77777777" w:rsidR="00C33FCB" w:rsidRDefault="00C33FCB" w:rsidP="00AE49B4">
      <w:pPr>
        <w:ind w:firstLine="720"/>
        <w:jc w:val="both"/>
        <w:rPr>
          <w:b/>
        </w:rPr>
      </w:pPr>
    </w:p>
    <w:p w14:paraId="57050FF7" w14:textId="77777777" w:rsidR="00C33FCB" w:rsidRDefault="00C33FCB" w:rsidP="00AE49B4">
      <w:pPr>
        <w:ind w:firstLine="720"/>
        <w:jc w:val="both"/>
      </w:pPr>
      <w:r w:rsidRPr="006F2E96">
        <w:t>Valsts autoceļu un to kompleksā ietilpstošo inženierbūvju un satiksmes organizācijas tehnisko līdzekļu bilances vērtība 2017. gada 1. janvārī ir parādīta</w:t>
      </w:r>
      <w:r>
        <w:t xml:space="preserve"> 4</w:t>
      </w:r>
      <w:r w:rsidRPr="006F2E96">
        <w:t>. tabulā.</w:t>
      </w:r>
    </w:p>
    <w:p w14:paraId="78424BC5" w14:textId="77777777" w:rsidR="00C33FCB" w:rsidRDefault="00C33FCB" w:rsidP="00AE49B4">
      <w:pPr>
        <w:ind w:firstLine="720"/>
        <w:jc w:val="both"/>
      </w:pPr>
    </w:p>
    <w:p w14:paraId="2261CAFD" w14:textId="77777777" w:rsidR="00C33FCB" w:rsidRDefault="00C33FCB" w:rsidP="00AE49B4">
      <w:pPr>
        <w:ind w:firstLine="720"/>
        <w:jc w:val="right"/>
        <w:rPr>
          <w:b/>
          <w:sz w:val="20"/>
        </w:rPr>
      </w:pPr>
      <w:r>
        <w:rPr>
          <w:b/>
          <w:sz w:val="20"/>
        </w:rPr>
        <w:t>4</w:t>
      </w:r>
      <w:r w:rsidRPr="006F2E96">
        <w:rPr>
          <w:b/>
          <w:sz w:val="20"/>
        </w:rPr>
        <w:t>. tabula</w:t>
      </w:r>
    </w:p>
    <w:p w14:paraId="1CB520A8" w14:textId="77777777" w:rsidR="00C33FCB" w:rsidRDefault="00C33FCB" w:rsidP="00AE49B4">
      <w:pPr>
        <w:ind w:firstLine="720"/>
        <w:jc w:val="right"/>
        <w:rPr>
          <w:b/>
          <w:sz w:val="20"/>
        </w:rPr>
      </w:pPr>
    </w:p>
    <w:p w14:paraId="6BB29137" w14:textId="77777777" w:rsidR="00C33FCB" w:rsidRPr="007A05A7" w:rsidRDefault="00C33FCB" w:rsidP="00AE49B4">
      <w:pPr>
        <w:jc w:val="center"/>
        <w:rPr>
          <w:b/>
        </w:rPr>
      </w:pPr>
      <w:r w:rsidRPr="007A05A7">
        <w:rPr>
          <w:b/>
        </w:rPr>
        <w:t>Bilances vērtība pa autoceļu grupām</w:t>
      </w:r>
      <w:r w:rsidR="00A46B7E">
        <w:rPr>
          <w:b/>
        </w:rPr>
        <w:t xml:space="preserve"> 2016.gadā</w:t>
      </w:r>
      <w:r w:rsidRPr="007A05A7">
        <w:rPr>
          <w:b/>
        </w:rPr>
        <w:t xml:space="preserve">, </w:t>
      </w:r>
      <w:r>
        <w:rPr>
          <w:b/>
        </w:rPr>
        <w:t xml:space="preserve">milj. </w:t>
      </w:r>
      <w:proofErr w:type="spellStart"/>
      <w:r>
        <w:rPr>
          <w:b/>
          <w:i/>
        </w:rPr>
        <w:t>euro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850"/>
        <w:gridCol w:w="2160"/>
        <w:gridCol w:w="1785"/>
        <w:gridCol w:w="1575"/>
      </w:tblGrid>
      <w:tr w:rsidR="00C33FCB" w:rsidRPr="006F2E96" w14:paraId="51E96EC1" w14:textId="77777777" w:rsidTr="00B40A3B">
        <w:trPr>
          <w:trHeight w:val="431"/>
        </w:trPr>
        <w:tc>
          <w:tcPr>
            <w:tcW w:w="1750" w:type="dxa"/>
            <w:vAlign w:val="center"/>
          </w:tcPr>
          <w:p w14:paraId="3C79D00F" w14:textId="77777777" w:rsidR="00C33FCB" w:rsidRPr="006F2E96" w:rsidRDefault="00C33FCB" w:rsidP="00AE49B4">
            <w:pPr>
              <w:jc w:val="center"/>
              <w:rPr>
                <w:b/>
              </w:rPr>
            </w:pPr>
            <w:r w:rsidRPr="006F2E96">
              <w:rPr>
                <w:b/>
                <w:sz w:val="22"/>
                <w:szCs w:val="22"/>
              </w:rPr>
              <w:t>Rādītāji</w:t>
            </w:r>
          </w:p>
        </w:tc>
        <w:tc>
          <w:tcPr>
            <w:tcW w:w="1850" w:type="dxa"/>
            <w:vAlign w:val="center"/>
          </w:tcPr>
          <w:p w14:paraId="282FAAA4" w14:textId="77777777" w:rsidR="00C33FCB" w:rsidRPr="006F2E96" w:rsidRDefault="00C33FCB" w:rsidP="00AE49B4">
            <w:pPr>
              <w:jc w:val="center"/>
              <w:rPr>
                <w:b/>
              </w:rPr>
            </w:pPr>
            <w:r w:rsidRPr="006F2E96">
              <w:rPr>
                <w:b/>
                <w:sz w:val="22"/>
                <w:szCs w:val="22"/>
              </w:rPr>
              <w:t>Galvenie autoceļi</w:t>
            </w:r>
          </w:p>
        </w:tc>
        <w:tc>
          <w:tcPr>
            <w:tcW w:w="2160" w:type="dxa"/>
            <w:vAlign w:val="center"/>
          </w:tcPr>
          <w:p w14:paraId="47B20B3A" w14:textId="77777777" w:rsidR="00C33FCB" w:rsidRPr="006F2E96" w:rsidRDefault="00C33FCB" w:rsidP="00AE49B4">
            <w:pPr>
              <w:jc w:val="center"/>
              <w:rPr>
                <w:b/>
              </w:rPr>
            </w:pPr>
            <w:r w:rsidRPr="006F2E96">
              <w:rPr>
                <w:b/>
                <w:sz w:val="22"/>
                <w:szCs w:val="22"/>
              </w:rPr>
              <w:t>Reģionālie autoceļi</w:t>
            </w:r>
          </w:p>
        </w:tc>
        <w:tc>
          <w:tcPr>
            <w:tcW w:w="1785" w:type="dxa"/>
            <w:vAlign w:val="center"/>
          </w:tcPr>
          <w:p w14:paraId="14658C03" w14:textId="77777777" w:rsidR="00C33FCB" w:rsidRPr="006F2E96" w:rsidRDefault="00C33FCB" w:rsidP="00AE49B4">
            <w:pPr>
              <w:jc w:val="center"/>
              <w:rPr>
                <w:b/>
              </w:rPr>
            </w:pPr>
            <w:r w:rsidRPr="006F2E96">
              <w:rPr>
                <w:b/>
                <w:sz w:val="22"/>
                <w:szCs w:val="22"/>
              </w:rPr>
              <w:t>Vietējie autoceļi</w:t>
            </w:r>
          </w:p>
        </w:tc>
        <w:tc>
          <w:tcPr>
            <w:tcW w:w="1575" w:type="dxa"/>
            <w:vAlign w:val="center"/>
          </w:tcPr>
          <w:p w14:paraId="16B8FDB3" w14:textId="77777777" w:rsidR="00C33FCB" w:rsidRPr="006F2E96" w:rsidRDefault="00C33FCB" w:rsidP="00AE49B4">
            <w:pPr>
              <w:jc w:val="center"/>
              <w:rPr>
                <w:b/>
              </w:rPr>
            </w:pPr>
            <w:r w:rsidRPr="006F2E96">
              <w:rPr>
                <w:b/>
                <w:sz w:val="22"/>
                <w:szCs w:val="22"/>
              </w:rPr>
              <w:t>Kopā</w:t>
            </w:r>
          </w:p>
        </w:tc>
      </w:tr>
      <w:tr w:rsidR="00C33FCB" w:rsidRPr="006F2E96" w14:paraId="7FDE36CE" w14:textId="77777777" w:rsidTr="00B40A3B">
        <w:trPr>
          <w:trHeight w:val="438"/>
        </w:trPr>
        <w:tc>
          <w:tcPr>
            <w:tcW w:w="1750" w:type="dxa"/>
            <w:vAlign w:val="center"/>
          </w:tcPr>
          <w:p w14:paraId="034ABAD5" w14:textId="77777777" w:rsidR="00C33FCB" w:rsidRPr="006F2E96" w:rsidRDefault="00C33FCB" w:rsidP="00AE49B4">
            <w:r w:rsidRPr="006F2E96">
              <w:rPr>
                <w:sz w:val="22"/>
                <w:szCs w:val="22"/>
              </w:rPr>
              <w:t>Sākotnējā vērtība</w:t>
            </w:r>
          </w:p>
        </w:tc>
        <w:tc>
          <w:tcPr>
            <w:tcW w:w="1850" w:type="dxa"/>
            <w:vAlign w:val="center"/>
          </w:tcPr>
          <w:p w14:paraId="64EE3340" w14:textId="77777777" w:rsidR="00C33FCB" w:rsidRPr="006F2E96" w:rsidRDefault="00C33FCB" w:rsidP="00692AE5">
            <w:pPr>
              <w:jc w:val="center"/>
            </w:pPr>
            <w:r>
              <w:rPr>
                <w:sz w:val="22"/>
                <w:szCs w:val="22"/>
              </w:rPr>
              <w:t>1 579</w:t>
            </w:r>
          </w:p>
        </w:tc>
        <w:tc>
          <w:tcPr>
            <w:tcW w:w="2160" w:type="dxa"/>
            <w:vAlign w:val="center"/>
          </w:tcPr>
          <w:p w14:paraId="21310F19" w14:textId="77777777" w:rsidR="00C33FCB" w:rsidRPr="006F2E96" w:rsidRDefault="00C33FCB" w:rsidP="00692AE5">
            <w:pPr>
              <w:jc w:val="center"/>
            </w:pPr>
            <w:r>
              <w:rPr>
                <w:sz w:val="22"/>
                <w:szCs w:val="22"/>
              </w:rPr>
              <w:t>1 831</w:t>
            </w:r>
          </w:p>
        </w:tc>
        <w:tc>
          <w:tcPr>
            <w:tcW w:w="1785" w:type="dxa"/>
            <w:vAlign w:val="center"/>
          </w:tcPr>
          <w:p w14:paraId="721CEB53" w14:textId="77777777" w:rsidR="00C33FCB" w:rsidRPr="006F2E96" w:rsidRDefault="00C33FCB" w:rsidP="00692AE5">
            <w:pPr>
              <w:jc w:val="center"/>
            </w:pPr>
            <w:r>
              <w:rPr>
                <w:sz w:val="22"/>
                <w:szCs w:val="22"/>
              </w:rPr>
              <w:t>1 651</w:t>
            </w:r>
          </w:p>
        </w:tc>
        <w:tc>
          <w:tcPr>
            <w:tcW w:w="1575" w:type="dxa"/>
            <w:vAlign w:val="center"/>
          </w:tcPr>
          <w:p w14:paraId="5A7CC6A9" w14:textId="77777777" w:rsidR="00C33FCB" w:rsidRPr="006F2E96" w:rsidRDefault="00C33FCB" w:rsidP="00692AE5">
            <w:pPr>
              <w:jc w:val="center"/>
            </w:pPr>
            <w:r>
              <w:rPr>
                <w:sz w:val="22"/>
                <w:szCs w:val="22"/>
              </w:rPr>
              <w:t>5 063</w:t>
            </w:r>
          </w:p>
        </w:tc>
      </w:tr>
      <w:tr w:rsidR="00C33FCB" w:rsidRPr="006F2E96" w14:paraId="0FE658B0" w14:textId="77777777" w:rsidTr="00B40A3B">
        <w:trPr>
          <w:trHeight w:val="401"/>
        </w:trPr>
        <w:tc>
          <w:tcPr>
            <w:tcW w:w="1750" w:type="dxa"/>
            <w:vAlign w:val="center"/>
          </w:tcPr>
          <w:p w14:paraId="0AE96EE1" w14:textId="77777777" w:rsidR="00C33FCB" w:rsidRPr="006F2E96" w:rsidRDefault="00C33FCB" w:rsidP="00AE49B4">
            <w:r w:rsidRPr="006F2E96">
              <w:rPr>
                <w:sz w:val="22"/>
                <w:szCs w:val="22"/>
              </w:rPr>
              <w:t>Nolietojums</w:t>
            </w:r>
          </w:p>
        </w:tc>
        <w:tc>
          <w:tcPr>
            <w:tcW w:w="1850" w:type="dxa"/>
            <w:vAlign w:val="center"/>
          </w:tcPr>
          <w:p w14:paraId="384F72E6" w14:textId="77777777" w:rsidR="00C33FCB" w:rsidRPr="006F2E96" w:rsidRDefault="00C33FCB" w:rsidP="00692AE5">
            <w:pPr>
              <w:jc w:val="center"/>
            </w:pPr>
            <w:r>
              <w:rPr>
                <w:sz w:val="22"/>
                <w:szCs w:val="22"/>
              </w:rPr>
              <w:t>834</w:t>
            </w:r>
          </w:p>
        </w:tc>
        <w:tc>
          <w:tcPr>
            <w:tcW w:w="2160" w:type="dxa"/>
            <w:vAlign w:val="center"/>
          </w:tcPr>
          <w:p w14:paraId="5AF7AE21" w14:textId="77777777" w:rsidR="00C33FCB" w:rsidRPr="006F2E96" w:rsidRDefault="00C33FCB" w:rsidP="00692AE5">
            <w:pPr>
              <w:jc w:val="center"/>
            </w:pPr>
            <w:r>
              <w:rPr>
                <w:sz w:val="22"/>
                <w:szCs w:val="22"/>
              </w:rPr>
              <w:t>1 245</w:t>
            </w:r>
          </w:p>
        </w:tc>
        <w:tc>
          <w:tcPr>
            <w:tcW w:w="1785" w:type="dxa"/>
            <w:vAlign w:val="center"/>
          </w:tcPr>
          <w:p w14:paraId="6AE01A40" w14:textId="77777777" w:rsidR="00C33FCB" w:rsidRPr="006F2E96" w:rsidRDefault="00C33FCB" w:rsidP="00692AE5">
            <w:pPr>
              <w:jc w:val="center"/>
            </w:pPr>
            <w:r>
              <w:rPr>
                <w:sz w:val="22"/>
                <w:szCs w:val="22"/>
              </w:rPr>
              <w:t>1 403</w:t>
            </w:r>
          </w:p>
        </w:tc>
        <w:tc>
          <w:tcPr>
            <w:tcW w:w="1575" w:type="dxa"/>
            <w:vAlign w:val="center"/>
          </w:tcPr>
          <w:p w14:paraId="325C0987" w14:textId="77777777" w:rsidR="00C33FCB" w:rsidRPr="006F2E96" w:rsidRDefault="00C33FCB" w:rsidP="00692AE5">
            <w:pPr>
              <w:jc w:val="center"/>
            </w:pPr>
            <w:r>
              <w:rPr>
                <w:sz w:val="22"/>
                <w:szCs w:val="22"/>
              </w:rPr>
              <w:t>3 484</w:t>
            </w:r>
          </w:p>
        </w:tc>
      </w:tr>
      <w:tr w:rsidR="00C33FCB" w:rsidRPr="006F2E96" w14:paraId="7B776CD7" w14:textId="77777777" w:rsidTr="00B40A3B">
        <w:trPr>
          <w:trHeight w:val="248"/>
        </w:trPr>
        <w:tc>
          <w:tcPr>
            <w:tcW w:w="1750" w:type="dxa"/>
            <w:vAlign w:val="center"/>
          </w:tcPr>
          <w:p w14:paraId="12E506D8" w14:textId="77777777" w:rsidR="00C33FCB" w:rsidRPr="006F2E96" w:rsidRDefault="00C33FCB" w:rsidP="00AE49B4">
            <w:r w:rsidRPr="006F2E96">
              <w:rPr>
                <w:sz w:val="22"/>
                <w:szCs w:val="22"/>
              </w:rPr>
              <w:t>Autoceļu bilances vērtība</w:t>
            </w:r>
          </w:p>
        </w:tc>
        <w:tc>
          <w:tcPr>
            <w:tcW w:w="1850" w:type="dxa"/>
            <w:vAlign w:val="center"/>
          </w:tcPr>
          <w:p w14:paraId="77445B11" w14:textId="77777777" w:rsidR="00C33FCB" w:rsidRPr="006F2E96" w:rsidRDefault="00C33FCB" w:rsidP="00692AE5">
            <w:pPr>
              <w:jc w:val="center"/>
            </w:pPr>
            <w:r>
              <w:rPr>
                <w:sz w:val="22"/>
                <w:szCs w:val="22"/>
              </w:rPr>
              <w:t>745</w:t>
            </w:r>
          </w:p>
        </w:tc>
        <w:tc>
          <w:tcPr>
            <w:tcW w:w="2160" w:type="dxa"/>
            <w:vAlign w:val="center"/>
          </w:tcPr>
          <w:p w14:paraId="146689C6" w14:textId="77777777" w:rsidR="00C33FCB" w:rsidRPr="006F2E96" w:rsidRDefault="00C33FCB" w:rsidP="00692AE5">
            <w:pPr>
              <w:jc w:val="center"/>
            </w:pPr>
            <w:r>
              <w:rPr>
                <w:sz w:val="22"/>
                <w:szCs w:val="22"/>
              </w:rPr>
              <w:t>586</w:t>
            </w:r>
          </w:p>
        </w:tc>
        <w:tc>
          <w:tcPr>
            <w:tcW w:w="1785" w:type="dxa"/>
            <w:vAlign w:val="center"/>
          </w:tcPr>
          <w:p w14:paraId="3CC0284D" w14:textId="77777777" w:rsidR="00C33FCB" w:rsidRPr="006F2E96" w:rsidRDefault="00C33FCB" w:rsidP="00692AE5">
            <w:pPr>
              <w:jc w:val="center"/>
            </w:pPr>
            <w:r>
              <w:rPr>
                <w:sz w:val="22"/>
                <w:szCs w:val="22"/>
              </w:rPr>
              <w:t>248</w:t>
            </w:r>
          </w:p>
        </w:tc>
        <w:tc>
          <w:tcPr>
            <w:tcW w:w="1575" w:type="dxa"/>
            <w:vAlign w:val="center"/>
          </w:tcPr>
          <w:p w14:paraId="32D6F4BB" w14:textId="77777777" w:rsidR="00C33FCB" w:rsidRPr="006F2E96" w:rsidRDefault="00C33FCB" w:rsidP="00692AE5">
            <w:pPr>
              <w:jc w:val="center"/>
            </w:pPr>
            <w:r>
              <w:rPr>
                <w:sz w:val="22"/>
                <w:szCs w:val="22"/>
              </w:rPr>
              <w:t>1 579</w:t>
            </w:r>
          </w:p>
        </w:tc>
      </w:tr>
    </w:tbl>
    <w:p w14:paraId="2F977C2D" w14:textId="77777777" w:rsidR="00C33FCB" w:rsidRPr="006F2E96" w:rsidRDefault="00C33FCB" w:rsidP="00AE49B4">
      <w:pPr>
        <w:jc w:val="both"/>
        <w:rPr>
          <w:b/>
          <w:sz w:val="20"/>
        </w:rPr>
      </w:pPr>
    </w:p>
    <w:p w14:paraId="61839ECA" w14:textId="77777777" w:rsidR="00C33FCB" w:rsidRPr="00346524" w:rsidRDefault="00565EC3" w:rsidP="00AE49B4">
      <w:pPr>
        <w:tabs>
          <w:tab w:val="left" w:pos="567"/>
        </w:tabs>
        <w:ind w:right="-6" w:firstLine="567"/>
        <w:jc w:val="both"/>
        <w:rPr>
          <w:color w:val="000000"/>
        </w:rPr>
      </w:pPr>
      <w:r>
        <w:rPr>
          <w:color w:val="000000"/>
        </w:rPr>
        <w:t>L</w:t>
      </w:r>
      <w:r w:rsidR="00C33FCB" w:rsidRPr="00346524">
        <w:rPr>
          <w:color w:val="000000"/>
        </w:rPr>
        <w:t>ai sasniegtu NAP2020 izvirzītos mērķus (līdz 2020. 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būtu jāveic šādi darbu apjomi:</w:t>
      </w:r>
    </w:p>
    <w:p w14:paraId="116FA06D" w14:textId="77777777" w:rsidR="00C33FCB" w:rsidRPr="00346524" w:rsidRDefault="00C33FCB" w:rsidP="00AE49B4">
      <w:pPr>
        <w:tabs>
          <w:tab w:val="left" w:pos="567"/>
          <w:tab w:val="num" w:pos="1985"/>
        </w:tabs>
        <w:ind w:right="-6" w:firstLine="567"/>
        <w:jc w:val="both"/>
        <w:rPr>
          <w:color w:val="000000"/>
        </w:rPr>
      </w:pPr>
      <w:r w:rsidRPr="00346524">
        <w:rPr>
          <w:color w:val="000000"/>
        </w:rPr>
        <w:t>1) jāveic seguma atjaunošana un segu pārbūve 175 km valsts galvenajiem autoceļiem;</w:t>
      </w:r>
    </w:p>
    <w:p w14:paraId="026A1E70" w14:textId="77777777" w:rsidR="00C33FCB" w:rsidRPr="00346524" w:rsidRDefault="00C33FCB" w:rsidP="00AE49B4">
      <w:pPr>
        <w:tabs>
          <w:tab w:val="left" w:pos="567"/>
          <w:tab w:val="num" w:pos="1985"/>
        </w:tabs>
        <w:ind w:right="-6" w:firstLine="567"/>
        <w:jc w:val="both"/>
        <w:rPr>
          <w:color w:val="000000"/>
        </w:rPr>
      </w:pPr>
      <w:r w:rsidRPr="00346524">
        <w:rPr>
          <w:color w:val="000000"/>
        </w:rPr>
        <w:t>2) jāveic seguma atjaunošana un segu pārbūve 400 km valsts reģionālajiem autoceļiem ar melno segumu;</w:t>
      </w:r>
    </w:p>
    <w:p w14:paraId="3C1E61F0" w14:textId="77777777" w:rsidR="00C33FCB" w:rsidRPr="00346524" w:rsidRDefault="00C33FCB" w:rsidP="00AE49B4">
      <w:pPr>
        <w:tabs>
          <w:tab w:val="left" w:pos="567"/>
          <w:tab w:val="num" w:pos="1985"/>
        </w:tabs>
        <w:ind w:right="-6" w:firstLine="567"/>
        <w:jc w:val="both"/>
        <w:rPr>
          <w:color w:val="000000"/>
        </w:rPr>
      </w:pPr>
      <w:r w:rsidRPr="00346524">
        <w:rPr>
          <w:color w:val="000000"/>
        </w:rPr>
        <w:t xml:space="preserve">3) jāpārbūvē tilti – 29 </w:t>
      </w:r>
      <w:proofErr w:type="spellStart"/>
      <w:r w:rsidRPr="00346524">
        <w:rPr>
          <w:color w:val="000000"/>
        </w:rPr>
        <w:t>gab</w:t>
      </w:r>
      <w:proofErr w:type="spellEnd"/>
      <w:r w:rsidRPr="00346524">
        <w:rPr>
          <w:color w:val="000000"/>
        </w:rPr>
        <w:t>;</w:t>
      </w:r>
    </w:p>
    <w:p w14:paraId="74A01751" w14:textId="77777777" w:rsidR="00C33FCB" w:rsidRPr="00346524" w:rsidRDefault="00C33FCB" w:rsidP="00AE49B4">
      <w:pPr>
        <w:tabs>
          <w:tab w:val="left" w:pos="567"/>
        </w:tabs>
        <w:ind w:right="-6" w:firstLine="567"/>
        <w:jc w:val="both"/>
        <w:rPr>
          <w:b/>
        </w:rPr>
      </w:pPr>
      <w:r w:rsidRPr="00346524">
        <w:rPr>
          <w:color w:val="000000"/>
        </w:rPr>
        <w:lastRenderedPageBreak/>
        <w:t>4) jārealizē satiksmes drošības uzlabošanas projekti – 13 gab.</w:t>
      </w:r>
      <w:r w:rsidRPr="00346524">
        <w:rPr>
          <w:b/>
        </w:rPr>
        <w:t xml:space="preserve"> </w:t>
      </w:r>
    </w:p>
    <w:p w14:paraId="3CAB7B2F" w14:textId="77777777" w:rsidR="00565EC3" w:rsidRDefault="00704E96" w:rsidP="00AE49B4">
      <w:pPr>
        <w:ind w:right="-6" w:firstLine="567"/>
        <w:jc w:val="both"/>
      </w:pPr>
      <w:r w:rsidRPr="00704E96">
        <w:t>Tra</w:t>
      </w:r>
      <w:r>
        <w:t>nsporta attīstības pamatnostādnēs</w:t>
      </w:r>
      <w:r w:rsidRPr="00704E96">
        <w:t xml:space="preserve"> 2014.-2020.gadam</w:t>
      </w:r>
      <w:r>
        <w:t xml:space="preserve"> (turpmāk – TAP</w:t>
      </w:r>
      <w:r w:rsidR="00E541A7">
        <w:t>2020</w:t>
      </w:r>
      <w:r>
        <w:t xml:space="preserve">) ir iekļauti šādi sasniedzamie </w:t>
      </w:r>
      <w:r w:rsidR="00E541A7">
        <w:t>rezultatīvie rādītāji</w:t>
      </w:r>
      <w:r>
        <w:t xml:space="preserve"> (5.tabula):</w:t>
      </w:r>
    </w:p>
    <w:p w14:paraId="19A17E30" w14:textId="77777777" w:rsidR="00704E96" w:rsidRPr="00B76DBE" w:rsidRDefault="00704E96" w:rsidP="00704E96">
      <w:pPr>
        <w:ind w:right="-6" w:firstLine="567"/>
        <w:jc w:val="right"/>
        <w:rPr>
          <w:b/>
          <w:sz w:val="20"/>
          <w:szCs w:val="20"/>
        </w:rPr>
      </w:pPr>
      <w:r w:rsidRPr="00B76DBE">
        <w:rPr>
          <w:b/>
          <w:sz w:val="20"/>
          <w:szCs w:val="20"/>
        </w:rPr>
        <w:t>5.tabula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708"/>
        <w:gridCol w:w="709"/>
        <w:gridCol w:w="709"/>
        <w:gridCol w:w="709"/>
        <w:gridCol w:w="708"/>
        <w:gridCol w:w="709"/>
        <w:gridCol w:w="709"/>
      </w:tblGrid>
      <w:tr w:rsidR="00755332" w:rsidRPr="00704E96" w14:paraId="41B77D4F" w14:textId="77777777" w:rsidTr="00755332">
        <w:tc>
          <w:tcPr>
            <w:tcW w:w="9322" w:type="dxa"/>
            <w:gridSpan w:val="8"/>
            <w:tcBorders>
              <w:bottom w:val="single" w:sz="4" w:space="0" w:color="auto"/>
            </w:tcBorders>
          </w:tcPr>
          <w:p w14:paraId="6372AF2F" w14:textId="77777777" w:rsidR="00755332" w:rsidRPr="00704E96" w:rsidRDefault="00755332" w:rsidP="00704E96">
            <w:pPr>
              <w:spacing w:after="120"/>
              <w:rPr>
                <w:i/>
              </w:rPr>
            </w:pPr>
            <w:r w:rsidRPr="00704E96">
              <w:rPr>
                <w:i/>
              </w:rPr>
              <w:t>Politikas rezultāts</w:t>
            </w:r>
            <w:r>
              <w:rPr>
                <w:i/>
              </w:rPr>
              <w:t xml:space="preserve"> -</w:t>
            </w:r>
            <w:r w:rsidRPr="00704E96">
              <w:rPr>
                <w:b/>
              </w:rPr>
              <w:t xml:space="preserve"> Samazināts valsts autoceļu ar asfalta segumu sliktā un ļoti sliktā stāvoklī garums par 57%, salīdzinot ar 2012.gadu</w:t>
            </w:r>
          </w:p>
        </w:tc>
      </w:tr>
      <w:tr w:rsidR="00755332" w:rsidRPr="00704E96" w14:paraId="7A465429" w14:textId="77777777" w:rsidTr="00755332">
        <w:tc>
          <w:tcPr>
            <w:tcW w:w="4361" w:type="dxa"/>
            <w:tcBorders>
              <w:bottom w:val="single" w:sz="4" w:space="0" w:color="auto"/>
            </w:tcBorders>
          </w:tcPr>
          <w:p w14:paraId="374F145E" w14:textId="77777777" w:rsidR="00755332" w:rsidRPr="00704E96" w:rsidRDefault="00755332" w:rsidP="00704E96">
            <w:pPr>
              <w:spacing w:after="120"/>
              <w:rPr>
                <w:i/>
              </w:rPr>
            </w:pPr>
            <w:r w:rsidRPr="00704E96">
              <w:rPr>
                <w:i/>
              </w:rPr>
              <w:t>Rezultatīvais rādītājs</w:t>
            </w:r>
          </w:p>
        </w:tc>
        <w:tc>
          <w:tcPr>
            <w:tcW w:w="708" w:type="dxa"/>
            <w:tcBorders>
              <w:bottom w:val="single" w:sz="4" w:space="0" w:color="auto"/>
            </w:tcBorders>
          </w:tcPr>
          <w:p w14:paraId="6FCD3DBA" w14:textId="77777777" w:rsidR="00755332" w:rsidRPr="00704E96" w:rsidRDefault="00755332" w:rsidP="00704E96">
            <w:pPr>
              <w:spacing w:after="120"/>
              <w:rPr>
                <w:i/>
              </w:rPr>
            </w:pPr>
            <w:r w:rsidRPr="00704E96">
              <w:rPr>
                <w:i/>
              </w:rPr>
              <w:t>2014</w:t>
            </w:r>
          </w:p>
        </w:tc>
        <w:tc>
          <w:tcPr>
            <w:tcW w:w="709" w:type="dxa"/>
            <w:tcBorders>
              <w:bottom w:val="single" w:sz="4" w:space="0" w:color="auto"/>
            </w:tcBorders>
          </w:tcPr>
          <w:p w14:paraId="2FC5F1C5" w14:textId="77777777" w:rsidR="00755332" w:rsidRPr="00704E96" w:rsidRDefault="00755332" w:rsidP="00704E96">
            <w:pPr>
              <w:spacing w:after="120"/>
              <w:rPr>
                <w:i/>
              </w:rPr>
            </w:pPr>
            <w:r w:rsidRPr="00704E96">
              <w:rPr>
                <w:i/>
              </w:rPr>
              <w:t>2015</w:t>
            </w:r>
          </w:p>
        </w:tc>
        <w:tc>
          <w:tcPr>
            <w:tcW w:w="709" w:type="dxa"/>
            <w:tcBorders>
              <w:bottom w:val="single" w:sz="4" w:space="0" w:color="auto"/>
            </w:tcBorders>
          </w:tcPr>
          <w:p w14:paraId="57D8ED4E" w14:textId="77777777" w:rsidR="00755332" w:rsidRPr="00704E96" w:rsidRDefault="00755332" w:rsidP="00704E96">
            <w:pPr>
              <w:spacing w:after="120"/>
              <w:rPr>
                <w:i/>
              </w:rPr>
            </w:pPr>
            <w:r w:rsidRPr="00704E96">
              <w:rPr>
                <w:i/>
              </w:rPr>
              <w:t>2016</w:t>
            </w:r>
          </w:p>
        </w:tc>
        <w:tc>
          <w:tcPr>
            <w:tcW w:w="709" w:type="dxa"/>
            <w:tcBorders>
              <w:bottom w:val="single" w:sz="4" w:space="0" w:color="auto"/>
            </w:tcBorders>
          </w:tcPr>
          <w:p w14:paraId="3814A1E7" w14:textId="77777777" w:rsidR="00755332" w:rsidRPr="00704E96" w:rsidRDefault="00755332" w:rsidP="00704E96">
            <w:pPr>
              <w:spacing w:after="120"/>
              <w:rPr>
                <w:i/>
              </w:rPr>
            </w:pPr>
            <w:r w:rsidRPr="00704E96">
              <w:rPr>
                <w:i/>
              </w:rPr>
              <w:t>2017</w:t>
            </w:r>
          </w:p>
        </w:tc>
        <w:tc>
          <w:tcPr>
            <w:tcW w:w="708" w:type="dxa"/>
            <w:tcBorders>
              <w:bottom w:val="single" w:sz="4" w:space="0" w:color="auto"/>
            </w:tcBorders>
          </w:tcPr>
          <w:p w14:paraId="0A93E939" w14:textId="77777777" w:rsidR="00755332" w:rsidRPr="00704E96" w:rsidRDefault="00755332" w:rsidP="00704E96">
            <w:pPr>
              <w:spacing w:after="120"/>
              <w:rPr>
                <w:i/>
              </w:rPr>
            </w:pPr>
            <w:r w:rsidRPr="00704E96">
              <w:rPr>
                <w:i/>
              </w:rPr>
              <w:t>2018</w:t>
            </w:r>
          </w:p>
        </w:tc>
        <w:tc>
          <w:tcPr>
            <w:tcW w:w="709" w:type="dxa"/>
            <w:tcBorders>
              <w:bottom w:val="single" w:sz="4" w:space="0" w:color="auto"/>
            </w:tcBorders>
          </w:tcPr>
          <w:p w14:paraId="6766DC10" w14:textId="77777777" w:rsidR="00755332" w:rsidRPr="00704E96" w:rsidRDefault="00755332" w:rsidP="00704E96">
            <w:pPr>
              <w:spacing w:after="120"/>
              <w:rPr>
                <w:i/>
              </w:rPr>
            </w:pPr>
            <w:r w:rsidRPr="00704E96">
              <w:rPr>
                <w:i/>
              </w:rPr>
              <w:t>2019</w:t>
            </w:r>
          </w:p>
        </w:tc>
        <w:tc>
          <w:tcPr>
            <w:tcW w:w="709" w:type="dxa"/>
            <w:tcBorders>
              <w:bottom w:val="single" w:sz="4" w:space="0" w:color="auto"/>
            </w:tcBorders>
          </w:tcPr>
          <w:p w14:paraId="70154008" w14:textId="77777777" w:rsidR="00755332" w:rsidRPr="00704E96" w:rsidRDefault="00755332" w:rsidP="00704E96">
            <w:pPr>
              <w:spacing w:after="120"/>
              <w:rPr>
                <w:i/>
              </w:rPr>
            </w:pPr>
            <w:r w:rsidRPr="00704E96">
              <w:rPr>
                <w:i/>
              </w:rPr>
              <w:t>2020</w:t>
            </w:r>
          </w:p>
        </w:tc>
      </w:tr>
      <w:tr w:rsidR="00755332" w:rsidRPr="00704E96" w14:paraId="6498476A" w14:textId="77777777" w:rsidTr="00755332">
        <w:tc>
          <w:tcPr>
            <w:tcW w:w="4361" w:type="dxa"/>
          </w:tcPr>
          <w:p w14:paraId="7717A067" w14:textId="77777777" w:rsidR="00755332" w:rsidRPr="00704E96" w:rsidRDefault="00755332" w:rsidP="00704E96">
            <w:pPr>
              <w:spacing w:after="120"/>
            </w:pPr>
            <w:r w:rsidRPr="00704E96">
              <w:t>Valsts galveno autoceļu sliktā un ļoti sliktā stāvoklī samazinājums, %, salīdzinot ar 2012. gadu</w:t>
            </w:r>
          </w:p>
        </w:tc>
        <w:tc>
          <w:tcPr>
            <w:tcW w:w="708" w:type="dxa"/>
            <w:vAlign w:val="center"/>
          </w:tcPr>
          <w:p w14:paraId="607184D4" w14:textId="77777777" w:rsidR="00755332" w:rsidRPr="00704E96" w:rsidRDefault="00755332" w:rsidP="000302ED">
            <w:pPr>
              <w:spacing w:after="120"/>
              <w:jc w:val="center"/>
            </w:pPr>
            <w:r w:rsidRPr="00704E96">
              <w:t>20%</w:t>
            </w:r>
          </w:p>
        </w:tc>
        <w:tc>
          <w:tcPr>
            <w:tcW w:w="709" w:type="dxa"/>
            <w:vAlign w:val="center"/>
          </w:tcPr>
          <w:p w14:paraId="7E01AB21" w14:textId="77777777" w:rsidR="00755332" w:rsidRPr="00704E96" w:rsidRDefault="00755332" w:rsidP="000302ED">
            <w:pPr>
              <w:spacing w:after="120"/>
              <w:jc w:val="center"/>
            </w:pPr>
            <w:r w:rsidRPr="00704E96">
              <w:t>29%</w:t>
            </w:r>
          </w:p>
        </w:tc>
        <w:tc>
          <w:tcPr>
            <w:tcW w:w="709" w:type="dxa"/>
            <w:vAlign w:val="center"/>
          </w:tcPr>
          <w:p w14:paraId="210F0355" w14:textId="77777777" w:rsidR="00755332" w:rsidRPr="00704E96" w:rsidRDefault="00755332" w:rsidP="000302ED">
            <w:pPr>
              <w:spacing w:after="120"/>
              <w:jc w:val="center"/>
            </w:pPr>
            <w:r w:rsidRPr="00704E96">
              <w:t>37%</w:t>
            </w:r>
          </w:p>
        </w:tc>
        <w:tc>
          <w:tcPr>
            <w:tcW w:w="709" w:type="dxa"/>
            <w:vAlign w:val="center"/>
          </w:tcPr>
          <w:p w14:paraId="57FF8E8C" w14:textId="77777777" w:rsidR="00755332" w:rsidRPr="00704E96" w:rsidRDefault="00755332" w:rsidP="000302ED">
            <w:pPr>
              <w:spacing w:after="120"/>
              <w:jc w:val="center"/>
            </w:pPr>
            <w:r w:rsidRPr="00704E96">
              <w:t>45%</w:t>
            </w:r>
          </w:p>
        </w:tc>
        <w:tc>
          <w:tcPr>
            <w:tcW w:w="708" w:type="dxa"/>
            <w:vAlign w:val="center"/>
          </w:tcPr>
          <w:p w14:paraId="020C7352" w14:textId="77777777" w:rsidR="00755332" w:rsidRPr="00704E96" w:rsidRDefault="00755332" w:rsidP="000302ED">
            <w:pPr>
              <w:spacing w:after="120"/>
              <w:jc w:val="center"/>
            </w:pPr>
            <w:r w:rsidRPr="00704E96">
              <w:t>57%</w:t>
            </w:r>
          </w:p>
        </w:tc>
        <w:tc>
          <w:tcPr>
            <w:tcW w:w="709" w:type="dxa"/>
            <w:vAlign w:val="center"/>
          </w:tcPr>
          <w:p w14:paraId="32B0B7D4" w14:textId="77777777" w:rsidR="00755332" w:rsidRPr="00704E96" w:rsidRDefault="00755332" w:rsidP="000302ED">
            <w:pPr>
              <w:spacing w:after="120"/>
              <w:jc w:val="center"/>
            </w:pPr>
            <w:r w:rsidRPr="00704E96">
              <w:t>68%</w:t>
            </w:r>
          </w:p>
        </w:tc>
        <w:tc>
          <w:tcPr>
            <w:tcW w:w="709" w:type="dxa"/>
            <w:vAlign w:val="center"/>
          </w:tcPr>
          <w:p w14:paraId="40890BD8" w14:textId="77777777" w:rsidR="00755332" w:rsidRPr="00704E96" w:rsidRDefault="00755332" w:rsidP="000302ED">
            <w:pPr>
              <w:spacing w:after="120"/>
              <w:jc w:val="center"/>
            </w:pPr>
            <w:r w:rsidRPr="00704E96">
              <w:t>80%</w:t>
            </w:r>
          </w:p>
        </w:tc>
      </w:tr>
      <w:tr w:rsidR="00755332" w:rsidRPr="00704E96" w14:paraId="3D85F89D" w14:textId="77777777" w:rsidTr="00755332">
        <w:tc>
          <w:tcPr>
            <w:tcW w:w="4361" w:type="dxa"/>
          </w:tcPr>
          <w:p w14:paraId="40F8A791" w14:textId="77777777" w:rsidR="00755332" w:rsidRPr="00704E96" w:rsidRDefault="00755332" w:rsidP="00704E96">
            <w:pPr>
              <w:spacing w:after="120"/>
            </w:pPr>
            <w:r w:rsidRPr="00704E96">
              <w:t>Valsts reģionālo autoceļu ar asfalta segumu sliktā un ļoti sliktā stāvoklī samazinājums, %, salīdzinot ar 2012. gadu</w:t>
            </w:r>
          </w:p>
        </w:tc>
        <w:tc>
          <w:tcPr>
            <w:tcW w:w="708" w:type="dxa"/>
            <w:vAlign w:val="center"/>
          </w:tcPr>
          <w:p w14:paraId="1E413B65" w14:textId="77777777" w:rsidR="00755332" w:rsidRPr="00704E96" w:rsidRDefault="00755332" w:rsidP="000302ED">
            <w:pPr>
              <w:spacing w:after="120"/>
              <w:jc w:val="center"/>
            </w:pPr>
            <w:r w:rsidRPr="00704E96">
              <w:t>5%</w:t>
            </w:r>
          </w:p>
        </w:tc>
        <w:tc>
          <w:tcPr>
            <w:tcW w:w="709" w:type="dxa"/>
            <w:vAlign w:val="center"/>
          </w:tcPr>
          <w:p w14:paraId="479063BD" w14:textId="77777777" w:rsidR="00755332" w:rsidRPr="00704E96" w:rsidRDefault="00755332" w:rsidP="000302ED">
            <w:pPr>
              <w:spacing w:after="120"/>
              <w:jc w:val="center"/>
            </w:pPr>
            <w:r w:rsidRPr="00704E96">
              <w:t>10%</w:t>
            </w:r>
          </w:p>
        </w:tc>
        <w:tc>
          <w:tcPr>
            <w:tcW w:w="709" w:type="dxa"/>
            <w:vAlign w:val="center"/>
          </w:tcPr>
          <w:p w14:paraId="094F1F88" w14:textId="77777777" w:rsidR="00755332" w:rsidRPr="00704E96" w:rsidRDefault="00755332" w:rsidP="000302ED">
            <w:pPr>
              <w:spacing w:after="120"/>
              <w:jc w:val="center"/>
            </w:pPr>
            <w:r w:rsidRPr="00704E96">
              <w:t>15%</w:t>
            </w:r>
          </w:p>
        </w:tc>
        <w:tc>
          <w:tcPr>
            <w:tcW w:w="709" w:type="dxa"/>
            <w:vAlign w:val="center"/>
          </w:tcPr>
          <w:p w14:paraId="3B795E07" w14:textId="77777777" w:rsidR="00755332" w:rsidRPr="00704E96" w:rsidRDefault="00755332" w:rsidP="000302ED">
            <w:pPr>
              <w:spacing w:after="120"/>
              <w:jc w:val="center"/>
            </w:pPr>
            <w:r w:rsidRPr="00704E96">
              <w:t>20%</w:t>
            </w:r>
          </w:p>
        </w:tc>
        <w:tc>
          <w:tcPr>
            <w:tcW w:w="708" w:type="dxa"/>
            <w:vAlign w:val="center"/>
          </w:tcPr>
          <w:p w14:paraId="3A19002B" w14:textId="77777777" w:rsidR="00755332" w:rsidRPr="00704E96" w:rsidRDefault="00755332" w:rsidP="000302ED">
            <w:pPr>
              <w:spacing w:after="120"/>
              <w:jc w:val="center"/>
            </w:pPr>
            <w:r w:rsidRPr="00704E96">
              <w:t>30%</w:t>
            </w:r>
          </w:p>
        </w:tc>
        <w:tc>
          <w:tcPr>
            <w:tcW w:w="709" w:type="dxa"/>
            <w:vAlign w:val="center"/>
          </w:tcPr>
          <w:p w14:paraId="6C28525A" w14:textId="77777777" w:rsidR="00755332" w:rsidRPr="00704E96" w:rsidRDefault="00755332" w:rsidP="000302ED">
            <w:pPr>
              <w:spacing w:after="120"/>
              <w:jc w:val="center"/>
            </w:pPr>
            <w:r w:rsidRPr="00704E96">
              <w:t>40%</w:t>
            </w:r>
          </w:p>
        </w:tc>
        <w:tc>
          <w:tcPr>
            <w:tcW w:w="709" w:type="dxa"/>
            <w:vAlign w:val="center"/>
          </w:tcPr>
          <w:p w14:paraId="61EC33A4" w14:textId="77777777" w:rsidR="00755332" w:rsidRPr="00704E96" w:rsidRDefault="00755332" w:rsidP="000302ED">
            <w:pPr>
              <w:spacing w:after="120"/>
              <w:jc w:val="center"/>
            </w:pPr>
            <w:r w:rsidRPr="00704E96">
              <w:t>50%</w:t>
            </w:r>
          </w:p>
        </w:tc>
      </w:tr>
    </w:tbl>
    <w:p w14:paraId="579F774D" w14:textId="77777777" w:rsidR="00704E96" w:rsidRDefault="00704E96" w:rsidP="00AE49B4">
      <w:pPr>
        <w:ind w:right="-6" w:firstLine="567"/>
        <w:jc w:val="both"/>
      </w:pPr>
    </w:p>
    <w:p w14:paraId="1BB09DC4" w14:textId="77777777" w:rsidR="007153F8" w:rsidRDefault="00795034" w:rsidP="007153F8">
      <w:pPr>
        <w:ind w:right="-6" w:firstLine="567"/>
        <w:jc w:val="both"/>
        <w:rPr>
          <w:color w:val="000000"/>
        </w:rPr>
      </w:pPr>
      <w:r>
        <w:rPr>
          <w:color w:val="000000"/>
        </w:rPr>
        <w:t xml:space="preserve">TAP2020 ir iekļauti sasniedzamie rezultatīvie rādītāji tikai attiecībā uz valsts galveno un reģionālo autoceļu ar asfalta segumu (tikai uz 6283 km no </w:t>
      </w:r>
      <w:r w:rsidRPr="00536CDB">
        <w:rPr>
          <w:color w:val="000000"/>
        </w:rPr>
        <w:t>20</w:t>
      </w:r>
      <w:r>
        <w:rPr>
          <w:color w:val="000000"/>
        </w:rPr>
        <w:t> </w:t>
      </w:r>
      <w:r w:rsidRPr="00536CDB">
        <w:rPr>
          <w:color w:val="000000"/>
        </w:rPr>
        <w:t>122</w:t>
      </w:r>
      <w:r>
        <w:rPr>
          <w:color w:val="000000"/>
        </w:rPr>
        <w:t xml:space="preserve"> km jeb 31 % no visiem valsts autoceļiem) pārbūvi un atjaunošanu, </w:t>
      </w:r>
      <w:r w:rsidR="00E03895">
        <w:rPr>
          <w:color w:val="000000"/>
        </w:rPr>
        <w:t xml:space="preserve">tas ir, </w:t>
      </w:r>
      <w:r>
        <w:rPr>
          <w:color w:val="000000"/>
        </w:rPr>
        <w:t xml:space="preserve">TAP2020 neattiecas uz valsts autoceļiem ar grants segumu un uz valsts vietējiem autoceļiem, kā arī uz valsts autoceļu ikdienas uzturēšanu. Līdz ar to, lai nodrošinātu pilnvērtīgu visu valsts autoceļu stāvokļa uzlabošanu, kas ietver gan to atjaunošanu, pārbūvi un ikdienas uzturēšanu, kā arī mērķdotāciju pašvaldību ceļiem vismaz 25 % apmērā, ir nepieciešami </w:t>
      </w:r>
      <w:r w:rsidR="00551552">
        <w:rPr>
          <w:b/>
          <w:color w:val="000000"/>
        </w:rPr>
        <w:t>815</w:t>
      </w:r>
      <w:r w:rsidR="00551552" w:rsidRPr="00536CDB">
        <w:rPr>
          <w:b/>
          <w:color w:val="000000"/>
        </w:rPr>
        <w:t xml:space="preserve"> </w:t>
      </w:r>
      <w:r w:rsidRPr="00536CDB">
        <w:rPr>
          <w:b/>
          <w:color w:val="000000"/>
        </w:rPr>
        <w:t xml:space="preserve">miljoni </w:t>
      </w:r>
      <w:proofErr w:type="spellStart"/>
      <w:r w:rsidRPr="00536CDB">
        <w:rPr>
          <w:b/>
          <w:i/>
          <w:color w:val="000000"/>
        </w:rPr>
        <w:t>euro</w:t>
      </w:r>
      <w:proofErr w:type="spellEnd"/>
      <w:r w:rsidRPr="00536CDB">
        <w:rPr>
          <w:b/>
          <w:color w:val="000000"/>
        </w:rPr>
        <w:t xml:space="preserve"> gadā</w:t>
      </w:r>
      <w:r>
        <w:rPr>
          <w:color w:val="000000"/>
        </w:rPr>
        <w:t xml:space="preserve"> (</w:t>
      </w:r>
      <w:r w:rsidR="007E2265">
        <w:rPr>
          <w:color w:val="000000"/>
        </w:rPr>
        <w:t>6</w:t>
      </w:r>
      <w:r>
        <w:rPr>
          <w:color w:val="000000"/>
        </w:rPr>
        <w:t>.tabula).</w:t>
      </w:r>
      <w:r w:rsidR="007153F8" w:rsidRPr="007153F8">
        <w:rPr>
          <w:color w:val="000000"/>
        </w:rPr>
        <w:t xml:space="preserve"> </w:t>
      </w:r>
    </w:p>
    <w:p w14:paraId="61A1250B" w14:textId="77777777" w:rsidR="007153F8" w:rsidRPr="00B76DBE" w:rsidRDefault="007E2265" w:rsidP="007153F8">
      <w:pPr>
        <w:tabs>
          <w:tab w:val="left" w:pos="567"/>
        </w:tabs>
        <w:ind w:right="-6" w:firstLine="567"/>
        <w:jc w:val="right"/>
        <w:rPr>
          <w:b/>
          <w:color w:val="000000"/>
          <w:sz w:val="20"/>
          <w:szCs w:val="20"/>
        </w:rPr>
      </w:pPr>
      <w:r>
        <w:rPr>
          <w:b/>
          <w:color w:val="000000"/>
          <w:sz w:val="20"/>
          <w:szCs w:val="20"/>
        </w:rPr>
        <w:t>6</w:t>
      </w:r>
      <w:r w:rsidR="007153F8" w:rsidRPr="00B76DBE">
        <w:rPr>
          <w:b/>
          <w:color w:val="000000"/>
          <w:sz w:val="20"/>
          <w:szCs w:val="20"/>
        </w:rPr>
        <w:t>.tabula</w:t>
      </w:r>
    </w:p>
    <w:tbl>
      <w:tblPr>
        <w:tblW w:w="9194" w:type="dxa"/>
        <w:tblInd w:w="93" w:type="dxa"/>
        <w:tblLook w:val="04A0" w:firstRow="1" w:lastRow="0" w:firstColumn="1" w:lastColumn="0" w:noHBand="0" w:noVBand="1"/>
      </w:tblPr>
      <w:tblGrid>
        <w:gridCol w:w="9194"/>
      </w:tblGrid>
      <w:tr w:rsidR="007153F8" w:rsidRPr="005C1713" w14:paraId="1A3DD860" w14:textId="77777777" w:rsidTr="007E2265">
        <w:trPr>
          <w:trHeight w:val="660"/>
        </w:trPr>
        <w:tc>
          <w:tcPr>
            <w:tcW w:w="9194" w:type="dxa"/>
            <w:tcBorders>
              <w:top w:val="nil"/>
              <w:left w:val="nil"/>
              <w:bottom w:val="nil"/>
              <w:right w:val="nil"/>
            </w:tcBorders>
            <w:shd w:val="clear" w:color="auto" w:fill="auto"/>
            <w:vAlign w:val="bottom"/>
            <w:hideMark/>
          </w:tcPr>
          <w:p w14:paraId="7E1703B7" w14:textId="77777777" w:rsidR="007153F8" w:rsidRDefault="007153F8" w:rsidP="007E2265">
            <w:pPr>
              <w:jc w:val="center"/>
              <w:rPr>
                <w:b/>
                <w:bCs/>
                <w:color w:val="000000"/>
              </w:rPr>
            </w:pPr>
            <w:r w:rsidRPr="005C1713">
              <w:rPr>
                <w:b/>
                <w:bCs/>
                <w:color w:val="000000"/>
              </w:rPr>
              <w:t xml:space="preserve">Nepieciešamās izmaksas </w:t>
            </w:r>
            <w:r>
              <w:rPr>
                <w:b/>
                <w:bCs/>
                <w:color w:val="000000"/>
              </w:rPr>
              <w:t>ilgtspējīgam</w:t>
            </w:r>
            <w:r w:rsidRPr="005C1713">
              <w:rPr>
                <w:b/>
                <w:bCs/>
                <w:color w:val="000000"/>
              </w:rPr>
              <w:t xml:space="preserve"> autoceļu tīkla</w:t>
            </w:r>
            <w:r>
              <w:rPr>
                <w:b/>
                <w:bCs/>
                <w:color w:val="000000"/>
              </w:rPr>
              <w:t>m</w:t>
            </w:r>
            <w:r w:rsidRPr="005C1713">
              <w:rPr>
                <w:b/>
                <w:bCs/>
                <w:color w:val="000000"/>
              </w:rPr>
              <w:t xml:space="preserve">, milj. </w:t>
            </w:r>
            <w:proofErr w:type="spellStart"/>
            <w:r w:rsidRPr="005C1713">
              <w:rPr>
                <w:b/>
                <w:bCs/>
                <w:i/>
                <w:color w:val="000000"/>
              </w:rPr>
              <w:t>euro</w:t>
            </w:r>
            <w:proofErr w:type="spellEnd"/>
            <w:r>
              <w:rPr>
                <w:b/>
                <w:bCs/>
                <w:color w:val="000000"/>
              </w:rPr>
              <w:t xml:space="preserve"> gadā</w:t>
            </w:r>
            <w:r>
              <w:rPr>
                <w:rStyle w:val="FootnoteReference"/>
                <w:b/>
                <w:bCs/>
                <w:color w:val="000000"/>
              </w:rPr>
              <w:footnoteReference w:id="2"/>
            </w:r>
          </w:p>
          <w:p w14:paraId="53F672D3" w14:textId="77777777" w:rsidR="007153F8" w:rsidRDefault="007153F8" w:rsidP="007E2265">
            <w:pPr>
              <w:jc w:val="center"/>
              <w:rPr>
                <w:b/>
                <w:bCs/>
                <w:color w:val="000000"/>
              </w:rPr>
            </w:pPr>
          </w:p>
          <w:tbl>
            <w:tblPr>
              <w:tblW w:w="8681" w:type="dxa"/>
              <w:tblInd w:w="10" w:type="dxa"/>
              <w:tblCellMar>
                <w:left w:w="0" w:type="dxa"/>
                <w:right w:w="0" w:type="dxa"/>
              </w:tblCellMar>
              <w:tblLook w:val="04A0" w:firstRow="1" w:lastRow="0" w:firstColumn="1" w:lastColumn="0" w:noHBand="0" w:noVBand="1"/>
            </w:tblPr>
            <w:tblGrid>
              <w:gridCol w:w="3317"/>
              <w:gridCol w:w="1418"/>
              <w:gridCol w:w="1176"/>
              <w:gridCol w:w="923"/>
              <w:gridCol w:w="1847"/>
            </w:tblGrid>
            <w:tr w:rsidR="007153F8" w14:paraId="4495DC2D" w14:textId="77777777" w:rsidTr="007E2265">
              <w:trPr>
                <w:trHeight w:val="433"/>
              </w:trPr>
              <w:tc>
                <w:tcPr>
                  <w:tcW w:w="3317"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hideMark/>
                </w:tcPr>
                <w:p w14:paraId="309FDF7F" w14:textId="77777777" w:rsidR="007153F8" w:rsidRPr="00D9294C" w:rsidRDefault="007153F8" w:rsidP="007E2265">
                  <w:pPr>
                    <w:jc w:val="center"/>
                    <w:rPr>
                      <w:rFonts w:ascii="Calibri" w:eastAsia="Calibri" w:hAnsi="Calibri"/>
                      <w:color w:val="000000"/>
                      <w:sz w:val="22"/>
                      <w:szCs w:val="22"/>
                    </w:rPr>
                  </w:pPr>
                  <w:r w:rsidRPr="00810042">
                    <w:rPr>
                      <w:color w:val="000000"/>
                    </w:rPr>
                    <w:t>Darbu veids</w:t>
                  </w:r>
                </w:p>
              </w:tc>
              <w:tc>
                <w:tcPr>
                  <w:tcW w:w="536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4DD29F" w14:textId="77777777" w:rsidR="007153F8" w:rsidRDefault="007153F8" w:rsidP="007E2265">
                  <w:pPr>
                    <w:jc w:val="center"/>
                    <w:rPr>
                      <w:rFonts w:eastAsia="Calibri"/>
                    </w:rPr>
                  </w:pPr>
                  <w:r>
                    <w:rPr>
                      <w:rFonts w:eastAsia="Calibri"/>
                    </w:rPr>
                    <w:t>Autoceļa veids</w:t>
                  </w:r>
                </w:p>
              </w:tc>
            </w:tr>
            <w:tr w:rsidR="007153F8" w14:paraId="702DD840" w14:textId="77777777" w:rsidTr="007E2265">
              <w:trPr>
                <w:trHeight w:val="411"/>
              </w:trPr>
              <w:tc>
                <w:tcPr>
                  <w:tcW w:w="3317"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442C8FF4" w14:textId="77777777" w:rsidR="007153F8" w:rsidRPr="00D9294C" w:rsidRDefault="007153F8" w:rsidP="007E2265">
                  <w:pPr>
                    <w:jc w:val="center"/>
                    <w:rPr>
                      <w:color w:val="000000"/>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9B5130" w14:textId="77777777" w:rsidR="007153F8" w:rsidRPr="00D9294C" w:rsidRDefault="007153F8" w:rsidP="007E2265">
                  <w:pPr>
                    <w:jc w:val="center"/>
                    <w:rPr>
                      <w:color w:val="000000"/>
                    </w:rPr>
                  </w:pPr>
                  <w:r w:rsidRPr="0018379A">
                    <w:rPr>
                      <w:color w:val="000000"/>
                    </w:rPr>
                    <w:t xml:space="preserve">galvenie </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869E90" w14:textId="77777777" w:rsidR="007153F8" w:rsidRPr="00D9294C" w:rsidRDefault="007153F8" w:rsidP="007E2265">
                  <w:pPr>
                    <w:jc w:val="center"/>
                    <w:rPr>
                      <w:color w:val="000000"/>
                    </w:rPr>
                  </w:pPr>
                  <w:r w:rsidRPr="0018379A">
                    <w:rPr>
                      <w:color w:val="000000"/>
                    </w:rPr>
                    <w:t xml:space="preserve">reģionālie </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7DEB87" w14:textId="77777777" w:rsidR="007153F8" w:rsidRPr="00D9294C" w:rsidRDefault="007153F8" w:rsidP="007E2265">
                  <w:pPr>
                    <w:jc w:val="center"/>
                    <w:rPr>
                      <w:color w:val="000000"/>
                    </w:rPr>
                  </w:pPr>
                  <w:r w:rsidRPr="0018379A">
                    <w:rPr>
                      <w:color w:val="000000"/>
                    </w:rPr>
                    <w:t xml:space="preserve">vietējie </w:t>
                  </w:r>
                </w:p>
              </w:tc>
              <w:tc>
                <w:tcPr>
                  <w:tcW w:w="1847" w:type="dxa"/>
                  <w:tcBorders>
                    <w:left w:val="nil"/>
                    <w:bottom w:val="single" w:sz="8" w:space="0" w:color="auto"/>
                    <w:right w:val="single" w:sz="8" w:space="0" w:color="auto"/>
                  </w:tcBorders>
                  <w:tcMar>
                    <w:top w:w="0" w:type="dxa"/>
                    <w:left w:w="108" w:type="dxa"/>
                    <w:bottom w:w="0" w:type="dxa"/>
                    <w:right w:w="108" w:type="dxa"/>
                  </w:tcMar>
                  <w:vAlign w:val="center"/>
                </w:tcPr>
                <w:p w14:paraId="59C18590" w14:textId="77777777" w:rsidR="007153F8" w:rsidRPr="00D9294C" w:rsidRDefault="007153F8" w:rsidP="007E2265">
                  <w:pPr>
                    <w:jc w:val="center"/>
                    <w:rPr>
                      <w:color w:val="000000"/>
                    </w:rPr>
                  </w:pPr>
                  <w:r>
                    <w:rPr>
                      <w:color w:val="000000"/>
                    </w:rPr>
                    <w:t>Visi autoceļi</w:t>
                  </w:r>
                </w:p>
              </w:tc>
            </w:tr>
            <w:tr w:rsidR="007153F8" w14:paraId="45A88E09" w14:textId="77777777" w:rsidTr="007E2265">
              <w:trPr>
                <w:trHeight w:val="300"/>
              </w:trPr>
              <w:tc>
                <w:tcPr>
                  <w:tcW w:w="331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29CE0184" w14:textId="77777777" w:rsidR="007153F8" w:rsidRDefault="007153F8" w:rsidP="007E2265">
                  <w:pPr>
                    <w:rPr>
                      <w:rFonts w:ascii="Calibri" w:eastAsia="Calibri" w:hAnsi="Calibri"/>
                      <w:color w:val="000000"/>
                      <w:sz w:val="22"/>
                      <w:szCs w:val="22"/>
                    </w:rPr>
                  </w:pPr>
                  <w:r>
                    <w:rPr>
                      <w:color w:val="000000"/>
                    </w:rPr>
                    <w:t>Uzturēšana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1CFEF1" w14:textId="77777777" w:rsidR="007153F8" w:rsidRDefault="007153F8" w:rsidP="007E2265">
                  <w:pPr>
                    <w:jc w:val="center"/>
                    <w:rPr>
                      <w:rFonts w:ascii="Calibri" w:eastAsia="Calibri" w:hAnsi="Calibri"/>
                      <w:color w:val="000000"/>
                      <w:sz w:val="22"/>
                      <w:szCs w:val="22"/>
                    </w:rPr>
                  </w:pPr>
                  <w:r>
                    <w:rPr>
                      <w:color w:val="000000"/>
                    </w:rPr>
                    <w:t>50</w:t>
                  </w:r>
                </w:p>
              </w:tc>
              <w:tc>
                <w:tcPr>
                  <w:tcW w:w="11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D4328" w14:textId="77777777" w:rsidR="007153F8" w:rsidRDefault="007153F8" w:rsidP="007E2265">
                  <w:pPr>
                    <w:jc w:val="center"/>
                    <w:rPr>
                      <w:rFonts w:ascii="Calibri" w:eastAsia="Calibri" w:hAnsi="Calibri"/>
                      <w:color w:val="000000"/>
                      <w:sz w:val="22"/>
                      <w:szCs w:val="22"/>
                    </w:rPr>
                  </w:pPr>
                  <w:r>
                    <w:rPr>
                      <w:color w:val="000000"/>
                    </w:rPr>
                    <w:t>87</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64D0A" w14:textId="77777777" w:rsidR="007153F8" w:rsidRDefault="007153F8" w:rsidP="007E2265">
                  <w:pPr>
                    <w:jc w:val="center"/>
                    <w:rPr>
                      <w:rFonts w:ascii="Calibri" w:eastAsia="Calibri" w:hAnsi="Calibri"/>
                      <w:color w:val="000000"/>
                      <w:sz w:val="22"/>
                      <w:szCs w:val="22"/>
                    </w:rPr>
                  </w:pPr>
                  <w:r>
                    <w:rPr>
                      <w:color w:val="000000"/>
                    </w:rPr>
                    <w:t>57</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B66E0B" w14:textId="77777777" w:rsidR="007153F8" w:rsidRDefault="007153F8" w:rsidP="007E2265">
                  <w:pPr>
                    <w:jc w:val="center"/>
                    <w:rPr>
                      <w:rFonts w:ascii="Calibri" w:eastAsia="Calibri" w:hAnsi="Calibri"/>
                      <w:color w:val="000000"/>
                      <w:sz w:val="22"/>
                      <w:szCs w:val="22"/>
                    </w:rPr>
                  </w:pPr>
                  <w:r>
                    <w:rPr>
                      <w:color w:val="000000"/>
                    </w:rPr>
                    <w:t>194</w:t>
                  </w:r>
                </w:p>
              </w:tc>
            </w:tr>
            <w:tr w:rsidR="007153F8" w14:paraId="6460DC08" w14:textId="77777777" w:rsidTr="007E2265">
              <w:trPr>
                <w:trHeight w:val="625"/>
              </w:trPr>
              <w:tc>
                <w:tcPr>
                  <w:tcW w:w="331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6E5DDAA4" w14:textId="77777777" w:rsidR="007153F8" w:rsidRDefault="007153F8" w:rsidP="007E2265">
                  <w:pPr>
                    <w:rPr>
                      <w:rFonts w:ascii="Calibri" w:eastAsia="Calibri" w:hAnsi="Calibri"/>
                      <w:color w:val="000000"/>
                      <w:sz w:val="22"/>
                      <w:szCs w:val="22"/>
                    </w:rPr>
                  </w:pPr>
                  <w:r>
                    <w:rPr>
                      <w:color w:val="000000"/>
                    </w:rPr>
                    <w:t>Segumu atjaunošana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9AA95" w14:textId="77777777" w:rsidR="007153F8" w:rsidRDefault="007153F8" w:rsidP="007E2265">
                  <w:pPr>
                    <w:jc w:val="center"/>
                    <w:rPr>
                      <w:rFonts w:ascii="Calibri" w:eastAsia="Calibri" w:hAnsi="Calibri"/>
                      <w:color w:val="000000"/>
                      <w:sz w:val="22"/>
                      <w:szCs w:val="22"/>
                    </w:rPr>
                  </w:pPr>
                  <w:r>
                    <w:rPr>
                      <w:color w:val="000000"/>
                    </w:rPr>
                    <w:t>21</w:t>
                  </w:r>
                </w:p>
              </w:tc>
              <w:tc>
                <w:tcPr>
                  <w:tcW w:w="11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31EA47" w14:textId="77777777" w:rsidR="007153F8" w:rsidRDefault="007153F8" w:rsidP="007E2265">
                  <w:pPr>
                    <w:jc w:val="center"/>
                    <w:rPr>
                      <w:rFonts w:ascii="Calibri" w:eastAsia="Calibri" w:hAnsi="Calibri"/>
                      <w:color w:val="000000"/>
                      <w:sz w:val="22"/>
                      <w:szCs w:val="22"/>
                    </w:rPr>
                  </w:pPr>
                  <w:r>
                    <w:rPr>
                      <w:color w:val="000000"/>
                    </w:rPr>
                    <w:t>54</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F55898" w14:textId="77777777" w:rsidR="007153F8" w:rsidRDefault="007153F8" w:rsidP="007E2265">
                  <w:pPr>
                    <w:jc w:val="center"/>
                    <w:rPr>
                      <w:rFonts w:ascii="Calibri" w:eastAsia="Calibri" w:hAnsi="Calibri"/>
                      <w:color w:val="000000"/>
                      <w:sz w:val="22"/>
                      <w:szCs w:val="22"/>
                    </w:rPr>
                  </w:pPr>
                  <w:r>
                    <w:rPr>
                      <w:color w:val="000000"/>
                    </w:rPr>
                    <w:t>139</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549EE7" w14:textId="77777777" w:rsidR="007153F8" w:rsidRDefault="007153F8" w:rsidP="007E2265">
                  <w:pPr>
                    <w:jc w:val="center"/>
                    <w:rPr>
                      <w:rFonts w:ascii="Calibri" w:eastAsia="Calibri" w:hAnsi="Calibri"/>
                      <w:color w:val="000000"/>
                      <w:sz w:val="22"/>
                      <w:szCs w:val="22"/>
                    </w:rPr>
                  </w:pPr>
                  <w:r>
                    <w:rPr>
                      <w:color w:val="000000"/>
                    </w:rPr>
                    <w:t>214</w:t>
                  </w:r>
                </w:p>
              </w:tc>
            </w:tr>
            <w:tr w:rsidR="007153F8" w14:paraId="614216EF" w14:textId="77777777" w:rsidTr="007E2265">
              <w:trPr>
                <w:trHeight w:val="300"/>
              </w:trPr>
              <w:tc>
                <w:tcPr>
                  <w:tcW w:w="331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72E6101F" w14:textId="77777777" w:rsidR="007153F8" w:rsidRDefault="007153F8" w:rsidP="007E2265">
                  <w:pPr>
                    <w:rPr>
                      <w:rFonts w:ascii="Calibri" w:eastAsia="Calibri" w:hAnsi="Calibri"/>
                      <w:color w:val="000000"/>
                      <w:sz w:val="22"/>
                      <w:szCs w:val="22"/>
                    </w:rPr>
                  </w:pPr>
                  <w:r>
                    <w:rPr>
                      <w:color w:val="000000"/>
                    </w:rPr>
                    <w:t>Pārbūve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0560B5" w14:textId="77777777" w:rsidR="007153F8" w:rsidRDefault="007153F8" w:rsidP="007E2265">
                  <w:pPr>
                    <w:jc w:val="center"/>
                    <w:rPr>
                      <w:rFonts w:ascii="Calibri" w:eastAsia="Calibri" w:hAnsi="Calibri"/>
                      <w:color w:val="000000"/>
                      <w:sz w:val="22"/>
                      <w:szCs w:val="22"/>
                    </w:rPr>
                  </w:pPr>
                  <w:r>
                    <w:rPr>
                      <w:color w:val="000000"/>
                    </w:rPr>
                    <w:t>37</w:t>
                  </w:r>
                </w:p>
              </w:tc>
              <w:tc>
                <w:tcPr>
                  <w:tcW w:w="11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5BEBE1" w14:textId="77777777" w:rsidR="007153F8" w:rsidRDefault="007153F8" w:rsidP="007E2265">
                  <w:pPr>
                    <w:jc w:val="center"/>
                    <w:rPr>
                      <w:rFonts w:ascii="Calibri" w:eastAsia="Calibri" w:hAnsi="Calibri"/>
                      <w:color w:val="000000"/>
                      <w:sz w:val="22"/>
                      <w:szCs w:val="22"/>
                    </w:rPr>
                  </w:pPr>
                  <w:r>
                    <w:rPr>
                      <w:color w:val="000000"/>
                    </w:rPr>
                    <w:t>44</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74CE69" w14:textId="77777777" w:rsidR="007153F8" w:rsidRDefault="007153F8" w:rsidP="007E2265">
                  <w:pPr>
                    <w:jc w:val="center"/>
                    <w:rPr>
                      <w:rFonts w:ascii="Calibri" w:eastAsia="Calibri" w:hAnsi="Calibri"/>
                      <w:color w:val="000000"/>
                      <w:sz w:val="22"/>
                      <w:szCs w:val="22"/>
                    </w:rPr>
                  </w:pPr>
                  <w:r>
                    <w:rPr>
                      <w:color w:val="000000"/>
                    </w:rPr>
                    <w:t>91</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1F6A69" w14:textId="77777777" w:rsidR="007153F8" w:rsidRDefault="007153F8" w:rsidP="007E2265">
                  <w:pPr>
                    <w:jc w:val="center"/>
                    <w:rPr>
                      <w:rFonts w:ascii="Calibri" w:eastAsia="Calibri" w:hAnsi="Calibri"/>
                      <w:color w:val="000000"/>
                      <w:sz w:val="22"/>
                      <w:szCs w:val="22"/>
                    </w:rPr>
                  </w:pPr>
                  <w:r>
                    <w:rPr>
                      <w:color w:val="000000"/>
                    </w:rPr>
                    <w:t>172</w:t>
                  </w:r>
                </w:p>
              </w:tc>
            </w:tr>
            <w:tr w:rsidR="007153F8" w14:paraId="5FA48044" w14:textId="77777777" w:rsidTr="007E2265">
              <w:trPr>
                <w:trHeight w:val="300"/>
              </w:trPr>
              <w:tc>
                <w:tcPr>
                  <w:tcW w:w="6834"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76B208" w14:textId="77777777" w:rsidR="007153F8" w:rsidRDefault="007153F8" w:rsidP="007E2265">
                  <w:pPr>
                    <w:rPr>
                      <w:color w:val="000000"/>
                    </w:rPr>
                  </w:pPr>
                  <w:r>
                    <w:rPr>
                      <w:color w:val="000000"/>
                    </w:rPr>
                    <w:t xml:space="preserve">Tiltu ikdienas uzturēšanai </w:t>
                  </w:r>
                </w:p>
                <w:p w14:paraId="4798A344" w14:textId="77777777" w:rsidR="007153F8" w:rsidRDefault="007153F8" w:rsidP="007E2265">
                  <w:pPr>
                    <w:rPr>
                      <w:rFonts w:ascii="Calibri" w:eastAsia="Calibri" w:hAnsi="Calibri"/>
                      <w:color w:val="000000"/>
                      <w:sz w:val="22"/>
                      <w:szCs w:val="22"/>
                    </w:rPr>
                  </w:pPr>
                  <w:r>
                    <w:rPr>
                      <w:color w:val="000000"/>
                    </w:rPr>
                    <w:t>un atjaunošanai</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BC30AF" w14:textId="77777777" w:rsidR="007153F8" w:rsidRDefault="007153F8" w:rsidP="007E2265">
                  <w:pPr>
                    <w:jc w:val="center"/>
                    <w:rPr>
                      <w:rFonts w:ascii="Calibri" w:eastAsia="Calibri" w:hAnsi="Calibri"/>
                      <w:color w:val="000000"/>
                      <w:sz w:val="22"/>
                      <w:szCs w:val="22"/>
                    </w:rPr>
                  </w:pPr>
                  <w:r>
                    <w:rPr>
                      <w:color w:val="000000"/>
                    </w:rPr>
                    <w:t>14</w:t>
                  </w:r>
                </w:p>
              </w:tc>
            </w:tr>
            <w:tr w:rsidR="007153F8" w14:paraId="78E77427" w14:textId="77777777" w:rsidTr="007E2265">
              <w:trPr>
                <w:trHeight w:val="300"/>
              </w:trPr>
              <w:tc>
                <w:tcPr>
                  <w:tcW w:w="6834"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D9909D" w14:textId="77777777" w:rsidR="007153F8" w:rsidRDefault="007153F8" w:rsidP="007E2265">
                  <w:pPr>
                    <w:rPr>
                      <w:rFonts w:ascii="Calibri" w:eastAsia="Calibri" w:hAnsi="Calibri"/>
                      <w:color w:val="000000"/>
                      <w:sz w:val="22"/>
                      <w:szCs w:val="22"/>
                    </w:rPr>
                  </w:pPr>
                  <w:r>
                    <w:rPr>
                      <w:color w:val="000000"/>
                    </w:rPr>
                    <w:t>Projektēšanai un izpētei</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8D9DB1" w14:textId="77777777" w:rsidR="007153F8" w:rsidRDefault="007153F8" w:rsidP="007E2265">
                  <w:pPr>
                    <w:jc w:val="center"/>
                    <w:rPr>
                      <w:rFonts w:ascii="Calibri" w:eastAsia="Calibri" w:hAnsi="Calibri"/>
                      <w:color w:val="000000"/>
                      <w:sz w:val="22"/>
                      <w:szCs w:val="22"/>
                    </w:rPr>
                  </w:pPr>
                  <w:r>
                    <w:rPr>
                      <w:color w:val="000000"/>
                    </w:rPr>
                    <w:t>17</w:t>
                  </w:r>
                </w:p>
              </w:tc>
            </w:tr>
            <w:tr w:rsidR="007153F8" w14:paraId="3A5756FB" w14:textId="77777777" w:rsidTr="007E2265">
              <w:trPr>
                <w:trHeight w:val="300"/>
              </w:trPr>
              <w:tc>
                <w:tcPr>
                  <w:tcW w:w="6834"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5FE8BD" w14:textId="77777777" w:rsidR="007153F8" w:rsidRDefault="007153F8" w:rsidP="007E2265">
                  <w:pPr>
                    <w:rPr>
                      <w:rFonts w:ascii="Calibri" w:eastAsia="Calibri" w:hAnsi="Calibri"/>
                      <w:color w:val="000000"/>
                      <w:sz w:val="22"/>
                      <w:szCs w:val="22"/>
                    </w:rPr>
                  </w:pPr>
                  <w:r>
                    <w:rPr>
                      <w:color w:val="000000"/>
                    </w:rPr>
                    <w:t>Mērķdotācija pašvaldību ceļiem</w:t>
                  </w:r>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707C25" w14:textId="77777777" w:rsidR="007153F8" w:rsidRDefault="007153F8" w:rsidP="007E2265">
                  <w:pPr>
                    <w:jc w:val="center"/>
                    <w:rPr>
                      <w:rFonts w:ascii="Calibri" w:eastAsia="Calibri" w:hAnsi="Calibri"/>
                      <w:color w:val="000000"/>
                      <w:sz w:val="22"/>
                      <w:szCs w:val="22"/>
                    </w:rPr>
                  </w:pPr>
                  <w:r>
                    <w:rPr>
                      <w:color w:val="000000"/>
                    </w:rPr>
                    <w:t>204</w:t>
                  </w:r>
                </w:p>
              </w:tc>
            </w:tr>
            <w:tr w:rsidR="007153F8" w14:paraId="0318BAD7" w14:textId="77777777" w:rsidTr="007E2265">
              <w:trPr>
                <w:trHeight w:val="300"/>
              </w:trPr>
              <w:tc>
                <w:tcPr>
                  <w:tcW w:w="6834"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B0B639" w14:textId="77777777" w:rsidR="007153F8" w:rsidRPr="00421B2E" w:rsidRDefault="007153F8" w:rsidP="007E2265">
                  <w:pPr>
                    <w:rPr>
                      <w:rFonts w:ascii="Calibri" w:eastAsia="Calibri" w:hAnsi="Calibri"/>
                      <w:b/>
                      <w:color w:val="000000"/>
                      <w:sz w:val="22"/>
                      <w:szCs w:val="22"/>
                    </w:rPr>
                  </w:pPr>
                  <w:r w:rsidRPr="00421B2E">
                    <w:rPr>
                      <w:b/>
                      <w:color w:val="000000"/>
                    </w:rPr>
                    <w:t xml:space="preserve">Pavisam kopā milj. </w:t>
                  </w:r>
                  <w:proofErr w:type="spellStart"/>
                  <w:r w:rsidRPr="00421B2E">
                    <w:rPr>
                      <w:b/>
                      <w:i/>
                      <w:color w:val="000000"/>
                    </w:rPr>
                    <w:t>euro</w:t>
                  </w:r>
                  <w:proofErr w:type="spellEnd"/>
                </w:p>
              </w:tc>
              <w:tc>
                <w:tcPr>
                  <w:tcW w:w="1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B76C8" w14:textId="77777777" w:rsidR="007153F8" w:rsidRPr="00421B2E" w:rsidRDefault="007153F8" w:rsidP="007E2265">
                  <w:pPr>
                    <w:jc w:val="center"/>
                    <w:rPr>
                      <w:rFonts w:ascii="Calibri" w:eastAsia="Calibri" w:hAnsi="Calibri"/>
                      <w:b/>
                      <w:color w:val="000000"/>
                      <w:sz w:val="22"/>
                      <w:szCs w:val="22"/>
                    </w:rPr>
                  </w:pPr>
                  <w:r w:rsidRPr="00421B2E">
                    <w:rPr>
                      <w:b/>
                      <w:color w:val="000000"/>
                    </w:rPr>
                    <w:t>815</w:t>
                  </w:r>
                </w:p>
              </w:tc>
            </w:tr>
          </w:tbl>
          <w:p w14:paraId="66C47809" w14:textId="77777777" w:rsidR="007153F8" w:rsidRPr="005C1713" w:rsidRDefault="007153F8" w:rsidP="007E2265">
            <w:pPr>
              <w:jc w:val="center"/>
              <w:rPr>
                <w:b/>
                <w:bCs/>
                <w:color w:val="000000"/>
              </w:rPr>
            </w:pPr>
          </w:p>
        </w:tc>
      </w:tr>
    </w:tbl>
    <w:p w14:paraId="51A2A2F5" w14:textId="77777777" w:rsidR="007153F8" w:rsidRDefault="007153F8" w:rsidP="007153F8">
      <w:pPr>
        <w:ind w:right="-6" w:firstLine="567"/>
        <w:jc w:val="both"/>
        <w:rPr>
          <w:color w:val="000000"/>
        </w:rPr>
      </w:pPr>
    </w:p>
    <w:p w14:paraId="675260CD" w14:textId="77777777" w:rsidR="009B1DAE" w:rsidRPr="00CB033C" w:rsidRDefault="009B1DAE" w:rsidP="007153F8">
      <w:pPr>
        <w:ind w:right="-6" w:firstLine="567"/>
        <w:jc w:val="both"/>
        <w:rPr>
          <w:color w:val="000000"/>
        </w:rPr>
      </w:pPr>
      <w:r w:rsidRPr="00CB033C">
        <w:rPr>
          <w:color w:val="000000"/>
        </w:rPr>
        <w:t>Lai uzlabotu valsts autoceļu stāvokli</w:t>
      </w:r>
      <w:r w:rsidR="00A86DC3" w:rsidRPr="00CB033C">
        <w:rPr>
          <w:color w:val="000000"/>
        </w:rPr>
        <w:t>, Satiksmes ministrija</w:t>
      </w:r>
      <w:r w:rsidRPr="00CB033C">
        <w:rPr>
          <w:color w:val="000000"/>
        </w:rPr>
        <w:t xml:space="preserve"> </w:t>
      </w:r>
      <w:r w:rsidR="007B4C4E" w:rsidRPr="00CB033C">
        <w:rPr>
          <w:color w:val="000000"/>
        </w:rPr>
        <w:t xml:space="preserve">līdz 2030.gadam </w:t>
      </w:r>
      <w:r w:rsidR="00A86DC3" w:rsidRPr="00CB033C">
        <w:rPr>
          <w:color w:val="000000"/>
        </w:rPr>
        <w:t xml:space="preserve">izvirza </w:t>
      </w:r>
      <w:r w:rsidR="008C2C9B" w:rsidRPr="00CB033C">
        <w:rPr>
          <w:color w:val="000000"/>
        </w:rPr>
        <w:t>rezultatīvos rādītājus</w:t>
      </w:r>
      <w:r w:rsidRPr="00CB033C">
        <w:rPr>
          <w:color w:val="000000"/>
        </w:rPr>
        <w:t xml:space="preserve"> </w:t>
      </w:r>
      <w:r w:rsidR="007B4C4E" w:rsidRPr="00CB033C">
        <w:rPr>
          <w:color w:val="000000"/>
        </w:rPr>
        <w:t xml:space="preserve">valsts autoceļu stāvokļa uzlabošanai </w:t>
      </w:r>
      <w:r w:rsidRPr="00CB033C">
        <w:rPr>
          <w:color w:val="000000"/>
        </w:rPr>
        <w:t>(</w:t>
      </w:r>
      <w:r w:rsidR="00EA0D9C" w:rsidRPr="00CB033C">
        <w:rPr>
          <w:color w:val="000000"/>
        </w:rPr>
        <w:t>7.</w:t>
      </w:r>
      <w:r w:rsidRPr="00CB033C">
        <w:rPr>
          <w:color w:val="000000"/>
        </w:rPr>
        <w:t xml:space="preserve"> tabula), kas, atšķirībā no TAP2020 ietver arī situācijas uzlabošanos uz valsts reģionālajiem autoceļiem ar grants segumu un valsts vietējiem autoceļiem, kas ir vissliktākajā stāvoklī (sk. 1.tabulu).</w:t>
      </w:r>
    </w:p>
    <w:p w14:paraId="5E588378" w14:textId="77777777" w:rsidR="009B1DAE" w:rsidRDefault="009B1DAE" w:rsidP="007153F8">
      <w:pPr>
        <w:ind w:right="-6" w:firstLine="567"/>
        <w:jc w:val="both"/>
        <w:rPr>
          <w:color w:val="000000"/>
          <w:highlight w:val="yellow"/>
        </w:rPr>
      </w:pPr>
    </w:p>
    <w:p w14:paraId="04B87B1F" w14:textId="77777777" w:rsidR="00472973" w:rsidRDefault="00472973" w:rsidP="007153F8">
      <w:pPr>
        <w:ind w:right="-6" w:firstLine="567"/>
        <w:jc w:val="both"/>
        <w:rPr>
          <w:color w:val="000000"/>
          <w:highlight w:val="yellow"/>
        </w:rPr>
      </w:pPr>
    </w:p>
    <w:p w14:paraId="345816A6" w14:textId="77777777" w:rsidR="00472973" w:rsidRDefault="00472973" w:rsidP="007153F8">
      <w:pPr>
        <w:ind w:right="-6" w:firstLine="567"/>
        <w:jc w:val="both"/>
        <w:rPr>
          <w:color w:val="000000"/>
          <w:highlight w:val="yellow"/>
        </w:rPr>
      </w:pPr>
    </w:p>
    <w:p w14:paraId="3269B599" w14:textId="77777777" w:rsidR="00472973" w:rsidRDefault="00472973" w:rsidP="007153F8">
      <w:pPr>
        <w:ind w:right="-6" w:firstLine="567"/>
        <w:jc w:val="both"/>
        <w:rPr>
          <w:color w:val="000000"/>
          <w:highlight w:val="yellow"/>
        </w:rPr>
      </w:pPr>
    </w:p>
    <w:p w14:paraId="1C687983" w14:textId="77777777" w:rsidR="00472973" w:rsidRPr="00472973" w:rsidRDefault="00472973" w:rsidP="007153F8">
      <w:pPr>
        <w:ind w:right="-6" w:firstLine="567"/>
        <w:jc w:val="both"/>
        <w:rPr>
          <w:color w:val="000000"/>
          <w:highlight w:val="yellow"/>
        </w:rPr>
      </w:pPr>
    </w:p>
    <w:p w14:paraId="6F0A62A4" w14:textId="77777777" w:rsidR="009B1DAE" w:rsidRDefault="00EA0D9C" w:rsidP="00472973">
      <w:pPr>
        <w:ind w:right="-6" w:firstLine="567"/>
        <w:jc w:val="right"/>
        <w:rPr>
          <w:color w:val="000000"/>
        </w:rPr>
      </w:pPr>
      <w:r w:rsidRPr="00CB033C">
        <w:rPr>
          <w:color w:val="000000"/>
        </w:rPr>
        <w:lastRenderedPageBreak/>
        <w:t>7</w:t>
      </w:r>
      <w:r w:rsidR="009B1DAE" w:rsidRPr="00CB033C">
        <w:rPr>
          <w:color w:val="000000"/>
        </w:rPr>
        <w:t>.tabula</w:t>
      </w:r>
    </w:p>
    <w:p w14:paraId="7C77156D" w14:textId="77777777" w:rsidR="009A3DDF" w:rsidRPr="00CB033C" w:rsidRDefault="009A3DDF" w:rsidP="00472973">
      <w:pPr>
        <w:ind w:right="-6" w:firstLine="567"/>
        <w:jc w:val="right"/>
        <w:rPr>
          <w:color w:val="000000"/>
        </w:rPr>
      </w:pPr>
    </w:p>
    <w:p w14:paraId="7F7DED81" w14:textId="77777777" w:rsidR="009B1DAE" w:rsidRPr="00CB033C" w:rsidRDefault="00CB033C" w:rsidP="00472973">
      <w:pPr>
        <w:ind w:right="-6" w:firstLine="567"/>
        <w:jc w:val="center"/>
        <w:rPr>
          <w:b/>
          <w:color w:val="000000"/>
        </w:rPr>
      </w:pPr>
      <w:r w:rsidRPr="00CB033C">
        <w:rPr>
          <w:b/>
          <w:color w:val="000000"/>
        </w:rPr>
        <w:t xml:space="preserve">Satiksmes ministrijas </w:t>
      </w:r>
      <w:r w:rsidR="008C2C9B" w:rsidRPr="00CB033C">
        <w:rPr>
          <w:b/>
          <w:color w:val="000000"/>
        </w:rPr>
        <w:t>izvirzītie</w:t>
      </w:r>
      <w:r w:rsidR="007B4C4E" w:rsidRPr="00CB033C">
        <w:rPr>
          <w:b/>
          <w:color w:val="000000"/>
        </w:rPr>
        <w:t xml:space="preserve"> </w:t>
      </w:r>
      <w:r w:rsidR="008C2C9B" w:rsidRPr="00CB033C">
        <w:rPr>
          <w:b/>
          <w:color w:val="000000"/>
        </w:rPr>
        <w:t>rezultatīvie rādītāji</w:t>
      </w:r>
      <w:r w:rsidR="007B4C4E" w:rsidRPr="00CB033C">
        <w:rPr>
          <w:b/>
          <w:color w:val="000000"/>
        </w:rPr>
        <w:t xml:space="preserve"> valsts autoceļu stāvokļa uzlabošanai</w:t>
      </w:r>
      <w:r w:rsidRPr="00CB033C">
        <w:rPr>
          <w:b/>
          <w:color w:val="000000"/>
        </w:rPr>
        <w:t xml:space="preserve"> līdz 2030.gadam</w:t>
      </w:r>
    </w:p>
    <w:p w14:paraId="1D0D7842" w14:textId="77777777" w:rsidR="009B1DAE" w:rsidRDefault="009B1DAE" w:rsidP="00472973">
      <w:pPr>
        <w:ind w:right="-6" w:firstLine="567"/>
        <w:jc w:val="center"/>
        <w:rPr>
          <w:b/>
          <w:color w:val="000000"/>
          <w:highlight w:val="yellow"/>
        </w:rPr>
      </w:pPr>
    </w:p>
    <w:tbl>
      <w:tblPr>
        <w:tblW w:w="9229" w:type="dxa"/>
        <w:tblInd w:w="93" w:type="dxa"/>
        <w:tblLook w:val="04A0" w:firstRow="1" w:lastRow="0" w:firstColumn="1" w:lastColumn="0" w:noHBand="0" w:noVBand="1"/>
      </w:tblPr>
      <w:tblGrid>
        <w:gridCol w:w="4977"/>
        <w:gridCol w:w="2126"/>
        <w:gridCol w:w="2126"/>
      </w:tblGrid>
      <w:tr w:rsidR="00B13005" w:rsidRPr="003D7BB6" w14:paraId="2AF2BBF7" w14:textId="77777777" w:rsidTr="00B13005">
        <w:trPr>
          <w:trHeight w:val="300"/>
        </w:trPr>
        <w:tc>
          <w:tcPr>
            <w:tcW w:w="4977" w:type="dxa"/>
            <w:tcBorders>
              <w:top w:val="nil"/>
              <w:left w:val="nil"/>
              <w:bottom w:val="nil"/>
              <w:right w:val="nil"/>
            </w:tcBorders>
            <w:shd w:val="clear" w:color="auto" w:fill="auto"/>
            <w:noWrap/>
            <w:vAlign w:val="bottom"/>
            <w:hideMark/>
          </w:tcPr>
          <w:p w14:paraId="28CB4256" w14:textId="77777777" w:rsidR="003D7BB6" w:rsidRPr="003D7BB6" w:rsidRDefault="003D7BB6" w:rsidP="003D7BB6">
            <w:pPr>
              <w:rPr>
                <w:b/>
                <w:bCs/>
                <w:color w:val="000000"/>
                <w:szCs w:val="22"/>
              </w:rPr>
            </w:pPr>
            <w:r w:rsidRPr="003D7BB6">
              <w:rPr>
                <w:b/>
                <w:bCs/>
                <w:color w:val="000000"/>
                <w:szCs w:val="22"/>
              </w:rPr>
              <w:t>Valsts galvenie autoceļi</w:t>
            </w:r>
          </w:p>
        </w:tc>
        <w:tc>
          <w:tcPr>
            <w:tcW w:w="2126" w:type="dxa"/>
            <w:tcBorders>
              <w:top w:val="nil"/>
              <w:left w:val="nil"/>
              <w:bottom w:val="nil"/>
              <w:right w:val="nil"/>
            </w:tcBorders>
            <w:shd w:val="clear" w:color="auto" w:fill="auto"/>
            <w:noWrap/>
            <w:vAlign w:val="center"/>
            <w:hideMark/>
          </w:tcPr>
          <w:p w14:paraId="18BCA63A" w14:textId="77777777" w:rsidR="003D7BB6" w:rsidRPr="003D7BB6" w:rsidRDefault="003D7BB6" w:rsidP="003D7BB6">
            <w:pPr>
              <w:jc w:val="center"/>
              <w:rPr>
                <w:color w:val="000000"/>
                <w:szCs w:val="22"/>
              </w:rPr>
            </w:pPr>
            <w:r w:rsidRPr="003D7BB6">
              <w:rPr>
                <w:color w:val="000000"/>
                <w:szCs w:val="22"/>
              </w:rPr>
              <w:t>2017.gads</w:t>
            </w:r>
          </w:p>
        </w:tc>
        <w:tc>
          <w:tcPr>
            <w:tcW w:w="2126" w:type="dxa"/>
            <w:tcBorders>
              <w:top w:val="nil"/>
              <w:left w:val="nil"/>
              <w:bottom w:val="nil"/>
              <w:right w:val="nil"/>
            </w:tcBorders>
            <w:shd w:val="clear" w:color="auto" w:fill="auto"/>
            <w:noWrap/>
            <w:vAlign w:val="center"/>
            <w:hideMark/>
          </w:tcPr>
          <w:p w14:paraId="1841AF67" w14:textId="77777777" w:rsidR="003D7BB6" w:rsidRPr="003D7BB6" w:rsidRDefault="003D7BB6" w:rsidP="003D7BB6">
            <w:pPr>
              <w:jc w:val="center"/>
              <w:rPr>
                <w:color w:val="000000"/>
                <w:szCs w:val="22"/>
              </w:rPr>
            </w:pPr>
            <w:r w:rsidRPr="003D7BB6">
              <w:rPr>
                <w:color w:val="000000"/>
                <w:szCs w:val="22"/>
              </w:rPr>
              <w:t>2030.gads</w:t>
            </w:r>
          </w:p>
        </w:tc>
      </w:tr>
      <w:tr w:rsidR="00B13005" w:rsidRPr="003D7BB6" w14:paraId="17AE168C" w14:textId="77777777" w:rsidTr="00B1300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1B963" w14:textId="77777777" w:rsidR="003D7BB6" w:rsidRPr="003D7BB6" w:rsidRDefault="003D7BB6" w:rsidP="003D7BB6">
            <w:pPr>
              <w:jc w:val="right"/>
              <w:rPr>
                <w:color w:val="000000"/>
                <w:szCs w:val="22"/>
              </w:rPr>
            </w:pPr>
            <w:r w:rsidRPr="003D7BB6">
              <w:rPr>
                <w:color w:val="000000"/>
                <w:szCs w:val="22"/>
              </w:rPr>
              <w:t>Samazināts sliktā un ļoti sliktā stāvoklī esošo autoceļu garums par,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1D1EFD1" w14:textId="77777777" w:rsidR="003D7BB6" w:rsidRPr="003D7BB6" w:rsidRDefault="003D7BB6" w:rsidP="003D7BB6">
            <w:pPr>
              <w:jc w:val="center"/>
              <w:rPr>
                <w:color w:val="000000"/>
                <w:szCs w:val="22"/>
              </w:rPr>
            </w:pPr>
            <w:r w:rsidRPr="003D7BB6">
              <w:rPr>
                <w:color w:val="000000"/>
                <w:szCs w:val="22"/>
              </w:rPr>
              <w:t>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DEA117E" w14:textId="77777777" w:rsidR="003D7BB6" w:rsidRPr="003D7BB6" w:rsidRDefault="003D7BB6" w:rsidP="003D7BB6">
            <w:pPr>
              <w:jc w:val="center"/>
              <w:rPr>
                <w:color w:val="000000"/>
                <w:szCs w:val="22"/>
              </w:rPr>
            </w:pPr>
            <w:r w:rsidRPr="003D7BB6">
              <w:rPr>
                <w:color w:val="000000"/>
                <w:szCs w:val="22"/>
              </w:rPr>
              <w:t>80</w:t>
            </w:r>
          </w:p>
        </w:tc>
      </w:tr>
      <w:tr w:rsidR="00B13005" w:rsidRPr="003D7BB6" w14:paraId="672A1724" w14:textId="77777777" w:rsidTr="00B1300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14:paraId="0CA3B16F" w14:textId="77777777" w:rsidR="003D7BB6" w:rsidRPr="003D7BB6" w:rsidRDefault="003D7BB6" w:rsidP="003D7BB6">
            <w:pPr>
              <w:jc w:val="right"/>
              <w:rPr>
                <w:color w:val="000000"/>
                <w:szCs w:val="22"/>
              </w:rPr>
            </w:pPr>
            <w:r w:rsidRPr="003D7BB6">
              <w:rPr>
                <w:color w:val="000000"/>
                <w:szCs w:val="22"/>
              </w:rPr>
              <w:t>Samazināts apmierinošā stāvoklī esošo autoceļu garums par, %</w:t>
            </w:r>
          </w:p>
        </w:tc>
        <w:tc>
          <w:tcPr>
            <w:tcW w:w="2126" w:type="dxa"/>
            <w:tcBorders>
              <w:top w:val="nil"/>
              <w:left w:val="nil"/>
              <w:bottom w:val="single" w:sz="4" w:space="0" w:color="auto"/>
              <w:right w:val="single" w:sz="4" w:space="0" w:color="auto"/>
            </w:tcBorders>
            <w:shd w:val="clear" w:color="auto" w:fill="auto"/>
            <w:noWrap/>
            <w:vAlign w:val="center"/>
            <w:hideMark/>
          </w:tcPr>
          <w:p w14:paraId="7EDAA81E" w14:textId="77777777" w:rsidR="003D7BB6" w:rsidRPr="003D7BB6" w:rsidRDefault="003D7BB6" w:rsidP="003D7BB6">
            <w:pPr>
              <w:jc w:val="center"/>
              <w:rPr>
                <w:color w:val="000000"/>
                <w:szCs w:val="22"/>
              </w:rPr>
            </w:pPr>
            <w:r w:rsidRPr="003D7BB6">
              <w:rPr>
                <w:color w:val="000000"/>
                <w:szCs w:val="22"/>
              </w:rPr>
              <w:t>0</w:t>
            </w:r>
          </w:p>
        </w:tc>
        <w:tc>
          <w:tcPr>
            <w:tcW w:w="2126" w:type="dxa"/>
            <w:tcBorders>
              <w:top w:val="nil"/>
              <w:left w:val="nil"/>
              <w:bottom w:val="single" w:sz="4" w:space="0" w:color="auto"/>
              <w:right w:val="single" w:sz="4" w:space="0" w:color="auto"/>
            </w:tcBorders>
            <w:shd w:val="clear" w:color="auto" w:fill="auto"/>
            <w:noWrap/>
            <w:vAlign w:val="center"/>
            <w:hideMark/>
          </w:tcPr>
          <w:p w14:paraId="25707AF7" w14:textId="77777777" w:rsidR="003D7BB6" w:rsidRPr="003D7BB6" w:rsidRDefault="003D7BB6" w:rsidP="003D7BB6">
            <w:pPr>
              <w:jc w:val="center"/>
              <w:rPr>
                <w:color w:val="000000"/>
                <w:szCs w:val="22"/>
              </w:rPr>
            </w:pPr>
            <w:r w:rsidRPr="003D7BB6">
              <w:rPr>
                <w:color w:val="000000"/>
                <w:szCs w:val="22"/>
              </w:rPr>
              <w:t>50</w:t>
            </w:r>
          </w:p>
        </w:tc>
      </w:tr>
      <w:tr w:rsidR="00B13005" w:rsidRPr="003D7BB6" w14:paraId="6A1DED73" w14:textId="77777777" w:rsidTr="00B13005">
        <w:trPr>
          <w:trHeight w:val="300"/>
        </w:trPr>
        <w:tc>
          <w:tcPr>
            <w:tcW w:w="4977" w:type="dxa"/>
            <w:tcBorders>
              <w:top w:val="nil"/>
              <w:left w:val="nil"/>
              <w:bottom w:val="nil"/>
              <w:right w:val="nil"/>
            </w:tcBorders>
            <w:shd w:val="clear" w:color="auto" w:fill="auto"/>
            <w:noWrap/>
            <w:vAlign w:val="bottom"/>
            <w:hideMark/>
          </w:tcPr>
          <w:p w14:paraId="54C6AFDF" w14:textId="77777777" w:rsidR="009A3DDF" w:rsidRPr="00906138" w:rsidRDefault="009A3DDF" w:rsidP="003D7BB6">
            <w:pPr>
              <w:rPr>
                <w:b/>
                <w:bCs/>
                <w:color w:val="000000"/>
                <w:szCs w:val="22"/>
              </w:rPr>
            </w:pPr>
          </w:p>
          <w:p w14:paraId="6555D826" w14:textId="77777777" w:rsidR="003D7BB6" w:rsidRPr="003D7BB6" w:rsidRDefault="003D7BB6" w:rsidP="003D7BB6">
            <w:pPr>
              <w:rPr>
                <w:b/>
                <w:bCs/>
                <w:color w:val="000000"/>
                <w:szCs w:val="22"/>
              </w:rPr>
            </w:pPr>
            <w:r w:rsidRPr="003D7BB6">
              <w:rPr>
                <w:b/>
                <w:bCs/>
                <w:color w:val="000000"/>
                <w:szCs w:val="22"/>
              </w:rPr>
              <w:t>Valsts reģionālie autoceļi</w:t>
            </w:r>
          </w:p>
        </w:tc>
        <w:tc>
          <w:tcPr>
            <w:tcW w:w="2126" w:type="dxa"/>
            <w:tcBorders>
              <w:top w:val="nil"/>
              <w:left w:val="nil"/>
              <w:bottom w:val="nil"/>
              <w:right w:val="nil"/>
            </w:tcBorders>
            <w:shd w:val="clear" w:color="auto" w:fill="auto"/>
            <w:noWrap/>
            <w:vAlign w:val="center"/>
            <w:hideMark/>
          </w:tcPr>
          <w:p w14:paraId="2952175A" w14:textId="77777777" w:rsidR="009A3DDF" w:rsidRPr="00906138" w:rsidRDefault="009A3DDF" w:rsidP="003D7BB6">
            <w:pPr>
              <w:jc w:val="center"/>
              <w:rPr>
                <w:color w:val="000000"/>
                <w:szCs w:val="22"/>
              </w:rPr>
            </w:pPr>
          </w:p>
          <w:p w14:paraId="4D56A09A" w14:textId="77777777" w:rsidR="003D7BB6" w:rsidRPr="003D7BB6" w:rsidRDefault="003D7BB6" w:rsidP="003D7BB6">
            <w:pPr>
              <w:jc w:val="center"/>
              <w:rPr>
                <w:color w:val="000000"/>
                <w:szCs w:val="22"/>
              </w:rPr>
            </w:pPr>
            <w:r w:rsidRPr="003D7BB6">
              <w:rPr>
                <w:color w:val="000000"/>
                <w:szCs w:val="22"/>
              </w:rPr>
              <w:t>2017.gads</w:t>
            </w:r>
          </w:p>
        </w:tc>
        <w:tc>
          <w:tcPr>
            <w:tcW w:w="2126" w:type="dxa"/>
            <w:tcBorders>
              <w:top w:val="nil"/>
              <w:left w:val="nil"/>
              <w:bottom w:val="nil"/>
              <w:right w:val="nil"/>
            </w:tcBorders>
            <w:shd w:val="clear" w:color="auto" w:fill="auto"/>
            <w:noWrap/>
            <w:vAlign w:val="center"/>
            <w:hideMark/>
          </w:tcPr>
          <w:p w14:paraId="0F5C03AC" w14:textId="77777777" w:rsidR="009A3DDF" w:rsidRPr="00906138" w:rsidRDefault="009A3DDF" w:rsidP="003D7BB6">
            <w:pPr>
              <w:jc w:val="center"/>
              <w:rPr>
                <w:color w:val="000000"/>
                <w:szCs w:val="22"/>
              </w:rPr>
            </w:pPr>
          </w:p>
          <w:p w14:paraId="58059B26" w14:textId="77777777" w:rsidR="003D7BB6" w:rsidRPr="003D7BB6" w:rsidRDefault="003D7BB6" w:rsidP="003D7BB6">
            <w:pPr>
              <w:jc w:val="center"/>
              <w:rPr>
                <w:color w:val="000000"/>
                <w:szCs w:val="22"/>
              </w:rPr>
            </w:pPr>
            <w:r w:rsidRPr="003D7BB6">
              <w:rPr>
                <w:color w:val="000000"/>
                <w:szCs w:val="22"/>
              </w:rPr>
              <w:t>2030.gads</w:t>
            </w:r>
          </w:p>
        </w:tc>
      </w:tr>
      <w:tr w:rsidR="00B13005" w:rsidRPr="003D7BB6" w14:paraId="647F5C05" w14:textId="77777777" w:rsidTr="00B1300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3D28" w14:textId="77777777" w:rsidR="003D7BB6" w:rsidRPr="003D7BB6" w:rsidRDefault="003D7BB6" w:rsidP="003D7BB6">
            <w:pPr>
              <w:jc w:val="right"/>
              <w:rPr>
                <w:color w:val="000000"/>
                <w:szCs w:val="22"/>
              </w:rPr>
            </w:pPr>
            <w:r w:rsidRPr="003D7BB6">
              <w:rPr>
                <w:rFonts w:eastAsia="Calibri"/>
                <w:color w:val="000000"/>
                <w:szCs w:val="22"/>
              </w:rPr>
              <w:t>Samazināts sliktā un ļoti sliktā stāvoklī esošo autoceļu ar asfaltbetona segumu garumu par,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D5DBFC" w14:textId="77777777" w:rsidR="003D7BB6" w:rsidRPr="003D7BB6" w:rsidRDefault="003D7BB6" w:rsidP="003D7BB6">
            <w:pPr>
              <w:jc w:val="center"/>
              <w:rPr>
                <w:color w:val="000000"/>
                <w:szCs w:val="22"/>
              </w:rPr>
            </w:pPr>
            <w:r w:rsidRPr="003D7BB6">
              <w:rPr>
                <w:color w:val="000000"/>
                <w:szCs w:val="22"/>
              </w:rPr>
              <w:t>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650BB7" w14:textId="77777777" w:rsidR="003D7BB6" w:rsidRPr="003D7BB6" w:rsidRDefault="003D7BB6" w:rsidP="003D7BB6">
            <w:pPr>
              <w:jc w:val="center"/>
              <w:rPr>
                <w:color w:val="000000"/>
                <w:szCs w:val="22"/>
              </w:rPr>
            </w:pPr>
            <w:r w:rsidRPr="003D7BB6">
              <w:rPr>
                <w:color w:val="000000"/>
                <w:szCs w:val="22"/>
              </w:rPr>
              <w:t>75</w:t>
            </w:r>
          </w:p>
        </w:tc>
      </w:tr>
      <w:tr w:rsidR="00B13005" w:rsidRPr="003D7BB6" w14:paraId="3CBECD73" w14:textId="77777777" w:rsidTr="00B1300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14:paraId="04FA2547" w14:textId="77777777" w:rsidR="003D7BB6" w:rsidRPr="003D7BB6" w:rsidRDefault="003D7BB6" w:rsidP="003D7BB6">
            <w:pPr>
              <w:jc w:val="right"/>
              <w:rPr>
                <w:color w:val="000000"/>
                <w:szCs w:val="22"/>
              </w:rPr>
            </w:pPr>
            <w:r w:rsidRPr="003D7BB6">
              <w:rPr>
                <w:color w:val="000000"/>
                <w:szCs w:val="22"/>
              </w:rPr>
              <w:t>Samazināts sliktā stāvoklī esošo autoceļu ar grants segumu garumu par</w:t>
            </w:r>
            <w:r w:rsidR="00B13005" w:rsidRPr="00906138">
              <w:rPr>
                <w:color w:val="000000"/>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14:paraId="0B74D922" w14:textId="77777777" w:rsidR="003D7BB6" w:rsidRPr="003D7BB6" w:rsidRDefault="003D7BB6" w:rsidP="003D7BB6">
            <w:pPr>
              <w:jc w:val="center"/>
              <w:rPr>
                <w:color w:val="000000"/>
                <w:szCs w:val="22"/>
              </w:rPr>
            </w:pPr>
            <w:r w:rsidRPr="003D7BB6">
              <w:rPr>
                <w:color w:val="000000"/>
                <w:szCs w:val="22"/>
              </w:rPr>
              <w:t>0</w:t>
            </w:r>
          </w:p>
        </w:tc>
        <w:tc>
          <w:tcPr>
            <w:tcW w:w="2126" w:type="dxa"/>
            <w:tcBorders>
              <w:top w:val="nil"/>
              <w:left w:val="nil"/>
              <w:bottom w:val="single" w:sz="4" w:space="0" w:color="auto"/>
              <w:right w:val="single" w:sz="4" w:space="0" w:color="auto"/>
            </w:tcBorders>
            <w:shd w:val="clear" w:color="auto" w:fill="auto"/>
            <w:noWrap/>
            <w:vAlign w:val="center"/>
            <w:hideMark/>
          </w:tcPr>
          <w:p w14:paraId="1CBA93A4" w14:textId="77777777" w:rsidR="003D7BB6" w:rsidRPr="003D7BB6" w:rsidRDefault="003D7BB6" w:rsidP="003D7BB6">
            <w:pPr>
              <w:jc w:val="center"/>
              <w:rPr>
                <w:color w:val="000000"/>
                <w:szCs w:val="22"/>
              </w:rPr>
            </w:pPr>
            <w:r w:rsidRPr="003D7BB6">
              <w:rPr>
                <w:color w:val="000000"/>
                <w:szCs w:val="22"/>
              </w:rPr>
              <w:t>50</w:t>
            </w:r>
          </w:p>
        </w:tc>
      </w:tr>
      <w:tr w:rsidR="00B13005" w:rsidRPr="003D7BB6" w14:paraId="51F6E9E6" w14:textId="77777777" w:rsidTr="00B13005">
        <w:trPr>
          <w:trHeight w:val="300"/>
        </w:trPr>
        <w:tc>
          <w:tcPr>
            <w:tcW w:w="4977" w:type="dxa"/>
            <w:tcBorders>
              <w:top w:val="nil"/>
              <w:left w:val="nil"/>
              <w:bottom w:val="nil"/>
              <w:right w:val="nil"/>
            </w:tcBorders>
            <w:shd w:val="clear" w:color="auto" w:fill="auto"/>
            <w:noWrap/>
            <w:vAlign w:val="bottom"/>
            <w:hideMark/>
          </w:tcPr>
          <w:p w14:paraId="7EDC8A91" w14:textId="77777777" w:rsidR="009A3DDF" w:rsidRPr="00906138" w:rsidRDefault="009A3DDF" w:rsidP="003D7BB6">
            <w:pPr>
              <w:rPr>
                <w:b/>
                <w:bCs/>
                <w:color w:val="000000"/>
                <w:szCs w:val="22"/>
              </w:rPr>
            </w:pPr>
          </w:p>
          <w:p w14:paraId="6DBCDC0D" w14:textId="77777777" w:rsidR="003D7BB6" w:rsidRPr="003D7BB6" w:rsidRDefault="003D7BB6" w:rsidP="003D7BB6">
            <w:pPr>
              <w:rPr>
                <w:b/>
                <w:bCs/>
                <w:color w:val="000000"/>
                <w:szCs w:val="22"/>
              </w:rPr>
            </w:pPr>
            <w:r w:rsidRPr="003D7BB6">
              <w:rPr>
                <w:b/>
                <w:bCs/>
                <w:color w:val="000000"/>
                <w:szCs w:val="22"/>
              </w:rPr>
              <w:t>Valsts vietējie autoceļi</w:t>
            </w:r>
          </w:p>
        </w:tc>
        <w:tc>
          <w:tcPr>
            <w:tcW w:w="2126" w:type="dxa"/>
            <w:tcBorders>
              <w:top w:val="nil"/>
              <w:left w:val="nil"/>
              <w:bottom w:val="nil"/>
              <w:right w:val="nil"/>
            </w:tcBorders>
            <w:shd w:val="clear" w:color="auto" w:fill="auto"/>
            <w:noWrap/>
            <w:vAlign w:val="center"/>
            <w:hideMark/>
          </w:tcPr>
          <w:p w14:paraId="0152D6D6" w14:textId="77777777" w:rsidR="009A3DDF" w:rsidRPr="00906138" w:rsidRDefault="009A3DDF" w:rsidP="003D7BB6">
            <w:pPr>
              <w:jc w:val="center"/>
              <w:rPr>
                <w:color w:val="000000"/>
                <w:szCs w:val="22"/>
              </w:rPr>
            </w:pPr>
          </w:p>
          <w:p w14:paraId="620889CF" w14:textId="77777777" w:rsidR="003D7BB6" w:rsidRPr="003D7BB6" w:rsidRDefault="003D7BB6" w:rsidP="003D7BB6">
            <w:pPr>
              <w:jc w:val="center"/>
              <w:rPr>
                <w:color w:val="000000"/>
                <w:szCs w:val="22"/>
              </w:rPr>
            </w:pPr>
            <w:r w:rsidRPr="003D7BB6">
              <w:rPr>
                <w:color w:val="000000"/>
                <w:szCs w:val="22"/>
              </w:rPr>
              <w:t>2017.gads</w:t>
            </w:r>
          </w:p>
        </w:tc>
        <w:tc>
          <w:tcPr>
            <w:tcW w:w="2126" w:type="dxa"/>
            <w:tcBorders>
              <w:top w:val="nil"/>
              <w:left w:val="nil"/>
              <w:bottom w:val="nil"/>
              <w:right w:val="nil"/>
            </w:tcBorders>
            <w:shd w:val="clear" w:color="auto" w:fill="auto"/>
            <w:noWrap/>
            <w:vAlign w:val="center"/>
            <w:hideMark/>
          </w:tcPr>
          <w:p w14:paraId="7C9BC1A2" w14:textId="77777777" w:rsidR="009A3DDF" w:rsidRPr="00906138" w:rsidRDefault="009A3DDF" w:rsidP="003D7BB6">
            <w:pPr>
              <w:jc w:val="center"/>
              <w:rPr>
                <w:color w:val="000000"/>
                <w:szCs w:val="22"/>
              </w:rPr>
            </w:pPr>
          </w:p>
          <w:p w14:paraId="7E605DAE" w14:textId="77777777" w:rsidR="003D7BB6" w:rsidRPr="003D7BB6" w:rsidRDefault="003D7BB6" w:rsidP="003D7BB6">
            <w:pPr>
              <w:jc w:val="center"/>
              <w:rPr>
                <w:color w:val="000000"/>
                <w:szCs w:val="22"/>
              </w:rPr>
            </w:pPr>
            <w:r w:rsidRPr="003D7BB6">
              <w:rPr>
                <w:color w:val="000000"/>
                <w:szCs w:val="22"/>
              </w:rPr>
              <w:t>2030.gads</w:t>
            </w:r>
          </w:p>
        </w:tc>
      </w:tr>
      <w:tr w:rsidR="00B13005" w:rsidRPr="003D7BB6" w14:paraId="3C30A5EF" w14:textId="77777777" w:rsidTr="00B1300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808FB" w14:textId="77777777" w:rsidR="003D7BB6" w:rsidRPr="003D7BB6" w:rsidRDefault="003D7BB6" w:rsidP="003D7BB6">
            <w:pPr>
              <w:jc w:val="right"/>
              <w:rPr>
                <w:color w:val="000000"/>
                <w:szCs w:val="22"/>
              </w:rPr>
            </w:pPr>
            <w:r w:rsidRPr="003D7BB6">
              <w:rPr>
                <w:color w:val="000000"/>
                <w:szCs w:val="22"/>
              </w:rPr>
              <w:t xml:space="preserve">Samazināts </w:t>
            </w:r>
            <w:r w:rsidR="00B13005" w:rsidRPr="00906138">
              <w:rPr>
                <w:color w:val="000000"/>
                <w:szCs w:val="22"/>
              </w:rPr>
              <w:t xml:space="preserve">sliktā un </w:t>
            </w:r>
            <w:r w:rsidRPr="003D7BB6">
              <w:rPr>
                <w:color w:val="000000"/>
                <w:szCs w:val="22"/>
              </w:rPr>
              <w:t>ļoti sliktā stāvoklī esošo autoceļu ar asfaltbetona segumu garums par,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FFD3249" w14:textId="77777777" w:rsidR="003D7BB6" w:rsidRPr="003D7BB6" w:rsidRDefault="003D7BB6" w:rsidP="003D7BB6">
            <w:pPr>
              <w:jc w:val="center"/>
              <w:rPr>
                <w:color w:val="000000"/>
                <w:szCs w:val="22"/>
              </w:rPr>
            </w:pPr>
            <w:r w:rsidRPr="003D7BB6">
              <w:rPr>
                <w:color w:val="000000"/>
                <w:szCs w:val="22"/>
              </w:rPr>
              <w:t>0</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F7F280F" w14:textId="77777777" w:rsidR="003D7BB6" w:rsidRPr="003D7BB6" w:rsidRDefault="00B13005" w:rsidP="003D7BB6">
            <w:pPr>
              <w:jc w:val="center"/>
              <w:rPr>
                <w:color w:val="000000"/>
                <w:szCs w:val="22"/>
              </w:rPr>
            </w:pPr>
            <w:r w:rsidRPr="00906138">
              <w:rPr>
                <w:color w:val="000000"/>
                <w:szCs w:val="22"/>
              </w:rPr>
              <w:t>35</w:t>
            </w:r>
          </w:p>
        </w:tc>
      </w:tr>
      <w:tr w:rsidR="00B13005" w:rsidRPr="003D7BB6" w14:paraId="2E20EB24" w14:textId="77777777" w:rsidTr="00B1300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14:paraId="315A9D8A" w14:textId="77777777" w:rsidR="003D7BB6" w:rsidRPr="003D7BB6" w:rsidRDefault="003D7BB6" w:rsidP="003D7BB6">
            <w:pPr>
              <w:jc w:val="right"/>
              <w:rPr>
                <w:color w:val="000000"/>
                <w:szCs w:val="22"/>
              </w:rPr>
            </w:pPr>
            <w:r w:rsidRPr="003D7BB6">
              <w:rPr>
                <w:color w:val="000000"/>
                <w:szCs w:val="22"/>
              </w:rPr>
              <w:t>Samazināts sliktā stāvoklī esošo autoceļu ar grants segumu garums par, %</w:t>
            </w:r>
          </w:p>
        </w:tc>
        <w:tc>
          <w:tcPr>
            <w:tcW w:w="2126" w:type="dxa"/>
            <w:tcBorders>
              <w:top w:val="nil"/>
              <w:left w:val="nil"/>
              <w:bottom w:val="single" w:sz="4" w:space="0" w:color="auto"/>
              <w:right w:val="single" w:sz="4" w:space="0" w:color="auto"/>
            </w:tcBorders>
            <w:shd w:val="clear" w:color="auto" w:fill="auto"/>
            <w:noWrap/>
            <w:vAlign w:val="center"/>
            <w:hideMark/>
          </w:tcPr>
          <w:p w14:paraId="7C5A7731" w14:textId="77777777" w:rsidR="003D7BB6" w:rsidRPr="003D7BB6" w:rsidRDefault="003D7BB6" w:rsidP="003D7BB6">
            <w:pPr>
              <w:jc w:val="center"/>
              <w:rPr>
                <w:color w:val="000000"/>
                <w:szCs w:val="22"/>
              </w:rPr>
            </w:pPr>
            <w:r w:rsidRPr="003D7BB6">
              <w:rPr>
                <w:color w:val="000000"/>
                <w:szCs w:val="22"/>
              </w:rPr>
              <w:t>0</w:t>
            </w:r>
          </w:p>
        </w:tc>
        <w:tc>
          <w:tcPr>
            <w:tcW w:w="2126" w:type="dxa"/>
            <w:tcBorders>
              <w:top w:val="nil"/>
              <w:left w:val="nil"/>
              <w:bottom w:val="single" w:sz="4" w:space="0" w:color="auto"/>
              <w:right w:val="single" w:sz="4" w:space="0" w:color="auto"/>
            </w:tcBorders>
            <w:shd w:val="clear" w:color="auto" w:fill="auto"/>
            <w:noWrap/>
            <w:vAlign w:val="center"/>
          </w:tcPr>
          <w:p w14:paraId="359B9E9E" w14:textId="77777777" w:rsidR="003D7BB6" w:rsidRPr="003D7BB6" w:rsidRDefault="00B13005" w:rsidP="003D7BB6">
            <w:pPr>
              <w:jc w:val="center"/>
              <w:rPr>
                <w:color w:val="000000"/>
                <w:szCs w:val="22"/>
              </w:rPr>
            </w:pPr>
            <w:r w:rsidRPr="00906138">
              <w:rPr>
                <w:color w:val="000000"/>
                <w:szCs w:val="22"/>
              </w:rPr>
              <w:t>35</w:t>
            </w:r>
          </w:p>
        </w:tc>
      </w:tr>
    </w:tbl>
    <w:p w14:paraId="3FE99274" w14:textId="77777777" w:rsidR="00CB033C" w:rsidRPr="00CB033C" w:rsidRDefault="00CB033C" w:rsidP="00472973">
      <w:pPr>
        <w:ind w:right="-6" w:firstLine="567"/>
        <w:jc w:val="center"/>
        <w:rPr>
          <w:b/>
          <w:color w:val="000000"/>
        </w:rPr>
      </w:pPr>
    </w:p>
    <w:p w14:paraId="7EA445D4" w14:textId="77777777" w:rsidR="007153F8" w:rsidRDefault="009B1DAE" w:rsidP="007153F8">
      <w:pPr>
        <w:ind w:right="-6" w:firstLine="567"/>
        <w:jc w:val="both"/>
        <w:rPr>
          <w:color w:val="000000"/>
        </w:rPr>
      </w:pPr>
      <w:r w:rsidRPr="00CB033C">
        <w:rPr>
          <w:color w:val="000000"/>
        </w:rPr>
        <w:t xml:space="preserve">Lai sasniegtu </w:t>
      </w:r>
      <w:r w:rsidR="00EA0D9C" w:rsidRPr="00CB033C">
        <w:rPr>
          <w:color w:val="000000"/>
        </w:rPr>
        <w:t>7</w:t>
      </w:r>
      <w:r w:rsidR="007B4C4E" w:rsidRPr="00CB033C">
        <w:rPr>
          <w:color w:val="000000"/>
        </w:rPr>
        <w:t xml:space="preserve">.tabulā iekļautos </w:t>
      </w:r>
      <w:r w:rsidR="008C2C9B" w:rsidRPr="00CB033C">
        <w:rPr>
          <w:color w:val="000000"/>
        </w:rPr>
        <w:t>rezultatīvos rādītājus</w:t>
      </w:r>
      <w:r w:rsidRPr="00CB033C">
        <w:rPr>
          <w:color w:val="000000"/>
        </w:rPr>
        <w:t xml:space="preserve">, nepieciešams </w:t>
      </w:r>
      <w:r w:rsidR="00EA0D9C" w:rsidRPr="00CB033C">
        <w:rPr>
          <w:color w:val="000000"/>
        </w:rPr>
        <w:t>9</w:t>
      </w:r>
      <w:r w:rsidR="007B4C4E" w:rsidRPr="00CB033C">
        <w:rPr>
          <w:color w:val="000000"/>
        </w:rPr>
        <w:t xml:space="preserve">. un </w:t>
      </w:r>
      <w:r w:rsidR="00EA0D9C" w:rsidRPr="00CB033C">
        <w:rPr>
          <w:color w:val="000000"/>
        </w:rPr>
        <w:t>11</w:t>
      </w:r>
      <w:r w:rsidR="007B4C4E" w:rsidRPr="00CB033C">
        <w:rPr>
          <w:color w:val="000000"/>
        </w:rPr>
        <w:t xml:space="preserve">.tabulā norādītais </w:t>
      </w:r>
      <w:r w:rsidR="007153F8" w:rsidRPr="00CB033C">
        <w:rPr>
          <w:color w:val="000000"/>
        </w:rPr>
        <w:t>finansējums</w:t>
      </w:r>
      <w:r w:rsidRPr="00CB033C">
        <w:rPr>
          <w:color w:val="000000"/>
        </w:rPr>
        <w:t xml:space="preserve"> </w:t>
      </w:r>
      <w:r w:rsidR="007153F8" w:rsidRPr="00CB033C">
        <w:rPr>
          <w:color w:val="000000"/>
        </w:rPr>
        <w:t xml:space="preserve">(ieskaitot mērķdotāciju pašvaldību ceļiem vismaz 25% apmērā), </w:t>
      </w:r>
      <w:r w:rsidR="007B4C4E" w:rsidRPr="00CB033C">
        <w:rPr>
          <w:color w:val="000000"/>
        </w:rPr>
        <w:t xml:space="preserve">sākot no </w:t>
      </w:r>
      <w:r w:rsidR="007B4C4E" w:rsidRPr="005C2D0D">
        <w:rPr>
          <w:b/>
          <w:color w:val="000000"/>
        </w:rPr>
        <w:t>433</w:t>
      </w:r>
      <w:r w:rsidR="007153F8" w:rsidRPr="005C2D0D">
        <w:rPr>
          <w:b/>
          <w:color w:val="000000"/>
        </w:rPr>
        <w:t xml:space="preserve"> </w:t>
      </w:r>
      <w:r w:rsidR="007153F8" w:rsidRPr="00CB033C">
        <w:rPr>
          <w:b/>
          <w:color w:val="000000"/>
        </w:rPr>
        <w:t>miljoni</w:t>
      </w:r>
      <w:r w:rsidR="007B4C4E" w:rsidRPr="00CB033C">
        <w:rPr>
          <w:b/>
          <w:color w:val="000000"/>
        </w:rPr>
        <w:t>em</w:t>
      </w:r>
      <w:r w:rsidR="007153F8" w:rsidRPr="00CB033C">
        <w:rPr>
          <w:b/>
          <w:color w:val="000000"/>
        </w:rPr>
        <w:t xml:space="preserve"> </w:t>
      </w:r>
      <w:proofErr w:type="spellStart"/>
      <w:r w:rsidR="007153F8" w:rsidRPr="00CB033C">
        <w:rPr>
          <w:b/>
          <w:i/>
          <w:color w:val="000000"/>
        </w:rPr>
        <w:t>euro</w:t>
      </w:r>
      <w:proofErr w:type="spellEnd"/>
      <w:r w:rsidR="007153F8" w:rsidRPr="00CB033C">
        <w:rPr>
          <w:color w:val="000000"/>
        </w:rPr>
        <w:t xml:space="preserve"> </w:t>
      </w:r>
      <w:r w:rsidR="007B4C4E" w:rsidRPr="00CB033C">
        <w:rPr>
          <w:color w:val="000000"/>
        </w:rPr>
        <w:t xml:space="preserve">2020. </w:t>
      </w:r>
      <w:r w:rsidR="007153F8" w:rsidRPr="00CB033C">
        <w:rPr>
          <w:color w:val="000000"/>
        </w:rPr>
        <w:t xml:space="preserve">gadā, </w:t>
      </w:r>
      <w:r w:rsidR="007B4C4E" w:rsidRPr="00CB033C">
        <w:rPr>
          <w:color w:val="000000"/>
        </w:rPr>
        <w:t>pakāpeniski finansējumu palielinot</w:t>
      </w:r>
      <w:r w:rsidR="007153F8" w:rsidRPr="00CB033C">
        <w:rPr>
          <w:color w:val="000000"/>
        </w:rPr>
        <w:t>).</w:t>
      </w:r>
      <w:r w:rsidR="007E2265">
        <w:rPr>
          <w:color w:val="000000"/>
        </w:rPr>
        <w:t xml:space="preserve"> </w:t>
      </w:r>
    </w:p>
    <w:p w14:paraId="7F17C01C" w14:textId="77777777" w:rsidR="00795034" w:rsidRDefault="00795034" w:rsidP="00795034">
      <w:pPr>
        <w:tabs>
          <w:tab w:val="left" w:pos="567"/>
        </w:tabs>
        <w:ind w:right="-6" w:firstLine="567"/>
        <w:jc w:val="both"/>
        <w:rPr>
          <w:color w:val="000000"/>
        </w:rPr>
      </w:pPr>
    </w:p>
    <w:p w14:paraId="4D31FA2B" w14:textId="77777777" w:rsidR="00795034" w:rsidRDefault="00795034" w:rsidP="00AE49B4">
      <w:pPr>
        <w:ind w:right="-6" w:firstLine="567"/>
        <w:jc w:val="both"/>
        <w:sectPr w:rsidR="00795034" w:rsidSect="007D470E">
          <w:headerReference w:type="default" r:id="rId10"/>
          <w:footerReference w:type="even" r:id="rId11"/>
          <w:footerReference w:type="default" r:id="rId12"/>
          <w:footerReference w:type="first" r:id="rId13"/>
          <w:pgSz w:w="11906" w:h="16838"/>
          <w:pgMar w:top="1134" w:right="1134" w:bottom="1418" w:left="1701" w:header="737" w:footer="709" w:gutter="0"/>
          <w:cols w:space="708"/>
          <w:titlePg/>
          <w:docGrid w:linePitch="360"/>
        </w:sectPr>
      </w:pPr>
    </w:p>
    <w:p w14:paraId="1157112D" w14:textId="77777777" w:rsidR="00C03970" w:rsidRDefault="00C03970" w:rsidP="00C03970">
      <w:pPr>
        <w:ind w:right="-6" w:firstLine="567"/>
        <w:jc w:val="both"/>
      </w:pPr>
      <w:r>
        <w:lastRenderedPageBreak/>
        <w:t xml:space="preserve">Lai sasniegtu 5.tabulā norādītos TAP2020 rezultatīvos rādītājus, ir izstrādāta </w:t>
      </w:r>
      <w:r w:rsidRPr="00704E96">
        <w:t>Valsts autoceļu sakārtošanas programma</w:t>
      </w:r>
      <w:r>
        <w:t xml:space="preserve"> (</w:t>
      </w:r>
      <w:r w:rsidR="00EA0D9C">
        <w:t>8.</w:t>
      </w:r>
      <w:r>
        <w:t>tabula).</w:t>
      </w:r>
    </w:p>
    <w:tbl>
      <w:tblPr>
        <w:tblW w:w="15580" w:type="dxa"/>
        <w:jc w:val="center"/>
        <w:tblLook w:val="04A0" w:firstRow="1" w:lastRow="0" w:firstColumn="1" w:lastColumn="0" w:noHBand="0" w:noVBand="1"/>
      </w:tblPr>
      <w:tblGrid>
        <w:gridCol w:w="6520"/>
        <w:gridCol w:w="1660"/>
        <w:gridCol w:w="820"/>
        <w:gridCol w:w="820"/>
        <w:gridCol w:w="820"/>
        <w:gridCol w:w="820"/>
        <w:gridCol w:w="820"/>
        <w:gridCol w:w="820"/>
        <w:gridCol w:w="820"/>
        <w:gridCol w:w="1660"/>
      </w:tblGrid>
      <w:tr w:rsidR="00C03970" w:rsidRPr="00565EC3" w14:paraId="6F439DA6" w14:textId="77777777" w:rsidTr="00C4264B">
        <w:trPr>
          <w:trHeight w:val="315"/>
          <w:jc w:val="center"/>
        </w:trPr>
        <w:tc>
          <w:tcPr>
            <w:tcW w:w="15580" w:type="dxa"/>
            <w:gridSpan w:val="10"/>
            <w:tcBorders>
              <w:top w:val="nil"/>
              <w:left w:val="nil"/>
              <w:bottom w:val="nil"/>
              <w:right w:val="nil"/>
            </w:tcBorders>
            <w:shd w:val="clear" w:color="auto" w:fill="auto"/>
            <w:noWrap/>
            <w:vAlign w:val="bottom"/>
            <w:hideMark/>
          </w:tcPr>
          <w:p w14:paraId="543A9EBF" w14:textId="77777777" w:rsidR="00C03970" w:rsidRPr="00565EC3" w:rsidRDefault="00EA0D9C" w:rsidP="00C4264B">
            <w:pPr>
              <w:jc w:val="right"/>
              <w:rPr>
                <w:bCs/>
              </w:rPr>
            </w:pPr>
            <w:r>
              <w:rPr>
                <w:bCs/>
              </w:rPr>
              <w:t>8</w:t>
            </w:r>
            <w:r w:rsidR="00C03970" w:rsidRPr="00565EC3">
              <w:rPr>
                <w:bCs/>
              </w:rPr>
              <w:t>.tabula</w:t>
            </w:r>
          </w:p>
          <w:p w14:paraId="67E8F674" w14:textId="77777777" w:rsidR="00C03970" w:rsidRPr="00565EC3" w:rsidRDefault="00C03970" w:rsidP="00C4264B">
            <w:pPr>
              <w:jc w:val="center"/>
              <w:rPr>
                <w:rFonts w:ascii="Arial" w:hAnsi="Arial" w:cs="Arial"/>
                <w:b/>
                <w:bCs/>
              </w:rPr>
            </w:pPr>
            <w:r w:rsidRPr="00565EC3">
              <w:rPr>
                <w:rFonts w:ascii="Arial" w:hAnsi="Arial" w:cs="Arial"/>
                <w:b/>
                <w:bCs/>
                <w:sz w:val="28"/>
              </w:rPr>
              <w:t>Valsts autoceļu sakārtošanas programmas 2014. - 2023.gadam kopsavilkums</w:t>
            </w:r>
          </w:p>
        </w:tc>
      </w:tr>
      <w:tr w:rsidR="00C03970" w:rsidRPr="00565EC3" w14:paraId="71F7FC7E" w14:textId="77777777" w:rsidTr="00C4264B">
        <w:trPr>
          <w:trHeight w:val="255"/>
          <w:jc w:val="center"/>
        </w:trPr>
        <w:tc>
          <w:tcPr>
            <w:tcW w:w="6520" w:type="dxa"/>
            <w:tcBorders>
              <w:top w:val="nil"/>
              <w:left w:val="nil"/>
              <w:bottom w:val="nil"/>
              <w:right w:val="nil"/>
            </w:tcBorders>
            <w:shd w:val="clear" w:color="auto" w:fill="auto"/>
            <w:noWrap/>
            <w:vAlign w:val="bottom"/>
            <w:hideMark/>
          </w:tcPr>
          <w:p w14:paraId="1003DD86" w14:textId="77777777" w:rsidR="00C03970" w:rsidRPr="00565EC3" w:rsidRDefault="00C03970" w:rsidP="00C4264B">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14:paraId="7F5606A9" w14:textId="77777777" w:rsidR="00C03970" w:rsidRPr="00565EC3" w:rsidRDefault="00C03970" w:rsidP="00C4264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224A8F50" w14:textId="77777777" w:rsidR="00C03970" w:rsidRPr="00565EC3" w:rsidRDefault="00C03970" w:rsidP="00C4264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2168A4BD" w14:textId="77777777" w:rsidR="00C03970" w:rsidRPr="00565EC3" w:rsidRDefault="00C03970" w:rsidP="00C4264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684B4BC" w14:textId="77777777" w:rsidR="00C03970" w:rsidRPr="00565EC3" w:rsidRDefault="00C03970" w:rsidP="00C4264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6C167479" w14:textId="77777777" w:rsidR="00C03970" w:rsidRPr="00565EC3" w:rsidRDefault="00C03970" w:rsidP="00C4264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347F408A" w14:textId="77777777" w:rsidR="00C03970" w:rsidRPr="00565EC3" w:rsidRDefault="00C03970" w:rsidP="00C4264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10DBCE45" w14:textId="77777777" w:rsidR="00C03970" w:rsidRPr="00565EC3" w:rsidRDefault="00C03970" w:rsidP="00C4264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5B84E244" w14:textId="77777777" w:rsidR="00C03970" w:rsidRPr="00565EC3" w:rsidRDefault="00C03970" w:rsidP="00C4264B">
            <w:pPr>
              <w:rPr>
                <w:rFonts w:ascii="Arial" w:hAnsi="Arial" w:cs="Arial"/>
                <w:sz w:val="20"/>
                <w:szCs w:val="20"/>
              </w:rPr>
            </w:pPr>
          </w:p>
        </w:tc>
        <w:tc>
          <w:tcPr>
            <w:tcW w:w="1660" w:type="dxa"/>
            <w:tcBorders>
              <w:top w:val="nil"/>
              <w:left w:val="nil"/>
              <w:bottom w:val="nil"/>
              <w:right w:val="nil"/>
            </w:tcBorders>
            <w:shd w:val="clear" w:color="auto" w:fill="auto"/>
            <w:noWrap/>
            <w:vAlign w:val="center"/>
            <w:hideMark/>
          </w:tcPr>
          <w:p w14:paraId="13E92332" w14:textId="77777777" w:rsidR="00C03970" w:rsidRPr="00565EC3" w:rsidRDefault="00C03970" w:rsidP="00C4264B">
            <w:pPr>
              <w:jc w:val="center"/>
              <w:rPr>
                <w:rFonts w:ascii="Arial" w:hAnsi="Arial" w:cs="Arial"/>
                <w:b/>
                <w:bCs/>
                <w:sz w:val="20"/>
                <w:szCs w:val="20"/>
              </w:rPr>
            </w:pPr>
          </w:p>
        </w:tc>
      </w:tr>
      <w:tr w:rsidR="00C03970" w:rsidRPr="00565EC3" w14:paraId="3F4898AE" w14:textId="77777777" w:rsidTr="00C4264B">
        <w:trPr>
          <w:trHeight w:val="971"/>
          <w:jc w:val="center"/>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6AF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Izdevumu veids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57AE6BD"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2014.-2016. gads</w:t>
            </w:r>
            <w:r w:rsidRPr="00565EC3">
              <w:rPr>
                <w:rFonts w:ascii="Arial" w:hAnsi="Arial" w:cs="Arial"/>
                <w:b/>
                <w:bCs/>
                <w:sz w:val="20"/>
                <w:szCs w:val="20"/>
              </w:rPr>
              <w:br/>
              <w:t xml:space="preserve"> izpilde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6F2CC69"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2017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B989342"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756573F"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2019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65DC090"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5B12263"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2021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7811425"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2022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DEEA3A9"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7096A86"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Kopā 2017.-2023. gads</w:t>
            </w:r>
          </w:p>
        </w:tc>
      </w:tr>
      <w:tr w:rsidR="00C03970" w:rsidRPr="00565EC3" w14:paraId="0A82DC0A" w14:textId="77777777" w:rsidTr="00755332">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5F162ABE" w14:textId="77777777" w:rsidR="00C03970" w:rsidRPr="00565EC3" w:rsidRDefault="00C03970" w:rsidP="00C4264B">
            <w:pPr>
              <w:rPr>
                <w:rFonts w:ascii="Arial" w:hAnsi="Arial" w:cs="Arial"/>
                <w:b/>
                <w:bCs/>
                <w:sz w:val="20"/>
                <w:szCs w:val="20"/>
              </w:rPr>
            </w:pPr>
            <w:r w:rsidRPr="00565EC3">
              <w:rPr>
                <w:rFonts w:ascii="Arial" w:hAnsi="Arial" w:cs="Arial"/>
                <w:b/>
                <w:bCs/>
                <w:sz w:val="20"/>
                <w:szCs w:val="20"/>
              </w:rPr>
              <w:t>Kapitālieguldījumi, milj. EUR</w:t>
            </w:r>
          </w:p>
        </w:tc>
        <w:tc>
          <w:tcPr>
            <w:tcW w:w="1660" w:type="dxa"/>
            <w:tcBorders>
              <w:top w:val="nil"/>
              <w:left w:val="nil"/>
              <w:bottom w:val="single" w:sz="4" w:space="0" w:color="auto"/>
              <w:right w:val="single" w:sz="4" w:space="0" w:color="auto"/>
            </w:tcBorders>
            <w:shd w:val="clear" w:color="auto" w:fill="auto"/>
            <w:noWrap/>
            <w:vAlign w:val="center"/>
            <w:hideMark/>
          </w:tcPr>
          <w:p w14:paraId="7072AB90"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354,1</w:t>
            </w:r>
          </w:p>
        </w:tc>
        <w:tc>
          <w:tcPr>
            <w:tcW w:w="820" w:type="dxa"/>
            <w:tcBorders>
              <w:top w:val="nil"/>
              <w:left w:val="nil"/>
              <w:bottom w:val="single" w:sz="4" w:space="0" w:color="auto"/>
              <w:right w:val="single" w:sz="4" w:space="0" w:color="auto"/>
            </w:tcBorders>
            <w:shd w:val="clear" w:color="auto" w:fill="auto"/>
            <w:noWrap/>
            <w:vAlign w:val="center"/>
            <w:hideMark/>
          </w:tcPr>
          <w:p w14:paraId="7A2CACC5"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200,9</w:t>
            </w:r>
          </w:p>
        </w:tc>
        <w:tc>
          <w:tcPr>
            <w:tcW w:w="820" w:type="dxa"/>
            <w:tcBorders>
              <w:top w:val="nil"/>
              <w:left w:val="nil"/>
              <w:bottom w:val="single" w:sz="4" w:space="0" w:color="auto"/>
              <w:right w:val="single" w:sz="4" w:space="0" w:color="auto"/>
            </w:tcBorders>
            <w:shd w:val="clear" w:color="auto" w:fill="auto"/>
            <w:noWrap/>
            <w:vAlign w:val="center"/>
            <w:hideMark/>
          </w:tcPr>
          <w:p w14:paraId="1EECEC57"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171,7</w:t>
            </w:r>
          </w:p>
        </w:tc>
        <w:tc>
          <w:tcPr>
            <w:tcW w:w="820" w:type="dxa"/>
            <w:tcBorders>
              <w:top w:val="nil"/>
              <w:left w:val="nil"/>
              <w:bottom w:val="single" w:sz="4" w:space="0" w:color="auto"/>
              <w:right w:val="single" w:sz="4" w:space="0" w:color="auto"/>
            </w:tcBorders>
            <w:shd w:val="clear" w:color="auto" w:fill="auto"/>
            <w:noWrap/>
            <w:vAlign w:val="center"/>
            <w:hideMark/>
          </w:tcPr>
          <w:p w14:paraId="0233994E"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133,8</w:t>
            </w:r>
          </w:p>
        </w:tc>
        <w:tc>
          <w:tcPr>
            <w:tcW w:w="820" w:type="dxa"/>
            <w:tcBorders>
              <w:top w:val="nil"/>
              <w:left w:val="nil"/>
              <w:bottom w:val="single" w:sz="4" w:space="0" w:color="auto"/>
              <w:right w:val="single" w:sz="4" w:space="0" w:color="auto"/>
            </w:tcBorders>
            <w:shd w:val="clear" w:color="auto" w:fill="auto"/>
            <w:noWrap/>
            <w:vAlign w:val="center"/>
            <w:hideMark/>
          </w:tcPr>
          <w:p w14:paraId="108CF4B2"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199,4</w:t>
            </w:r>
          </w:p>
        </w:tc>
        <w:tc>
          <w:tcPr>
            <w:tcW w:w="820" w:type="dxa"/>
            <w:tcBorders>
              <w:top w:val="nil"/>
              <w:left w:val="nil"/>
              <w:bottom w:val="single" w:sz="4" w:space="0" w:color="auto"/>
              <w:right w:val="single" w:sz="4" w:space="0" w:color="auto"/>
            </w:tcBorders>
            <w:shd w:val="clear" w:color="auto" w:fill="auto"/>
            <w:noWrap/>
            <w:vAlign w:val="center"/>
            <w:hideMark/>
          </w:tcPr>
          <w:p w14:paraId="0A93FC5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207,7</w:t>
            </w:r>
          </w:p>
        </w:tc>
        <w:tc>
          <w:tcPr>
            <w:tcW w:w="820" w:type="dxa"/>
            <w:tcBorders>
              <w:top w:val="nil"/>
              <w:left w:val="nil"/>
              <w:bottom w:val="single" w:sz="4" w:space="0" w:color="auto"/>
              <w:right w:val="single" w:sz="4" w:space="0" w:color="auto"/>
            </w:tcBorders>
            <w:shd w:val="clear" w:color="auto" w:fill="auto"/>
            <w:noWrap/>
            <w:vAlign w:val="center"/>
            <w:hideMark/>
          </w:tcPr>
          <w:p w14:paraId="6A44CF33"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215,2</w:t>
            </w:r>
          </w:p>
        </w:tc>
        <w:tc>
          <w:tcPr>
            <w:tcW w:w="820" w:type="dxa"/>
            <w:tcBorders>
              <w:top w:val="nil"/>
              <w:left w:val="nil"/>
              <w:bottom w:val="single" w:sz="4" w:space="0" w:color="auto"/>
              <w:right w:val="single" w:sz="4" w:space="0" w:color="auto"/>
            </w:tcBorders>
            <w:shd w:val="clear" w:color="auto" w:fill="auto"/>
            <w:noWrap/>
            <w:vAlign w:val="center"/>
            <w:hideMark/>
          </w:tcPr>
          <w:p w14:paraId="6CCDD4CE"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224,4</w:t>
            </w:r>
          </w:p>
        </w:tc>
        <w:tc>
          <w:tcPr>
            <w:tcW w:w="1660" w:type="dxa"/>
            <w:tcBorders>
              <w:top w:val="nil"/>
              <w:left w:val="nil"/>
              <w:bottom w:val="single" w:sz="4" w:space="0" w:color="auto"/>
              <w:right w:val="single" w:sz="4" w:space="0" w:color="auto"/>
            </w:tcBorders>
            <w:shd w:val="clear" w:color="auto" w:fill="auto"/>
            <w:noWrap/>
            <w:vAlign w:val="center"/>
            <w:hideMark/>
          </w:tcPr>
          <w:p w14:paraId="2F69D7A7"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1353,1</w:t>
            </w:r>
          </w:p>
        </w:tc>
      </w:tr>
      <w:tr w:rsidR="00C03970" w:rsidRPr="00565EC3" w14:paraId="682A7175" w14:textId="77777777" w:rsidTr="00755332">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59403237" w14:textId="77777777" w:rsidR="00C03970" w:rsidRPr="00565EC3" w:rsidRDefault="00C03970" w:rsidP="00C4264B">
            <w:pPr>
              <w:rPr>
                <w:rFonts w:ascii="Arial" w:hAnsi="Arial" w:cs="Arial"/>
                <w:b/>
                <w:bCs/>
                <w:sz w:val="20"/>
                <w:szCs w:val="20"/>
              </w:rPr>
            </w:pPr>
            <w:r w:rsidRPr="00565EC3">
              <w:rPr>
                <w:rFonts w:ascii="Arial" w:hAnsi="Arial" w:cs="Arial"/>
                <w:b/>
                <w:bCs/>
                <w:sz w:val="20"/>
                <w:szCs w:val="20"/>
              </w:rPr>
              <w:t>Kapitālieguldījumi autoceļos (milj. EUR), tai skaitā</w:t>
            </w:r>
          </w:p>
        </w:tc>
        <w:tc>
          <w:tcPr>
            <w:tcW w:w="1660" w:type="dxa"/>
            <w:tcBorders>
              <w:top w:val="nil"/>
              <w:left w:val="nil"/>
              <w:bottom w:val="single" w:sz="4" w:space="0" w:color="auto"/>
              <w:right w:val="single" w:sz="4" w:space="0" w:color="auto"/>
            </w:tcBorders>
            <w:shd w:val="clear" w:color="auto" w:fill="auto"/>
            <w:noWrap/>
            <w:vAlign w:val="center"/>
            <w:hideMark/>
          </w:tcPr>
          <w:p w14:paraId="0ED345DE"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336,6</w:t>
            </w:r>
          </w:p>
        </w:tc>
        <w:tc>
          <w:tcPr>
            <w:tcW w:w="820" w:type="dxa"/>
            <w:tcBorders>
              <w:top w:val="nil"/>
              <w:left w:val="nil"/>
              <w:bottom w:val="single" w:sz="4" w:space="0" w:color="auto"/>
              <w:right w:val="single" w:sz="4" w:space="0" w:color="auto"/>
            </w:tcBorders>
            <w:shd w:val="clear" w:color="auto" w:fill="auto"/>
            <w:noWrap/>
            <w:vAlign w:val="center"/>
            <w:hideMark/>
          </w:tcPr>
          <w:p w14:paraId="5A2C1FF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190,5</w:t>
            </w:r>
          </w:p>
        </w:tc>
        <w:tc>
          <w:tcPr>
            <w:tcW w:w="820" w:type="dxa"/>
            <w:tcBorders>
              <w:top w:val="nil"/>
              <w:left w:val="nil"/>
              <w:bottom w:val="single" w:sz="4" w:space="0" w:color="auto"/>
              <w:right w:val="single" w:sz="4" w:space="0" w:color="auto"/>
            </w:tcBorders>
            <w:shd w:val="clear" w:color="auto" w:fill="auto"/>
            <w:noWrap/>
            <w:vAlign w:val="center"/>
            <w:hideMark/>
          </w:tcPr>
          <w:p w14:paraId="69D39AD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160,5</w:t>
            </w:r>
          </w:p>
        </w:tc>
        <w:tc>
          <w:tcPr>
            <w:tcW w:w="820" w:type="dxa"/>
            <w:tcBorders>
              <w:top w:val="nil"/>
              <w:left w:val="nil"/>
              <w:bottom w:val="single" w:sz="4" w:space="0" w:color="auto"/>
              <w:right w:val="single" w:sz="4" w:space="0" w:color="auto"/>
            </w:tcBorders>
            <w:shd w:val="clear" w:color="auto" w:fill="auto"/>
            <w:noWrap/>
            <w:vAlign w:val="center"/>
            <w:hideMark/>
          </w:tcPr>
          <w:p w14:paraId="75E87FA6"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122,7</w:t>
            </w:r>
          </w:p>
        </w:tc>
        <w:tc>
          <w:tcPr>
            <w:tcW w:w="820" w:type="dxa"/>
            <w:tcBorders>
              <w:top w:val="nil"/>
              <w:left w:val="nil"/>
              <w:bottom w:val="single" w:sz="4" w:space="0" w:color="auto"/>
              <w:right w:val="single" w:sz="4" w:space="0" w:color="auto"/>
            </w:tcBorders>
            <w:shd w:val="clear" w:color="auto" w:fill="auto"/>
            <w:noWrap/>
            <w:vAlign w:val="center"/>
            <w:hideMark/>
          </w:tcPr>
          <w:p w14:paraId="7375F711"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185,4</w:t>
            </w:r>
          </w:p>
        </w:tc>
        <w:tc>
          <w:tcPr>
            <w:tcW w:w="820" w:type="dxa"/>
            <w:tcBorders>
              <w:top w:val="nil"/>
              <w:left w:val="nil"/>
              <w:bottom w:val="single" w:sz="4" w:space="0" w:color="auto"/>
              <w:right w:val="single" w:sz="4" w:space="0" w:color="auto"/>
            </w:tcBorders>
            <w:shd w:val="clear" w:color="auto" w:fill="auto"/>
            <w:noWrap/>
            <w:vAlign w:val="center"/>
            <w:hideMark/>
          </w:tcPr>
          <w:p w14:paraId="0F943972"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192,7</w:t>
            </w:r>
          </w:p>
        </w:tc>
        <w:tc>
          <w:tcPr>
            <w:tcW w:w="820" w:type="dxa"/>
            <w:tcBorders>
              <w:top w:val="nil"/>
              <w:left w:val="nil"/>
              <w:bottom w:val="single" w:sz="4" w:space="0" w:color="auto"/>
              <w:right w:val="single" w:sz="4" w:space="0" w:color="auto"/>
            </w:tcBorders>
            <w:shd w:val="clear" w:color="auto" w:fill="auto"/>
            <w:noWrap/>
            <w:vAlign w:val="center"/>
            <w:hideMark/>
          </w:tcPr>
          <w:p w14:paraId="446C7E0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197,9</w:t>
            </w:r>
          </w:p>
        </w:tc>
        <w:tc>
          <w:tcPr>
            <w:tcW w:w="820" w:type="dxa"/>
            <w:tcBorders>
              <w:top w:val="nil"/>
              <w:left w:val="nil"/>
              <w:bottom w:val="single" w:sz="4" w:space="0" w:color="auto"/>
              <w:right w:val="single" w:sz="4" w:space="0" w:color="auto"/>
            </w:tcBorders>
            <w:shd w:val="clear" w:color="auto" w:fill="auto"/>
            <w:noWrap/>
            <w:vAlign w:val="center"/>
            <w:hideMark/>
          </w:tcPr>
          <w:p w14:paraId="112C253F"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206,4</w:t>
            </w:r>
          </w:p>
        </w:tc>
        <w:tc>
          <w:tcPr>
            <w:tcW w:w="1660" w:type="dxa"/>
            <w:tcBorders>
              <w:top w:val="nil"/>
              <w:left w:val="nil"/>
              <w:bottom w:val="single" w:sz="4" w:space="0" w:color="auto"/>
              <w:right w:val="single" w:sz="4" w:space="0" w:color="auto"/>
            </w:tcBorders>
            <w:shd w:val="clear" w:color="auto" w:fill="auto"/>
            <w:noWrap/>
            <w:vAlign w:val="center"/>
            <w:hideMark/>
          </w:tcPr>
          <w:p w14:paraId="659D8CAB"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1256,1</w:t>
            </w:r>
          </w:p>
        </w:tc>
      </w:tr>
      <w:tr w:rsidR="00C03970" w:rsidRPr="00565EC3" w14:paraId="2DF72224" w14:textId="77777777" w:rsidTr="00755332">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3F4F8094" w14:textId="77777777" w:rsidR="00C03970" w:rsidRPr="00565EC3" w:rsidRDefault="00C03970" w:rsidP="00C4264B">
            <w:pPr>
              <w:rPr>
                <w:rFonts w:ascii="Arial" w:hAnsi="Arial" w:cs="Arial"/>
                <w:b/>
                <w:bCs/>
                <w:sz w:val="20"/>
                <w:szCs w:val="20"/>
              </w:rPr>
            </w:pPr>
            <w:r w:rsidRPr="00565EC3">
              <w:rPr>
                <w:rFonts w:ascii="Arial" w:hAnsi="Arial" w:cs="Arial"/>
                <w:b/>
                <w:bCs/>
                <w:sz w:val="20"/>
                <w:szCs w:val="20"/>
              </w:rPr>
              <w:t>Galvenie autoceļi (milj. EUR), tai skaitā</w:t>
            </w:r>
          </w:p>
        </w:tc>
        <w:tc>
          <w:tcPr>
            <w:tcW w:w="1660" w:type="dxa"/>
            <w:tcBorders>
              <w:top w:val="nil"/>
              <w:left w:val="nil"/>
              <w:bottom w:val="single" w:sz="4" w:space="0" w:color="auto"/>
              <w:right w:val="single" w:sz="4" w:space="0" w:color="auto"/>
            </w:tcBorders>
            <w:shd w:val="clear" w:color="auto" w:fill="auto"/>
            <w:noWrap/>
            <w:vAlign w:val="center"/>
            <w:hideMark/>
          </w:tcPr>
          <w:p w14:paraId="680476E5"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184,9</w:t>
            </w:r>
          </w:p>
        </w:tc>
        <w:tc>
          <w:tcPr>
            <w:tcW w:w="820" w:type="dxa"/>
            <w:tcBorders>
              <w:top w:val="nil"/>
              <w:left w:val="nil"/>
              <w:bottom w:val="single" w:sz="4" w:space="0" w:color="auto"/>
              <w:right w:val="single" w:sz="4" w:space="0" w:color="auto"/>
            </w:tcBorders>
            <w:shd w:val="clear" w:color="auto" w:fill="auto"/>
            <w:noWrap/>
            <w:vAlign w:val="center"/>
            <w:hideMark/>
          </w:tcPr>
          <w:p w14:paraId="0E5213D3"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93,7</w:t>
            </w:r>
          </w:p>
        </w:tc>
        <w:tc>
          <w:tcPr>
            <w:tcW w:w="820" w:type="dxa"/>
            <w:tcBorders>
              <w:top w:val="nil"/>
              <w:left w:val="nil"/>
              <w:bottom w:val="single" w:sz="4" w:space="0" w:color="auto"/>
              <w:right w:val="single" w:sz="4" w:space="0" w:color="auto"/>
            </w:tcBorders>
            <w:shd w:val="clear" w:color="auto" w:fill="auto"/>
            <w:noWrap/>
            <w:vAlign w:val="center"/>
            <w:hideMark/>
          </w:tcPr>
          <w:p w14:paraId="7DCF36F4"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55,3</w:t>
            </w:r>
          </w:p>
        </w:tc>
        <w:tc>
          <w:tcPr>
            <w:tcW w:w="820" w:type="dxa"/>
            <w:tcBorders>
              <w:top w:val="nil"/>
              <w:left w:val="nil"/>
              <w:bottom w:val="single" w:sz="4" w:space="0" w:color="auto"/>
              <w:right w:val="single" w:sz="4" w:space="0" w:color="auto"/>
            </w:tcBorders>
            <w:shd w:val="clear" w:color="auto" w:fill="auto"/>
            <w:noWrap/>
            <w:vAlign w:val="center"/>
            <w:hideMark/>
          </w:tcPr>
          <w:p w14:paraId="117C1C6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14:paraId="615AC607"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57,4</w:t>
            </w:r>
          </w:p>
        </w:tc>
        <w:tc>
          <w:tcPr>
            <w:tcW w:w="820" w:type="dxa"/>
            <w:tcBorders>
              <w:top w:val="nil"/>
              <w:left w:val="nil"/>
              <w:bottom w:val="single" w:sz="4" w:space="0" w:color="auto"/>
              <w:right w:val="single" w:sz="4" w:space="0" w:color="auto"/>
            </w:tcBorders>
            <w:shd w:val="clear" w:color="auto" w:fill="auto"/>
            <w:noWrap/>
            <w:vAlign w:val="center"/>
            <w:hideMark/>
          </w:tcPr>
          <w:p w14:paraId="726BEB3B"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60,1</w:t>
            </w:r>
          </w:p>
        </w:tc>
        <w:tc>
          <w:tcPr>
            <w:tcW w:w="820" w:type="dxa"/>
            <w:tcBorders>
              <w:top w:val="nil"/>
              <w:left w:val="nil"/>
              <w:bottom w:val="single" w:sz="4" w:space="0" w:color="auto"/>
              <w:right w:val="single" w:sz="4" w:space="0" w:color="auto"/>
            </w:tcBorders>
            <w:shd w:val="clear" w:color="auto" w:fill="auto"/>
            <w:noWrap/>
            <w:vAlign w:val="center"/>
            <w:hideMark/>
          </w:tcPr>
          <w:p w14:paraId="312C3DD5"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62,0</w:t>
            </w:r>
          </w:p>
        </w:tc>
        <w:tc>
          <w:tcPr>
            <w:tcW w:w="820" w:type="dxa"/>
            <w:tcBorders>
              <w:top w:val="nil"/>
              <w:left w:val="nil"/>
              <w:bottom w:val="single" w:sz="4" w:space="0" w:color="auto"/>
              <w:right w:val="single" w:sz="4" w:space="0" w:color="auto"/>
            </w:tcBorders>
            <w:shd w:val="clear" w:color="auto" w:fill="auto"/>
            <w:noWrap/>
            <w:vAlign w:val="center"/>
            <w:hideMark/>
          </w:tcPr>
          <w:p w14:paraId="094CD08D"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63,8</w:t>
            </w:r>
          </w:p>
        </w:tc>
        <w:tc>
          <w:tcPr>
            <w:tcW w:w="1660" w:type="dxa"/>
            <w:tcBorders>
              <w:top w:val="nil"/>
              <w:left w:val="nil"/>
              <w:bottom w:val="single" w:sz="4" w:space="0" w:color="auto"/>
              <w:right w:val="single" w:sz="4" w:space="0" w:color="auto"/>
            </w:tcBorders>
            <w:shd w:val="clear" w:color="auto" w:fill="auto"/>
            <w:noWrap/>
            <w:vAlign w:val="center"/>
            <w:hideMark/>
          </w:tcPr>
          <w:p w14:paraId="62E95F3A" w14:textId="77777777" w:rsidR="00C03970" w:rsidRPr="00565EC3" w:rsidRDefault="00C03970" w:rsidP="00C4264B">
            <w:pPr>
              <w:jc w:val="center"/>
              <w:rPr>
                <w:rFonts w:ascii="Arial" w:hAnsi="Arial" w:cs="Arial"/>
                <w:b/>
                <w:bCs/>
                <w:i/>
                <w:iCs/>
                <w:sz w:val="20"/>
                <w:szCs w:val="20"/>
              </w:rPr>
            </w:pPr>
            <w:r w:rsidRPr="00565EC3">
              <w:rPr>
                <w:rFonts w:ascii="Arial" w:hAnsi="Arial" w:cs="Arial"/>
                <w:b/>
                <w:bCs/>
                <w:i/>
                <w:iCs/>
                <w:sz w:val="20"/>
                <w:szCs w:val="20"/>
              </w:rPr>
              <w:t>410,0</w:t>
            </w:r>
          </w:p>
        </w:tc>
      </w:tr>
      <w:tr w:rsidR="00C03970" w:rsidRPr="00565EC3" w14:paraId="1567BA7D"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7CE59265"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Galveno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14:paraId="0E2E2C4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41,5</w:t>
            </w:r>
          </w:p>
        </w:tc>
        <w:tc>
          <w:tcPr>
            <w:tcW w:w="820" w:type="dxa"/>
            <w:tcBorders>
              <w:top w:val="nil"/>
              <w:left w:val="nil"/>
              <w:bottom w:val="single" w:sz="4" w:space="0" w:color="auto"/>
              <w:right w:val="single" w:sz="4" w:space="0" w:color="auto"/>
            </w:tcBorders>
            <w:shd w:val="clear" w:color="auto" w:fill="auto"/>
            <w:noWrap/>
            <w:vAlign w:val="center"/>
            <w:hideMark/>
          </w:tcPr>
          <w:p w14:paraId="1C661FF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14:paraId="14E56E6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14:paraId="40C9EC5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14:paraId="1D7CADE8"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57,4</w:t>
            </w:r>
          </w:p>
        </w:tc>
        <w:tc>
          <w:tcPr>
            <w:tcW w:w="820" w:type="dxa"/>
            <w:tcBorders>
              <w:top w:val="nil"/>
              <w:left w:val="nil"/>
              <w:bottom w:val="single" w:sz="4" w:space="0" w:color="auto"/>
              <w:right w:val="single" w:sz="4" w:space="0" w:color="auto"/>
            </w:tcBorders>
            <w:shd w:val="clear" w:color="auto" w:fill="auto"/>
            <w:noWrap/>
            <w:vAlign w:val="center"/>
            <w:hideMark/>
          </w:tcPr>
          <w:p w14:paraId="53287120"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60,1</w:t>
            </w:r>
          </w:p>
        </w:tc>
        <w:tc>
          <w:tcPr>
            <w:tcW w:w="820" w:type="dxa"/>
            <w:tcBorders>
              <w:top w:val="nil"/>
              <w:left w:val="nil"/>
              <w:bottom w:val="single" w:sz="4" w:space="0" w:color="auto"/>
              <w:right w:val="single" w:sz="4" w:space="0" w:color="auto"/>
            </w:tcBorders>
            <w:shd w:val="clear" w:color="auto" w:fill="auto"/>
            <w:noWrap/>
            <w:vAlign w:val="center"/>
            <w:hideMark/>
          </w:tcPr>
          <w:p w14:paraId="5188BC4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62,0</w:t>
            </w:r>
          </w:p>
        </w:tc>
        <w:tc>
          <w:tcPr>
            <w:tcW w:w="820" w:type="dxa"/>
            <w:tcBorders>
              <w:top w:val="nil"/>
              <w:left w:val="nil"/>
              <w:bottom w:val="single" w:sz="4" w:space="0" w:color="auto"/>
              <w:right w:val="single" w:sz="4" w:space="0" w:color="auto"/>
            </w:tcBorders>
            <w:shd w:val="clear" w:color="auto" w:fill="auto"/>
            <w:noWrap/>
            <w:vAlign w:val="center"/>
            <w:hideMark/>
          </w:tcPr>
          <w:p w14:paraId="05ABDFF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63,8</w:t>
            </w:r>
          </w:p>
        </w:tc>
        <w:tc>
          <w:tcPr>
            <w:tcW w:w="1660" w:type="dxa"/>
            <w:tcBorders>
              <w:top w:val="nil"/>
              <w:left w:val="nil"/>
              <w:bottom w:val="single" w:sz="4" w:space="0" w:color="auto"/>
              <w:right w:val="single" w:sz="4" w:space="0" w:color="auto"/>
            </w:tcBorders>
            <w:shd w:val="clear" w:color="auto" w:fill="auto"/>
            <w:noWrap/>
            <w:vAlign w:val="center"/>
            <w:hideMark/>
          </w:tcPr>
          <w:p w14:paraId="2DBBB6F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296,4</w:t>
            </w:r>
          </w:p>
        </w:tc>
      </w:tr>
      <w:tr w:rsidR="00C03970" w:rsidRPr="00565EC3" w14:paraId="488B9F09"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76A1830"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14:paraId="4C2ECDE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182</w:t>
            </w:r>
          </w:p>
        </w:tc>
        <w:tc>
          <w:tcPr>
            <w:tcW w:w="820" w:type="dxa"/>
            <w:tcBorders>
              <w:top w:val="nil"/>
              <w:left w:val="nil"/>
              <w:bottom w:val="single" w:sz="4" w:space="0" w:color="auto"/>
              <w:right w:val="single" w:sz="4" w:space="0" w:color="auto"/>
            </w:tcBorders>
            <w:shd w:val="clear" w:color="auto" w:fill="auto"/>
            <w:noWrap/>
            <w:vAlign w:val="center"/>
            <w:hideMark/>
          </w:tcPr>
          <w:p w14:paraId="3A9E7A1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14:paraId="6CBF071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14:paraId="778000C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14:paraId="04AAC33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14:paraId="260FBE45"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14:paraId="450313C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14:paraId="221A109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185</w:t>
            </w:r>
          </w:p>
        </w:tc>
        <w:tc>
          <w:tcPr>
            <w:tcW w:w="1660" w:type="dxa"/>
            <w:tcBorders>
              <w:top w:val="nil"/>
              <w:left w:val="nil"/>
              <w:bottom w:val="single" w:sz="4" w:space="0" w:color="auto"/>
              <w:right w:val="single" w:sz="4" w:space="0" w:color="auto"/>
            </w:tcBorders>
            <w:shd w:val="clear" w:color="auto" w:fill="auto"/>
            <w:noWrap/>
            <w:vAlign w:val="center"/>
            <w:hideMark/>
          </w:tcPr>
          <w:p w14:paraId="5CFBF24F"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928</w:t>
            </w:r>
          </w:p>
        </w:tc>
      </w:tr>
      <w:tr w:rsidR="00C03970" w:rsidRPr="00565EC3" w14:paraId="4D6EA1FD" w14:textId="77777777" w:rsidTr="00C4264B">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2F60EA0C" w14:textId="77777777" w:rsidR="00C03970" w:rsidRPr="00411B7E" w:rsidRDefault="00C03970" w:rsidP="00C4264B">
            <w:pPr>
              <w:jc w:val="right"/>
              <w:rPr>
                <w:rFonts w:ascii="Arial" w:hAnsi="Arial" w:cs="Arial"/>
                <w:bCs/>
                <w:iCs/>
                <w:sz w:val="20"/>
                <w:szCs w:val="20"/>
              </w:rPr>
            </w:pPr>
            <w:r w:rsidRPr="00411B7E">
              <w:rPr>
                <w:rFonts w:ascii="Arial" w:hAnsi="Arial" w:cs="Arial"/>
                <w:bCs/>
                <w:iCs/>
                <w:sz w:val="20"/>
                <w:szCs w:val="20"/>
              </w:rPr>
              <w:t>Galveno autoceļu segu rekonstrukcija</w:t>
            </w:r>
            <w:r w:rsidRPr="00411B7E">
              <w:rPr>
                <w:rFonts w:ascii="Arial" w:hAnsi="Arial" w:cs="Arial"/>
                <w:bCs/>
                <w:iCs/>
                <w:sz w:val="20"/>
                <w:szCs w:val="20"/>
              </w:rPr>
              <w:br/>
              <w:t>ES finansējums (NAP2020), milj. EUR</w:t>
            </w:r>
          </w:p>
        </w:tc>
        <w:tc>
          <w:tcPr>
            <w:tcW w:w="1660" w:type="dxa"/>
            <w:tcBorders>
              <w:top w:val="nil"/>
              <w:left w:val="nil"/>
              <w:bottom w:val="single" w:sz="4" w:space="0" w:color="auto"/>
              <w:right w:val="single" w:sz="4" w:space="0" w:color="auto"/>
            </w:tcBorders>
            <w:shd w:val="clear" w:color="auto" w:fill="auto"/>
            <w:vAlign w:val="center"/>
            <w:hideMark/>
          </w:tcPr>
          <w:p w14:paraId="33FF96A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143,4</w:t>
            </w:r>
          </w:p>
        </w:tc>
        <w:tc>
          <w:tcPr>
            <w:tcW w:w="820" w:type="dxa"/>
            <w:tcBorders>
              <w:top w:val="nil"/>
              <w:left w:val="nil"/>
              <w:bottom w:val="single" w:sz="4" w:space="0" w:color="auto"/>
              <w:right w:val="single" w:sz="4" w:space="0" w:color="auto"/>
            </w:tcBorders>
            <w:shd w:val="clear" w:color="auto" w:fill="auto"/>
            <w:noWrap/>
            <w:vAlign w:val="center"/>
            <w:hideMark/>
          </w:tcPr>
          <w:p w14:paraId="6F43DC75"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76,0</w:t>
            </w:r>
          </w:p>
        </w:tc>
        <w:tc>
          <w:tcPr>
            <w:tcW w:w="820" w:type="dxa"/>
            <w:tcBorders>
              <w:top w:val="nil"/>
              <w:left w:val="nil"/>
              <w:bottom w:val="single" w:sz="4" w:space="0" w:color="auto"/>
              <w:right w:val="single" w:sz="4" w:space="0" w:color="auto"/>
            </w:tcBorders>
            <w:shd w:val="clear" w:color="auto" w:fill="auto"/>
            <w:noWrap/>
            <w:vAlign w:val="center"/>
            <w:hideMark/>
          </w:tcPr>
          <w:p w14:paraId="196D7981"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37,6</w:t>
            </w:r>
          </w:p>
        </w:tc>
        <w:tc>
          <w:tcPr>
            <w:tcW w:w="820" w:type="dxa"/>
            <w:tcBorders>
              <w:top w:val="nil"/>
              <w:left w:val="nil"/>
              <w:bottom w:val="single" w:sz="4" w:space="0" w:color="auto"/>
              <w:right w:val="single" w:sz="4" w:space="0" w:color="auto"/>
            </w:tcBorders>
            <w:shd w:val="clear" w:color="auto" w:fill="auto"/>
            <w:noWrap/>
            <w:vAlign w:val="center"/>
            <w:hideMark/>
          </w:tcPr>
          <w:p w14:paraId="17DB0D3A" w14:textId="77777777" w:rsidR="00C03970" w:rsidRPr="00565EC3" w:rsidRDefault="00C03970" w:rsidP="00C4264B">
            <w:pPr>
              <w:jc w:val="center"/>
              <w:rPr>
                <w:rFonts w:ascii="Arial" w:hAnsi="Arial" w:cs="Arial"/>
                <w:i/>
                <w:iCs/>
                <w:color w:val="FF0000"/>
                <w:sz w:val="20"/>
                <w:szCs w:val="20"/>
              </w:rPr>
            </w:pPr>
            <w:r w:rsidRPr="00565EC3">
              <w:rPr>
                <w:rFonts w:ascii="Arial" w:hAnsi="Arial" w:cs="Arial"/>
                <w:i/>
                <w:iCs/>
                <w:color w:val="FF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99728D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7076201"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147914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19D7DF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01F5CAB8"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113,6</w:t>
            </w:r>
          </w:p>
        </w:tc>
      </w:tr>
      <w:tr w:rsidR="00C03970" w:rsidRPr="00565EC3" w14:paraId="78FBF5AE"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28493E65"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14:paraId="1CEB627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14:paraId="0D2D246F"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14:paraId="17DB687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14:paraId="5742F179"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E3685CD"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CB7D0F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D8056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454BF79"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72426A7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144</w:t>
            </w:r>
          </w:p>
        </w:tc>
      </w:tr>
      <w:tr w:rsidR="00C03970" w:rsidRPr="00565EC3" w14:paraId="70873AE9" w14:textId="77777777" w:rsidTr="00755332">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750CFDEF" w14:textId="77777777" w:rsidR="00C03970" w:rsidRPr="00565EC3" w:rsidRDefault="00C03970" w:rsidP="00C4264B">
            <w:pPr>
              <w:rPr>
                <w:rFonts w:ascii="Arial" w:hAnsi="Arial" w:cs="Arial"/>
                <w:b/>
                <w:bCs/>
                <w:sz w:val="20"/>
                <w:szCs w:val="20"/>
              </w:rPr>
            </w:pPr>
            <w:r w:rsidRPr="00565EC3">
              <w:rPr>
                <w:rFonts w:ascii="Arial" w:hAnsi="Arial" w:cs="Arial"/>
                <w:b/>
                <w:bCs/>
                <w:sz w:val="20"/>
                <w:szCs w:val="20"/>
              </w:rPr>
              <w:t>Reģionālie autoceļi (milj. EUR), tai skaitā</w:t>
            </w:r>
          </w:p>
        </w:tc>
        <w:tc>
          <w:tcPr>
            <w:tcW w:w="1660" w:type="dxa"/>
            <w:tcBorders>
              <w:top w:val="nil"/>
              <w:left w:val="nil"/>
              <w:bottom w:val="single" w:sz="4" w:space="0" w:color="auto"/>
              <w:right w:val="single" w:sz="4" w:space="0" w:color="auto"/>
            </w:tcBorders>
            <w:shd w:val="clear" w:color="auto" w:fill="auto"/>
            <w:noWrap/>
            <w:vAlign w:val="center"/>
            <w:hideMark/>
          </w:tcPr>
          <w:p w14:paraId="0E769F0E"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135,6</w:t>
            </w:r>
          </w:p>
        </w:tc>
        <w:tc>
          <w:tcPr>
            <w:tcW w:w="820" w:type="dxa"/>
            <w:tcBorders>
              <w:top w:val="nil"/>
              <w:left w:val="nil"/>
              <w:bottom w:val="single" w:sz="4" w:space="0" w:color="auto"/>
              <w:right w:val="single" w:sz="4" w:space="0" w:color="auto"/>
            </w:tcBorders>
            <w:shd w:val="clear" w:color="auto" w:fill="auto"/>
            <w:noWrap/>
            <w:vAlign w:val="center"/>
            <w:hideMark/>
          </w:tcPr>
          <w:p w14:paraId="77C09ED8"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87,7</w:t>
            </w:r>
          </w:p>
        </w:tc>
        <w:tc>
          <w:tcPr>
            <w:tcW w:w="820" w:type="dxa"/>
            <w:tcBorders>
              <w:top w:val="nil"/>
              <w:left w:val="nil"/>
              <w:bottom w:val="single" w:sz="4" w:space="0" w:color="auto"/>
              <w:right w:val="single" w:sz="4" w:space="0" w:color="auto"/>
            </w:tcBorders>
            <w:shd w:val="clear" w:color="auto" w:fill="auto"/>
            <w:noWrap/>
            <w:vAlign w:val="center"/>
            <w:hideMark/>
          </w:tcPr>
          <w:p w14:paraId="339ABE9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96,6</w:t>
            </w:r>
          </w:p>
        </w:tc>
        <w:tc>
          <w:tcPr>
            <w:tcW w:w="820" w:type="dxa"/>
            <w:tcBorders>
              <w:top w:val="nil"/>
              <w:left w:val="nil"/>
              <w:bottom w:val="single" w:sz="4" w:space="0" w:color="auto"/>
              <w:right w:val="single" w:sz="4" w:space="0" w:color="auto"/>
            </w:tcBorders>
            <w:shd w:val="clear" w:color="auto" w:fill="auto"/>
            <w:noWrap/>
            <w:vAlign w:val="center"/>
            <w:hideMark/>
          </w:tcPr>
          <w:p w14:paraId="528EF6C8"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97,3</w:t>
            </w:r>
          </w:p>
        </w:tc>
        <w:tc>
          <w:tcPr>
            <w:tcW w:w="820" w:type="dxa"/>
            <w:tcBorders>
              <w:top w:val="nil"/>
              <w:left w:val="nil"/>
              <w:bottom w:val="single" w:sz="4" w:space="0" w:color="auto"/>
              <w:right w:val="single" w:sz="4" w:space="0" w:color="auto"/>
            </w:tcBorders>
            <w:shd w:val="clear" w:color="auto" w:fill="auto"/>
            <w:noWrap/>
            <w:vAlign w:val="center"/>
            <w:hideMark/>
          </w:tcPr>
          <w:p w14:paraId="519E3285"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118,8</w:t>
            </w:r>
          </w:p>
        </w:tc>
        <w:tc>
          <w:tcPr>
            <w:tcW w:w="820" w:type="dxa"/>
            <w:tcBorders>
              <w:top w:val="nil"/>
              <w:left w:val="nil"/>
              <w:bottom w:val="single" w:sz="4" w:space="0" w:color="auto"/>
              <w:right w:val="single" w:sz="4" w:space="0" w:color="auto"/>
            </w:tcBorders>
            <w:shd w:val="clear" w:color="auto" w:fill="auto"/>
            <w:noWrap/>
            <w:vAlign w:val="center"/>
            <w:hideMark/>
          </w:tcPr>
          <w:p w14:paraId="3D04E651"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123,4</w:t>
            </w:r>
          </w:p>
        </w:tc>
        <w:tc>
          <w:tcPr>
            <w:tcW w:w="820" w:type="dxa"/>
            <w:tcBorders>
              <w:top w:val="nil"/>
              <w:left w:val="nil"/>
              <w:bottom w:val="single" w:sz="4" w:space="0" w:color="auto"/>
              <w:right w:val="single" w:sz="4" w:space="0" w:color="auto"/>
            </w:tcBorders>
            <w:shd w:val="clear" w:color="auto" w:fill="auto"/>
            <w:noWrap/>
            <w:vAlign w:val="center"/>
            <w:hideMark/>
          </w:tcPr>
          <w:p w14:paraId="00048EA4"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126,7</w:t>
            </w:r>
          </w:p>
        </w:tc>
        <w:tc>
          <w:tcPr>
            <w:tcW w:w="820" w:type="dxa"/>
            <w:tcBorders>
              <w:top w:val="nil"/>
              <w:left w:val="nil"/>
              <w:bottom w:val="single" w:sz="4" w:space="0" w:color="auto"/>
              <w:right w:val="single" w:sz="4" w:space="0" w:color="auto"/>
            </w:tcBorders>
            <w:shd w:val="clear" w:color="auto" w:fill="auto"/>
            <w:noWrap/>
            <w:vAlign w:val="center"/>
            <w:hideMark/>
          </w:tcPr>
          <w:p w14:paraId="49E0DB8E"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133,4</w:t>
            </w:r>
          </w:p>
        </w:tc>
        <w:tc>
          <w:tcPr>
            <w:tcW w:w="1660" w:type="dxa"/>
            <w:tcBorders>
              <w:top w:val="nil"/>
              <w:left w:val="nil"/>
              <w:bottom w:val="single" w:sz="4" w:space="0" w:color="auto"/>
              <w:right w:val="single" w:sz="4" w:space="0" w:color="auto"/>
            </w:tcBorders>
            <w:shd w:val="clear" w:color="auto" w:fill="auto"/>
            <w:noWrap/>
            <w:vAlign w:val="center"/>
            <w:hideMark/>
          </w:tcPr>
          <w:p w14:paraId="5253B658" w14:textId="77777777" w:rsidR="00C03970" w:rsidRPr="00565EC3" w:rsidRDefault="00C03970" w:rsidP="00C4264B">
            <w:pPr>
              <w:jc w:val="center"/>
              <w:rPr>
                <w:rFonts w:ascii="Arial" w:hAnsi="Arial" w:cs="Arial"/>
                <w:b/>
                <w:bCs/>
                <w:i/>
                <w:iCs/>
                <w:sz w:val="20"/>
                <w:szCs w:val="20"/>
              </w:rPr>
            </w:pPr>
            <w:r w:rsidRPr="00565EC3">
              <w:rPr>
                <w:rFonts w:ascii="Arial" w:hAnsi="Arial" w:cs="Arial"/>
                <w:b/>
                <w:bCs/>
                <w:i/>
                <w:iCs/>
                <w:sz w:val="20"/>
                <w:szCs w:val="20"/>
              </w:rPr>
              <w:t>783,9</w:t>
            </w:r>
          </w:p>
        </w:tc>
      </w:tr>
      <w:tr w:rsidR="00C03970" w:rsidRPr="00565EC3" w14:paraId="200D4DCE" w14:textId="77777777" w:rsidTr="00C4264B">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0EEC00E5"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Reģionālo autoceļu sakārtošana VB, tai skaitā segumu atjaunošana NAP2020 (milj. EUR)</w:t>
            </w:r>
          </w:p>
        </w:tc>
        <w:tc>
          <w:tcPr>
            <w:tcW w:w="1660" w:type="dxa"/>
            <w:tcBorders>
              <w:top w:val="nil"/>
              <w:left w:val="nil"/>
              <w:bottom w:val="single" w:sz="4" w:space="0" w:color="auto"/>
              <w:right w:val="single" w:sz="4" w:space="0" w:color="auto"/>
            </w:tcBorders>
            <w:shd w:val="clear" w:color="auto" w:fill="auto"/>
            <w:vAlign w:val="center"/>
            <w:hideMark/>
          </w:tcPr>
          <w:p w14:paraId="0EEB1B99"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56,3</w:t>
            </w:r>
          </w:p>
        </w:tc>
        <w:tc>
          <w:tcPr>
            <w:tcW w:w="820" w:type="dxa"/>
            <w:tcBorders>
              <w:top w:val="nil"/>
              <w:left w:val="nil"/>
              <w:bottom w:val="single" w:sz="4" w:space="0" w:color="auto"/>
              <w:right w:val="single" w:sz="4" w:space="0" w:color="auto"/>
            </w:tcBorders>
            <w:shd w:val="clear" w:color="auto" w:fill="auto"/>
            <w:noWrap/>
            <w:vAlign w:val="center"/>
            <w:hideMark/>
          </w:tcPr>
          <w:p w14:paraId="6C8E7E38"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27,7</w:t>
            </w:r>
          </w:p>
        </w:tc>
        <w:tc>
          <w:tcPr>
            <w:tcW w:w="820" w:type="dxa"/>
            <w:tcBorders>
              <w:top w:val="nil"/>
              <w:left w:val="nil"/>
              <w:bottom w:val="single" w:sz="4" w:space="0" w:color="auto"/>
              <w:right w:val="single" w:sz="4" w:space="0" w:color="auto"/>
            </w:tcBorders>
            <w:shd w:val="clear" w:color="auto" w:fill="auto"/>
            <w:noWrap/>
            <w:vAlign w:val="center"/>
            <w:hideMark/>
          </w:tcPr>
          <w:p w14:paraId="318D08AE"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27,6</w:t>
            </w:r>
          </w:p>
        </w:tc>
        <w:tc>
          <w:tcPr>
            <w:tcW w:w="820" w:type="dxa"/>
            <w:tcBorders>
              <w:top w:val="nil"/>
              <w:left w:val="nil"/>
              <w:bottom w:val="single" w:sz="4" w:space="0" w:color="auto"/>
              <w:right w:val="single" w:sz="4" w:space="0" w:color="auto"/>
            </w:tcBorders>
            <w:shd w:val="clear" w:color="auto" w:fill="auto"/>
            <w:noWrap/>
            <w:vAlign w:val="center"/>
            <w:hideMark/>
          </w:tcPr>
          <w:p w14:paraId="0A92C911"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28,6</w:t>
            </w:r>
          </w:p>
        </w:tc>
        <w:tc>
          <w:tcPr>
            <w:tcW w:w="820" w:type="dxa"/>
            <w:tcBorders>
              <w:top w:val="nil"/>
              <w:left w:val="nil"/>
              <w:bottom w:val="single" w:sz="4" w:space="0" w:color="auto"/>
              <w:right w:val="single" w:sz="4" w:space="0" w:color="auto"/>
            </w:tcBorders>
            <w:shd w:val="clear" w:color="auto" w:fill="auto"/>
            <w:noWrap/>
            <w:vAlign w:val="center"/>
            <w:hideMark/>
          </w:tcPr>
          <w:p w14:paraId="3C383A1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118,8</w:t>
            </w:r>
          </w:p>
        </w:tc>
        <w:tc>
          <w:tcPr>
            <w:tcW w:w="820" w:type="dxa"/>
            <w:tcBorders>
              <w:top w:val="nil"/>
              <w:left w:val="nil"/>
              <w:bottom w:val="single" w:sz="4" w:space="0" w:color="auto"/>
              <w:right w:val="single" w:sz="4" w:space="0" w:color="auto"/>
            </w:tcBorders>
            <w:shd w:val="clear" w:color="auto" w:fill="auto"/>
            <w:noWrap/>
            <w:vAlign w:val="center"/>
            <w:hideMark/>
          </w:tcPr>
          <w:p w14:paraId="54193E93"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123,4</w:t>
            </w:r>
          </w:p>
        </w:tc>
        <w:tc>
          <w:tcPr>
            <w:tcW w:w="820" w:type="dxa"/>
            <w:tcBorders>
              <w:top w:val="nil"/>
              <w:left w:val="nil"/>
              <w:bottom w:val="single" w:sz="4" w:space="0" w:color="auto"/>
              <w:right w:val="single" w:sz="4" w:space="0" w:color="auto"/>
            </w:tcBorders>
            <w:shd w:val="clear" w:color="auto" w:fill="auto"/>
            <w:noWrap/>
            <w:vAlign w:val="center"/>
            <w:hideMark/>
          </w:tcPr>
          <w:p w14:paraId="67826C69"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126,7</w:t>
            </w:r>
          </w:p>
        </w:tc>
        <w:tc>
          <w:tcPr>
            <w:tcW w:w="820" w:type="dxa"/>
            <w:tcBorders>
              <w:top w:val="nil"/>
              <w:left w:val="nil"/>
              <w:bottom w:val="single" w:sz="4" w:space="0" w:color="auto"/>
              <w:right w:val="single" w:sz="4" w:space="0" w:color="auto"/>
            </w:tcBorders>
            <w:shd w:val="clear" w:color="auto" w:fill="auto"/>
            <w:noWrap/>
            <w:vAlign w:val="center"/>
            <w:hideMark/>
          </w:tcPr>
          <w:p w14:paraId="1185DE4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133,4</w:t>
            </w:r>
          </w:p>
        </w:tc>
        <w:tc>
          <w:tcPr>
            <w:tcW w:w="1660" w:type="dxa"/>
            <w:tcBorders>
              <w:top w:val="nil"/>
              <w:left w:val="nil"/>
              <w:bottom w:val="single" w:sz="4" w:space="0" w:color="auto"/>
              <w:right w:val="single" w:sz="4" w:space="0" w:color="auto"/>
            </w:tcBorders>
            <w:shd w:val="clear" w:color="auto" w:fill="auto"/>
            <w:noWrap/>
            <w:vAlign w:val="center"/>
            <w:hideMark/>
          </w:tcPr>
          <w:p w14:paraId="57ACED02"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586,2</w:t>
            </w:r>
          </w:p>
        </w:tc>
      </w:tr>
      <w:tr w:rsidR="00C03970" w:rsidRPr="00565EC3" w14:paraId="2CC8A0F3"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396E96C7"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14:paraId="629B19F2"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717</w:t>
            </w:r>
          </w:p>
        </w:tc>
        <w:tc>
          <w:tcPr>
            <w:tcW w:w="820" w:type="dxa"/>
            <w:tcBorders>
              <w:top w:val="nil"/>
              <w:left w:val="nil"/>
              <w:bottom w:val="single" w:sz="4" w:space="0" w:color="auto"/>
              <w:right w:val="single" w:sz="4" w:space="0" w:color="auto"/>
            </w:tcBorders>
            <w:shd w:val="clear" w:color="auto" w:fill="auto"/>
            <w:noWrap/>
            <w:vAlign w:val="center"/>
            <w:hideMark/>
          </w:tcPr>
          <w:p w14:paraId="733F47F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148</w:t>
            </w:r>
          </w:p>
        </w:tc>
        <w:tc>
          <w:tcPr>
            <w:tcW w:w="820" w:type="dxa"/>
            <w:tcBorders>
              <w:top w:val="nil"/>
              <w:left w:val="nil"/>
              <w:bottom w:val="single" w:sz="4" w:space="0" w:color="auto"/>
              <w:right w:val="single" w:sz="4" w:space="0" w:color="auto"/>
            </w:tcBorders>
            <w:shd w:val="clear" w:color="auto" w:fill="auto"/>
            <w:noWrap/>
            <w:vAlign w:val="center"/>
            <w:hideMark/>
          </w:tcPr>
          <w:p w14:paraId="5DB8632F"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14:paraId="05C1F28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14:paraId="7C828A9F"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475</w:t>
            </w:r>
          </w:p>
        </w:tc>
        <w:tc>
          <w:tcPr>
            <w:tcW w:w="820" w:type="dxa"/>
            <w:tcBorders>
              <w:top w:val="nil"/>
              <w:left w:val="nil"/>
              <w:bottom w:val="single" w:sz="4" w:space="0" w:color="auto"/>
              <w:right w:val="single" w:sz="4" w:space="0" w:color="auto"/>
            </w:tcBorders>
            <w:shd w:val="clear" w:color="auto" w:fill="auto"/>
            <w:noWrap/>
            <w:vAlign w:val="center"/>
            <w:hideMark/>
          </w:tcPr>
          <w:p w14:paraId="370CE495"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14:paraId="04A9F47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14:paraId="0714F00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480</w:t>
            </w:r>
          </w:p>
        </w:tc>
        <w:tc>
          <w:tcPr>
            <w:tcW w:w="1660" w:type="dxa"/>
            <w:tcBorders>
              <w:top w:val="nil"/>
              <w:left w:val="nil"/>
              <w:bottom w:val="single" w:sz="4" w:space="0" w:color="auto"/>
              <w:right w:val="single" w:sz="4" w:space="0" w:color="auto"/>
            </w:tcBorders>
            <w:shd w:val="clear" w:color="auto" w:fill="auto"/>
            <w:noWrap/>
            <w:vAlign w:val="center"/>
            <w:hideMark/>
          </w:tcPr>
          <w:p w14:paraId="4949BC4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2308</w:t>
            </w:r>
          </w:p>
        </w:tc>
      </w:tr>
      <w:tr w:rsidR="00C03970" w:rsidRPr="00565EC3" w14:paraId="62994F7C"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27D343C0" w14:textId="77777777" w:rsidR="00C03970" w:rsidRPr="00411B7E" w:rsidRDefault="00C03970" w:rsidP="00C4264B">
            <w:pPr>
              <w:jc w:val="right"/>
              <w:rPr>
                <w:rFonts w:ascii="Arial" w:hAnsi="Arial" w:cs="Arial"/>
                <w:bCs/>
                <w:iCs/>
                <w:sz w:val="20"/>
                <w:szCs w:val="20"/>
              </w:rPr>
            </w:pPr>
            <w:r w:rsidRPr="00411B7E">
              <w:rPr>
                <w:rFonts w:ascii="Arial" w:hAnsi="Arial" w:cs="Arial"/>
                <w:bCs/>
                <w:iCs/>
                <w:sz w:val="20"/>
                <w:szCs w:val="20"/>
              </w:rPr>
              <w:t>Reģionālie autoceļi ES finansējums (NAP2020), milj. EUR</w:t>
            </w:r>
          </w:p>
        </w:tc>
        <w:tc>
          <w:tcPr>
            <w:tcW w:w="1660" w:type="dxa"/>
            <w:tcBorders>
              <w:top w:val="nil"/>
              <w:left w:val="nil"/>
              <w:bottom w:val="single" w:sz="4" w:space="0" w:color="auto"/>
              <w:right w:val="single" w:sz="4" w:space="0" w:color="auto"/>
            </w:tcBorders>
            <w:shd w:val="clear" w:color="auto" w:fill="auto"/>
            <w:noWrap/>
            <w:vAlign w:val="center"/>
            <w:hideMark/>
          </w:tcPr>
          <w:p w14:paraId="6EDADC70"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79,3</w:t>
            </w:r>
          </w:p>
        </w:tc>
        <w:tc>
          <w:tcPr>
            <w:tcW w:w="820" w:type="dxa"/>
            <w:tcBorders>
              <w:top w:val="nil"/>
              <w:left w:val="nil"/>
              <w:bottom w:val="single" w:sz="4" w:space="0" w:color="auto"/>
              <w:right w:val="single" w:sz="4" w:space="0" w:color="auto"/>
            </w:tcBorders>
            <w:shd w:val="clear" w:color="auto" w:fill="auto"/>
            <w:noWrap/>
            <w:vAlign w:val="center"/>
            <w:hideMark/>
          </w:tcPr>
          <w:p w14:paraId="5D479DA9"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60,0</w:t>
            </w:r>
          </w:p>
        </w:tc>
        <w:tc>
          <w:tcPr>
            <w:tcW w:w="820" w:type="dxa"/>
            <w:tcBorders>
              <w:top w:val="nil"/>
              <w:left w:val="nil"/>
              <w:bottom w:val="single" w:sz="4" w:space="0" w:color="auto"/>
              <w:right w:val="single" w:sz="4" w:space="0" w:color="auto"/>
            </w:tcBorders>
            <w:shd w:val="clear" w:color="auto" w:fill="auto"/>
            <w:noWrap/>
            <w:vAlign w:val="center"/>
            <w:hideMark/>
          </w:tcPr>
          <w:p w14:paraId="1F7848A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69,0</w:t>
            </w:r>
          </w:p>
        </w:tc>
        <w:tc>
          <w:tcPr>
            <w:tcW w:w="820" w:type="dxa"/>
            <w:tcBorders>
              <w:top w:val="nil"/>
              <w:left w:val="nil"/>
              <w:bottom w:val="single" w:sz="4" w:space="0" w:color="auto"/>
              <w:right w:val="single" w:sz="4" w:space="0" w:color="auto"/>
            </w:tcBorders>
            <w:shd w:val="clear" w:color="auto" w:fill="auto"/>
            <w:noWrap/>
            <w:vAlign w:val="center"/>
            <w:hideMark/>
          </w:tcPr>
          <w:p w14:paraId="64888DA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68,7</w:t>
            </w:r>
          </w:p>
        </w:tc>
        <w:tc>
          <w:tcPr>
            <w:tcW w:w="820" w:type="dxa"/>
            <w:tcBorders>
              <w:top w:val="nil"/>
              <w:left w:val="nil"/>
              <w:bottom w:val="single" w:sz="4" w:space="0" w:color="auto"/>
              <w:right w:val="single" w:sz="4" w:space="0" w:color="auto"/>
            </w:tcBorders>
            <w:shd w:val="clear" w:color="auto" w:fill="auto"/>
            <w:noWrap/>
            <w:vAlign w:val="center"/>
            <w:hideMark/>
          </w:tcPr>
          <w:p w14:paraId="65AF2F1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CAE3CA8"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1359AE75"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72868588" w14:textId="77777777" w:rsidR="00C03970" w:rsidRPr="00565EC3" w:rsidRDefault="00C03970" w:rsidP="00C4264B">
            <w:pPr>
              <w:jc w:val="center"/>
              <w:rPr>
                <w:rFonts w:ascii="Arial" w:hAnsi="Arial" w:cs="Arial"/>
                <w:b/>
                <w:bCs/>
                <w:i/>
                <w:iCs/>
                <w:sz w:val="20"/>
                <w:szCs w:val="20"/>
              </w:rPr>
            </w:pPr>
            <w:r w:rsidRPr="00565EC3">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2DBDBA1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197,7</w:t>
            </w:r>
          </w:p>
        </w:tc>
      </w:tr>
      <w:tr w:rsidR="00C03970" w:rsidRPr="00565EC3" w14:paraId="7193CE49"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2E8B324C"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14:paraId="2D1556D1"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14:paraId="26B05529"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14:paraId="55BFD970"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14:paraId="3C058BD5"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14:paraId="3BD244A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0CA1293E"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1DB7F030"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348631E9" w14:textId="77777777" w:rsidR="00C03970" w:rsidRPr="00565EC3" w:rsidRDefault="00C03970" w:rsidP="00C4264B">
            <w:pPr>
              <w:jc w:val="center"/>
              <w:rPr>
                <w:rFonts w:ascii="Arial" w:hAnsi="Arial" w:cs="Arial"/>
                <w:b/>
                <w:bCs/>
                <w:i/>
                <w:iCs/>
                <w:sz w:val="20"/>
                <w:szCs w:val="20"/>
              </w:rPr>
            </w:pPr>
            <w:r w:rsidRPr="00565EC3">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1B3594A2"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257</w:t>
            </w:r>
          </w:p>
        </w:tc>
      </w:tr>
      <w:tr w:rsidR="00C03970" w:rsidRPr="00565EC3" w14:paraId="7BBA87F6" w14:textId="77777777" w:rsidTr="00755332">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E5DB2A4" w14:textId="77777777" w:rsidR="00C03970" w:rsidRPr="00565EC3" w:rsidRDefault="00C03970" w:rsidP="00C4264B">
            <w:pPr>
              <w:rPr>
                <w:rFonts w:ascii="Arial" w:hAnsi="Arial" w:cs="Arial"/>
                <w:b/>
                <w:bCs/>
                <w:sz w:val="20"/>
                <w:szCs w:val="20"/>
              </w:rPr>
            </w:pPr>
            <w:r w:rsidRPr="00565EC3">
              <w:rPr>
                <w:rFonts w:ascii="Arial" w:hAnsi="Arial" w:cs="Arial"/>
                <w:b/>
                <w:bCs/>
                <w:sz w:val="20"/>
                <w:szCs w:val="20"/>
              </w:rPr>
              <w:t>Vietējie autoceļi (milj. EUR), tai skaitā</w:t>
            </w:r>
          </w:p>
        </w:tc>
        <w:tc>
          <w:tcPr>
            <w:tcW w:w="1660" w:type="dxa"/>
            <w:tcBorders>
              <w:top w:val="nil"/>
              <w:left w:val="nil"/>
              <w:bottom w:val="single" w:sz="4" w:space="0" w:color="auto"/>
              <w:right w:val="single" w:sz="4" w:space="0" w:color="auto"/>
            </w:tcBorders>
            <w:shd w:val="clear" w:color="auto" w:fill="auto"/>
            <w:noWrap/>
            <w:vAlign w:val="center"/>
            <w:hideMark/>
          </w:tcPr>
          <w:p w14:paraId="7B9B1B9C"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14:paraId="087F2E4E"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14:paraId="122018EA"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14:paraId="746893C9"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14:paraId="6AFA6A7F"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23D47A4E"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2964D908"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1CE6C174"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9,2</w:t>
            </w:r>
          </w:p>
        </w:tc>
        <w:tc>
          <w:tcPr>
            <w:tcW w:w="1660" w:type="dxa"/>
            <w:tcBorders>
              <w:top w:val="nil"/>
              <w:left w:val="nil"/>
              <w:bottom w:val="single" w:sz="4" w:space="0" w:color="auto"/>
              <w:right w:val="single" w:sz="4" w:space="0" w:color="auto"/>
            </w:tcBorders>
            <w:shd w:val="clear" w:color="auto" w:fill="auto"/>
            <w:noWrap/>
            <w:vAlign w:val="center"/>
            <w:hideMark/>
          </w:tcPr>
          <w:p w14:paraId="5B9845CC" w14:textId="77777777" w:rsidR="00C03970" w:rsidRPr="00565EC3" w:rsidRDefault="00C03970" w:rsidP="00C4264B">
            <w:pPr>
              <w:jc w:val="center"/>
              <w:rPr>
                <w:rFonts w:ascii="Arial" w:hAnsi="Arial" w:cs="Arial"/>
                <w:b/>
                <w:bCs/>
                <w:i/>
                <w:iCs/>
                <w:sz w:val="20"/>
                <w:szCs w:val="20"/>
              </w:rPr>
            </w:pPr>
            <w:r w:rsidRPr="00565EC3">
              <w:rPr>
                <w:rFonts w:ascii="Arial" w:hAnsi="Arial" w:cs="Arial"/>
                <w:b/>
                <w:bCs/>
                <w:i/>
                <w:iCs/>
                <w:sz w:val="20"/>
                <w:szCs w:val="20"/>
              </w:rPr>
              <w:t>62,2</w:t>
            </w:r>
          </w:p>
        </w:tc>
      </w:tr>
      <w:tr w:rsidR="00C03970" w:rsidRPr="00565EC3" w14:paraId="3AF7B954"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3DFED4F0"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Vietējo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14:paraId="743BDCA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14:paraId="378D720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14:paraId="485C2B38"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14:paraId="12F2D16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14:paraId="0858DA0E"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53B1F8F1"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6DA815AE"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6454B622"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9,2</w:t>
            </w:r>
          </w:p>
        </w:tc>
        <w:tc>
          <w:tcPr>
            <w:tcW w:w="1660" w:type="dxa"/>
            <w:tcBorders>
              <w:top w:val="nil"/>
              <w:left w:val="nil"/>
              <w:bottom w:val="single" w:sz="4" w:space="0" w:color="auto"/>
              <w:right w:val="single" w:sz="4" w:space="0" w:color="auto"/>
            </w:tcBorders>
            <w:shd w:val="clear" w:color="auto" w:fill="auto"/>
            <w:noWrap/>
            <w:vAlign w:val="center"/>
            <w:hideMark/>
          </w:tcPr>
          <w:p w14:paraId="20DC355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62,2</w:t>
            </w:r>
          </w:p>
        </w:tc>
      </w:tr>
      <w:tr w:rsidR="00C03970" w:rsidRPr="00565EC3" w14:paraId="44B3042A"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C8D9A1D"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14:paraId="6F5E3920"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271</w:t>
            </w:r>
          </w:p>
        </w:tc>
        <w:tc>
          <w:tcPr>
            <w:tcW w:w="820" w:type="dxa"/>
            <w:tcBorders>
              <w:top w:val="nil"/>
              <w:left w:val="nil"/>
              <w:bottom w:val="single" w:sz="4" w:space="0" w:color="auto"/>
              <w:right w:val="single" w:sz="4" w:space="0" w:color="auto"/>
            </w:tcBorders>
            <w:shd w:val="clear" w:color="auto" w:fill="auto"/>
            <w:noWrap/>
            <w:vAlign w:val="center"/>
            <w:hideMark/>
          </w:tcPr>
          <w:p w14:paraId="0CC284B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14:paraId="1D6A900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96</w:t>
            </w:r>
          </w:p>
        </w:tc>
        <w:tc>
          <w:tcPr>
            <w:tcW w:w="820" w:type="dxa"/>
            <w:tcBorders>
              <w:top w:val="nil"/>
              <w:left w:val="nil"/>
              <w:bottom w:val="single" w:sz="4" w:space="0" w:color="auto"/>
              <w:right w:val="single" w:sz="4" w:space="0" w:color="auto"/>
            </w:tcBorders>
            <w:shd w:val="clear" w:color="auto" w:fill="auto"/>
            <w:noWrap/>
            <w:vAlign w:val="center"/>
            <w:hideMark/>
          </w:tcPr>
          <w:p w14:paraId="1C24998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14:paraId="4322142D"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14:paraId="0D6CD72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14:paraId="238757C7"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14:paraId="1A3F27E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101</w:t>
            </w:r>
          </w:p>
        </w:tc>
        <w:tc>
          <w:tcPr>
            <w:tcW w:w="1660" w:type="dxa"/>
            <w:tcBorders>
              <w:top w:val="nil"/>
              <w:left w:val="nil"/>
              <w:bottom w:val="single" w:sz="4" w:space="0" w:color="auto"/>
              <w:right w:val="single" w:sz="4" w:space="0" w:color="auto"/>
            </w:tcBorders>
            <w:shd w:val="clear" w:color="auto" w:fill="auto"/>
            <w:noWrap/>
            <w:vAlign w:val="center"/>
            <w:hideMark/>
          </w:tcPr>
          <w:p w14:paraId="03EA0AF5"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642</w:t>
            </w:r>
          </w:p>
        </w:tc>
      </w:tr>
      <w:tr w:rsidR="00C03970" w:rsidRPr="00565EC3" w14:paraId="7541601C" w14:textId="77777777" w:rsidTr="00755332">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22B38AB6" w14:textId="77777777" w:rsidR="00C03970" w:rsidRPr="00565EC3" w:rsidRDefault="00C03970" w:rsidP="00C4264B">
            <w:pPr>
              <w:rPr>
                <w:rFonts w:ascii="Arial" w:hAnsi="Arial" w:cs="Arial"/>
                <w:b/>
                <w:bCs/>
                <w:sz w:val="20"/>
                <w:szCs w:val="20"/>
              </w:rPr>
            </w:pPr>
            <w:r w:rsidRPr="00565EC3">
              <w:rPr>
                <w:rFonts w:ascii="Arial" w:hAnsi="Arial" w:cs="Arial"/>
                <w:b/>
                <w:bCs/>
                <w:sz w:val="20"/>
                <w:szCs w:val="20"/>
              </w:rPr>
              <w:t>Tiltu atjaunošana un pārbūve, milj. EUR</w:t>
            </w:r>
          </w:p>
        </w:tc>
        <w:tc>
          <w:tcPr>
            <w:tcW w:w="1660" w:type="dxa"/>
            <w:tcBorders>
              <w:top w:val="nil"/>
              <w:left w:val="nil"/>
              <w:bottom w:val="single" w:sz="4" w:space="0" w:color="auto"/>
              <w:right w:val="single" w:sz="4" w:space="0" w:color="auto"/>
            </w:tcBorders>
            <w:shd w:val="clear" w:color="auto" w:fill="auto"/>
            <w:noWrap/>
            <w:vAlign w:val="center"/>
            <w:hideMark/>
          </w:tcPr>
          <w:p w14:paraId="5CDD3E95"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11,2</w:t>
            </w:r>
          </w:p>
        </w:tc>
        <w:tc>
          <w:tcPr>
            <w:tcW w:w="820" w:type="dxa"/>
            <w:tcBorders>
              <w:top w:val="nil"/>
              <w:left w:val="nil"/>
              <w:bottom w:val="single" w:sz="4" w:space="0" w:color="auto"/>
              <w:right w:val="single" w:sz="4" w:space="0" w:color="auto"/>
            </w:tcBorders>
            <w:shd w:val="clear" w:color="auto" w:fill="auto"/>
            <w:noWrap/>
            <w:vAlign w:val="center"/>
            <w:hideMark/>
          </w:tcPr>
          <w:p w14:paraId="2EB6CB7F"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6,4</w:t>
            </w:r>
          </w:p>
        </w:tc>
        <w:tc>
          <w:tcPr>
            <w:tcW w:w="820" w:type="dxa"/>
            <w:tcBorders>
              <w:top w:val="nil"/>
              <w:left w:val="nil"/>
              <w:bottom w:val="single" w:sz="4" w:space="0" w:color="auto"/>
              <w:right w:val="single" w:sz="4" w:space="0" w:color="auto"/>
            </w:tcBorders>
            <w:shd w:val="clear" w:color="auto" w:fill="auto"/>
            <w:noWrap/>
            <w:vAlign w:val="center"/>
            <w:hideMark/>
          </w:tcPr>
          <w:p w14:paraId="35A99A29"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auto" w:fill="auto"/>
            <w:noWrap/>
            <w:vAlign w:val="center"/>
            <w:hideMark/>
          </w:tcPr>
          <w:p w14:paraId="468BD443"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auto" w:fill="auto"/>
            <w:noWrap/>
            <w:vAlign w:val="center"/>
            <w:hideMark/>
          </w:tcPr>
          <w:p w14:paraId="7D5ADF1C"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14:paraId="222E2E09"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10,5</w:t>
            </w:r>
          </w:p>
        </w:tc>
        <w:tc>
          <w:tcPr>
            <w:tcW w:w="820" w:type="dxa"/>
            <w:tcBorders>
              <w:top w:val="nil"/>
              <w:left w:val="nil"/>
              <w:bottom w:val="single" w:sz="4" w:space="0" w:color="auto"/>
              <w:right w:val="single" w:sz="4" w:space="0" w:color="auto"/>
            </w:tcBorders>
            <w:shd w:val="clear" w:color="auto" w:fill="auto"/>
            <w:noWrap/>
            <w:vAlign w:val="center"/>
            <w:hideMark/>
          </w:tcPr>
          <w:p w14:paraId="60A8C24B"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12,3</w:t>
            </w:r>
          </w:p>
        </w:tc>
        <w:tc>
          <w:tcPr>
            <w:tcW w:w="820" w:type="dxa"/>
            <w:tcBorders>
              <w:top w:val="nil"/>
              <w:left w:val="nil"/>
              <w:bottom w:val="single" w:sz="4" w:space="0" w:color="auto"/>
              <w:right w:val="single" w:sz="4" w:space="0" w:color="auto"/>
            </w:tcBorders>
            <w:shd w:val="clear" w:color="auto" w:fill="auto"/>
            <w:noWrap/>
            <w:vAlign w:val="center"/>
            <w:hideMark/>
          </w:tcPr>
          <w:p w14:paraId="4532ABD6"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13,0</w:t>
            </w:r>
          </w:p>
        </w:tc>
        <w:tc>
          <w:tcPr>
            <w:tcW w:w="1660" w:type="dxa"/>
            <w:tcBorders>
              <w:top w:val="nil"/>
              <w:left w:val="nil"/>
              <w:bottom w:val="single" w:sz="4" w:space="0" w:color="auto"/>
              <w:right w:val="single" w:sz="4" w:space="0" w:color="auto"/>
            </w:tcBorders>
            <w:shd w:val="clear" w:color="auto" w:fill="auto"/>
            <w:noWrap/>
            <w:vAlign w:val="center"/>
            <w:hideMark/>
          </w:tcPr>
          <w:p w14:paraId="43F6FC7F"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65,9</w:t>
            </w:r>
          </w:p>
        </w:tc>
      </w:tr>
      <w:tr w:rsidR="00C03970" w:rsidRPr="00565EC3" w14:paraId="6297F513" w14:textId="77777777" w:rsidTr="00C4264B">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6811196A"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14:paraId="7308F27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14:paraId="394A9BD8"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14:paraId="7E49746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14:paraId="630453F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14:paraId="3815E09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14:paraId="3A5664CA"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14:paraId="1F6561FE"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14:paraId="0F6D0121"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38</w:t>
            </w:r>
          </w:p>
        </w:tc>
        <w:tc>
          <w:tcPr>
            <w:tcW w:w="1660" w:type="dxa"/>
            <w:tcBorders>
              <w:top w:val="nil"/>
              <w:left w:val="nil"/>
              <w:bottom w:val="single" w:sz="4" w:space="0" w:color="auto"/>
              <w:right w:val="single" w:sz="4" w:space="0" w:color="auto"/>
            </w:tcBorders>
            <w:shd w:val="clear" w:color="auto" w:fill="auto"/>
            <w:noWrap/>
            <w:vAlign w:val="center"/>
            <w:hideMark/>
          </w:tcPr>
          <w:p w14:paraId="63D0F6C6"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182</w:t>
            </w:r>
          </w:p>
        </w:tc>
      </w:tr>
      <w:tr w:rsidR="00C03970" w:rsidRPr="00565EC3" w14:paraId="0C8F01E6" w14:textId="77777777" w:rsidTr="00755332">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7AA1D05C" w14:textId="77777777" w:rsidR="00C03970" w:rsidRPr="00565EC3" w:rsidRDefault="00C03970" w:rsidP="00C4264B">
            <w:pPr>
              <w:rPr>
                <w:rFonts w:ascii="Arial" w:hAnsi="Arial" w:cs="Arial"/>
                <w:b/>
                <w:bCs/>
                <w:sz w:val="20"/>
                <w:szCs w:val="20"/>
              </w:rPr>
            </w:pPr>
            <w:r w:rsidRPr="00565EC3">
              <w:rPr>
                <w:rFonts w:ascii="Arial" w:hAnsi="Arial" w:cs="Arial"/>
                <w:b/>
                <w:bCs/>
                <w:sz w:val="20"/>
                <w:szCs w:val="20"/>
              </w:rPr>
              <w:t>Satiksmes drošības projektu īstenošana, milj. EUR</w:t>
            </w:r>
          </w:p>
        </w:tc>
        <w:tc>
          <w:tcPr>
            <w:tcW w:w="1660" w:type="dxa"/>
            <w:tcBorders>
              <w:top w:val="nil"/>
              <w:left w:val="nil"/>
              <w:bottom w:val="single" w:sz="4" w:space="0" w:color="auto"/>
              <w:right w:val="single" w:sz="4" w:space="0" w:color="auto"/>
            </w:tcBorders>
            <w:shd w:val="clear" w:color="auto" w:fill="auto"/>
            <w:noWrap/>
            <w:vAlign w:val="center"/>
            <w:hideMark/>
          </w:tcPr>
          <w:p w14:paraId="2CC3604B"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14:paraId="5E51F549"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14:paraId="093BDBC6"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4,1</w:t>
            </w:r>
          </w:p>
        </w:tc>
        <w:tc>
          <w:tcPr>
            <w:tcW w:w="820" w:type="dxa"/>
            <w:tcBorders>
              <w:top w:val="nil"/>
              <w:left w:val="nil"/>
              <w:bottom w:val="single" w:sz="4" w:space="0" w:color="auto"/>
              <w:right w:val="single" w:sz="4" w:space="0" w:color="auto"/>
            </w:tcBorders>
            <w:shd w:val="clear" w:color="auto" w:fill="auto"/>
            <w:noWrap/>
            <w:vAlign w:val="center"/>
            <w:hideMark/>
          </w:tcPr>
          <w:p w14:paraId="586ADDC5"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14:paraId="16CABA2B"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auto" w:fill="auto"/>
            <w:noWrap/>
            <w:vAlign w:val="center"/>
            <w:hideMark/>
          </w:tcPr>
          <w:p w14:paraId="7A54B0CD"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auto" w:fill="auto"/>
            <w:noWrap/>
            <w:vAlign w:val="center"/>
            <w:hideMark/>
          </w:tcPr>
          <w:p w14:paraId="1E0F969F"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5,0</w:t>
            </w:r>
          </w:p>
        </w:tc>
        <w:tc>
          <w:tcPr>
            <w:tcW w:w="820" w:type="dxa"/>
            <w:tcBorders>
              <w:top w:val="nil"/>
              <w:left w:val="nil"/>
              <w:bottom w:val="single" w:sz="4" w:space="0" w:color="auto"/>
              <w:right w:val="single" w:sz="4" w:space="0" w:color="auto"/>
            </w:tcBorders>
            <w:shd w:val="clear" w:color="auto" w:fill="auto"/>
            <w:noWrap/>
            <w:vAlign w:val="center"/>
            <w:hideMark/>
          </w:tcPr>
          <w:p w14:paraId="571205D6"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5,0</w:t>
            </w:r>
          </w:p>
        </w:tc>
        <w:tc>
          <w:tcPr>
            <w:tcW w:w="1660" w:type="dxa"/>
            <w:tcBorders>
              <w:top w:val="nil"/>
              <w:left w:val="nil"/>
              <w:bottom w:val="single" w:sz="4" w:space="0" w:color="auto"/>
              <w:right w:val="single" w:sz="4" w:space="0" w:color="auto"/>
            </w:tcBorders>
            <w:shd w:val="clear" w:color="auto" w:fill="auto"/>
            <w:noWrap/>
            <w:vAlign w:val="center"/>
            <w:hideMark/>
          </w:tcPr>
          <w:p w14:paraId="6976C5CC" w14:textId="77777777" w:rsidR="00C03970" w:rsidRPr="00565EC3" w:rsidRDefault="00C03970" w:rsidP="00C4264B">
            <w:pPr>
              <w:jc w:val="center"/>
              <w:rPr>
                <w:rFonts w:ascii="Arial" w:hAnsi="Arial" w:cs="Arial"/>
                <w:b/>
                <w:bCs/>
                <w:sz w:val="20"/>
                <w:szCs w:val="20"/>
              </w:rPr>
            </w:pPr>
            <w:r w:rsidRPr="00565EC3">
              <w:rPr>
                <w:rFonts w:ascii="Arial" w:hAnsi="Arial" w:cs="Arial"/>
                <w:b/>
                <w:bCs/>
                <w:sz w:val="20"/>
                <w:szCs w:val="20"/>
              </w:rPr>
              <w:t>31,1</w:t>
            </w:r>
          </w:p>
        </w:tc>
      </w:tr>
      <w:tr w:rsidR="00C03970" w:rsidRPr="00565EC3" w14:paraId="2131B26A" w14:textId="77777777" w:rsidTr="00C4264B">
        <w:trPr>
          <w:trHeight w:val="255"/>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65487F69" w14:textId="77777777" w:rsidR="00C03970" w:rsidRPr="00565EC3" w:rsidRDefault="00C03970" w:rsidP="00C4264B">
            <w:pPr>
              <w:jc w:val="right"/>
              <w:rPr>
                <w:rFonts w:ascii="Arial" w:hAnsi="Arial" w:cs="Arial"/>
                <w:i/>
                <w:iCs/>
                <w:sz w:val="20"/>
                <w:szCs w:val="20"/>
              </w:rPr>
            </w:pPr>
            <w:r w:rsidRPr="00565EC3">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14:paraId="294CDB7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14:paraId="048BB1BC"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14:paraId="7E2E1C6F"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14:paraId="4A05D5C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14:paraId="5CE7B62B"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14:paraId="40447F44"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14:paraId="1ED31FE8"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14:paraId="247BD6B5"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15</w:t>
            </w:r>
          </w:p>
        </w:tc>
        <w:tc>
          <w:tcPr>
            <w:tcW w:w="1660" w:type="dxa"/>
            <w:tcBorders>
              <w:top w:val="nil"/>
              <w:left w:val="nil"/>
              <w:bottom w:val="single" w:sz="4" w:space="0" w:color="auto"/>
              <w:right w:val="single" w:sz="4" w:space="0" w:color="auto"/>
            </w:tcBorders>
            <w:shd w:val="clear" w:color="auto" w:fill="auto"/>
            <w:noWrap/>
            <w:vAlign w:val="center"/>
            <w:hideMark/>
          </w:tcPr>
          <w:p w14:paraId="3DE8A5E9" w14:textId="77777777" w:rsidR="00C03970" w:rsidRPr="00565EC3" w:rsidRDefault="00C03970" w:rsidP="00C4264B">
            <w:pPr>
              <w:jc w:val="center"/>
              <w:rPr>
                <w:rFonts w:ascii="Arial" w:hAnsi="Arial" w:cs="Arial"/>
                <w:i/>
                <w:iCs/>
                <w:sz w:val="20"/>
                <w:szCs w:val="20"/>
              </w:rPr>
            </w:pPr>
            <w:r w:rsidRPr="00565EC3">
              <w:rPr>
                <w:rFonts w:ascii="Arial" w:hAnsi="Arial" w:cs="Arial"/>
                <w:i/>
                <w:iCs/>
                <w:sz w:val="20"/>
                <w:szCs w:val="20"/>
              </w:rPr>
              <w:t>80</w:t>
            </w:r>
          </w:p>
        </w:tc>
      </w:tr>
    </w:tbl>
    <w:p w14:paraId="0A964D06" w14:textId="77777777" w:rsidR="00C03970" w:rsidRDefault="00C03970" w:rsidP="00AE49B4">
      <w:pPr>
        <w:ind w:right="-6" w:firstLine="567"/>
        <w:jc w:val="both"/>
      </w:pPr>
    </w:p>
    <w:p w14:paraId="4315A1B7" w14:textId="77777777" w:rsidR="00C03970" w:rsidRDefault="00C03970" w:rsidP="00AE49B4">
      <w:pPr>
        <w:ind w:right="-6" w:firstLine="567"/>
        <w:jc w:val="both"/>
        <w:sectPr w:rsidR="00C03970" w:rsidSect="008C64F4">
          <w:pgSz w:w="16838" w:h="11906" w:orient="landscape"/>
          <w:pgMar w:top="1701" w:right="1134" w:bottom="1134" w:left="1418" w:header="737" w:footer="709" w:gutter="0"/>
          <w:cols w:space="708"/>
          <w:titlePg/>
          <w:docGrid w:linePitch="360"/>
        </w:sectPr>
      </w:pPr>
    </w:p>
    <w:p w14:paraId="2FE9CEB6" w14:textId="77777777" w:rsidR="00632ABE" w:rsidRDefault="00632ABE" w:rsidP="00632ABE">
      <w:pPr>
        <w:ind w:right="-6" w:firstLine="567"/>
        <w:jc w:val="both"/>
        <w:rPr>
          <w:color w:val="000000"/>
        </w:rPr>
      </w:pPr>
    </w:p>
    <w:tbl>
      <w:tblPr>
        <w:tblW w:w="9551" w:type="dxa"/>
        <w:jc w:val="center"/>
        <w:tblLook w:val="04A0" w:firstRow="1" w:lastRow="0" w:firstColumn="1" w:lastColumn="0" w:noHBand="0" w:noVBand="1"/>
      </w:tblPr>
      <w:tblGrid>
        <w:gridCol w:w="1820"/>
        <w:gridCol w:w="1134"/>
        <w:gridCol w:w="696"/>
        <w:gridCol w:w="701"/>
        <w:gridCol w:w="709"/>
        <w:gridCol w:w="709"/>
        <w:gridCol w:w="708"/>
        <w:gridCol w:w="709"/>
        <w:gridCol w:w="709"/>
        <w:gridCol w:w="1656"/>
      </w:tblGrid>
      <w:tr w:rsidR="00CF4CC8" w:rsidRPr="00CF4CC8" w14:paraId="303BBB06" w14:textId="77777777" w:rsidTr="00490F83">
        <w:trPr>
          <w:trHeight w:val="315"/>
          <w:jc w:val="center"/>
        </w:trPr>
        <w:tc>
          <w:tcPr>
            <w:tcW w:w="9551" w:type="dxa"/>
            <w:gridSpan w:val="10"/>
            <w:tcBorders>
              <w:top w:val="nil"/>
              <w:left w:val="nil"/>
              <w:bottom w:val="nil"/>
              <w:right w:val="nil"/>
            </w:tcBorders>
            <w:shd w:val="clear" w:color="auto" w:fill="auto"/>
            <w:noWrap/>
            <w:vAlign w:val="bottom"/>
            <w:hideMark/>
          </w:tcPr>
          <w:p w14:paraId="37ABDECE" w14:textId="77777777" w:rsidR="00CF4CC8" w:rsidRPr="00CF4CC8" w:rsidRDefault="00EA0D9C" w:rsidP="00CF4CC8">
            <w:pPr>
              <w:jc w:val="right"/>
              <w:rPr>
                <w:bCs/>
              </w:rPr>
            </w:pPr>
            <w:r>
              <w:rPr>
                <w:bCs/>
              </w:rPr>
              <w:t>9</w:t>
            </w:r>
            <w:r w:rsidR="00CF4CC8" w:rsidRPr="00CF4CC8">
              <w:rPr>
                <w:bCs/>
              </w:rPr>
              <w:t>.tabula</w:t>
            </w:r>
          </w:p>
          <w:p w14:paraId="578F51A3" w14:textId="77777777" w:rsidR="00CF4CC8" w:rsidRPr="00CF4CC8" w:rsidRDefault="00CF4CC8" w:rsidP="00CF4CC8">
            <w:pPr>
              <w:jc w:val="center"/>
              <w:rPr>
                <w:b/>
                <w:bCs/>
              </w:rPr>
            </w:pPr>
            <w:r w:rsidRPr="00CF4CC8">
              <w:rPr>
                <w:b/>
                <w:bCs/>
              </w:rPr>
              <w:t xml:space="preserve">Autoceļu finansējuma 2014. - 2023.gadam kopsavilkums, milj. </w:t>
            </w:r>
            <w:proofErr w:type="spellStart"/>
            <w:r w:rsidRPr="00CF4CC8">
              <w:rPr>
                <w:b/>
                <w:bCs/>
                <w:i/>
              </w:rPr>
              <w:t>euro</w:t>
            </w:r>
            <w:proofErr w:type="spellEnd"/>
          </w:p>
        </w:tc>
      </w:tr>
      <w:tr w:rsidR="00CF4CC8" w:rsidRPr="00CF4CC8" w14:paraId="42DE08EE" w14:textId="77777777" w:rsidTr="00490F83">
        <w:trPr>
          <w:trHeight w:val="971"/>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A2BA" w14:textId="77777777" w:rsidR="00CF4CC8" w:rsidRPr="00411B7E" w:rsidRDefault="00CF4CC8" w:rsidP="00CF4CC8">
            <w:pPr>
              <w:jc w:val="center"/>
              <w:rPr>
                <w:b/>
                <w:bCs/>
                <w:sz w:val="22"/>
                <w:szCs w:val="22"/>
              </w:rPr>
            </w:pPr>
            <w:r w:rsidRPr="00411B7E">
              <w:rPr>
                <w:b/>
                <w:bCs/>
                <w:sz w:val="22"/>
                <w:szCs w:val="22"/>
              </w:rPr>
              <w:t>Izdevumu veids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A9B9B2" w14:textId="77777777" w:rsidR="00CF4CC8" w:rsidRPr="00411B7E" w:rsidRDefault="00CF4CC8" w:rsidP="00CF4CC8">
            <w:pPr>
              <w:jc w:val="center"/>
              <w:rPr>
                <w:b/>
                <w:bCs/>
                <w:sz w:val="22"/>
                <w:szCs w:val="22"/>
              </w:rPr>
            </w:pPr>
            <w:r w:rsidRPr="00411B7E">
              <w:rPr>
                <w:b/>
                <w:bCs/>
                <w:sz w:val="22"/>
                <w:szCs w:val="22"/>
              </w:rPr>
              <w:t>2014.-2016. gads</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2E45D2E2" w14:textId="77777777" w:rsidR="00CF4CC8" w:rsidRPr="00411B7E" w:rsidRDefault="00CF4CC8" w:rsidP="00CF4CC8">
            <w:pPr>
              <w:jc w:val="center"/>
              <w:rPr>
                <w:b/>
                <w:bCs/>
                <w:sz w:val="22"/>
                <w:szCs w:val="22"/>
              </w:rPr>
            </w:pPr>
            <w:r w:rsidRPr="00411B7E">
              <w:rPr>
                <w:b/>
                <w:bCs/>
                <w:sz w:val="22"/>
                <w:szCs w:val="22"/>
              </w:rPr>
              <w:t>2017 *</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47B7ED43" w14:textId="77777777" w:rsidR="00CF4CC8" w:rsidRPr="00411B7E" w:rsidRDefault="00CF4CC8" w:rsidP="00CF4CC8">
            <w:pPr>
              <w:jc w:val="center"/>
              <w:rPr>
                <w:b/>
                <w:bCs/>
                <w:sz w:val="22"/>
                <w:szCs w:val="22"/>
              </w:rPr>
            </w:pPr>
            <w:r w:rsidRPr="00411B7E">
              <w:rPr>
                <w:b/>
                <w:bCs/>
                <w:sz w:val="22"/>
                <w:szCs w:val="22"/>
              </w:rPr>
              <w:t>2018</w:t>
            </w:r>
          </w:p>
          <w:p w14:paraId="7615EFEA" w14:textId="77777777" w:rsidR="00CF4CC8" w:rsidRPr="00411B7E" w:rsidRDefault="00CF4CC8" w:rsidP="00CF4CC8">
            <w:pPr>
              <w:jc w:val="center"/>
              <w:rPr>
                <w:b/>
                <w:bCs/>
                <w:sz w:val="22"/>
                <w:szCs w:val="22"/>
              </w:rPr>
            </w:pPr>
            <w:r w:rsidRPr="00411B7E">
              <w:rPr>
                <w:b/>
                <w:bCs/>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A1D646" w14:textId="77777777" w:rsidR="00CF4CC8" w:rsidRPr="00411B7E" w:rsidRDefault="00CF4CC8" w:rsidP="00CF4CC8">
            <w:pPr>
              <w:jc w:val="center"/>
              <w:rPr>
                <w:b/>
                <w:bCs/>
                <w:sz w:val="22"/>
                <w:szCs w:val="22"/>
              </w:rPr>
            </w:pPr>
            <w:r w:rsidRPr="00411B7E">
              <w:rPr>
                <w:b/>
                <w:bCs/>
                <w:sz w:val="22"/>
                <w:szCs w:val="22"/>
              </w:rPr>
              <w:t>2019</w:t>
            </w:r>
          </w:p>
          <w:p w14:paraId="55A6156B" w14:textId="77777777" w:rsidR="00CF4CC8" w:rsidRPr="00411B7E" w:rsidRDefault="00CF4CC8" w:rsidP="00CF4CC8">
            <w:pPr>
              <w:jc w:val="center"/>
              <w:rPr>
                <w:b/>
                <w:bCs/>
                <w:sz w:val="22"/>
                <w:szCs w:val="22"/>
              </w:rPr>
            </w:pPr>
            <w:r w:rsidRPr="00411B7E">
              <w:rPr>
                <w:b/>
                <w:bCs/>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90897A" w14:textId="77777777" w:rsidR="00CF4CC8" w:rsidRPr="00411B7E" w:rsidRDefault="00CF4CC8" w:rsidP="00CF4CC8">
            <w:pPr>
              <w:jc w:val="center"/>
              <w:rPr>
                <w:b/>
                <w:bCs/>
                <w:sz w:val="22"/>
                <w:szCs w:val="22"/>
              </w:rPr>
            </w:pPr>
            <w:r w:rsidRPr="00411B7E">
              <w:rPr>
                <w:b/>
                <w:bCs/>
                <w:sz w:val="22"/>
                <w:szCs w:val="22"/>
              </w:rPr>
              <w:t>2020</w:t>
            </w:r>
          </w:p>
          <w:p w14:paraId="46F704D5" w14:textId="77777777" w:rsidR="00CF4CC8" w:rsidRPr="00411B7E" w:rsidRDefault="00CF4CC8" w:rsidP="00CF4CC8">
            <w:pPr>
              <w:jc w:val="center"/>
              <w:rPr>
                <w:b/>
                <w:bCs/>
                <w:sz w:val="22"/>
                <w:szCs w:val="22"/>
              </w:rPr>
            </w:pPr>
            <w:r w:rsidRPr="00411B7E">
              <w:rPr>
                <w:b/>
                <w:bCs/>
                <w:sz w:val="22"/>
                <w:szCs w:val="22"/>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812E5B" w14:textId="77777777" w:rsidR="00CF4CC8" w:rsidRPr="00411B7E" w:rsidRDefault="00CF4CC8" w:rsidP="00CF4CC8">
            <w:pPr>
              <w:jc w:val="center"/>
              <w:rPr>
                <w:b/>
                <w:bCs/>
                <w:sz w:val="22"/>
                <w:szCs w:val="22"/>
              </w:rPr>
            </w:pPr>
            <w:r w:rsidRPr="00411B7E">
              <w:rPr>
                <w:b/>
                <w:bCs/>
                <w:sz w:val="22"/>
                <w:szCs w:val="22"/>
              </w:rPr>
              <w:t>2021</w:t>
            </w:r>
          </w:p>
          <w:p w14:paraId="2FDC1DC5" w14:textId="77777777" w:rsidR="00CF4CC8" w:rsidRPr="00411B7E" w:rsidRDefault="00CF4CC8" w:rsidP="00CF4CC8">
            <w:pPr>
              <w:jc w:val="center"/>
              <w:rPr>
                <w:b/>
                <w:bCs/>
                <w:sz w:val="22"/>
                <w:szCs w:val="22"/>
              </w:rPr>
            </w:pPr>
            <w:r w:rsidRPr="00411B7E">
              <w:rPr>
                <w:b/>
                <w:bCs/>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6ED7B3" w14:textId="77777777" w:rsidR="00CF4CC8" w:rsidRPr="00411B7E" w:rsidRDefault="00CF4CC8" w:rsidP="00CF4CC8">
            <w:pPr>
              <w:jc w:val="center"/>
              <w:rPr>
                <w:b/>
                <w:bCs/>
                <w:sz w:val="22"/>
                <w:szCs w:val="22"/>
              </w:rPr>
            </w:pPr>
            <w:r w:rsidRPr="00411B7E">
              <w:rPr>
                <w:b/>
                <w:bCs/>
                <w:sz w:val="22"/>
                <w:szCs w:val="22"/>
              </w:rPr>
              <w:t xml:space="preserve">2022 </w:t>
            </w:r>
          </w:p>
          <w:p w14:paraId="7955AC4A" w14:textId="77777777" w:rsidR="00CF4CC8" w:rsidRPr="00411B7E" w:rsidRDefault="00CF4CC8" w:rsidP="00CF4CC8">
            <w:pPr>
              <w:jc w:val="center"/>
              <w:rPr>
                <w:b/>
                <w:bCs/>
                <w:sz w:val="22"/>
                <w:szCs w:val="22"/>
              </w:rPr>
            </w:pPr>
            <w:r w:rsidRPr="00411B7E">
              <w:rPr>
                <w:b/>
                <w:bCs/>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BF90E9" w14:textId="77777777" w:rsidR="00CF4CC8" w:rsidRPr="00411B7E" w:rsidRDefault="00CF4CC8" w:rsidP="00CF4CC8">
            <w:pPr>
              <w:jc w:val="center"/>
              <w:rPr>
                <w:b/>
                <w:bCs/>
                <w:sz w:val="22"/>
                <w:szCs w:val="22"/>
              </w:rPr>
            </w:pPr>
            <w:r w:rsidRPr="00411B7E">
              <w:rPr>
                <w:b/>
                <w:bCs/>
                <w:sz w:val="22"/>
                <w:szCs w:val="22"/>
              </w:rPr>
              <w:t>2023</w:t>
            </w:r>
          </w:p>
          <w:p w14:paraId="5E272890" w14:textId="77777777" w:rsidR="00CF4CC8" w:rsidRPr="00411B7E" w:rsidRDefault="00CF4CC8" w:rsidP="00CF4CC8">
            <w:pPr>
              <w:jc w:val="center"/>
              <w:rPr>
                <w:b/>
                <w:bCs/>
                <w:sz w:val="22"/>
                <w:szCs w:val="22"/>
              </w:rPr>
            </w:pPr>
            <w:r w:rsidRPr="00411B7E">
              <w:rPr>
                <w:b/>
                <w:bCs/>
                <w:sz w:val="22"/>
                <w:szCs w:val="22"/>
              </w:rPr>
              <w:t xml:space="preserve">***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14:paraId="1F4C0810" w14:textId="77777777" w:rsidR="00CF4CC8" w:rsidRPr="00411B7E" w:rsidRDefault="00CF4CC8" w:rsidP="00CF4CC8">
            <w:pPr>
              <w:jc w:val="center"/>
              <w:rPr>
                <w:b/>
                <w:bCs/>
                <w:sz w:val="22"/>
                <w:szCs w:val="22"/>
              </w:rPr>
            </w:pPr>
            <w:r w:rsidRPr="00411B7E">
              <w:rPr>
                <w:b/>
                <w:bCs/>
                <w:sz w:val="22"/>
                <w:szCs w:val="22"/>
              </w:rPr>
              <w:t>Kopā 2017.-2023. gads</w:t>
            </w:r>
          </w:p>
        </w:tc>
      </w:tr>
      <w:tr w:rsidR="00675D25" w:rsidRPr="00CF4CC8" w14:paraId="68CBCA8B" w14:textId="77777777" w:rsidTr="00490F83">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B09785D" w14:textId="77777777" w:rsidR="00675D25" w:rsidRPr="00CF4CC8" w:rsidRDefault="007B4C4E" w:rsidP="00CF4CC8">
            <w:pPr>
              <w:rPr>
                <w:b/>
                <w:bCs/>
                <w:sz w:val="20"/>
                <w:szCs w:val="20"/>
              </w:rPr>
            </w:pPr>
            <w:r w:rsidRPr="007B4C4E">
              <w:rPr>
                <w:b/>
                <w:bCs/>
                <w:color w:val="000000"/>
                <w:sz w:val="20"/>
                <w:szCs w:val="20"/>
              </w:rPr>
              <w:t xml:space="preserve">23.00.00 “Valsts autoceļu fonds”, milj. </w:t>
            </w:r>
            <w:proofErr w:type="spellStart"/>
            <w:r w:rsidRPr="005C2D0D">
              <w:rPr>
                <w:b/>
                <w:bCs/>
                <w:i/>
                <w:color w:val="000000"/>
                <w:sz w:val="20"/>
                <w:szCs w:val="20"/>
              </w:rPr>
              <w:t>euro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55B62D3" w14:textId="77777777" w:rsidR="00675D25" w:rsidRPr="00CF4CC8" w:rsidRDefault="00675D25" w:rsidP="00CF4CC8">
            <w:pPr>
              <w:jc w:val="center"/>
              <w:rPr>
                <w:b/>
                <w:bCs/>
                <w:sz w:val="20"/>
                <w:szCs w:val="20"/>
              </w:rPr>
            </w:pPr>
            <w:r w:rsidRPr="00CF4CC8">
              <w:rPr>
                <w:b/>
                <w:bCs/>
                <w:color w:val="000000"/>
                <w:sz w:val="20"/>
                <w:szCs w:val="20"/>
              </w:rPr>
              <w:t>539.3</w:t>
            </w:r>
          </w:p>
        </w:tc>
        <w:tc>
          <w:tcPr>
            <w:tcW w:w="696" w:type="dxa"/>
            <w:tcBorders>
              <w:top w:val="nil"/>
              <w:left w:val="nil"/>
              <w:bottom w:val="single" w:sz="4" w:space="0" w:color="auto"/>
              <w:right w:val="single" w:sz="4" w:space="0" w:color="auto"/>
            </w:tcBorders>
            <w:shd w:val="clear" w:color="auto" w:fill="auto"/>
            <w:noWrap/>
            <w:vAlign w:val="center"/>
            <w:hideMark/>
          </w:tcPr>
          <w:p w14:paraId="6DEB06BA" w14:textId="77777777" w:rsidR="00675D25" w:rsidRPr="00490F83" w:rsidRDefault="00675D25" w:rsidP="00675D25">
            <w:pPr>
              <w:jc w:val="center"/>
              <w:rPr>
                <w:bCs/>
                <w:sz w:val="20"/>
                <w:szCs w:val="20"/>
              </w:rPr>
            </w:pPr>
            <w:r w:rsidRPr="00490F83">
              <w:rPr>
                <w:sz w:val="20"/>
                <w:szCs w:val="20"/>
              </w:rPr>
              <w:t>207.9</w:t>
            </w:r>
          </w:p>
        </w:tc>
        <w:tc>
          <w:tcPr>
            <w:tcW w:w="701" w:type="dxa"/>
            <w:tcBorders>
              <w:top w:val="nil"/>
              <w:left w:val="nil"/>
              <w:bottom w:val="single" w:sz="4" w:space="0" w:color="auto"/>
              <w:right w:val="single" w:sz="4" w:space="0" w:color="auto"/>
            </w:tcBorders>
            <w:shd w:val="clear" w:color="auto" w:fill="auto"/>
            <w:noWrap/>
            <w:vAlign w:val="center"/>
            <w:hideMark/>
          </w:tcPr>
          <w:p w14:paraId="6C6DF1BF" w14:textId="77777777" w:rsidR="00675D25" w:rsidRPr="00490F83" w:rsidRDefault="00675D25" w:rsidP="00675D25">
            <w:pPr>
              <w:jc w:val="center"/>
              <w:rPr>
                <w:bCs/>
                <w:sz w:val="20"/>
                <w:szCs w:val="20"/>
              </w:rPr>
            </w:pPr>
            <w:r w:rsidRPr="00490F83">
              <w:rPr>
                <w:sz w:val="20"/>
                <w:szCs w:val="20"/>
              </w:rPr>
              <w:t>233.1</w:t>
            </w:r>
          </w:p>
        </w:tc>
        <w:tc>
          <w:tcPr>
            <w:tcW w:w="709" w:type="dxa"/>
            <w:tcBorders>
              <w:top w:val="nil"/>
              <w:left w:val="nil"/>
              <w:bottom w:val="single" w:sz="4" w:space="0" w:color="auto"/>
              <w:right w:val="single" w:sz="4" w:space="0" w:color="auto"/>
            </w:tcBorders>
            <w:shd w:val="clear" w:color="auto" w:fill="auto"/>
            <w:noWrap/>
            <w:vAlign w:val="center"/>
            <w:hideMark/>
          </w:tcPr>
          <w:p w14:paraId="50E0270B" w14:textId="77777777" w:rsidR="00675D25" w:rsidRPr="00490F83" w:rsidRDefault="00675D25" w:rsidP="00675D25">
            <w:pPr>
              <w:jc w:val="center"/>
              <w:rPr>
                <w:bCs/>
                <w:sz w:val="20"/>
                <w:szCs w:val="20"/>
              </w:rPr>
            </w:pPr>
            <w:r w:rsidRPr="00490F83">
              <w:rPr>
                <w:sz w:val="20"/>
                <w:szCs w:val="20"/>
              </w:rPr>
              <w:t>233.1</w:t>
            </w:r>
          </w:p>
        </w:tc>
        <w:tc>
          <w:tcPr>
            <w:tcW w:w="709" w:type="dxa"/>
            <w:tcBorders>
              <w:top w:val="nil"/>
              <w:left w:val="nil"/>
              <w:bottom w:val="single" w:sz="4" w:space="0" w:color="auto"/>
              <w:right w:val="single" w:sz="4" w:space="0" w:color="auto"/>
            </w:tcBorders>
            <w:shd w:val="clear" w:color="auto" w:fill="auto"/>
            <w:noWrap/>
            <w:vAlign w:val="center"/>
            <w:hideMark/>
          </w:tcPr>
          <w:p w14:paraId="4246B82C" w14:textId="77777777" w:rsidR="00675D25" w:rsidRPr="00490F83" w:rsidRDefault="008C2C9B" w:rsidP="00675D25">
            <w:pPr>
              <w:jc w:val="center"/>
              <w:rPr>
                <w:bCs/>
                <w:sz w:val="20"/>
                <w:szCs w:val="20"/>
              </w:rPr>
            </w:pPr>
            <w:r>
              <w:rPr>
                <w:sz w:val="20"/>
                <w:szCs w:val="20"/>
              </w:rPr>
              <w:t>433.2</w:t>
            </w:r>
          </w:p>
        </w:tc>
        <w:tc>
          <w:tcPr>
            <w:tcW w:w="708" w:type="dxa"/>
            <w:tcBorders>
              <w:top w:val="nil"/>
              <w:left w:val="nil"/>
              <w:bottom w:val="single" w:sz="4" w:space="0" w:color="auto"/>
              <w:right w:val="single" w:sz="4" w:space="0" w:color="auto"/>
            </w:tcBorders>
            <w:shd w:val="clear" w:color="auto" w:fill="auto"/>
            <w:noWrap/>
            <w:vAlign w:val="center"/>
            <w:hideMark/>
          </w:tcPr>
          <w:p w14:paraId="2E144E65" w14:textId="77777777" w:rsidR="00675D25" w:rsidRPr="008C2C9B" w:rsidRDefault="008C2C9B" w:rsidP="00675D25">
            <w:pPr>
              <w:jc w:val="center"/>
              <w:rPr>
                <w:bCs/>
                <w:sz w:val="20"/>
                <w:szCs w:val="20"/>
              </w:rPr>
            </w:pPr>
            <w:r w:rsidRPr="008C2C9B">
              <w:rPr>
                <w:sz w:val="20"/>
                <w:szCs w:val="20"/>
              </w:rPr>
              <w:t>448.9</w:t>
            </w:r>
          </w:p>
        </w:tc>
        <w:tc>
          <w:tcPr>
            <w:tcW w:w="709" w:type="dxa"/>
            <w:tcBorders>
              <w:top w:val="nil"/>
              <w:left w:val="nil"/>
              <w:bottom w:val="single" w:sz="4" w:space="0" w:color="auto"/>
              <w:right w:val="single" w:sz="4" w:space="0" w:color="auto"/>
            </w:tcBorders>
            <w:shd w:val="clear" w:color="auto" w:fill="auto"/>
            <w:noWrap/>
            <w:vAlign w:val="center"/>
            <w:hideMark/>
          </w:tcPr>
          <w:p w14:paraId="5C104D6F" w14:textId="77777777" w:rsidR="00675D25" w:rsidRPr="008C2C9B" w:rsidRDefault="008C2C9B" w:rsidP="00675D25">
            <w:pPr>
              <w:jc w:val="center"/>
              <w:rPr>
                <w:bCs/>
                <w:sz w:val="20"/>
                <w:szCs w:val="20"/>
              </w:rPr>
            </w:pPr>
            <w:r w:rsidRPr="008C2C9B">
              <w:rPr>
                <w:sz w:val="20"/>
                <w:szCs w:val="20"/>
              </w:rPr>
              <w:t>464.7</w:t>
            </w:r>
          </w:p>
        </w:tc>
        <w:tc>
          <w:tcPr>
            <w:tcW w:w="709" w:type="dxa"/>
            <w:tcBorders>
              <w:top w:val="nil"/>
              <w:left w:val="nil"/>
              <w:bottom w:val="single" w:sz="4" w:space="0" w:color="auto"/>
              <w:right w:val="single" w:sz="4" w:space="0" w:color="auto"/>
            </w:tcBorders>
            <w:shd w:val="clear" w:color="auto" w:fill="auto"/>
            <w:noWrap/>
            <w:vAlign w:val="center"/>
            <w:hideMark/>
          </w:tcPr>
          <w:p w14:paraId="787785DE" w14:textId="77777777" w:rsidR="00675D25" w:rsidRPr="008C2C9B" w:rsidRDefault="008C2C9B" w:rsidP="00675D25">
            <w:pPr>
              <w:jc w:val="center"/>
              <w:rPr>
                <w:bCs/>
                <w:sz w:val="20"/>
                <w:szCs w:val="20"/>
              </w:rPr>
            </w:pPr>
            <w:r w:rsidRPr="008C2C9B">
              <w:rPr>
                <w:sz w:val="20"/>
                <w:szCs w:val="20"/>
              </w:rPr>
              <w:t>480.4</w:t>
            </w:r>
          </w:p>
        </w:tc>
        <w:tc>
          <w:tcPr>
            <w:tcW w:w="1656" w:type="dxa"/>
            <w:tcBorders>
              <w:top w:val="nil"/>
              <w:left w:val="nil"/>
              <w:bottom w:val="single" w:sz="4" w:space="0" w:color="auto"/>
              <w:right w:val="single" w:sz="4" w:space="0" w:color="auto"/>
            </w:tcBorders>
            <w:shd w:val="clear" w:color="auto" w:fill="auto"/>
            <w:noWrap/>
            <w:vAlign w:val="center"/>
            <w:hideMark/>
          </w:tcPr>
          <w:p w14:paraId="1C57A118" w14:textId="77777777" w:rsidR="00675D25" w:rsidRPr="00675D25" w:rsidRDefault="008C2C9B" w:rsidP="00490F83">
            <w:pPr>
              <w:jc w:val="center"/>
              <w:rPr>
                <w:b/>
                <w:bCs/>
                <w:sz w:val="20"/>
                <w:szCs w:val="20"/>
              </w:rPr>
            </w:pPr>
            <w:r>
              <w:rPr>
                <w:b/>
                <w:sz w:val="20"/>
                <w:szCs w:val="20"/>
              </w:rPr>
              <w:t>2501.3</w:t>
            </w:r>
          </w:p>
        </w:tc>
      </w:tr>
      <w:tr w:rsidR="00CF4CC8" w:rsidRPr="00CF4CC8" w14:paraId="2C8AA997" w14:textId="77777777" w:rsidTr="00490F83">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6D261281" w14:textId="77777777" w:rsidR="00CF4CC8" w:rsidRPr="00CF4CC8" w:rsidRDefault="00CF4CC8" w:rsidP="00490F83">
            <w:pPr>
              <w:jc w:val="right"/>
              <w:rPr>
                <w:b/>
                <w:bCs/>
                <w:sz w:val="20"/>
                <w:szCs w:val="20"/>
              </w:rPr>
            </w:pPr>
            <w:r w:rsidRPr="00490F83">
              <w:rPr>
                <w:color w:val="000000"/>
                <w:sz w:val="20"/>
                <w:szCs w:val="20"/>
              </w:rPr>
              <w:t xml:space="preserve">      t.sk. Mērķdotācija pašvaldību ceļiem</w:t>
            </w:r>
          </w:p>
        </w:tc>
        <w:tc>
          <w:tcPr>
            <w:tcW w:w="1134" w:type="dxa"/>
            <w:tcBorders>
              <w:top w:val="nil"/>
              <w:left w:val="nil"/>
              <w:bottom w:val="single" w:sz="4" w:space="0" w:color="auto"/>
              <w:right w:val="single" w:sz="4" w:space="0" w:color="auto"/>
            </w:tcBorders>
            <w:shd w:val="clear" w:color="auto" w:fill="auto"/>
            <w:noWrap/>
            <w:vAlign w:val="center"/>
            <w:hideMark/>
          </w:tcPr>
          <w:p w14:paraId="68A0E129" w14:textId="77777777" w:rsidR="00CF4CC8" w:rsidRPr="00490F83" w:rsidRDefault="00CF4CC8" w:rsidP="00CF4CC8">
            <w:pPr>
              <w:jc w:val="center"/>
              <w:rPr>
                <w:bCs/>
                <w:sz w:val="20"/>
                <w:szCs w:val="20"/>
              </w:rPr>
            </w:pPr>
            <w:r w:rsidRPr="00490F83">
              <w:rPr>
                <w:bCs/>
                <w:color w:val="000000"/>
                <w:sz w:val="20"/>
                <w:szCs w:val="20"/>
              </w:rPr>
              <w:t>136.8</w:t>
            </w:r>
          </w:p>
        </w:tc>
        <w:tc>
          <w:tcPr>
            <w:tcW w:w="696" w:type="dxa"/>
            <w:tcBorders>
              <w:top w:val="nil"/>
              <w:left w:val="nil"/>
              <w:bottom w:val="single" w:sz="4" w:space="0" w:color="auto"/>
              <w:right w:val="single" w:sz="4" w:space="0" w:color="auto"/>
            </w:tcBorders>
            <w:shd w:val="clear" w:color="auto" w:fill="auto"/>
            <w:noWrap/>
            <w:vAlign w:val="center"/>
            <w:hideMark/>
          </w:tcPr>
          <w:p w14:paraId="7EEADD4C" w14:textId="77777777" w:rsidR="00CF4CC8" w:rsidRPr="00490F83" w:rsidRDefault="00CF4CC8" w:rsidP="00CF4CC8">
            <w:pPr>
              <w:jc w:val="center"/>
              <w:rPr>
                <w:bCs/>
                <w:sz w:val="20"/>
                <w:szCs w:val="20"/>
              </w:rPr>
            </w:pPr>
            <w:r w:rsidRPr="00490F83">
              <w:rPr>
                <w:bCs/>
                <w:color w:val="000000"/>
                <w:sz w:val="20"/>
                <w:szCs w:val="20"/>
              </w:rPr>
              <w:t>48.7</w:t>
            </w:r>
          </w:p>
        </w:tc>
        <w:tc>
          <w:tcPr>
            <w:tcW w:w="701" w:type="dxa"/>
            <w:tcBorders>
              <w:top w:val="nil"/>
              <w:left w:val="nil"/>
              <w:bottom w:val="single" w:sz="4" w:space="0" w:color="auto"/>
              <w:right w:val="single" w:sz="4" w:space="0" w:color="auto"/>
            </w:tcBorders>
            <w:shd w:val="clear" w:color="auto" w:fill="auto"/>
            <w:noWrap/>
            <w:vAlign w:val="center"/>
            <w:hideMark/>
          </w:tcPr>
          <w:p w14:paraId="1338B309" w14:textId="7D2424BF" w:rsidR="00CF4CC8" w:rsidRPr="00490F83" w:rsidRDefault="00490F83" w:rsidP="00CF4CC8">
            <w:pPr>
              <w:jc w:val="center"/>
              <w:rPr>
                <w:bCs/>
                <w:sz w:val="20"/>
                <w:szCs w:val="20"/>
              </w:rPr>
            </w:pPr>
            <w:r>
              <w:rPr>
                <w:bCs/>
                <w:color w:val="000000"/>
                <w:sz w:val="20"/>
                <w:szCs w:val="20"/>
              </w:rPr>
              <w:t>50.</w:t>
            </w:r>
            <w:r w:rsidR="00196BE7">
              <w:rPr>
                <w:bCs/>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1390EA8" w14:textId="6EA2A7BF" w:rsidR="00CF4CC8" w:rsidRPr="00490F83" w:rsidRDefault="00490F83" w:rsidP="00CF4CC8">
            <w:pPr>
              <w:jc w:val="center"/>
              <w:rPr>
                <w:bCs/>
                <w:sz w:val="20"/>
                <w:szCs w:val="20"/>
              </w:rPr>
            </w:pPr>
            <w:r>
              <w:rPr>
                <w:bCs/>
                <w:color w:val="000000"/>
                <w:sz w:val="20"/>
                <w:szCs w:val="20"/>
              </w:rPr>
              <w:t>50.</w:t>
            </w:r>
            <w:r w:rsidR="00196BE7">
              <w:rPr>
                <w:bCs/>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4F3E0DB" w14:textId="77777777" w:rsidR="00CF4CC8" w:rsidRPr="00490F83" w:rsidRDefault="008C2C9B" w:rsidP="008C2C9B">
            <w:pPr>
              <w:jc w:val="center"/>
              <w:rPr>
                <w:bCs/>
                <w:sz w:val="20"/>
                <w:szCs w:val="20"/>
              </w:rPr>
            </w:pPr>
            <w:r>
              <w:rPr>
                <w:bCs/>
                <w:color w:val="000000"/>
                <w:sz w:val="20"/>
                <w:szCs w:val="20"/>
              </w:rPr>
              <w:t>100.2</w:t>
            </w:r>
          </w:p>
        </w:tc>
        <w:tc>
          <w:tcPr>
            <w:tcW w:w="708" w:type="dxa"/>
            <w:tcBorders>
              <w:top w:val="nil"/>
              <w:left w:val="nil"/>
              <w:bottom w:val="single" w:sz="4" w:space="0" w:color="auto"/>
              <w:right w:val="single" w:sz="4" w:space="0" w:color="auto"/>
            </w:tcBorders>
            <w:shd w:val="clear" w:color="auto" w:fill="auto"/>
            <w:noWrap/>
            <w:vAlign w:val="center"/>
            <w:hideMark/>
          </w:tcPr>
          <w:p w14:paraId="1B05F047" w14:textId="77777777" w:rsidR="00CF4CC8" w:rsidRPr="00490F83" w:rsidRDefault="00CF4CC8" w:rsidP="008C2C9B">
            <w:pPr>
              <w:jc w:val="center"/>
              <w:rPr>
                <w:bCs/>
                <w:sz w:val="20"/>
                <w:szCs w:val="20"/>
              </w:rPr>
            </w:pPr>
            <w:r w:rsidRPr="00490F83">
              <w:rPr>
                <w:bCs/>
                <w:color w:val="000000"/>
                <w:sz w:val="20"/>
                <w:szCs w:val="20"/>
              </w:rPr>
              <w:t>10</w:t>
            </w:r>
            <w:r w:rsidR="008C2C9B">
              <w:rPr>
                <w:bCs/>
                <w:color w:val="000000"/>
                <w:sz w:val="20"/>
                <w:szCs w:val="20"/>
              </w:rPr>
              <w:t>4</w:t>
            </w:r>
            <w:r w:rsidRPr="00490F83">
              <w:rPr>
                <w:bCs/>
                <w:color w:val="000000"/>
                <w:sz w:val="20"/>
                <w:szCs w:val="20"/>
              </w:rPr>
              <w:t>.</w:t>
            </w:r>
            <w:r w:rsidR="008C2C9B">
              <w:rPr>
                <w:bCs/>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DDF940A" w14:textId="77777777" w:rsidR="00CF4CC8" w:rsidRPr="00490F83" w:rsidRDefault="008C2C9B" w:rsidP="00CF4CC8">
            <w:pPr>
              <w:jc w:val="center"/>
              <w:rPr>
                <w:bCs/>
                <w:sz w:val="20"/>
                <w:szCs w:val="20"/>
              </w:rPr>
            </w:pPr>
            <w:r>
              <w:rPr>
                <w:bCs/>
                <w:color w:val="000000"/>
                <w:sz w:val="20"/>
                <w:szCs w:val="20"/>
              </w:rPr>
              <w:t>108.0</w:t>
            </w:r>
          </w:p>
        </w:tc>
        <w:tc>
          <w:tcPr>
            <w:tcW w:w="709" w:type="dxa"/>
            <w:tcBorders>
              <w:top w:val="nil"/>
              <w:left w:val="nil"/>
              <w:bottom w:val="single" w:sz="4" w:space="0" w:color="auto"/>
              <w:right w:val="single" w:sz="4" w:space="0" w:color="auto"/>
            </w:tcBorders>
            <w:shd w:val="clear" w:color="auto" w:fill="auto"/>
            <w:noWrap/>
            <w:vAlign w:val="center"/>
            <w:hideMark/>
          </w:tcPr>
          <w:p w14:paraId="153F1FAF" w14:textId="77777777" w:rsidR="00CF4CC8" w:rsidRPr="00490F83" w:rsidRDefault="008C2C9B" w:rsidP="00CF4CC8">
            <w:pPr>
              <w:jc w:val="center"/>
              <w:rPr>
                <w:bCs/>
                <w:sz w:val="20"/>
                <w:szCs w:val="20"/>
              </w:rPr>
            </w:pPr>
            <w:r>
              <w:rPr>
                <w:bCs/>
                <w:color w:val="000000"/>
                <w:sz w:val="20"/>
                <w:szCs w:val="20"/>
              </w:rPr>
              <w:t>112.0</w:t>
            </w:r>
          </w:p>
        </w:tc>
        <w:tc>
          <w:tcPr>
            <w:tcW w:w="1656" w:type="dxa"/>
            <w:tcBorders>
              <w:top w:val="nil"/>
              <w:left w:val="nil"/>
              <w:bottom w:val="single" w:sz="4" w:space="0" w:color="auto"/>
              <w:right w:val="single" w:sz="4" w:space="0" w:color="auto"/>
            </w:tcBorders>
            <w:shd w:val="clear" w:color="auto" w:fill="auto"/>
            <w:noWrap/>
            <w:vAlign w:val="center"/>
            <w:hideMark/>
          </w:tcPr>
          <w:p w14:paraId="31AF48DA" w14:textId="28991411" w:rsidR="00CF4CC8" w:rsidRPr="00490F83" w:rsidRDefault="00E654DF" w:rsidP="00490F83">
            <w:pPr>
              <w:jc w:val="center"/>
              <w:rPr>
                <w:b/>
                <w:bCs/>
                <w:i/>
                <w:iCs/>
                <w:sz w:val="20"/>
                <w:szCs w:val="20"/>
              </w:rPr>
            </w:pPr>
            <w:r>
              <w:rPr>
                <w:b/>
                <w:bCs/>
                <w:color w:val="000000"/>
                <w:sz w:val="20"/>
                <w:szCs w:val="20"/>
              </w:rPr>
              <w:t>573.</w:t>
            </w:r>
            <w:r w:rsidR="00196BE7">
              <w:rPr>
                <w:b/>
                <w:bCs/>
                <w:color w:val="000000"/>
                <w:sz w:val="20"/>
                <w:szCs w:val="20"/>
              </w:rPr>
              <w:t>2</w:t>
            </w:r>
          </w:p>
        </w:tc>
      </w:tr>
      <w:tr w:rsidR="00CF4CC8" w:rsidRPr="00CF4CC8" w14:paraId="41139436" w14:textId="77777777" w:rsidTr="00490F83">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E98C9E4" w14:textId="1E7EA11A" w:rsidR="00CF4CC8" w:rsidRPr="00551552" w:rsidRDefault="00CF4CC8" w:rsidP="00490F83">
            <w:pPr>
              <w:jc w:val="right"/>
              <w:rPr>
                <w:i/>
                <w:iCs/>
                <w:sz w:val="20"/>
                <w:szCs w:val="20"/>
              </w:rPr>
            </w:pPr>
            <w:r w:rsidRPr="008C2C9B">
              <w:rPr>
                <w:color w:val="000000"/>
                <w:sz w:val="20"/>
                <w:szCs w:val="20"/>
              </w:rPr>
              <w:t xml:space="preserve">      t.sk. Valsts autoceļu finansējums</w:t>
            </w:r>
            <w:r w:rsidR="005C2D0D">
              <w:rPr>
                <w:color w:val="000000"/>
                <w:sz w:val="20"/>
                <w:szCs w:val="20"/>
              </w:rPr>
              <w:t>, ieskaitot pārvaldīšanu</w:t>
            </w:r>
            <w:r w:rsidRPr="008C2C9B">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68606F9" w14:textId="77777777" w:rsidR="00CF4CC8" w:rsidRPr="00CF4CC8" w:rsidRDefault="00CF4CC8" w:rsidP="00CF4CC8">
            <w:pPr>
              <w:jc w:val="center"/>
              <w:rPr>
                <w:i/>
                <w:iCs/>
                <w:sz w:val="20"/>
                <w:szCs w:val="20"/>
              </w:rPr>
            </w:pPr>
            <w:r w:rsidRPr="00CF4CC8">
              <w:rPr>
                <w:color w:val="000000"/>
                <w:sz w:val="20"/>
                <w:szCs w:val="20"/>
              </w:rPr>
              <w:t>402.5</w:t>
            </w:r>
          </w:p>
        </w:tc>
        <w:tc>
          <w:tcPr>
            <w:tcW w:w="696" w:type="dxa"/>
            <w:tcBorders>
              <w:top w:val="nil"/>
              <w:left w:val="nil"/>
              <w:bottom w:val="single" w:sz="4" w:space="0" w:color="auto"/>
              <w:right w:val="single" w:sz="4" w:space="0" w:color="auto"/>
            </w:tcBorders>
            <w:shd w:val="clear" w:color="auto" w:fill="auto"/>
            <w:noWrap/>
            <w:vAlign w:val="center"/>
            <w:hideMark/>
          </w:tcPr>
          <w:p w14:paraId="7EC63B72" w14:textId="77777777" w:rsidR="00CF4CC8" w:rsidRPr="00CF4CC8" w:rsidRDefault="00CF4CC8" w:rsidP="00CF4CC8">
            <w:pPr>
              <w:jc w:val="center"/>
              <w:rPr>
                <w:i/>
                <w:iCs/>
                <w:sz w:val="20"/>
                <w:szCs w:val="20"/>
              </w:rPr>
            </w:pPr>
            <w:r w:rsidRPr="00CF4CC8">
              <w:rPr>
                <w:color w:val="000000"/>
                <w:sz w:val="20"/>
                <w:szCs w:val="20"/>
              </w:rPr>
              <w:t>159.2</w:t>
            </w:r>
          </w:p>
        </w:tc>
        <w:tc>
          <w:tcPr>
            <w:tcW w:w="701" w:type="dxa"/>
            <w:tcBorders>
              <w:top w:val="nil"/>
              <w:left w:val="nil"/>
              <w:bottom w:val="single" w:sz="4" w:space="0" w:color="auto"/>
              <w:right w:val="single" w:sz="4" w:space="0" w:color="auto"/>
            </w:tcBorders>
            <w:shd w:val="clear" w:color="auto" w:fill="auto"/>
            <w:noWrap/>
            <w:vAlign w:val="center"/>
            <w:hideMark/>
          </w:tcPr>
          <w:p w14:paraId="15E37F13" w14:textId="710A4E08" w:rsidR="00CF4CC8" w:rsidRPr="00CF4CC8" w:rsidRDefault="00CF4CC8" w:rsidP="00490F83">
            <w:pPr>
              <w:jc w:val="center"/>
              <w:rPr>
                <w:i/>
                <w:iCs/>
                <w:sz w:val="20"/>
                <w:szCs w:val="20"/>
              </w:rPr>
            </w:pPr>
            <w:r w:rsidRPr="00CF4CC8">
              <w:rPr>
                <w:color w:val="000000"/>
                <w:sz w:val="20"/>
                <w:szCs w:val="20"/>
              </w:rPr>
              <w:t>1</w:t>
            </w:r>
            <w:r w:rsidR="00490F83">
              <w:rPr>
                <w:color w:val="000000"/>
                <w:sz w:val="20"/>
                <w:szCs w:val="20"/>
              </w:rPr>
              <w:t>8</w:t>
            </w:r>
            <w:r w:rsidR="00196BE7">
              <w:rPr>
                <w:color w:val="000000"/>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14:paraId="538EBCB7" w14:textId="2A1B5BA4" w:rsidR="00CF4CC8" w:rsidRPr="00CF4CC8" w:rsidRDefault="00CF4CC8" w:rsidP="00490F83">
            <w:pPr>
              <w:jc w:val="center"/>
              <w:rPr>
                <w:i/>
                <w:iCs/>
                <w:sz w:val="20"/>
                <w:szCs w:val="20"/>
              </w:rPr>
            </w:pPr>
            <w:r w:rsidRPr="00CF4CC8">
              <w:rPr>
                <w:color w:val="000000"/>
                <w:sz w:val="20"/>
                <w:szCs w:val="20"/>
              </w:rPr>
              <w:t>1</w:t>
            </w:r>
            <w:r w:rsidR="00490F83">
              <w:rPr>
                <w:color w:val="000000"/>
                <w:sz w:val="20"/>
                <w:szCs w:val="20"/>
              </w:rPr>
              <w:t>8</w:t>
            </w:r>
            <w:r w:rsidR="00196BE7">
              <w:rPr>
                <w:color w:val="000000"/>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14:paraId="25EA96E4" w14:textId="77777777" w:rsidR="00CF4CC8" w:rsidRPr="00CF4CC8" w:rsidRDefault="008C2C9B" w:rsidP="00CF4CC8">
            <w:pPr>
              <w:jc w:val="center"/>
              <w:rPr>
                <w:i/>
                <w:iCs/>
                <w:sz w:val="20"/>
                <w:szCs w:val="20"/>
              </w:rPr>
            </w:pPr>
            <w:r>
              <w:rPr>
                <w:color w:val="000000"/>
                <w:sz w:val="20"/>
                <w:szCs w:val="20"/>
              </w:rPr>
              <w:t>333.0</w:t>
            </w:r>
          </w:p>
        </w:tc>
        <w:tc>
          <w:tcPr>
            <w:tcW w:w="708" w:type="dxa"/>
            <w:tcBorders>
              <w:top w:val="nil"/>
              <w:left w:val="nil"/>
              <w:bottom w:val="single" w:sz="4" w:space="0" w:color="auto"/>
              <w:right w:val="single" w:sz="4" w:space="0" w:color="auto"/>
            </w:tcBorders>
            <w:shd w:val="clear" w:color="auto" w:fill="auto"/>
            <w:noWrap/>
            <w:vAlign w:val="center"/>
            <w:hideMark/>
          </w:tcPr>
          <w:p w14:paraId="33AB7D93" w14:textId="77777777" w:rsidR="00CF4CC8" w:rsidRPr="00CF4CC8" w:rsidRDefault="008C2C9B" w:rsidP="00CF4CC8">
            <w:pPr>
              <w:jc w:val="center"/>
              <w:rPr>
                <w:i/>
                <w:iCs/>
                <w:sz w:val="20"/>
                <w:szCs w:val="20"/>
              </w:rPr>
            </w:pPr>
            <w:r>
              <w:rPr>
                <w:color w:val="000000"/>
                <w:sz w:val="20"/>
                <w:szCs w:val="20"/>
              </w:rPr>
              <w:t>344.8</w:t>
            </w:r>
          </w:p>
        </w:tc>
        <w:tc>
          <w:tcPr>
            <w:tcW w:w="709" w:type="dxa"/>
            <w:tcBorders>
              <w:top w:val="nil"/>
              <w:left w:val="nil"/>
              <w:bottom w:val="single" w:sz="4" w:space="0" w:color="auto"/>
              <w:right w:val="single" w:sz="4" w:space="0" w:color="auto"/>
            </w:tcBorders>
            <w:shd w:val="clear" w:color="auto" w:fill="auto"/>
            <w:noWrap/>
            <w:vAlign w:val="center"/>
            <w:hideMark/>
          </w:tcPr>
          <w:p w14:paraId="54FD3496" w14:textId="77777777" w:rsidR="00CF4CC8" w:rsidRPr="00CF4CC8" w:rsidRDefault="008C2C9B" w:rsidP="00CF4CC8">
            <w:pPr>
              <w:jc w:val="center"/>
              <w:rPr>
                <w:i/>
                <w:iCs/>
                <w:sz w:val="20"/>
                <w:szCs w:val="20"/>
              </w:rPr>
            </w:pPr>
            <w:r>
              <w:rPr>
                <w:color w:val="000000"/>
                <w:sz w:val="20"/>
                <w:szCs w:val="20"/>
              </w:rPr>
              <w:t>356.7</w:t>
            </w:r>
          </w:p>
        </w:tc>
        <w:tc>
          <w:tcPr>
            <w:tcW w:w="709" w:type="dxa"/>
            <w:tcBorders>
              <w:top w:val="nil"/>
              <w:left w:val="nil"/>
              <w:bottom w:val="single" w:sz="4" w:space="0" w:color="auto"/>
              <w:right w:val="single" w:sz="4" w:space="0" w:color="auto"/>
            </w:tcBorders>
            <w:shd w:val="clear" w:color="auto" w:fill="auto"/>
            <w:noWrap/>
            <w:vAlign w:val="center"/>
            <w:hideMark/>
          </w:tcPr>
          <w:p w14:paraId="10D74393" w14:textId="77777777" w:rsidR="00CF4CC8" w:rsidRPr="00CF4CC8" w:rsidRDefault="008C2C9B" w:rsidP="00CF4CC8">
            <w:pPr>
              <w:jc w:val="center"/>
              <w:rPr>
                <w:i/>
                <w:iCs/>
                <w:sz w:val="20"/>
                <w:szCs w:val="20"/>
              </w:rPr>
            </w:pPr>
            <w:r>
              <w:rPr>
                <w:color w:val="000000"/>
                <w:sz w:val="20"/>
                <w:szCs w:val="20"/>
              </w:rPr>
              <w:t>368.4</w:t>
            </w:r>
          </w:p>
        </w:tc>
        <w:tc>
          <w:tcPr>
            <w:tcW w:w="1656" w:type="dxa"/>
            <w:tcBorders>
              <w:top w:val="nil"/>
              <w:left w:val="nil"/>
              <w:bottom w:val="single" w:sz="4" w:space="0" w:color="auto"/>
              <w:right w:val="single" w:sz="4" w:space="0" w:color="auto"/>
            </w:tcBorders>
            <w:shd w:val="clear" w:color="auto" w:fill="auto"/>
            <w:noWrap/>
            <w:vAlign w:val="center"/>
            <w:hideMark/>
          </w:tcPr>
          <w:p w14:paraId="2D481327" w14:textId="7697620A" w:rsidR="00CF4CC8" w:rsidRPr="00CF4CC8" w:rsidRDefault="00E654DF" w:rsidP="00490F83">
            <w:pPr>
              <w:jc w:val="center"/>
              <w:rPr>
                <w:i/>
                <w:iCs/>
                <w:sz w:val="20"/>
                <w:szCs w:val="20"/>
              </w:rPr>
            </w:pPr>
            <w:r>
              <w:rPr>
                <w:b/>
                <w:bCs/>
                <w:color w:val="000000"/>
                <w:sz w:val="20"/>
                <w:szCs w:val="20"/>
              </w:rPr>
              <w:t>192</w:t>
            </w:r>
            <w:r w:rsidR="00196BE7">
              <w:rPr>
                <w:b/>
                <w:bCs/>
                <w:color w:val="000000"/>
                <w:sz w:val="20"/>
                <w:szCs w:val="20"/>
              </w:rPr>
              <w:t>8.1</w:t>
            </w:r>
          </w:p>
        </w:tc>
      </w:tr>
      <w:tr w:rsidR="00CF4CC8" w:rsidRPr="00CF4CC8" w14:paraId="1A1AA256" w14:textId="77777777" w:rsidTr="00490F8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9BBAD" w14:textId="77777777" w:rsidR="00CF4CC8" w:rsidRPr="00CF4CC8" w:rsidRDefault="00CF4CC8" w:rsidP="00CF4CC8">
            <w:pPr>
              <w:rPr>
                <w:b/>
                <w:i/>
                <w:iCs/>
                <w:sz w:val="20"/>
                <w:szCs w:val="20"/>
              </w:rPr>
            </w:pPr>
            <w:r w:rsidRPr="00490F83">
              <w:rPr>
                <w:b/>
                <w:bCs/>
                <w:color w:val="000000"/>
                <w:sz w:val="20"/>
                <w:szCs w:val="20"/>
              </w:rPr>
              <w:t>ES fondu finansējums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11B072" w14:textId="77777777" w:rsidR="00CF4CC8" w:rsidRPr="00CF4CC8" w:rsidRDefault="00CF4CC8" w:rsidP="00CF4CC8">
            <w:pPr>
              <w:jc w:val="center"/>
              <w:rPr>
                <w:i/>
                <w:iCs/>
                <w:sz w:val="20"/>
                <w:szCs w:val="20"/>
              </w:rPr>
            </w:pPr>
            <w:r w:rsidRPr="00CF4CC8">
              <w:rPr>
                <w:color w:val="000000"/>
                <w:sz w:val="20"/>
                <w:szCs w:val="20"/>
              </w:rPr>
              <w:t>330.7</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4CAABBA9" w14:textId="77777777" w:rsidR="00CF4CC8" w:rsidRPr="00CF4CC8" w:rsidRDefault="00CF4CC8" w:rsidP="00CF4CC8">
            <w:pPr>
              <w:jc w:val="center"/>
              <w:rPr>
                <w:i/>
                <w:iCs/>
                <w:sz w:val="20"/>
                <w:szCs w:val="20"/>
              </w:rPr>
            </w:pPr>
            <w:r w:rsidRPr="00CF4CC8">
              <w:rPr>
                <w:color w:val="000000"/>
                <w:sz w:val="20"/>
                <w:szCs w:val="20"/>
              </w:rPr>
              <w:t>133.3</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4CEE2FB7" w14:textId="77777777" w:rsidR="00CF4CC8" w:rsidRPr="00CF4CC8" w:rsidRDefault="00CF4CC8" w:rsidP="00CF4CC8">
            <w:pPr>
              <w:jc w:val="center"/>
              <w:rPr>
                <w:i/>
                <w:iCs/>
                <w:sz w:val="20"/>
                <w:szCs w:val="20"/>
              </w:rPr>
            </w:pPr>
            <w:r w:rsidRPr="00CF4CC8">
              <w:rPr>
                <w:color w:val="000000"/>
                <w:sz w:val="20"/>
                <w:szCs w:val="20"/>
              </w:rPr>
              <w:t>124.1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A959D8" w14:textId="77777777" w:rsidR="00CF4CC8" w:rsidRPr="00CF4CC8" w:rsidRDefault="00CF4CC8" w:rsidP="00CF4CC8">
            <w:pPr>
              <w:jc w:val="center"/>
              <w:rPr>
                <w:i/>
                <w:iCs/>
                <w:sz w:val="20"/>
                <w:szCs w:val="20"/>
              </w:rPr>
            </w:pPr>
            <w:r w:rsidRPr="00CF4CC8">
              <w:rPr>
                <w:color w:val="000000"/>
                <w:sz w:val="20"/>
                <w:szCs w:val="20"/>
              </w:rPr>
              <w:t>55.4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E88F8E" w14:textId="77777777" w:rsidR="00CF4CC8" w:rsidRPr="00CF4CC8" w:rsidRDefault="00CF4CC8" w:rsidP="00CF4CC8">
            <w:pPr>
              <w:jc w:val="center"/>
              <w:rPr>
                <w:i/>
                <w:iCs/>
                <w:sz w:val="20"/>
                <w:szCs w:val="20"/>
              </w:rPr>
            </w:pPr>
            <w:r w:rsidRPr="00CF4CC8">
              <w:rPr>
                <w:i/>
                <w:i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BD81D7E" w14:textId="77777777" w:rsidR="00CF4CC8" w:rsidRPr="00CF4CC8" w:rsidRDefault="00CF4CC8" w:rsidP="00CF4CC8">
            <w:pPr>
              <w:jc w:val="center"/>
              <w:rPr>
                <w:i/>
                <w:iCs/>
                <w:sz w:val="20"/>
                <w:szCs w:val="20"/>
              </w:rPr>
            </w:pPr>
            <w:r w:rsidRPr="00CF4CC8">
              <w:rPr>
                <w:i/>
                <w:i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F03B9F" w14:textId="77777777" w:rsidR="00CF4CC8" w:rsidRPr="00CF4CC8" w:rsidRDefault="00CF4CC8" w:rsidP="00CF4CC8">
            <w:pPr>
              <w:jc w:val="center"/>
              <w:rPr>
                <w:i/>
                <w:iCs/>
                <w:sz w:val="20"/>
                <w:szCs w:val="20"/>
              </w:rPr>
            </w:pPr>
            <w:r w:rsidRPr="00CF4CC8">
              <w:rPr>
                <w:i/>
                <w:i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2C1C39" w14:textId="77777777" w:rsidR="00CF4CC8" w:rsidRPr="00CF4CC8" w:rsidRDefault="00CF4CC8" w:rsidP="00CF4CC8">
            <w:pPr>
              <w:jc w:val="center"/>
              <w:rPr>
                <w:i/>
                <w:iCs/>
                <w:sz w:val="20"/>
                <w:szCs w:val="20"/>
              </w:rPr>
            </w:pPr>
            <w:r w:rsidRPr="00CF4CC8">
              <w:rPr>
                <w:i/>
                <w:iCs/>
                <w:color w:val="000000"/>
                <w:sz w:val="20"/>
                <w:szCs w:val="20"/>
              </w:rPr>
              <w:t>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2243B244" w14:textId="77777777" w:rsidR="00CF4CC8" w:rsidRPr="00CF4CC8" w:rsidRDefault="00CF4CC8" w:rsidP="00CF4CC8">
            <w:pPr>
              <w:jc w:val="center"/>
              <w:rPr>
                <w:i/>
                <w:iCs/>
                <w:sz w:val="20"/>
                <w:szCs w:val="20"/>
              </w:rPr>
            </w:pPr>
            <w:r w:rsidRPr="00CF4CC8">
              <w:rPr>
                <w:b/>
                <w:bCs/>
                <w:color w:val="000000"/>
                <w:sz w:val="20"/>
                <w:szCs w:val="20"/>
              </w:rPr>
              <w:t>312.8</w:t>
            </w:r>
          </w:p>
        </w:tc>
      </w:tr>
      <w:tr w:rsidR="00490F83" w:rsidRPr="00CF4CC8" w14:paraId="670B4B15" w14:textId="77777777" w:rsidTr="00490F8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28999" w14:textId="77777777" w:rsidR="00490F83" w:rsidRPr="00490F83" w:rsidRDefault="00490F83" w:rsidP="00CF4CC8">
            <w:pPr>
              <w:rPr>
                <w:b/>
                <w:sz w:val="20"/>
                <w:szCs w:val="20"/>
              </w:rPr>
            </w:pPr>
            <w:r w:rsidRPr="00490F83">
              <w:rPr>
                <w:b/>
                <w:bCs/>
                <w:color w:val="000000"/>
                <w:sz w:val="20"/>
                <w:szCs w:val="20"/>
              </w:rPr>
              <w:t>Autoceļu finansējums kopā</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F56994" w14:textId="77777777" w:rsidR="00490F83" w:rsidRPr="00490F83" w:rsidRDefault="00490F83" w:rsidP="00CF4CC8">
            <w:pPr>
              <w:jc w:val="center"/>
              <w:rPr>
                <w:sz w:val="20"/>
                <w:szCs w:val="20"/>
              </w:rPr>
            </w:pPr>
            <w:r w:rsidRPr="00490F83">
              <w:rPr>
                <w:b/>
                <w:bCs/>
                <w:color w:val="000000"/>
                <w:sz w:val="20"/>
                <w:szCs w:val="20"/>
              </w:rPr>
              <w:t>870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66E0390A" w14:textId="77777777" w:rsidR="00490F83" w:rsidRPr="00411B7E" w:rsidRDefault="00490F83" w:rsidP="00490F83">
            <w:pPr>
              <w:jc w:val="center"/>
              <w:rPr>
                <w:b/>
                <w:sz w:val="20"/>
                <w:szCs w:val="20"/>
              </w:rPr>
            </w:pPr>
            <w:r w:rsidRPr="00411B7E">
              <w:rPr>
                <w:b/>
                <w:sz w:val="20"/>
                <w:szCs w:val="20"/>
              </w:rPr>
              <w:t>341.2</w:t>
            </w:r>
          </w:p>
        </w:tc>
        <w:tc>
          <w:tcPr>
            <w:tcW w:w="701" w:type="dxa"/>
            <w:tcBorders>
              <w:top w:val="single" w:sz="4" w:space="0" w:color="auto"/>
              <w:left w:val="nil"/>
              <w:bottom w:val="single" w:sz="4" w:space="0" w:color="auto"/>
              <w:right w:val="single" w:sz="4" w:space="0" w:color="auto"/>
            </w:tcBorders>
            <w:shd w:val="clear" w:color="auto" w:fill="auto"/>
            <w:noWrap/>
            <w:vAlign w:val="center"/>
          </w:tcPr>
          <w:p w14:paraId="42F93283" w14:textId="77777777" w:rsidR="00490F83" w:rsidRPr="00411B7E" w:rsidRDefault="00490F83" w:rsidP="00490F83">
            <w:pPr>
              <w:jc w:val="center"/>
              <w:rPr>
                <w:b/>
                <w:sz w:val="20"/>
                <w:szCs w:val="20"/>
              </w:rPr>
            </w:pPr>
            <w:r w:rsidRPr="00411B7E">
              <w:rPr>
                <w:b/>
                <w:sz w:val="20"/>
                <w:szCs w:val="20"/>
              </w:rPr>
              <w:t>357.2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13AB6C" w14:textId="77777777" w:rsidR="00490F83" w:rsidRPr="00411B7E" w:rsidRDefault="00490F83" w:rsidP="00490F83">
            <w:pPr>
              <w:jc w:val="center"/>
              <w:rPr>
                <w:b/>
                <w:sz w:val="20"/>
                <w:szCs w:val="20"/>
              </w:rPr>
            </w:pPr>
            <w:r w:rsidRPr="00411B7E">
              <w:rPr>
                <w:b/>
                <w:sz w:val="20"/>
                <w:szCs w:val="20"/>
              </w:rPr>
              <w:t>288.5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A4344A" w14:textId="77777777" w:rsidR="00490F83" w:rsidRPr="00411B7E" w:rsidRDefault="007B4C4E" w:rsidP="008C2C9B">
            <w:pPr>
              <w:jc w:val="center"/>
              <w:rPr>
                <w:b/>
                <w:sz w:val="20"/>
                <w:szCs w:val="20"/>
              </w:rPr>
            </w:pPr>
            <w:r>
              <w:rPr>
                <w:b/>
                <w:sz w:val="20"/>
                <w:szCs w:val="20"/>
              </w:rPr>
              <w:t>433.</w:t>
            </w:r>
            <w:r w:rsidR="008C2C9B">
              <w:rPr>
                <w:b/>
                <w:sz w:val="20"/>
                <w:szCs w:val="20"/>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476BDA6" w14:textId="77777777" w:rsidR="00490F83" w:rsidRPr="00411B7E" w:rsidRDefault="007B4C4E" w:rsidP="008C2C9B">
            <w:pPr>
              <w:jc w:val="center"/>
              <w:rPr>
                <w:b/>
                <w:sz w:val="20"/>
                <w:szCs w:val="20"/>
              </w:rPr>
            </w:pPr>
            <w:r>
              <w:rPr>
                <w:b/>
                <w:sz w:val="20"/>
                <w:szCs w:val="20"/>
              </w:rPr>
              <w:t>448.</w:t>
            </w:r>
            <w:r w:rsidRPr="007B4C4E">
              <w:rPr>
                <w:b/>
                <w:sz w:val="20"/>
                <w:szCs w:val="20"/>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5636B6" w14:textId="77777777" w:rsidR="00490F83" w:rsidRPr="00411B7E" w:rsidRDefault="007B4C4E" w:rsidP="00587B4E">
            <w:pPr>
              <w:jc w:val="center"/>
              <w:rPr>
                <w:b/>
                <w:sz w:val="20"/>
                <w:szCs w:val="20"/>
              </w:rPr>
            </w:pPr>
            <w:r>
              <w:rPr>
                <w:b/>
                <w:sz w:val="20"/>
                <w:szCs w:val="20"/>
              </w:rPr>
              <w:t>464.</w:t>
            </w:r>
            <w:r w:rsidRPr="007B4C4E">
              <w:rPr>
                <w:b/>
                <w:sz w:val="20"/>
                <w:szCs w:val="20"/>
              </w:rPr>
              <w:t>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7DC0CE" w14:textId="77777777" w:rsidR="00490F83" w:rsidRPr="00411B7E" w:rsidRDefault="007B4C4E" w:rsidP="006B3BDC">
            <w:pPr>
              <w:jc w:val="center"/>
              <w:rPr>
                <w:b/>
                <w:sz w:val="20"/>
                <w:szCs w:val="20"/>
              </w:rPr>
            </w:pPr>
            <w:r>
              <w:rPr>
                <w:b/>
                <w:sz w:val="20"/>
                <w:szCs w:val="20"/>
              </w:rPr>
              <w:t>480.</w:t>
            </w:r>
            <w:r w:rsidR="008C2C9B">
              <w:rPr>
                <w:b/>
                <w:sz w:val="20"/>
                <w:szCs w:val="20"/>
              </w:rPr>
              <w:t>4</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4B5A6CC3" w14:textId="77777777" w:rsidR="00490F83" w:rsidRPr="00411B7E" w:rsidRDefault="008C2C9B" w:rsidP="00856C43">
            <w:pPr>
              <w:jc w:val="center"/>
              <w:rPr>
                <w:b/>
                <w:sz w:val="20"/>
                <w:szCs w:val="20"/>
              </w:rPr>
            </w:pPr>
            <w:r>
              <w:rPr>
                <w:b/>
                <w:sz w:val="20"/>
                <w:szCs w:val="20"/>
              </w:rPr>
              <w:t>2814.1</w:t>
            </w:r>
          </w:p>
        </w:tc>
      </w:tr>
    </w:tbl>
    <w:p w14:paraId="374C4117" w14:textId="77777777" w:rsidR="00E03895" w:rsidRDefault="00CF4CC8" w:rsidP="00632ABE">
      <w:pPr>
        <w:ind w:right="-6" w:firstLine="567"/>
        <w:jc w:val="both"/>
        <w:rPr>
          <w:color w:val="000000"/>
        </w:rPr>
      </w:pPr>
      <w:r>
        <w:rPr>
          <w:color w:val="000000"/>
        </w:rPr>
        <w:t>* saskaņā ar likumu “Par valsts budžetu 2017.gadam”.</w:t>
      </w:r>
    </w:p>
    <w:p w14:paraId="0369EEBE" w14:textId="17389103" w:rsidR="00CF4CC8" w:rsidRPr="00CB033C" w:rsidRDefault="00CF4CC8" w:rsidP="00632ABE">
      <w:pPr>
        <w:ind w:right="-6" w:firstLine="567"/>
        <w:jc w:val="both"/>
        <w:rPr>
          <w:color w:val="000000"/>
        </w:rPr>
      </w:pPr>
      <w:r>
        <w:rPr>
          <w:color w:val="000000"/>
        </w:rPr>
        <w:t xml:space="preserve">** saskaņā ar </w:t>
      </w:r>
      <w:r w:rsidRPr="00CF4CC8">
        <w:rPr>
          <w:color w:val="000000"/>
        </w:rPr>
        <w:t xml:space="preserve">Ministru kabineta 2016.gada 20.decembra sēdes </w:t>
      </w:r>
      <w:proofErr w:type="spellStart"/>
      <w:r w:rsidRPr="00CF4CC8">
        <w:rPr>
          <w:color w:val="000000"/>
        </w:rPr>
        <w:t>protokollēmuma</w:t>
      </w:r>
      <w:proofErr w:type="spellEnd"/>
      <w:r w:rsidR="00411B7E">
        <w:rPr>
          <w:color w:val="000000"/>
        </w:rPr>
        <w:t xml:space="preserve"> (prot. </w:t>
      </w:r>
      <w:r w:rsidR="005C2D0D">
        <w:rPr>
          <w:color w:val="000000"/>
        </w:rPr>
        <w:t xml:space="preserve">Nr.69 82.§) 4.punktu, </w:t>
      </w:r>
      <w:r w:rsidRPr="00CF4CC8">
        <w:rPr>
          <w:color w:val="000000"/>
        </w:rPr>
        <w:t xml:space="preserve">Ministru kabineta 2017.gada 11.aprīļa sēdes </w:t>
      </w:r>
      <w:proofErr w:type="spellStart"/>
      <w:r w:rsidRPr="00CF4CC8">
        <w:rPr>
          <w:color w:val="000000"/>
        </w:rPr>
        <w:t>protokollēmuma</w:t>
      </w:r>
      <w:proofErr w:type="spellEnd"/>
      <w:r w:rsidRPr="00CF4CC8">
        <w:rPr>
          <w:color w:val="000000"/>
        </w:rPr>
        <w:t xml:space="preserve"> (prot. Nr.19 </w:t>
      </w:r>
      <w:r w:rsidRPr="00CB033C">
        <w:rPr>
          <w:color w:val="000000"/>
        </w:rPr>
        <w:t>35.§) 6.punktu</w:t>
      </w:r>
      <w:r w:rsidR="005C2D0D">
        <w:rPr>
          <w:color w:val="000000"/>
        </w:rPr>
        <w:t xml:space="preserve"> un Ministru kabineta 2017.ga</w:t>
      </w:r>
      <w:r w:rsidR="00E71C7F">
        <w:rPr>
          <w:color w:val="000000"/>
        </w:rPr>
        <w:t>da 10.oktobra sēdē apstiprinātajiem likumprojektiem</w:t>
      </w:r>
      <w:r w:rsidR="005C2D0D">
        <w:rPr>
          <w:color w:val="000000"/>
        </w:rPr>
        <w:t xml:space="preserve"> </w:t>
      </w:r>
      <w:r w:rsidR="005C2D0D" w:rsidRPr="005C2D0D">
        <w:rPr>
          <w:color w:val="000000"/>
        </w:rPr>
        <w:t>“Par valsts budžetu 2018.gadam” un “Par vidēja termiņa budžeta ietvaru 2018., 2019. un 2020.gadam”</w:t>
      </w:r>
      <w:r w:rsidRPr="00CB033C">
        <w:rPr>
          <w:color w:val="000000"/>
        </w:rPr>
        <w:t>.</w:t>
      </w:r>
    </w:p>
    <w:p w14:paraId="11F8AB45" w14:textId="77777777" w:rsidR="00CF4CC8" w:rsidRDefault="00CF4CC8" w:rsidP="00632ABE">
      <w:pPr>
        <w:ind w:right="-6" w:firstLine="567"/>
        <w:jc w:val="both"/>
        <w:rPr>
          <w:color w:val="000000"/>
        </w:rPr>
      </w:pPr>
      <w:r w:rsidRPr="00CB033C">
        <w:rPr>
          <w:color w:val="000000"/>
        </w:rPr>
        <w:t xml:space="preserve">*** </w:t>
      </w:r>
      <w:r w:rsidR="00675D25" w:rsidRPr="00CB033C">
        <w:rPr>
          <w:color w:val="000000"/>
        </w:rPr>
        <w:t>nepieciešamais finansējums, l</w:t>
      </w:r>
      <w:r w:rsidR="00CB033C" w:rsidRPr="00CB033C">
        <w:rPr>
          <w:color w:val="000000"/>
        </w:rPr>
        <w:t xml:space="preserve">ai panāktu </w:t>
      </w:r>
      <w:r w:rsidR="00EA0D9C" w:rsidRPr="00CB033C">
        <w:rPr>
          <w:color w:val="000000"/>
        </w:rPr>
        <w:t>7</w:t>
      </w:r>
      <w:r w:rsidR="007B4C4E" w:rsidRPr="00CB033C">
        <w:rPr>
          <w:color w:val="000000"/>
        </w:rPr>
        <w:t>.tabulā norādīto rezultatīvo rādītāju sasniegšanu.</w:t>
      </w:r>
    </w:p>
    <w:p w14:paraId="0BCF2B0B" w14:textId="77777777" w:rsidR="00E03895" w:rsidRDefault="00E03895" w:rsidP="00632ABE">
      <w:pPr>
        <w:ind w:right="-6" w:firstLine="567"/>
        <w:jc w:val="both"/>
        <w:rPr>
          <w:color w:val="000000"/>
        </w:rPr>
      </w:pPr>
    </w:p>
    <w:p w14:paraId="25B30895" w14:textId="77777777" w:rsidR="00411B7E" w:rsidRDefault="00411B7E"/>
    <w:p w14:paraId="605D0FD2" w14:textId="77777777" w:rsidR="00C03970" w:rsidRPr="003E3A7C" w:rsidRDefault="00C03970" w:rsidP="00C03970">
      <w:pPr>
        <w:tabs>
          <w:tab w:val="left" w:pos="567"/>
        </w:tabs>
        <w:ind w:right="-6"/>
        <w:jc w:val="center"/>
        <w:rPr>
          <w:b/>
          <w:sz w:val="28"/>
          <w:szCs w:val="28"/>
          <w:u w:val="single"/>
        </w:rPr>
      </w:pPr>
      <w:r w:rsidRPr="003E3A7C">
        <w:rPr>
          <w:b/>
          <w:color w:val="000000"/>
          <w:sz w:val="28"/>
          <w:szCs w:val="28"/>
          <w:u w:val="single"/>
        </w:rPr>
        <w:t xml:space="preserve">Rīcības virzieni </w:t>
      </w:r>
      <w:r w:rsidRPr="003E3A7C">
        <w:rPr>
          <w:b/>
          <w:sz w:val="28"/>
          <w:szCs w:val="28"/>
          <w:u w:val="single"/>
        </w:rPr>
        <w:t>iespējamībai piesaistīt papildu finansējumu ceļu uzturēšanai, pārbūvei un atjaunošanai papildus valsts budžetā paredzētajam finansējumam, ievērojot fiskālās disciplīnas nosacījumus</w:t>
      </w:r>
    </w:p>
    <w:p w14:paraId="6D34E75E" w14:textId="77777777" w:rsidR="00C03970" w:rsidRPr="00346524" w:rsidRDefault="00C03970" w:rsidP="00C03970">
      <w:pPr>
        <w:ind w:right="-6"/>
        <w:jc w:val="center"/>
        <w:rPr>
          <w:b/>
          <w:color w:val="000000"/>
        </w:rPr>
      </w:pPr>
    </w:p>
    <w:p w14:paraId="219CF98F" w14:textId="77777777" w:rsidR="00795034" w:rsidRDefault="00C03970" w:rsidP="00795034">
      <w:pPr>
        <w:tabs>
          <w:tab w:val="num" w:pos="1080"/>
        </w:tabs>
        <w:ind w:firstLine="567"/>
        <w:jc w:val="both"/>
        <w:rPr>
          <w:b/>
          <w:bCs/>
        </w:rPr>
      </w:pPr>
      <w:r w:rsidRPr="005316BA">
        <w:rPr>
          <w:bCs/>
        </w:rPr>
        <w:t xml:space="preserve">Lai būtu iespējama finanšu avotu piesaiste autoceļu tīkla ilgtermiņa attīstībai, nozīmīgi ir jau sākumā sadalīt finanšu avotus pēc to pieejamības – īstermiņa un ilgtermiņa. Lai izmantotu ilgtermiņa finanšu avotus, nepieciešams radīt stabilu budžeta finansējuma bāzi </w:t>
      </w:r>
      <w:r w:rsidR="00795034" w:rsidRPr="005316BA">
        <w:rPr>
          <w:bCs/>
        </w:rPr>
        <w:t>autoceļu tīkla uzturēšanai un aizdevumu atmaksai - tas ir, ikgadējus stabilus un prognozējamus īstermiņa finanšu avotus.</w:t>
      </w:r>
      <w:r w:rsidR="00795034" w:rsidRPr="00795034">
        <w:rPr>
          <w:b/>
          <w:bCs/>
        </w:rPr>
        <w:t xml:space="preserve"> </w:t>
      </w:r>
    </w:p>
    <w:p w14:paraId="1E1EB8E5" w14:textId="77777777" w:rsidR="00795034" w:rsidRPr="003A5569" w:rsidRDefault="00795034" w:rsidP="00795034">
      <w:pPr>
        <w:tabs>
          <w:tab w:val="num" w:pos="1080"/>
        </w:tabs>
        <w:ind w:firstLine="567"/>
        <w:jc w:val="both"/>
        <w:rPr>
          <w:color w:val="000000"/>
          <w:lang w:eastAsia="en-US"/>
        </w:rPr>
      </w:pPr>
      <w:r>
        <w:rPr>
          <w:b/>
          <w:bCs/>
        </w:rPr>
        <w:t>Līdz ar to ir nepieciešams p</w:t>
      </w:r>
      <w:r w:rsidRPr="00800417">
        <w:rPr>
          <w:b/>
          <w:bCs/>
        </w:rPr>
        <w:t xml:space="preserve">alielināt </w:t>
      </w:r>
      <w:r>
        <w:rPr>
          <w:b/>
          <w:bCs/>
        </w:rPr>
        <w:t xml:space="preserve">ceļu lietotāju maksāto </w:t>
      </w:r>
      <w:r w:rsidRPr="00800417">
        <w:rPr>
          <w:b/>
          <w:bCs/>
        </w:rPr>
        <w:t>nodokļu</w:t>
      </w:r>
      <w:r>
        <w:rPr>
          <w:b/>
          <w:bCs/>
        </w:rPr>
        <w:t xml:space="preserve"> un nodevu</w:t>
      </w:r>
      <w:r w:rsidRPr="00800417">
        <w:rPr>
          <w:b/>
          <w:bCs/>
        </w:rPr>
        <w:t xml:space="preserve"> ieņēmumus</w:t>
      </w:r>
      <w:r>
        <w:rPr>
          <w:b/>
          <w:bCs/>
        </w:rPr>
        <w:t xml:space="preserve"> un </w:t>
      </w:r>
      <w:r w:rsidRPr="00EF475C">
        <w:rPr>
          <w:b/>
          <w:bCs/>
        </w:rPr>
        <w:t xml:space="preserve">izveidot Valsts autoceļu fondu </w:t>
      </w:r>
      <w:r>
        <w:rPr>
          <w:b/>
          <w:bCs/>
        </w:rPr>
        <w:t xml:space="preserve">(turpmāk – Ceļu fonds) </w:t>
      </w:r>
      <w:r w:rsidRPr="00EF475C">
        <w:rPr>
          <w:b/>
          <w:bCs/>
        </w:rPr>
        <w:t>kā speciālo budžetu</w:t>
      </w:r>
      <w:r>
        <w:rPr>
          <w:bCs/>
        </w:rPr>
        <w:t>.</w:t>
      </w:r>
    </w:p>
    <w:p w14:paraId="1BA7E9C8" w14:textId="77777777" w:rsidR="00C03970" w:rsidRDefault="00C03970" w:rsidP="00C03970">
      <w:pPr>
        <w:ind w:firstLine="709"/>
        <w:jc w:val="both"/>
        <w:rPr>
          <w:b/>
          <w:bCs/>
        </w:rPr>
      </w:pPr>
      <w:r>
        <w:rPr>
          <w:b/>
          <w:bCs/>
        </w:rPr>
        <w:t xml:space="preserve">Ceļu fondā, </w:t>
      </w:r>
      <w:r>
        <w:rPr>
          <w:bCs/>
        </w:rPr>
        <w:t>kā noteikts likuma “Par autoceļiem” 12.panta ceturtajā daļā,</w:t>
      </w:r>
      <w:r>
        <w:rPr>
          <w:b/>
          <w:bCs/>
        </w:rPr>
        <w:t xml:space="preserve"> </w:t>
      </w:r>
      <w:r w:rsidRPr="005316BA">
        <w:rPr>
          <w:bCs/>
        </w:rPr>
        <w:t xml:space="preserve">jāieskaita valsts budžeta ieņēmumi no TEN, autoceļu lietošanas nodevas un </w:t>
      </w:r>
      <w:r w:rsidR="00551552">
        <w:rPr>
          <w:bCs/>
        </w:rPr>
        <w:t>80</w:t>
      </w:r>
      <w:r w:rsidR="00551552" w:rsidRPr="005316BA">
        <w:rPr>
          <w:bCs/>
        </w:rPr>
        <w:t xml:space="preserve"> </w:t>
      </w:r>
      <w:r w:rsidRPr="005316BA">
        <w:rPr>
          <w:bCs/>
        </w:rPr>
        <w:t>procenti no prognozētajiem valsts budžeta ieņēmumiem no akcīzes nodokļa par naftas produktiem</w:t>
      </w:r>
      <w:r>
        <w:rPr>
          <w:bCs/>
        </w:rPr>
        <w:t>.</w:t>
      </w:r>
      <w:r w:rsidRPr="005316BA" w:rsidDel="008A66BA">
        <w:rPr>
          <w:bCs/>
        </w:rPr>
        <w:t xml:space="preserve"> </w:t>
      </w:r>
    </w:p>
    <w:p w14:paraId="13C0672A" w14:textId="77777777" w:rsidR="00C03970" w:rsidRPr="007D470E" w:rsidRDefault="00C03970" w:rsidP="00C03970">
      <w:pPr>
        <w:ind w:right="-2" w:firstLine="567"/>
        <w:jc w:val="both"/>
        <w:rPr>
          <w:color w:val="000000"/>
        </w:rPr>
      </w:pPr>
      <w:r w:rsidRPr="007D470E">
        <w:rPr>
          <w:color w:val="000000"/>
        </w:rPr>
        <w:t xml:space="preserve">No </w:t>
      </w:r>
      <w:r w:rsidR="00EA0D9C">
        <w:rPr>
          <w:color w:val="000000"/>
        </w:rPr>
        <w:t>10</w:t>
      </w:r>
      <w:r w:rsidRPr="007D470E">
        <w:rPr>
          <w:color w:val="000000"/>
        </w:rPr>
        <w:t xml:space="preserve">.tabulas datiem ir redzams, ka ceļu lietotāju samaksātie nodokļi pārsniedz 500 miljonus </w:t>
      </w:r>
      <w:proofErr w:type="spellStart"/>
      <w:r w:rsidRPr="007D470E">
        <w:rPr>
          <w:i/>
          <w:color w:val="000000"/>
        </w:rPr>
        <w:t>euro</w:t>
      </w:r>
      <w:proofErr w:type="spellEnd"/>
      <w:r w:rsidRPr="007D470E">
        <w:rPr>
          <w:i/>
          <w:color w:val="000000"/>
        </w:rPr>
        <w:t xml:space="preserve"> </w:t>
      </w:r>
      <w:r w:rsidRPr="007D470E">
        <w:rPr>
          <w:color w:val="000000"/>
        </w:rPr>
        <w:t xml:space="preserve">(2017.un 2018.gadā pat 600 miljonus </w:t>
      </w:r>
      <w:proofErr w:type="spellStart"/>
      <w:r w:rsidRPr="007D470E">
        <w:rPr>
          <w:i/>
          <w:color w:val="000000"/>
        </w:rPr>
        <w:t>euro</w:t>
      </w:r>
      <w:proofErr w:type="spellEnd"/>
      <w:r w:rsidRPr="007D470E">
        <w:rPr>
          <w:color w:val="000000"/>
        </w:rPr>
        <w:t xml:space="preserve">), taču no valsts budžeta finansējums gan pašvaldību ceļu, gan valsts ceļu pārvaldīšanai, uzturēšanai un atjaunošanai ik gadu tiek piešķirts vai to plānots piešķirt 190 - </w:t>
      </w:r>
      <w:r w:rsidR="00587B4E">
        <w:rPr>
          <w:color w:val="000000"/>
        </w:rPr>
        <w:t>233</w:t>
      </w:r>
      <w:r w:rsidR="00587B4E" w:rsidRPr="007D470E">
        <w:rPr>
          <w:color w:val="000000"/>
        </w:rPr>
        <w:t xml:space="preserve"> </w:t>
      </w:r>
      <w:r w:rsidRPr="007D470E">
        <w:rPr>
          <w:color w:val="000000"/>
        </w:rPr>
        <w:t xml:space="preserve">miljonu </w:t>
      </w:r>
      <w:proofErr w:type="spellStart"/>
      <w:r w:rsidRPr="007D470E">
        <w:rPr>
          <w:i/>
          <w:color w:val="000000"/>
        </w:rPr>
        <w:t>euro</w:t>
      </w:r>
      <w:proofErr w:type="spellEnd"/>
      <w:r w:rsidRPr="007D470E">
        <w:rPr>
          <w:color w:val="000000"/>
        </w:rPr>
        <w:t xml:space="preserve"> apmērā jeb vidēji 3</w:t>
      </w:r>
      <w:r w:rsidR="00587B4E">
        <w:rPr>
          <w:color w:val="000000"/>
        </w:rPr>
        <w:t>5</w:t>
      </w:r>
      <w:r w:rsidR="0049772E">
        <w:rPr>
          <w:color w:val="000000"/>
        </w:rPr>
        <w:t>,5</w:t>
      </w:r>
      <w:r w:rsidRPr="007D470E">
        <w:rPr>
          <w:color w:val="000000"/>
        </w:rPr>
        <w:t xml:space="preserve"> % no tiem valsts budžeta ieņēmumiem, kurus samaksā ceļu lietotāji (2015.gadā 3</w:t>
      </w:r>
      <w:r>
        <w:rPr>
          <w:color w:val="000000"/>
        </w:rPr>
        <w:t>6</w:t>
      </w:r>
      <w:r w:rsidRPr="007D470E">
        <w:rPr>
          <w:color w:val="000000"/>
        </w:rPr>
        <w:t xml:space="preserve"> %, 2016.gadā 3</w:t>
      </w:r>
      <w:r>
        <w:rPr>
          <w:color w:val="000000"/>
        </w:rPr>
        <w:t>4</w:t>
      </w:r>
      <w:r w:rsidRPr="007D470E">
        <w:rPr>
          <w:color w:val="000000"/>
        </w:rPr>
        <w:t xml:space="preserve"> %, 2017.gadā 34 % un 2018.gadā </w:t>
      </w:r>
      <w:r w:rsidR="0049772E" w:rsidRPr="007D470E">
        <w:rPr>
          <w:color w:val="000000"/>
        </w:rPr>
        <w:t>3</w:t>
      </w:r>
      <w:r w:rsidR="0049772E">
        <w:rPr>
          <w:color w:val="000000"/>
        </w:rPr>
        <w:t>4</w:t>
      </w:r>
      <w:r w:rsidR="0049772E" w:rsidRPr="007D470E">
        <w:rPr>
          <w:color w:val="000000"/>
        </w:rPr>
        <w:t xml:space="preserve"> </w:t>
      </w:r>
      <w:r w:rsidRPr="007D470E">
        <w:rPr>
          <w:color w:val="000000"/>
        </w:rPr>
        <w:t xml:space="preserve">%). Ja pieņem, ka TEN un autoceļu lietošanas nodeva </w:t>
      </w:r>
      <w:r w:rsidRPr="007D470E">
        <w:rPr>
          <w:color w:val="000000"/>
        </w:rPr>
        <w:lastRenderedPageBreak/>
        <w:t xml:space="preserve">pilnībā tiek novirzīta valsts autoceļiem, tad no akcīzes nodokļa par naftas produktiem ieņēmumiem - tikai aptuveni </w:t>
      </w:r>
      <w:r w:rsidR="00595724" w:rsidRPr="007D470E">
        <w:rPr>
          <w:color w:val="000000"/>
        </w:rPr>
        <w:t>1</w:t>
      </w:r>
      <w:r w:rsidR="00595724">
        <w:rPr>
          <w:color w:val="000000"/>
        </w:rPr>
        <w:t>8</w:t>
      </w:r>
      <w:r w:rsidR="00595724" w:rsidRPr="007D470E">
        <w:rPr>
          <w:color w:val="000000"/>
        </w:rPr>
        <w:t> </w:t>
      </w:r>
      <w:r w:rsidRPr="007D470E">
        <w:rPr>
          <w:color w:val="000000"/>
        </w:rPr>
        <w:t>% (2015.gadā 2</w:t>
      </w:r>
      <w:r>
        <w:rPr>
          <w:color w:val="000000"/>
        </w:rPr>
        <w:t>1</w:t>
      </w:r>
      <w:r w:rsidRPr="007D470E">
        <w:rPr>
          <w:color w:val="000000"/>
        </w:rPr>
        <w:t>%, 2016.gadā 20 %, 2017.gadā 1</w:t>
      </w:r>
      <w:r>
        <w:rPr>
          <w:color w:val="000000"/>
        </w:rPr>
        <w:t>7</w:t>
      </w:r>
      <w:r w:rsidRPr="007D470E">
        <w:rPr>
          <w:color w:val="000000"/>
        </w:rPr>
        <w:t xml:space="preserve">% un 2018.gadā </w:t>
      </w:r>
      <w:r w:rsidR="00595724" w:rsidRPr="007D470E">
        <w:rPr>
          <w:color w:val="000000"/>
        </w:rPr>
        <w:t>1</w:t>
      </w:r>
      <w:r w:rsidR="00595724">
        <w:rPr>
          <w:color w:val="000000"/>
        </w:rPr>
        <w:t>4</w:t>
      </w:r>
      <w:r w:rsidRPr="007D470E">
        <w:rPr>
          <w:color w:val="000000"/>
        </w:rPr>
        <w:t>%). Līdz ar to secināms, ka</w:t>
      </w:r>
      <w:r w:rsidR="006B3BDC">
        <w:rPr>
          <w:color w:val="000000"/>
        </w:rPr>
        <w:t xml:space="preserve"> Ceļu fondam tiek novirzīti arvien mazāk</w:t>
      </w:r>
      <w:r w:rsidR="003951CD">
        <w:rPr>
          <w:color w:val="000000"/>
        </w:rPr>
        <w:t>i</w:t>
      </w:r>
      <w:r w:rsidR="006B3BDC">
        <w:rPr>
          <w:color w:val="000000"/>
        </w:rPr>
        <w:t xml:space="preserve"> akcīzes nodokļa par naftas produktiem ieņēmumi, nekā norādīts likuma “Par autoceļiem” 12.panta ceturtajā daļā</w:t>
      </w:r>
      <w:r w:rsidRPr="007D470E">
        <w:rPr>
          <w:color w:val="000000"/>
        </w:rPr>
        <w:t>.</w:t>
      </w:r>
    </w:p>
    <w:p w14:paraId="57427100" w14:textId="77777777" w:rsidR="00795034" w:rsidRDefault="00795034" w:rsidP="00795034">
      <w:pPr>
        <w:ind w:firstLine="567"/>
        <w:jc w:val="both"/>
        <w:rPr>
          <w:lang w:eastAsia="en-US"/>
        </w:rPr>
      </w:pPr>
    </w:p>
    <w:tbl>
      <w:tblPr>
        <w:tblW w:w="9029" w:type="dxa"/>
        <w:tblInd w:w="103" w:type="dxa"/>
        <w:tblLook w:val="00A0" w:firstRow="1" w:lastRow="0" w:firstColumn="1" w:lastColumn="0" w:noHBand="0" w:noVBand="0"/>
      </w:tblPr>
      <w:tblGrid>
        <w:gridCol w:w="3016"/>
        <w:gridCol w:w="1266"/>
        <w:gridCol w:w="1438"/>
        <w:gridCol w:w="1438"/>
        <w:gridCol w:w="1871"/>
      </w:tblGrid>
      <w:tr w:rsidR="008C64F4" w:rsidRPr="008C64F4" w14:paraId="22F28FF1" w14:textId="77777777" w:rsidTr="00411B7E">
        <w:trPr>
          <w:trHeight w:val="360"/>
        </w:trPr>
        <w:tc>
          <w:tcPr>
            <w:tcW w:w="9029" w:type="dxa"/>
            <w:gridSpan w:val="5"/>
            <w:tcBorders>
              <w:top w:val="nil"/>
              <w:left w:val="nil"/>
              <w:bottom w:val="nil"/>
              <w:right w:val="nil"/>
            </w:tcBorders>
            <w:noWrap/>
            <w:vAlign w:val="bottom"/>
          </w:tcPr>
          <w:p w14:paraId="2AF5F66D" w14:textId="77777777" w:rsidR="00C33FCB" w:rsidRPr="008C64F4" w:rsidRDefault="00EA0D9C" w:rsidP="003951CD">
            <w:pPr>
              <w:ind w:left="720"/>
              <w:jc w:val="right"/>
              <w:rPr>
                <w:bCs/>
              </w:rPr>
            </w:pPr>
            <w:r>
              <w:rPr>
                <w:bCs/>
              </w:rPr>
              <w:t>10</w:t>
            </w:r>
            <w:r w:rsidR="00C33FCB" w:rsidRPr="008C64F4">
              <w:rPr>
                <w:bCs/>
              </w:rPr>
              <w:t>.tabula</w:t>
            </w:r>
          </w:p>
          <w:p w14:paraId="38FB7CE1" w14:textId="77777777" w:rsidR="00C33FCB" w:rsidRPr="008C64F4" w:rsidRDefault="00C33FCB" w:rsidP="003951CD">
            <w:pPr>
              <w:ind w:left="720"/>
              <w:jc w:val="center"/>
              <w:rPr>
                <w:b/>
                <w:bCs/>
              </w:rPr>
            </w:pPr>
            <w:r w:rsidRPr="008C64F4">
              <w:rPr>
                <w:b/>
                <w:bCs/>
              </w:rPr>
              <w:t>Ceļu lietotāju samaksātie nodokļi un nodevas</w:t>
            </w:r>
          </w:p>
        </w:tc>
      </w:tr>
      <w:tr w:rsidR="008C64F4" w:rsidRPr="008C64F4" w14:paraId="5F3CE384" w14:textId="77777777" w:rsidTr="00411B7E">
        <w:trPr>
          <w:trHeight w:val="600"/>
        </w:trPr>
        <w:tc>
          <w:tcPr>
            <w:tcW w:w="3016" w:type="dxa"/>
            <w:tcBorders>
              <w:top w:val="single" w:sz="4" w:space="0" w:color="auto"/>
              <w:left w:val="single" w:sz="4" w:space="0" w:color="auto"/>
              <w:bottom w:val="single" w:sz="4" w:space="0" w:color="auto"/>
              <w:right w:val="single" w:sz="4" w:space="0" w:color="auto"/>
            </w:tcBorders>
            <w:vAlign w:val="center"/>
          </w:tcPr>
          <w:p w14:paraId="4E88DFF9" w14:textId="77777777" w:rsidR="00C33FCB" w:rsidRPr="008C64F4" w:rsidRDefault="00C33FCB" w:rsidP="00E35A21">
            <w:pPr>
              <w:ind w:firstLine="176"/>
              <w:rPr>
                <w:b/>
                <w:bCs/>
              </w:rPr>
            </w:pPr>
            <w:r w:rsidRPr="008C64F4">
              <w:rPr>
                <w:b/>
                <w:bCs/>
                <w:sz w:val="22"/>
                <w:szCs w:val="22"/>
              </w:rPr>
              <w:t>Nodokļu veidi</w:t>
            </w:r>
          </w:p>
        </w:tc>
        <w:tc>
          <w:tcPr>
            <w:tcW w:w="1266" w:type="dxa"/>
            <w:tcBorders>
              <w:top w:val="single" w:sz="4" w:space="0" w:color="auto"/>
              <w:left w:val="nil"/>
              <w:bottom w:val="single" w:sz="4" w:space="0" w:color="auto"/>
              <w:right w:val="single" w:sz="4" w:space="0" w:color="auto"/>
            </w:tcBorders>
            <w:noWrap/>
            <w:vAlign w:val="center"/>
          </w:tcPr>
          <w:p w14:paraId="740541F9" w14:textId="77777777" w:rsidR="00C33FCB" w:rsidRPr="008C64F4" w:rsidRDefault="00C33FCB" w:rsidP="00E35A21">
            <w:pPr>
              <w:rPr>
                <w:b/>
                <w:bCs/>
                <w:sz w:val="20"/>
              </w:rPr>
            </w:pPr>
            <w:r w:rsidRPr="008C64F4">
              <w:rPr>
                <w:b/>
                <w:bCs/>
                <w:sz w:val="20"/>
              </w:rPr>
              <w:t>2015. fakts</w:t>
            </w:r>
          </w:p>
        </w:tc>
        <w:tc>
          <w:tcPr>
            <w:tcW w:w="1438" w:type="dxa"/>
            <w:tcBorders>
              <w:top w:val="single" w:sz="4" w:space="0" w:color="auto"/>
              <w:left w:val="nil"/>
              <w:bottom w:val="single" w:sz="4" w:space="0" w:color="auto"/>
              <w:right w:val="single" w:sz="4" w:space="0" w:color="auto"/>
            </w:tcBorders>
            <w:noWrap/>
            <w:vAlign w:val="center"/>
          </w:tcPr>
          <w:p w14:paraId="08C0EA97" w14:textId="77777777" w:rsidR="00C33FCB" w:rsidRPr="008C64F4" w:rsidRDefault="00C33FCB" w:rsidP="00E35A21">
            <w:pPr>
              <w:rPr>
                <w:b/>
                <w:bCs/>
                <w:sz w:val="20"/>
              </w:rPr>
            </w:pPr>
            <w:r w:rsidRPr="008C64F4">
              <w:rPr>
                <w:b/>
                <w:bCs/>
                <w:sz w:val="20"/>
              </w:rPr>
              <w:t>2016. fakts</w:t>
            </w:r>
          </w:p>
        </w:tc>
        <w:tc>
          <w:tcPr>
            <w:tcW w:w="1438" w:type="dxa"/>
            <w:tcBorders>
              <w:top w:val="single" w:sz="4" w:space="0" w:color="auto"/>
              <w:left w:val="nil"/>
              <w:bottom w:val="single" w:sz="4" w:space="0" w:color="auto"/>
              <w:right w:val="single" w:sz="4" w:space="0" w:color="auto"/>
            </w:tcBorders>
            <w:noWrap/>
            <w:vAlign w:val="center"/>
          </w:tcPr>
          <w:p w14:paraId="6BF46384" w14:textId="77777777" w:rsidR="00C33FCB" w:rsidRPr="008C64F4" w:rsidRDefault="00C33FCB" w:rsidP="00E35A21">
            <w:pPr>
              <w:rPr>
                <w:b/>
                <w:bCs/>
                <w:sz w:val="20"/>
              </w:rPr>
            </w:pPr>
            <w:r w:rsidRPr="008C64F4">
              <w:rPr>
                <w:b/>
                <w:bCs/>
                <w:sz w:val="20"/>
              </w:rPr>
              <w:t>2017. plāns*</w:t>
            </w:r>
          </w:p>
        </w:tc>
        <w:tc>
          <w:tcPr>
            <w:tcW w:w="1871" w:type="dxa"/>
            <w:tcBorders>
              <w:top w:val="single" w:sz="4" w:space="0" w:color="auto"/>
              <w:left w:val="nil"/>
              <w:bottom w:val="single" w:sz="4" w:space="0" w:color="auto"/>
              <w:right w:val="single" w:sz="4" w:space="0" w:color="auto"/>
            </w:tcBorders>
            <w:noWrap/>
            <w:vAlign w:val="center"/>
          </w:tcPr>
          <w:p w14:paraId="199AB5CB" w14:textId="77777777" w:rsidR="00C33FCB" w:rsidRPr="008C64F4" w:rsidRDefault="00C33FCB" w:rsidP="00E35A21">
            <w:pPr>
              <w:rPr>
                <w:b/>
                <w:bCs/>
                <w:sz w:val="20"/>
              </w:rPr>
            </w:pPr>
            <w:r w:rsidRPr="008C64F4">
              <w:rPr>
                <w:b/>
                <w:bCs/>
                <w:sz w:val="20"/>
              </w:rPr>
              <w:t>2018. plāns*</w:t>
            </w:r>
            <w:r w:rsidR="00587B4E">
              <w:rPr>
                <w:b/>
                <w:bCs/>
                <w:sz w:val="20"/>
              </w:rPr>
              <w:t>*</w:t>
            </w:r>
          </w:p>
        </w:tc>
      </w:tr>
      <w:tr w:rsidR="008C64F4" w:rsidRPr="008C64F4" w14:paraId="002144C3" w14:textId="77777777" w:rsidTr="00411B7E">
        <w:trPr>
          <w:trHeight w:val="600"/>
        </w:trPr>
        <w:tc>
          <w:tcPr>
            <w:tcW w:w="3016" w:type="dxa"/>
            <w:tcBorders>
              <w:top w:val="single" w:sz="4" w:space="0" w:color="auto"/>
              <w:left w:val="single" w:sz="4" w:space="0" w:color="auto"/>
              <w:bottom w:val="single" w:sz="4" w:space="0" w:color="auto"/>
              <w:right w:val="single" w:sz="4" w:space="0" w:color="auto"/>
            </w:tcBorders>
            <w:vAlign w:val="center"/>
          </w:tcPr>
          <w:p w14:paraId="3DF136B0" w14:textId="77777777" w:rsidR="00C33FCB" w:rsidRPr="008C64F4" w:rsidRDefault="00C33FCB" w:rsidP="00E35A21">
            <w:pPr>
              <w:ind w:firstLine="176"/>
            </w:pPr>
            <w:r w:rsidRPr="008C64F4">
              <w:rPr>
                <w:sz w:val="22"/>
                <w:szCs w:val="22"/>
              </w:rPr>
              <w:t xml:space="preserve">TEN (milj. </w:t>
            </w:r>
            <w:proofErr w:type="spellStart"/>
            <w:r w:rsidRPr="008C64F4">
              <w:rPr>
                <w:i/>
                <w:iCs/>
                <w:sz w:val="22"/>
                <w:szCs w:val="22"/>
              </w:rPr>
              <w:t>euro</w:t>
            </w:r>
            <w:proofErr w:type="spellEnd"/>
            <w:r w:rsidRPr="008C64F4">
              <w:rPr>
                <w:sz w:val="22"/>
                <w:szCs w:val="22"/>
              </w:rPr>
              <w:t>)</w:t>
            </w:r>
          </w:p>
        </w:tc>
        <w:tc>
          <w:tcPr>
            <w:tcW w:w="1266" w:type="dxa"/>
            <w:tcBorders>
              <w:top w:val="single" w:sz="4" w:space="0" w:color="auto"/>
              <w:left w:val="nil"/>
              <w:bottom w:val="single" w:sz="4" w:space="0" w:color="auto"/>
              <w:right w:val="single" w:sz="4" w:space="0" w:color="auto"/>
            </w:tcBorders>
            <w:noWrap/>
            <w:vAlign w:val="center"/>
          </w:tcPr>
          <w:p w14:paraId="69CBE1D1" w14:textId="77777777" w:rsidR="00C33FCB" w:rsidRPr="008C64F4" w:rsidRDefault="00C33FCB" w:rsidP="00E35A21">
            <w:pPr>
              <w:jc w:val="center"/>
              <w:rPr>
                <w:b/>
                <w:bCs/>
              </w:rPr>
            </w:pPr>
            <w:r w:rsidRPr="008C64F4">
              <w:rPr>
                <w:b/>
                <w:bCs/>
                <w:sz w:val="22"/>
                <w:szCs w:val="22"/>
              </w:rPr>
              <w:t>79.4</w:t>
            </w:r>
          </w:p>
        </w:tc>
        <w:tc>
          <w:tcPr>
            <w:tcW w:w="1438" w:type="dxa"/>
            <w:tcBorders>
              <w:top w:val="single" w:sz="4" w:space="0" w:color="auto"/>
              <w:left w:val="nil"/>
              <w:bottom w:val="single" w:sz="4" w:space="0" w:color="auto"/>
              <w:right w:val="single" w:sz="4" w:space="0" w:color="auto"/>
            </w:tcBorders>
            <w:noWrap/>
            <w:vAlign w:val="center"/>
          </w:tcPr>
          <w:p w14:paraId="4DA2EDA2" w14:textId="77777777" w:rsidR="00C33FCB" w:rsidRPr="008C64F4" w:rsidRDefault="00C33FCB" w:rsidP="00E35A21">
            <w:pPr>
              <w:jc w:val="center"/>
              <w:rPr>
                <w:b/>
                <w:bCs/>
              </w:rPr>
            </w:pPr>
            <w:r w:rsidRPr="008C64F4">
              <w:rPr>
                <w:b/>
                <w:bCs/>
                <w:sz w:val="22"/>
                <w:szCs w:val="22"/>
              </w:rPr>
              <w:t>83.7</w:t>
            </w:r>
          </w:p>
        </w:tc>
        <w:tc>
          <w:tcPr>
            <w:tcW w:w="1438" w:type="dxa"/>
            <w:tcBorders>
              <w:top w:val="single" w:sz="4" w:space="0" w:color="auto"/>
              <w:left w:val="nil"/>
              <w:bottom w:val="single" w:sz="4" w:space="0" w:color="auto"/>
              <w:right w:val="single" w:sz="4" w:space="0" w:color="auto"/>
            </w:tcBorders>
            <w:noWrap/>
            <w:vAlign w:val="center"/>
          </w:tcPr>
          <w:p w14:paraId="7E835077" w14:textId="77777777" w:rsidR="00C33FCB" w:rsidRPr="008C64F4" w:rsidRDefault="00C33FCB" w:rsidP="00E35A21">
            <w:pPr>
              <w:jc w:val="center"/>
              <w:rPr>
                <w:b/>
                <w:bCs/>
              </w:rPr>
            </w:pPr>
            <w:r w:rsidRPr="008C64F4">
              <w:rPr>
                <w:b/>
                <w:bCs/>
                <w:sz w:val="22"/>
                <w:szCs w:val="22"/>
              </w:rPr>
              <w:t>96.3</w:t>
            </w:r>
          </w:p>
        </w:tc>
        <w:tc>
          <w:tcPr>
            <w:tcW w:w="1871" w:type="dxa"/>
            <w:tcBorders>
              <w:top w:val="single" w:sz="4" w:space="0" w:color="auto"/>
              <w:left w:val="nil"/>
              <w:bottom w:val="single" w:sz="4" w:space="0" w:color="auto"/>
              <w:right w:val="single" w:sz="4" w:space="0" w:color="auto"/>
            </w:tcBorders>
            <w:noWrap/>
            <w:vAlign w:val="center"/>
          </w:tcPr>
          <w:p w14:paraId="0EB2E5A9" w14:textId="77777777" w:rsidR="00C33FCB" w:rsidRPr="008C64F4" w:rsidRDefault="00C33FCB" w:rsidP="00595724">
            <w:pPr>
              <w:jc w:val="center"/>
              <w:rPr>
                <w:b/>
                <w:bCs/>
              </w:rPr>
            </w:pPr>
            <w:r w:rsidRPr="008C64F4">
              <w:rPr>
                <w:b/>
                <w:bCs/>
                <w:sz w:val="22"/>
                <w:szCs w:val="22"/>
              </w:rPr>
              <w:t>10</w:t>
            </w:r>
            <w:r w:rsidR="00595724">
              <w:rPr>
                <w:b/>
                <w:bCs/>
                <w:sz w:val="22"/>
                <w:szCs w:val="22"/>
              </w:rPr>
              <w:t>3</w:t>
            </w:r>
            <w:r w:rsidRPr="008C64F4">
              <w:rPr>
                <w:b/>
                <w:bCs/>
                <w:sz w:val="22"/>
                <w:szCs w:val="22"/>
              </w:rPr>
              <w:t>.5</w:t>
            </w:r>
          </w:p>
        </w:tc>
      </w:tr>
      <w:tr w:rsidR="008C64F4" w:rsidRPr="008C64F4" w14:paraId="71ABF17D" w14:textId="77777777" w:rsidTr="00411B7E">
        <w:trPr>
          <w:trHeight w:val="600"/>
        </w:trPr>
        <w:tc>
          <w:tcPr>
            <w:tcW w:w="3016" w:type="dxa"/>
            <w:tcBorders>
              <w:top w:val="nil"/>
              <w:left w:val="single" w:sz="4" w:space="0" w:color="auto"/>
              <w:bottom w:val="single" w:sz="4" w:space="0" w:color="auto"/>
              <w:right w:val="single" w:sz="4" w:space="0" w:color="auto"/>
            </w:tcBorders>
            <w:vAlign w:val="center"/>
          </w:tcPr>
          <w:p w14:paraId="1757A171" w14:textId="77777777" w:rsidR="00C33FCB" w:rsidRPr="008C64F4" w:rsidRDefault="00C33FCB" w:rsidP="00E35A21">
            <w:pPr>
              <w:ind w:firstLine="176"/>
            </w:pPr>
            <w:r w:rsidRPr="008C64F4">
              <w:rPr>
                <w:sz w:val="22"/>
                <w:szCs w:val="22"/>
              </w:rPr>
              <w:t xml:space="preserve">Autoceļu lietošanas nodeva </w:t>
            </w:r>
            <w:r w:rsidRPr="008C64F4">
              <w:rPr>
                <w:i/>
                <w:iCs/>
                <w:sz w:val="22"/>
                <w:szCs w:val="22"/>
              </w:rPr>
              <w:t xml:space="preserve">(milj. </w:t>
            </w:r>
            <w:proofErr w:type="spellStart"/>
            <w:r w:rsidRPr="008C64F4">
              <w:rPr>
                <w:i/>
                <w:iCs/>
                <w:sz w:val="22"/>
                <w:szCs w:val="22"/>
              </w:rPr>
              <w:t>euro</w:t>
            </w:r>
            <w:proofErr w:type="spellEnd"/>
            <w:r w:rsidRPr="008C64F4">
              <w:rPr>
                <w:i/>
                <w:iCs/>
                <w:sz w:val="22"/>
                <w:szCs w:val="22"/>
              </w:rPr>
              <w:t>)</w:t>
            </w:r>
          </w:p>
        </w:tc>
        <w:tc>
          <w:tcPr>
            <w:tcW w:w="1266" w:type="dxa"/>
            <w:tcBorders>
              <w:top w:val="nil"/>
              <w:left w:val="nil"/>
              <w:bottom w:val="single" w:sz="4" w:space="0" w:color="auto"/>
              <w:right w:val="single" w:sz="4" w:space="0" w:color="auto"/>
            </w:tcBorders>
            <w:noWrap/>
            <w:vAlign w:val="center"/>
          </w:tcPr>
          <w:p w14:paraId="17D93329" w14:textId="77777777" w:rsidR="00C33FCB" w:rsidRPr="008C64F4" w:rsidRDefault="00C33FCB" w:rsidP="00E35A21">
            <w:pPr>
              <w:jc w:val="center"/>
              <w:rPr>
                <w:b/>
                <w:bCs/>
              </w:rPr>
            </w:pPr>
            <w:r w:rsidRPr="008C64F4">
              <w:rPr>
                <w:b/>
                <w:bCs/>
                <w:sz w:val="22"/>
                <w:szCs w:val="22"/>
              </w:rPr>
              <w:t>17.3</w:t>
            </w:r>
          </w:p>
        </w:tc>
        <w:tc>
          <w:tcPr>
            <w:tcW w:w="1438" w:type="dxa"/>
            <w:tcBorders>
              <w:top w:val="nil"/>
              <w:left w:val="nil"/>
              <w:bottom w:val="single" w:sz="4" w:space="0" w:color="auto"/>
              <w:right w:val="single" w:sz="4" w:space="0" w:color="auto"/>
            </w:tcBorders>
            <w:noWrap/>
            <w:vAlign w:val="center"/>
          </w:tcPr>
          <w:p w14:paraId="028C7C34" w14:textId="77777777" w:rsidR="00C33FCB" w:rsidRPr="008C64F4" w:rsidRDefault="00C33FCB" w:rsidP="00E35A21">
            <w:pPr>
              <w:jc w:val="center"/>
              <w:rPr>
                <w:b/>
                <w:bCs/>
              </w:rPr>
            </w:pPr>
            <w:r w:rsidRPr="008C64F4">
              <w:rPr>
                <w:b/>
                <w:bCs/>
                <w:sz w:val="22"/>
                <w:szCs w:val="22"/>
              </w:rPr>
              <w:t>18.3</w:t>
            </w:r>
          </w:p>
        </w:tc>
        <w:tc>
          <w:tcPr>
            <w:tcW w:w="1438" w:type="dxa"/>
            <w:tcBorders>
              <w:top w:val="nil"/>
              <w:left w:val="nil"/>
              <w:bottom w:val="single" w:sz="4" w:space="0" w:color="auto"/>
              <w:right w:val="single" w:sz="4" w:space="0" w:color="auto"/>
            </w:tcBorders>
            <w:noWrap/>
            <w:vAlign w:val="center"/>
          </w:tcPr>
          <w:p w14:paraId="6285876C" w14:textId="77777777" w:rsidR="00C33FCB" w:rsidRPr="008C64F4" w:rsidRDefault="00C33FCB" w:rsidP="00E35A21">
            <w:pPr>
              <w:jc w:val="center"/>
              <w:rPr>
                <w:b/>
                <w:bCs/>
              </w:rPr>
            </w:pPr>
            <w:r w:rsidRPr="008C64F4">
              <w:rPr>
                <w:b/>
                <w:bCs/>
                <w:sz w:val="22"/>
                <w:szCs w:val="22"/>
              </w:rPr>
              <w:t>27.8</w:t>
            </w:r>
          </w:p>
        </w:tc>
        <w:tc>
          <w:tcPr>
            <w:tcW w:w="1871" w:type="dxa"/>
            <w:tcBorders>
              <w:top w:val="nil"/>
              <w:left w:val="nil"/>
              <w:bottom w:val="single" w:sz="4" w:space="0" w:color="auto"/>
              <w:right w:val="single" w:sz="4" w:space="0" w:color="auto"/>
            </w:tcBorders>
            <w:noWrap/>
            <w:vAlign w:val="center"/>
          </w:tcPr>
          <w:p w14:paraId="37A936E6" w14:textId="77777777" w:rsidR="00C33FCB" w:rsidRPr="008C64F4" w:rsidRDefault="0049772E" w:rsidP="00E35A21">
            <w:pPr>
              <w:jc w:val="center"/>
            </w:pPr>
            <w:r>
              <w:rPr>
                <w:sz w:val="22"/>
                <w:szCs w:val="22"/>
              </w:rPr>
              <w:t>32.6</w:t>
            </w:r>
          </w:p>
        </w:tc>
      </w:tr>
      <w:tr w:rsidR="008C64F4" w:rsidRPr="008C64F4" w14:paraId="5A6B7C60" w14:textId="77777777" w:rsidTr="00411B7E">
        <w:trPr>
          <w:trHeight w:val="300"/>
        </w:trPr>
        <w:tc>
          <w:tcPr>
            <w:tcW w:w="3016" w:type="dxa"/>
            <w:tcBorders>
              <w:top w:val="nil"/>
              <w:left w:val="single" w:sz="4" w:space="0" w:color="auto"/>
              <w:bottom w:val="single" w:sz="4" w:space="0" w:color="auto"/>
              <w:right w:val="single" w:sz="4" w:space="0" w:color="auto"/>
            </w:tcBorders>
            <w:vAlign w:val="center"/>
          </w:tcPr>
          <w:p w14:paraId="6C5C43BD" w14:textId="77777777" w:rsidR="00C33FCB" w:rsidRPr="008C64F4" w:rsidRDefault="00C33FCB" w:rsidP="00E35A21">
            <w:pPr>
              <w:ind w:firstLine="176"/>
            </w:pPr>
            <w:r w:rsidRPr="008C64F4">
              <w:rPr>
                <w:sz w:val="22"/>
                <w:szCs w:val="22"/>
              </w:rPr>
              <w:t xml:space="preserve">AN naftas produktiem </w:t>
            </w:r>
            <w:r w:rsidRPr="008C64F4">
              <w:rPr>
                <w:i/>
                <w:iCs/>
                <w:sz w:val="22"/>
                <w:szCs w:val="22"/>
              </w:rPr>
              <w:t xml:space="preserve">(milj. </w:t>
            </w:r>
            <w:proofErr w:type="spellStart"/>
            <w:r w:rsidRPr="008C64F4">
              <w:rPr>
                <w:i/>
                <w:iCs/>
                <w:sz w:val="22"/>
                <w:szCs w:val="22"/>
              </w:rPr>
              <w:t>euro</w:t>
            </w:r>
            <w:proofErr w:type="spellEnd"/>
            <w:r w:rsidRPr="008C64F4">
              <w:rPr>
                <w:i/>
                <w:iCs/>
                <w:sz w:val="22"/>
                <w:szCs w:val="22"/>
              </w:rPr>
              <w:t>)</w:t>
            </w:r>
          </w:p>
        </w:tc>
        <w:tc>
          <w:tcPr>
            <w:tcW w:w="1266" w:type="dxa"/>
            <w:tcBorders>
              <w:top w:val="nil"/>
              <w:left w:val="nil"/>
              <w:bottom w:val="single" w:sz="4" w:space="0" w:color="auto"/>
              <w:right w:val="single" w:sz="4" w:space="0" w:color="auto"/>
            </w:tcBorders>
            <w:noWrap/>
            <w:vAlign w:val="center"/>
          </w:tcPr>
          <w:p w14:paraId="2A9FA944" w14:textId="77777777" w:rsidR="00C33FCB" w:rsidRPr="008C64F4" w:rsidRDefault="00C33FCB" w:rsidP="00E35A21">
            <w:pPr>
              <w:jc w:val="center"/>
              <w:rPr>
                <w:b/>
                <w:bCs/>
              </w:rPr>
            </w:pPr>
            <w:r w:rsidRPr="008C64F4">
              <w:rPr>
                <w:b/>
                <w:bCs/>
                <w:sz w:val="22"/>
                <w:szCs w:val="22"/>
              </w:rPr>
              <w:t>428.3</w:t>
            </w:r>
          </w:p>
        </w:tc>
        <w:tc>
          <w:tcPr>
            <w:tcW w:w="1438" w:type="dxa"/>
            <w:tcBorders>
              <w:top w:val="nil"/>
              <w:left w:val="nil"/>
              <w:bottom w:val="single" w:sz="4" w:space="0" w:color="auto"/>
              <w:right w:val="single" w:sz="4" w:space="0" w:color="auto"/>
            </w:tcBorders>
            <w:noWrap/>
            <w:vAlign w:val="center"/>
          </w:tcPr>
          <w:p w14:paraId="4A2D5611" w14:textId="77777777" w:rsidR="00C33FCB" w:rsidRPr="008C64F4" w:rsidRDefault="00C33FCB" w:rsidP="00E35A21">
            <w:pPr>
              <w:jc w:val="center"/>
              <w:rPr>
                <w:b/>
                <w:bCs/>
              </w:rPr>
            </w:pPr>
            <w:r w:rsidRPr="008C64F4">
              <w:rPr>
                <w:b/>
                <w:bCs/>
                <w:sz w:val="22"/>
                <w:szCs w:val="22"/>
              </w:rPr>
              <w:t>465.7</w:t>
            </w:r>
          </w:p>
        </w:tc>
        <w:tc>
          <w:tcPr>
            <w:tcW w:w="1438" w:type="dxa"/>
            <w:tcBorders>
              <w:top w:val="nil"/>
              <w:left w:val="nil"/>
              <w:bottom w:val="single" w:sz="4" w:space="0" w:color="auto"/>
              <w:right w:val="single" w:sz="4" w:space="0" w:color="auto"/>
            </w:tcBorders>
            <w:noWrap/>
            <w:vAlign w:val="center"/>
          </w:tcPr>
          <w:p w14:paraId="484BA523" w14:textId="77777777" w:rsidR="00C33FCB" w:rsidRPr="008C64F4" w:rsidRDefault="00C33FCB" w:rsidP="00E35A21">
            <w:pPr>
              <w:jc w:val="center"/>
            </w:pPr>
            <w:r w:rsidRPr="008C64F4">
              <w:rPr>
                <w:sz w:val="22"/>
                <w:szCs w:val="22"/>
              </w:rPr>
              <w:t>479.2</w:t>
            </w:r>
          </w:p>
        </w:tc>
        <w:tc>
          <w:tcPr>
            <w:tcW w:w="1871" w:type="dxa"/>
            <w:tcBorders>
              <w:top w:val="nil"/>
              <w:left w:val="nil"/>
              <w:bottom w:val="single" w:sz="4" w:space="0" w:color="auto"/>
              <w:right w:val="single" w:sz="4" w:space="0" w:color="auto"/>
            </w:tcBorders>
            <w:noWrap/>
            <w:vAlign w:val="center"/>
          </w:tcPr>
          <w:p w14:paraId="190B1D30" w14:textId="15ABEF60" w:rsidR="00C33FCB" w:rsidRPr="008C64F4" w:rsidRDefault="0049772E" w:rsidP="0049772E">
            <w:pPr>
              <w:jc w:val="center"/>
            </w:pPr>
            <w:r w:rsidRPr="008C64F4">
              <w:rPr>
                <w:sz w:val="22"/>
                <w:szCs w:val="22"/>
              </w:rPr>
              <w:t>5</w:t>
            </w:r>
            <w:r>
              <w:rPr>
                <w:sz w:val="22"/>
                <w:szCs w:val="22"/>
              </w:rPr>
              <w:t>49</w:t>
            </w:r>
            <w:r w:rsidR="00BE7345">
              <w:rPr>
                <w:sz w:val="22"/>
                <w:szCs w:val="22"/>
              </w:rPr>
              <w:t>,4</w:t>
            </w:r>
          </w:p>
        </w:tc>
      </w:tr>
      <w:tr w:rsidR="008C64F4" w:rsidRPr="008C64F4" w14:paraId="26D5C1E9" w14:textId="77777777" w:rsidTr="00411B7E">
        <w:trPr>
          <w:trHeight w:val="315"/>
        </w:trPr>
        <w:tc>
          <w:tcPr>
            <w:tcW w:w="3016" w:type="dxa"/>
            <w:tcBorders>
              <w:top w:val="nil"/>
              <w:left w:val="single" w:sz="4" w:space="0" w:color="auto"/>
              <w:bottom w:val="single" w:sz="4" w:space="0" w:color="auto"/>
              <w:right w:val="single" w:sz="4" w:space="0" w:color="auto"/>
            </w:tcBorders>
            <w:shd w:val="clear" w:color="000000" w:fill="D9D9D9"/>
            <w:noWrap/>
            <w:vAlign w:val="center"/>
          </w:tcPr>
          <w:p w14:paraId="688F42B8" w14:textId="77777777" w:rsidR="00C33FCB" w:rsidRPr="008C64F4" w:rsidRDefault="00C33FCB" w:rsidP="00E35A21">
            <w:pPr>
              <w:ind w:firstLine="176"/>
              <w:rPr>
                <w:b/>
                <w:bCs/>
              </w:rPr>
            </w:pPr>
            <w:r w:rsidRPr="008C64F4">
              <w:rPr>
                <w:b/>
                <w:bCs/>
                <w:sz w:val="22"/>
                <w:szCs w:val="22"/>
              </w:rPr>
              <w:t xml:space="preserve">Kopā ceļu lietotāju samaksātie nodokļi </w:t>
            </w:r>
            <w:r w:rsidRPr="008C64F4">
              <w:rPr>
                <w:b/>
                <w:bCs/>
                <w:i/>
                <w:iCs/>
                <w:sz w:val="22"/>
                <w:szCs w:val="22"/>
              </w:rPr>
              <w:t xml:space="preserve">(milj. </w:t>
            </w:r>
            <w:proofErr w:type="spellStart"/>
            <w:r w:rsidRPr="008C64F4">
              <w:rPr>
                <w:b/>
                <w:bCs/>
                <w:i/>
                <w:iCs/>
                <w:sz w:val="22"/>
                <w:szCs w:val="22"/>
              </w:rPr>
              <w:t>euro</w:t>
            </w:r>
            <w:proofErr w:type="spellEnd"/>
            <w:r w:rsidRPr="008C64F4">
              <w:rPr>
                <w:b/>
                <w:bCs/>
                <w:i/>
                <w:iCs/>
                <w:sz w:val="22"/>
                <w:szCs w:val="22"/>
              </w:rPr>
              <w:t>):</w:t>
            </w:r>
          </w:p>
        </w:tc>
        <w:tc>
          <w:tcPr>
            <w:tcW w:w="1266" w:type="dxa"/>
            <w:tcBorders>
              <w:top w:val="nil"/>
              <w:left w:val="nil"/>
              <w:bottom w:val="single" w:sz="4" w:space="0" w:color="auto"/>
              <w:right w:val="single" w:sz="4" w:space="0" w:color="auto"/>
            </w:tcBorders>
            <w:shd w:val="clear" w:color="000000" w:fill="D9D9D9"/>
            <w:noWrap/>
            <w:vAlign w:val="center"/>
          </w:tcPr>
          <w:p w14:paraId="5AFF707F" w14:textId="77777777" w:rsidR="00C33FCB" w:rsidRPr="008C64F4" w:rsidRDefault="00C33FCB" w:rsidP="00E35A21">
            <w:pPr>
              <w:jc w:val="center"/>
              <w:rPr>
                <w:b/>
                <w:bCs/>
              </w:rPr>
            </w:pPr>
            <w:r w:rsidRPr="008C64F4">
              <w:rPr>
                <w:b/>
                <w:bCs/>
                <w:sz w:val="22"/>
                <w:szCs w:val="22"/>
              </w:rPr>
              <w:t>525.0</w:t>
            </w:r>
          </w:p>
        </w:tc>
        <w:tc>
          <w:tcPr>
            <w:tcW w:w="1438" w:type="dxa"/>
            <w:tcBorders>
              <w:top w:val="nil"/>
              <w:left w:val="nil"/>
              <w:bottom w:val="single" w:sz="4" w:space="0" w:color="auto"/>
              <w:right w:val="single" w:sz="4" w:space="0" w:color="auto"/>
            </w:tcBorders>
            <w:shd w:val="clear" w:color="000000" w:fill="D9D9D9"/>
            <w:noWrap/>
            <w:vAlign w:val="center"/>
          </w:tcPr>
          <w:p w14:paraId="148BA84F" w14:textId="77777777" w:rsidR="00C33FCB" w:rsidRPr="008C64F4" w:rsidRDefault="00C33FCB" w:rsidP="00E35A21">
            <w:pPr>
              <w:jc w:val="center"/>
              <w:rPr>
                <w:b/>
                <w:bCs/>
              </w:rPr>
            </w:pPr>
            <w:r w:rsidRPr="008C64F4">
              <w:rPr>
                <w:b/>
                <w:bCs/>
                <w:sz w:val="22"/>
                <w:szCs w:val="22"/>
              </w:rPr>
              <w:t>567.7</w:t>
            </w:r>
          </w:p>
        </w:tc>
        <w:tc>
          <w:tcPr>
            <w:tcW w:w="1438" w:type="dxa"/>
            <w:tcBorders>
              <w:top w:val="nil"/>
              <w:left w:val="nil"/>
              <w:bottom w:val="single" w:sz="4" w:space="0" w:color="auto"/>
              <w:right w:val="single" w:sz="4" w:space="0" w:color="auto"/>
            </w:tcBorders>
            <w:shd w:val="clear" w:color="000000" w:fill="D9D9D9"/>
            <w:noWrap/>
            <w:vAlign w:val="center"/>
          </w:tcPr>
          <w:p w14:paraId="4CC48EF4" w14:textId="77777777" w:rsidR="00C33FCB" w:rsidRPr="008C64F4" w:rsidRDefault="00C33FCB" w:rsidP="00E35A21">
            <w:pPr>
              <w:jc w:val="center"/>
              <w:rPr>
                <w:b/>
                <w:bCs/>
              </w:rPr>
            </w:pPr>
            <w:r w:rsidRPr="008C64F4">
              <w:rPr>
                <w:b/>
                <w:bCs/>
                <w:sz w:val="22"/>
                <w:szCs w:val="22"/>
              </w:rPr>
              <w:t>603.3</w:t>
            </w:r>
          </w:p>
        </w:tc>
        <w:tc>
          <w:tcPr>
            <w:tcW w:w="1871" w:type="dxa"/>
            <w:tcBorders>
              <w:top w:val="nil"/>
              <w:left w:val="nil"/>
              <w:bottom w:val="single" w:sz="4" w:space="0" w:color="auto"/>
              <w:right w:val="single" w:sz="4" w:space="0" w:color="auto"/>
            </w:tcBorders>
            <w:shd w:val="clear" w:color="000000" w:fill="D9D9D9"/>
            <w:noWrap/>
            <w:vAlign w:val="center"/>
          </w:tcPr>
          <w:p w14:paraId="2BACFF95" w14:textId="307CC93F" w:rsidR="00C33FCB" w:rsidRPr="008C64F4" w:rsidRDefault="0049772E" w:rsidP="00595724">
            <w:pPr>
              <w:jc w:val="center"/>
              <w:rPr>
                <w:b/>
                <w:bCs/>
              </w:rPr>
            </w:pPr>
            <w:r>
              <w:rPr>
                <w:b/>
                <w:bCs/>
                <w:sz w:val="22"/>
                <w:szCs w:val="22"/>
              </w:rPr>
              <w:t>68</w:t>
            </w:r>
            <w:r w:rsidR="00595724">
              <w:rPr>
                <w:b/>
                <w:bCs/>
                <w:sz w:val="22"/>
                <w:szCs w:val="22"/>
              </w:rPr>
              <w:t>5</w:t>
            </w:r>
            <w:r w:rsidR="00081FB6">
              <w:rPr>
                <w:b/>
                <w:bCs/>
                <w:sz w:val="22"/>
                <w:szCs w:val="22"/>
              </w:rPr>
              <w:t>,</w:t>
            </w:r>
            <w:r w:rsidR="00BE7345">
              <w:rPr>
                <w:b/>
                <w:bCs/>
                <w:sz w:val="22"/>
                <w:szCs w:val="22"/>
              </w:rPr>
              <w:t>5</w:t>
            </w:r>
          </w:p>
        </w:tc>
      </w:tr>
      <w:tr w:rsidR="008C64F4" w:rsidRPr="008C64F4" w14:paraId="3E0B116C" w14:textId="77777777" w:rsidTr="00411B7E">
        <w:trPr>
          <w:trHeight w:val="315"/>
        </w:trPr>
        <w:tc>
          <w:tcPr>
            <w:tcW w:w="3016" w:type="dxa"/>
            <w:tcBorders>
              <w:top w:val="nil"/>
              <w:left w:val="single" w:sz="4" w:space="0" w:color="auto"/>
              <w:bottom w:val="single" w:sz="4" w:space="0" w:color="auto"/>
              <w:right w:val="single" w:sz="4" w:space="0" w:color="auto"/>
            </w:tcBorders>
            <w:shd w:val="clear" w:color="000000" w:fill="D9D9D9"/>
            <w:noWrap/>
            <w:vAlign w:val="bottom"/>
          </w:tcPr>
          <w:p w14:paraId="717CC5C2" w14:textId="77777777" w:rsidR="00C33FCB" w:rsidRPr="008C64F4" w:rsidRDefault="00C33FCB" w:rsidP="008A66BA">
            <w:pPr>
              <w:ind w:left="720"/>
              <w:rPr>
                <w:b/>
                <w:bCs/>
              </w:rPr>
            </w:pPr>
            <w:r w:rsidRPr="008C64F4">
              <w:rPr>
                <w:b/>
                <w:bCs/>
                <w:sz w:val="22"/>
                <w:szCs w:val="22"/>
              </w:rPr>
              <w:t xml:space="preserve">Kopā VACF (23.00.00) </w:t>
            </w:r>
          </w:p>
        </w:tc>
        <w:tc>
          <w:tcPr>
            <w:tcW w:w="1266" w:type="dxa"/>
            <w:tcBorders>
              <w:top w:val="nil"/>
              <w:left w:val="nil"/>
              <w:bottom w:val="single" w:sz="4" w:space="0" w:color="auto"/>
              <w:right w:val="single" w:sz="4" w:space="0" w:color="auto"/>
            </w:tcBorders>
            <w:shd w:val="clear" w:color="000000" w:fill="D9D9D9"/>
            <w:noWrap/>
            <w:vAlign w:val="center"/>
          </w:tcPr>
          <w:p w14:paraId="5ABB9391" w14:textId="77777777" w:rsidR="00C33FCB" w:rsidRPr="008C64F4" w:rsidRDefault="00C33FCB" w:rsidP="003951CD">
            <w:pPr>
              <w:jc w:val="center"/>
              <w:rPr>
                <w:b/>
              </w:rPr>
            </w:pPr>
            <w:r w:rsidRPr="008C64F4">
              <w:rPr>
                <w:b/>
                <w:sz w:val="22"/>
                <w:szCs w:val="22"/>
              </w:rPr>
              <w:t>187,5</w:t>
            </w:r>
          </w:p>
        </w:tc>
        <w:tc>
          <w:tcPr>
            <w:tcW w:w="1438" w:type="dxa"/>
            <w:tcBorders>
              <w:top w:val="nil"/>
              <w:left w:val="nil"/>
              <w:bottom w:val="single" w:sz="4" w:space="0" w:color="auto"/>
              <w:right w:val="single" w:sz="4" w:space="0" w:color="auto"/>
            </w:tcBorders>
            <w:shd w:val="clear" w:color="000000" w:fill="D9D9D9"/>
            <w:noWrap/>
            <w:vAlign w:val="center"/>
          </w:tcPr>
          <w:p w14:paraId="691917B0" w14:textId="77777777" w:rsidR="00C33FCB" w:rsidRPr="008C64F4" w:rsidRDefault="00C33FCB" w:rsidP="003951CD">
            <w:pPr>
              <w:jc w:val="center"/>
              <w:rPr>
                <w:b/>
              </w:rPr>
            </w:pPr>
            <w:r w:rsidRPr="008C64F4">
              <w:rPr>
                <w:b/>
                <w:sz w:val="22"/>
                <w:szCs w:val="22"/>
              </w:rPr>
              <w:t>194,6</w:t>
            </w:r>
          </w:p>
        </w:tc>
        <w:tc>
          <w:tcPr>
            <w:tcW w:w="1438" w:type="dxa"/>
            <w:tcBorders>
              <w:top w:val="nil"/>
              <w:left w:val="nil"/>
              <w:bottom w:val="single" w:sz="4" w:space="0" w:color="auto"/>
              <w:right w:val="single" w:sz="4" w:space="0" w:color="auto"/>
            </w:tcBorders>
            <w:shd w:val="clear" w:color="000000" w:fill="D9D9D9"/>
            <w:noWrap/>
            <w:vAlign w:val="center"/>
          </w:tcPr>
          <w:p w14:paraId="02AE9801" w14:textId="77777777" w:rsidR="00C33FCB" w:rsidRPr="008C64F4" w:rsidRDefault="00C33FCB" w:rsidP="003951CD">
            <w:pPr>
              <w:jc w:val="center"/>
              <w:rPr>
                <w:b/>
              </w:rPr>
            </w:pPr>
            <w:r w:rsidRPr="008C64F4">
              <w:rPr>
                <w:b/>
                <w:sz w:val="22"/>
                <w:szCs w:val="22"/>
              </w:rPr>
              <w:t>207,9</w:t>
            </w:r>
          </w:p>
        </w:tc>
        <w:tc>
          <w:tcPr>
            <w:tcW w:w="1871" w:type="dxa"/>
            <w:tcBorders>
              <w:top w:val="nil"/>
              <w:left w:val="nil"/>
              <w:bottom w:val="single" w:sz="4" w:space="0" w:color="auto"/>
              <w:right w:val="single" w:sz="4" w:space="0" w:color="auto"/>
            </w:tcBorders>
            <w:shd w:val="clear" w:color="000000" w:fill="D9D9D9"/>
            <w:noWrap/>
            <w:vAlign w:val="center"/>
          </w:tcPr>
          <w:p w14:paraId="7F0A0266" w14:textId="77777777" w:rsidR="00C33FCB" w:rsidRPr="008C64F4" w:rsidRDefault="00587B4E" w:rsidP="003951CD">
            <w:pPr>
              <w:ind w:left="110"/>
              <w:jc w:val="center"/>
              <w:rPr>
                <w:b/>
              </w:rPr>
            </w:pPr>
            <w:r>
              <w:rPr>
                <w:b/>
                <w:sz w:val="22"/>
                <w:szCs w:val="22"/>
              </w:rPr>
              <w:t>233</w:t>
            </w:r>
            <w:r w:rsidR="00C33FCB" w:rsidRPr="008C64F4">
              <w:rPr>
                <w:b/>
                <w:sz w:val="22"/>
                <w:szCs w:val="22"/>
              </w:rPr>
              <w:t>,</w:t>
            </w:r>
            <w:r>
              <w:rPr>
                <w:b/>
                <w:sz w:val="22"/>
                <w:szCs w:val="22"/>
              </w:rPr>
              <w:t>1</w:t>
            </w:r>
          </w:p>
        </w:tc>
      </w:tr>
    </w:tbl>
    <w:p w14:paraId="49A82B49" w14:textId="77777777" w:rsidR="00C33FCB" w:rsidRDefault="00C33FCB" w:rsidP="005B1280">
      <w:r w:rsidRPr="008C64F4">
        <w:t>*</w:t>
      </w:r>
      <w:r w:rsidR="00587B4E">
        <w:t xml:space="preserve"> </w:t>
      </w:r>
      <w:r w:rsidRPr="008C64F4">
        <w:t xml:space="preserve">saskaņā ar likumu </w:t>
      </w:r>
      <w:r w:rsidR="00587B4E" w:rsidRPr="00587B4E">
        <w:t>“Par valsts budžetu 2017.gadam”</w:t>
      </w:r>
      <w:r w:rsidR="00587B4E">
        <w:t>.</w:t>
      </w:r>
    </w:p>
    <w:p w14:paraId="53915B32" w14:textId="77777777" w:rsidR="00587B4E" w:rsidRPr="008C64F4" w:rsidRDefault="00587B4E" w:rsidP="005B1280">
      <w:r>
        <w:t xml:space="preserve">** </w:t>
      </w:r>
      <w:r w:rsidRPr="00587B4E">
        <w:t xml:space="preserve">saskaņā ar Ministru kabineta 2016.gada 20.decembra sēdes </w:t>
      </w:r>
      <w:proofErr w:type="spellStart"/>
      <w:r w:rsidRPr="00587B4E">
        <w:t>protokollēmuma</w:t>
      </w:r>
      <w:proofErr w:type="spellEnd"/>
      <w:r w:rsidRPr="00587B4E">
        <w:t xml:space="preserve"> (prot. Nr.69 82.§) 4.punktu un Ministru kabineta 2017.gada 11.aprīļa sēdes </w:t>
      </w:r>
      <w:proofErr w:type="spellStart"/>
      <w:r w:rsidRPr="00587B4E">
        <w:t>protokollēmuma</w:t>
      </w:r>
      <w:proofErr w:type="spellEnd"/>
      <w:r w:rsidRPr="00587B4E">
        <w:t xml:space="preserve"> (prot. Nr.19 35.§) 6.punktu.</w:t>
      </w:r>
    </w:p>
    <w:p w14:paraId="0A64788A" w14:textId="77777777" w:rsidR="003951CD" w:rsidRDefault="003951CD" w:rsidP="005316BA">
      <w:pPr>
        <w:ind w:firstLine="567"/>
        <w:jc w:val="both"/>
        <w:rPr>
          <w:lang w:eastAsia="en-US"/>
        </w:rPr>
      </w:pPr>
    </w:p>
    <w:p w14:paraId="4B7104C6" w14:textId="77777777" w:rsidR="00C33FCB" w:rsidRDefault="003951CD" w:rsidP="005316BA">
      <w:pPr>
        <w:ind w:firstLine="567"/>
        <w:jc w:val="both"/>
        <w:rPr>
          <w:lang w:eastAsia="en-US"/>
        </w:rPr>
      </w:pPr>
      <w:r w:rsidRPr="007D470E">
        <w:rPr>
          <w:lang w:eastAsia="en-US"/>
        </w:rPr>
        <w:t xml:space="preserve">Ņemot vērā iepriekš minēto, ir </w:t>
      </w:r>
      <w:r w:rsidRPr="00411B7E">
        <w:rPr>
          <w:b/>
          <w:u w:val="single"/>
          <w:lang w:eastAsia="en-US"/>
        </w:rPr>
        <w:t>izvirzāms mērķis</w:t>
      </w:r>
      <w:r w:rsidRPr="007D470E">
        <w:rPr>
          <w:lang w:eastAsia="en-US"/>
        </w:rPr>
        <w:t xml:space="preserve"> – ceļu lietotāju samaksātos nodokļus </w:t>
      </w:r>
      <w:r w:rsidRPr="00264E33">
        <w:rPr>
          <w:lang w:eastAsia="en-US"/>
        </w:rPr>
        <w:t>un nodevas novirzīt ceļiem</w:t>
      </w:r>
      <w:r w:rsidRPr="00A86DC3">
        <w:rPr>
          <w:lang w:eastAsia="en-US"/>
        </w:rPr>
        <w:t xml:space="preserve">, pakāpeniski palielinot kopējo valsts budžeta finansējumu valsts autoceļiem vismaz līdz </w:t>
      </w:r>
      <w:r w:rsidR="00EA0D9C">
        <w:rPr>
          <w:lang w:eastAsia="en-US"/>
        </w:rPr>
        <w:t>11</w:t>
      </w:r>
      <w:r w:rsidR="00264E33" w:rsidRPr="00A86DC3">
        <w:rPr>
          <w:lang w:eastAsia="en-US"/>
        </w:rPr>
        <w:t>. tabulā norādītajam</w:t>
      </w:r>
      <w:r w:rsidR="00C06961">
        <w:rPr>
          <w:lang w:eastAsia="en-US"/>
        </w:rPr>
        <w:t xml:space="preserve"> finansējuma</w:t>
      </w:r>
      <w:r w:rsidR="00264E33" w:rsidRPr="00A86DC3">
        <w:rPr>
          <w:lang w:eastAsia="en-US"/>
        </w:rPr>
        <w:t xml:space="preserve"> </w:t>
      </w:r>
      <w:r w:rsidR="009B1DAE" w:rsidRPr="00472973">
        <w:rPr>
          <w:lang w:eastAsia="en-US"/>
        </w:rPr>
        <w:t>apmēram</w:t>
      </w:r>
      <w:r w:rsidR="00C06961">
        <w:rPr>
          <w:lang w:eastAsia="en-US"/>
        </w:rPr>
        <w:t xml:space="preserve"> (ieskaitot mērķdotāciju pašvaldību ceļiem vismaz 25 % apmērā)</w:t>
      </w:r>
      <w:r w:rsidR="009B1DAE" w:rsidRPr="00472973">
        <w:rPr>
          <w:lang w:eastAsia="en-US"/>
        </w:rPr>
        <w:t>, kas nepieciešam</w:t>
      </w:r>
      <w:r w:rsidR="00264E33" w:rsidRPr="00472973">
        <w:rPr>
          <w:lang w:eastAsia="en-US"/>
        </w:rPr>
        <w:t xml:space="preserve">s, lai virzītos uz </w:t>
      </w:r>
      <w:r w:rsidR="00A86DC3">
        <w:rPr>
          <w:lang w:eastAsia="en-US"/>
        </w:rPr>
        <w:t>Satiksmes ministrijas izvirzītajiem mērķiem</w:t>
      </w:r>
      <w:r w:rsidR="00264E33" w:rsidRPr="00472973">
        <w:rPr>
          <w:lang w:eastAsia="en-US"/>
        </w:rPr>
        <w:t xml:space="preserve"> </w:t>
      </w:r>
      <w:r w:rsidR="00E654DF" w:rsidRPr="00472973">
        <w:rPr>
          <w:color w:val="000000"/>
        </w:rPr>
        <w:t>valsts autoceļu stāvokļa uzlabošanai</w:t>
      </w:r>
      <w:r w:rsidR="00E654DF" w:rsidRPr="00E654DF">
        <w:rPr>
          <w:lang w:eastAsia="en-US"/>
        </w:rPr>
        <w:t xml:space="preserve"> </w:t>
      </w:r>
      <w:r w:rsidR="00264E33" w:rsidRPr="00472973">
        <w:rPr>
          <w:lang w:eastAsia="en-US"/>
        </w:rPr>
        <w:t>līdz 2030.gadam</w:t>
      </w:r>
      <w:r w:rsidR="00E654DF">
        <w:rPr>
          <w:lang w:eastAsia="en-US"/>
        </w:rPr>
        <w:t xml:space="preserve"> (</w:t>
      </w:r>
      <w:r w:rsidR="00EA0D9C">
        <w:rPr>
          <w:lang w:eastAsia="en-US"/>
        </w:rPr>
        <w:t>7</w:t>
      </w:r>
      <w:r w:rsidR="00E654DF">
        <w:rPr>
          <w:lang w:eastAsia="en-US"/>
        </w:rPr>
        <w:t>.tabula)</w:t>
      </w:r>
      <w:r w:rsidRPr="00264E33">
        <w:rPr>
          <w:lang w:eastAsia="en-US"/>
        </w:rPr>
        <w:t>.</w:t>
      </w:r>
      <w:r w:rsidRPr="00A86DC3">
        <w:rPr>
          <w:lang w:eastAsia="en-US"/>
        </w:rPr>
        <w:t xml:space="preserve"> Tādēļ </w:t>
      </w:r>
      <w:r w:rsidR="00E654DF">
        <w:rPr>
          <w:lang w:eastAsia="en-US"/>
        </w:rPr>
        <w:t xml:space="preserve">nepieciešama stabila un ilgtspējīga autoceļu finansējuma plānošana, kas balstīta uz ciešu apņemšanos un normatīvajiem aktiem. Līdz ar to </w:t>
      </w:r>
      <w:r w:rsidRPr="00A86DC3">
        <w:rPr>
          <w:lang w:eastAsia="en-US"/>
        </w:rPr>
        <w:t xml:space="preserve">nepieciešams politisks lēmums par </w:t>
      </w:r>
      <w:r w:rsidR="00664D1C">
        <w:rPr>
          <w:lang w:eastAsia="en-US"/>
        </w:rPr>
        <w:t>Ceļu fonda kā speciālā budžeta atjaunošanu no 2020.gada un</w:t>
      </w:r>
      <w:r>
        <w:rPr>
          <w:lang w:eastAsia="en-US"/>
        </w:rPr>
        <w:t xml:space="preserve"> Ceļu fondam novirzāmo valsts budžeta ieņēmumu apmēru </w:t>
      </w:r>
      <w:r w:rsidRPr="007D470E">
        <w:rPr>
          <w:lang w:eastAsia="en-US"/>
        </w:rPr>
        <w:t>un konkrēt</w:t>
      </w:r>
      <w:r>
        <w:rPr>
          <w:lang w:eastAsia="en-US"/>
        </w:rPr>
        <w:t>a</w:t>
      </w:r>
      <w:r w:rsidRPr="007D470E">
        <w:rPr>
          <w:lang w:eastAsia="en-US"/>
        </w:rPr>
        <w:t xml:space="preserve"> skaitļos (procentos) izteikt</w:t>
      </w:r>
      <w:r>
        <w:rPr>
          <w:lang w:eastAsia="en-US"/>
        </w:rPr>
        <w:t>a</w:t>
      </w:r>
      <w:r w:rsidRPr="007D470E">
        <w:rPr>
          <w:lang w:eastAsia="en-US"/>
        </w:rPr>
        <w:t xml:space="preserve"> plān</w:t>
      </w:r>
      <w:r>
        <w:rPr>
          <w:lang w:eastAsia="en-US"/>
        </w:rPr>
        <w:t>a</w:t>
      </w:r>
      <w:r w:rsidRPr="007D470E">
        <w:rPr>
          <w:lang w:eastAsia="en-US"/>
        </w:rPr>
        <w:t>, kā pakāpeniski virzīties uz to, lai finansējums Ceļu fondam sasniedz likum</w:t>
      </w:r>
      <w:r>
        <w:rPr>
          <w:lang w:eastAsia="en-US"/>
        </w:rPr>
        <w:t>ā</w:t>
      </w:r>
      <w:r w:rsidRPr="007D470E">
        <w:rPr>
          <w:lang w:eastAsia="en-US"/>
        </w:rPr>
        <w:t xml:space="preserve"> “Par autoceļiem” noteikto apmēru</w:t>
      </w:r>
      <w:r>
        <w:rPr>
          <w:lang w:eastAsia="en-US"/>
        </w:rPr>
        <w:t>, apstiprināšanu. Satiksmes ministrijas ieskatā, Ceļu fondā būtu ieskaitāmi</w:t>
      </w:r>
      <w:r w:rsidRPr="007D470E">
        <w:rPr>
          <w:lang w:eastAsia="en-US"/>
        </w:rPr>
        <w:t xml:space="preserve"> </w:t>
      </w:r>
      <w:r w:rsidRPr="00CB033C">
        <w:rPr>
          <w:lang w:eastAsia="en-US"/>
        </w:rPr>
        <w:t xml:space="preserve">ieņēmumi no TEN, autoceļu lietošanas nodevas, lielgabarīta un smagsvara pārvadājumu atļaujas izsniegšanas </w:t>
      </w:r>
      <w:r w:rsidR="00795034" w:rsidRPr="00CB033C">
        <w:rPr>
          <w:lang w:eastAsia="en-US"/>
        </w:rPr>
        <w:t xml:space="preserve">valsts nodevas un </w:t>
      </w:r>
      <w:r w:rsidR="00BC7E52" w:rsidRPr="00CB033C">
        <w:rPr>
          <w:lang w:eastAsia="en-US"/>
        </w:rPr>
        <w:t xml:space="preserve">45 </w:t>
      </w:r>
      <w:r w:rsidR="00795034" w:rsidRPr="00CB033C">
        <w:rPr>
          <w:lang w:eastAsia="en-US"/>
        </w:rPr>
        <w:t>procenti no akcīzes nodokļa par naftas produktiem</w:t>
      </w:r>
      <w:r w:rsidR="00BC7E52" w:rsidRPr="00CB033C">
        <w:rPr>
          <w:lang w:eastAsia="en-US"/>
        </w:rPr>
        <w:t xml:space="preserve"> 2020.gadā, katru gadu akcīzes nodokļa par naftas produktiem novirzīšanu Ceļu fondam palielinot vismaz par </w:t>
      </w:r>
      <w:r w:rsidR="00E654DF" w:rsidRPr="00CB033C">
        <w:rPr>
          <w:lang w:eastAsia="en-US"/>
        </w:rPr>
        <w:t xml:space="preserve">2,5 </w:t>
      </w:r>
      <w:r w:rsidR="00B35BE9" w:rsidRPr="00CB033C">
        <w:rPr>
          <w:lang w:eastAsia="en-US"/>
        </w:rPr>
        <w:t>%</w:t>
      </w:r>
      <w:r w:rsidR="00E11377" w:rsidRPr="00CB033C">
        <w:rPr>
          <w:lang w:eastAsia="en-US"/>
        </w:rPr>
        <w:t xml:space="preserve"> (sk. </w:t>
      </w:r>
      <w:r w:rsidR="00EA0D9C" w:rsidRPr="00CB033C">
        <w:rPr>
          <w:lang w:eastAsia="en-US"/>
        </w:rPr>
        <w:t>11</w:t>
      </w:r>
      <w:r w:rsidR="00E11377" w:rsidRPr="00CB033C">
        <w:rPr>
          <w:lang w:eastAsia="en-US"/>
        </w:rPr>
        <w:t xml:space="preserve"> tabulu)</w:t>
      </w:r>
      <w:r w:rsidR="00795034" w:rsidRPr="00CB033C">
        <w:rPr>
          <w:lang w:eastAsia="en-US"/>
        </w:rPr>
        <w:t xml:space="preserve">. Ceļu fondā papildus var tikt ieskaitīti arī ES fondu līdzekļi un cits finansējums, ja tāds pieejams. </w:t>
      </w:r>
      <w:r w:rsidR="00BC7E52" w:rsidRPr="00CB033C">
        <w:rPr>
          <w:lang w:eastAsia="en-US"/>
        </w:rPr>
        <w:t>Pamatojoties uz iepriekš minēto, i</w:t>
      </w:r>
      <w:r w:rsidR="00795034" w:rsidRPr="00CB033C">
        <w:rPr>
          <w:lang w:eastAsia="en-US"/>
        </w:rPr>
        <w:t>r nepieciešams veikts atbilstošus grozījumus likumā “Par autoceļiem”.</w:t>
      </w:r>
    </w:p>
    <w:p w14:paraId="49D0F413" w14:textId="77777777" w:rsidR="00E11377" w:rsidRDefault="00EA0D9C" w:rsidP="00472973">
      <w:pPr>
        <w:ind w:firstLine="567"/>
        <w:jc w:val="right"/>
        <w:rPr>
          <w:lang w:eastAsia="en-US"/>
        </w:rPr>
      </w:pPr>
      <w:r>
        <w:rPr>
          <w:lang w:eastAsia="en-US"/>
        </w:rPr>
        <w:t>11</w:t>
      </w:r>
      <w:r w:rsidR="00E11377">
        <w:rPr>
          <w:lang w:eastAsia="en-US"/>
        </w:rPr>
        <w:t>.tabula</w:t>
      </w:r>
    </w:p>
    <w:p w14:paraId="70305610" w14:textId="77777777" w:rsidR="00E11377" w:rsidRPr="00472973" w:rsidRDefault="00E11377" w:rsidP="00472973">
      <w:pPr>
        <w:ind w:firstLine="567"/>
        <w:jc w:val="center"/>
        <w:rPr>
          <w:b/>
          <w:lang w:eastAsia="en-US"/>
        </w:rPr>
      </w:pPr>
      <w:r w:rsidRPr="00472973">
        <w:rPr>
          <w:b/>
          <w:lang w:eastAsia="en-US"/>
        </w:rPr>
        <w:t>Ceļu fondam novirzāmais finansējums 2020.-2030.gadā</w:t>
      </w:r>
    </w:p>
    <w:p w14:paraId="0962A9DD" w14:textId="77777777" w:rsidR="00E11377" w:rsidRDefault="00E11377" w:rsidP="005316BA">
      <w:pPr>
        <w:ind w:firstLine="567"/>
        <w:jc w:val="both"/>
        <w:rPr>
          <w:lang w:eastAsia="en-US"/>
        </w:rPr>
      </w:pPr>
    </w:p>
    <w:tbl>
      <w:tblPr>
        <w:tblW w:w="0" w:type="auto"/>
        <w:tblCellMar>
          <w:left w:w="0" w:type="dxa"/>
          <w:right w:w="0" w:type="dxa"/>
        </w:tblCellMar>
        <w:tblLook w:val="04A0" w:firstRow="1" w:lastRow="0" w:firstColumn="1" w:lastColumn="0" w:noHBand="0" w:noVBand="1"/>
      </w:tblPr>
      <w:tblGrid>
        <w:gridCol w:w="1620"/>
        <w:gridCol w:w="697"/>
        <w:gridCol w:w="697"/>
        <w:gridCol w:w="697"/>
        <w:gridCol w:w="697"/>
        <w:gridCol w:w="697"/>
        <w:gridCol w:w="697"/>
        <w:gridCol w:w="697"/>
        <w:gridCol w:w="697"/>
        <w:gridCol w:w="697"/>
        <w:gridCol w:w="697"/>
        <w:gridCol w:w="697"/>
      </w:tblGrid>
      <w:tr w:rsidR="00E11377" w:rsidRPr="00D507E5" w14:paraId="793EE346" w14:textId="77777777" w:rsidTr="003D7BB6">
        <w:trPr>
          <w:trHeight w:val="300"/>
        </w:trPr>
        <w:tc>
          <w:tcPr>
            <w:tcW w:w="1598" w:type="dxa"/>
            <w:tcBorders>
              <w:top w:val="nil"/>
              <w:left w:val="nil"/>
              <w:bottom w:val="single" w:sz="8" w:space="0" w:color="auto"/>
              <w:right w:val="single" w:sz="8" w:space="0" w:color="auto"/>
            </w:tcBorders>
            <w:noWrap/>
            <w:tcMar>
              <w:top w:w="0" w:type="dxa"/>
              <w:left w:w="108" w:type="dxa"/>
              <w:bottom w:w="0" w:type="dxa"/>
              <w:right w:w="108" w:type="dxa"/>
            </w:tcMar>
            <w:hideMark/>
          </w:tcPr>
          <w:p w14:paraId="291B351D" w14:textId="77777777" w:rsidR="00E11377" w:rsidRPr="00D507E5" w:rsidRDefault="00E11377" w:rsidP="00472973">
            <w:pPr>
              <w:rPr>
                <w:sz w:val="20"/>
                <w:szCs w:val="20"/>
              </w:rPr>
            </w:pP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3D16B5C" w14:textId="77777777" w:rsidR="00E11377" w:rsidRPr="00D507E5" w:rsidRDefault="00E11377" w:rsidP="00472973">
            <w:pPr>
              <w:rPr>
                <w:rFonts w:eastAsiaTheme="minorHAnsi"/>
                <w:b/>
                <w:bCs/>
                <w:sz w:val="20"/>
                <w:szCs w:val="20"/>
                <w:lang w:eastAsia="en-US"/>
              </w:rPr>
            </w:pPr>
            <w:r w:rsidRPr="00D507E5">
              <w:rPr>
                <w:b/>
                <w:bCs/>
                <w:sz w:val="20"/>
                <w:szCs w:val="20"/>
              </w:rPr>
              <w:t>2020</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4106962" w14:textId="77777777" w:rsidR="00E11377" w:rsidRPr="00D507E5" w:rsidRDefault="00E11377" w:rsidP="00472973">
            <w:pPr>
              <w:rPr>
                <w:rFonts w:eastAsiaTheme="minorHAnsi"/>
                <w:b/>
                <w:bCs/>
                <w:sz w:val="20"/>
                <w:szCs w:val="20"/>
                <w:lang w:eastAsia="en-US"/>
              </w:rPr>
            </w:pPr>
            <w:r w:rsidRPr="00D507E5">
              <w:rPr>
                <w:b/>
                <w:bCs/>
                <w:sz w:val="20"/>
                <w:szCs w:val="20"/>
              </w:rPr>
              <w:t>2021</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4A7C0F2" w14:textId="77777777" w:rsidR="00E11377" w:rsidRPr="00D507E5" w:rsidRDefault="00E11377" w:rsidP="00472973">
            <w:pPr>
              <w:rPr>
                <w:rFonts w:eastAsiaTheme="minorHAnsi"/>
                <w:b/>
                <w:bCs/>
                <w:sz w:val="20"/>
                <w:szCs w:val="20"/>
                <w:lang w:eastAsia="en-US"/>
              </w:rPr>
            </w:pPr>
            <w:r w:rsidRPr="00D507E5">
              <w:rPr>
                <w:b/>
                <w:bCs/>
                <w:sz w:val="20"/>
                <w:szCs w:val="20"/>
              </w:rPr>
              <w:t>2022</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A1F6C8" w14:textId="77777777" w:rsidR="00E11377" w:rsidRPr="00D507E5" w:rsidRDefault="00E11377" w:rsidP="00472973">
            <w:pPr>
              <w:rPr>
                <w:rFonts w:eastAsiaTheme="minorHAnsi"/>
                <w:b/>
                <w:bCs/>
                <w:sz w:val="20"/>
                <w:szCs w:val="20"/>
                <w:lang w:eastAsia="en-US"/>
              </w:rPr>
            </w:pPr>
            <w:r w:rsidRPr="00D507E5">
              <w:rPr>
                <w:b/>
                <w:bCs/>
                <w:sz w:val="20"/>
                <w:szCs w:val="20"/>
              </w:rPr>
              <w:t>2023</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851B97" w14:textId="77777777" w:rsidR="00E11377" w:rsidRPr="00D507E5" w:rsidRDefault="00E11377" w:rsidP="00472973">
            <w:pPr>
              <w:rPr>
                <w:rFonts w:eastAsiaTheme="minorHAnsi"/>
                <w:b/>
                <w:bCs/>
                <w:sz w:val="20"/>
                <w:szCs w:val="20"/>
                <w:lang w:eastAsia="en-US"/>
              </w:rPr>
            </w:pPr>
            <w:r w:rsidRPr="00D507E5">
              <w:rPr>
                <w:b/>
                <w:bCs/>
                <w:sz w:val="20"/>
                <w:szCs w:val="20"/>
              </w:rPr>
              <w:t>2024</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804DE5" w14:textId="77777777" w:rsidR="00E11377" w:rsidRPr="00D507E5" w:rsidRDefault="00E11377" w:rsidP="00472973">
            <w:pPr>
              <w:rPr>
                <w:rFonts w:eastAsiaTheme="minorHAnsi"/>
                <w:b/>
                <w:bCs/>
                <w:sz w:val="20"/>
                <w:szCs w:val="20"/>
                <w:lang w:eastAsia="en-US"/>
              </w:rPr>
            </w:pPr>
            <w:r w:rsidRPr="00D507E5">
              <w:rPr>
                <w:b/>
                <w:bCs/>
                <w:sz w:val="20"/>
                <w:szCs w:val="20"/>
              </w:rPr>
              <w:t>2025</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838FC18" w14:textId="77777777" w:rsidR="00E11377" w:rsidRPr="00D507E5" w:rsidRDefault="00E11377" w:rsidP="00472973">
            <w:pPr>
              <w:rPr>
                <w:rFonts w:eastAsiaTheme="minorHAnsi"/>
                <w:b/>
                <w:bCs/>
                <w:sz w:val="20"/>
                <w:szCs w:val="20"/>
                <w:lang w:eastAsia="en-US"/>
              </w:rPr>
            </w:pPr>
            <w:r w:rsidRPr="00D507E5">
              <w:rPr>
                <w:b/>
                <w:bCs/>
                <w:sz w:val="20"/>
                <w:szCs w:val="20"/>
              </w:rPr>
              <w:t>2026</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D2BFD82" w14:textId="77777777" w:rsidR="00E11377" w:rsidRPr="00D507E5" w:rsidRDefault="00E11377" w:rsidP="00472973">
            <w:pPr>
              <w:rPr>
                <w:rFonts w:eastAsiaTheme="minorHAnsi"/>
                <w:b/>
                <w:bCs/>
                <w:sz w:val="20"/>
                <w:szCs w:val="20"/>
                <w:lang w:eastAsia="en-US"/>
              </w:rPr>
            </w:pPr>
            <w:r w:rsidRPr="00D507E5">
              <w:rPr>
                <w:b/>
                <w:bCs/>
                <w:sz w:val="20"/>
                <w:szCs w:val="20"/>
              </w:rPr>
              <w:t>2027</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A9476F" w14:textId="77777777" w:rsidR="00E11377" w:rsidRPr="00D507E5" w:rsidRDefault="00E11377" w:rsidP="00472973">
            <w:pPr>
              <w:rPr>
                <w:rFonts w:eastAsiaTheme="minorHAnsi"/>
                <w:b/>
                <w:bCs/>
                <w:sz w:val="20"/>
                <w:szCs w:val="20"/>
                <w:lang w:eastAsia="en-US"/>
              </w:rPr>
            </w:pPr>
            <w:r w:rsidRPr="00D507E5">
              <w:rPr>
                <w:b/>
                <w:bCs/>
                <w:sz w:val="20"/>
                <w:szCs w:val="20"/>
              </w:rPr>
              <w:t>2028</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2633AF" w14:textId="77777777" w:rsidR="00E11377" w:rsidRPr="00D507E5" w:rsidRDefault="00E11377" w:rsidP="00472973">
            <w:pPr>
              <w:rPr>
                <w:rFonts w:eastAsiaTheme="minorHAnsi"/>
                <w:b/>
                <w:bCs/>
                <w:sz w:val="20"/>
                <w:szCs w:val="20"/>
                <w:lang w:eastAsia="en-US"/>
              </w:rPr>
            </w:pPr>
            <w:r w:rsidRPr="00D507E5">
              <w:rPr>
                <w:b/>
                <w:bCs/>
                <w:sz w:val="20"/>
                <w:szCs w:val="20"/>
              </w:rPr>
              <w:t>2029</w:t>
            </w:r>
          </w:p>
        </w:tc>
        <w:tc>
          <w:tcPr>
            <w:tcW w:w="6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99898F" w14:textId="77777777" w:rsidR="00E11377" w:rsidRPr="00D507E5" w:rsidRDefault="00E11377" w:rsidP="00472973">
            <w:pPr>
              <w:rPr>
                <w:rFonts w:eastAsiaTheme="minorHAnsi"/>
                <w:b/>
                <w:bCs/>
                <w:sz w:val="20"/>
                <w:szCs w:val="20"/>
                <w:lang w:eastAsia="en-US"/>
              </w:rPr>
            </w:pPr>
            <w:r w:rsidRPr="00D507E5">
              <w:rPr>
                <w:b/>
                <w:bCs/>
                <w:sz w:val="20"/>
                <w:szCs w:val="20"/>
              </w:rPr>
              <w:t>2030</w:t>
            </w:r>
          </w:p>
        </w:tc>
      </w:tr>
      <w:tr w:rsidR="00E11377" w:rsidRPr="00D507E5" w14:paraId="69ED3A23" w14:textId="77777777" w:rsidTr="003D7BB6">
        <w:trPr>
          <w:trHeight w:val="300"/>
        </w:trPr>
        <w:tc>
          <w:tcPr>
            <w:tcW w:w="1598"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7CA1FAB3"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Kopā samaksātais akcīzes nodoklis</w:t>
            </w:r>
            <w:r>
              <w:rPr>
                <w:color w:val="A6A6A6" w:themeColor="background1" w:themeShade="A6"/>
                <w:sz w:val="20"/>
                <w:szCs w:val="20"/>
              </w:rPr>
              <w:t xml:space="preserve">, milj. </w:t>
            </w:r>
            <w:proofErr w:type="spellStart"/>
            <w:r w:rsidRPr="00D507E5">
              <w:rPr>
                <w:i/>
                <w:color w:val="A6A6A6" w:themeColor="background1" w:themeShade="A6"/>
                <w:sz w:val="20"/>
                <w:szCs w:val="20"/>
              </w:rPr>
              <w:t>euro</w:t>
            </w:r>
            <w:proofErr w:type="spellEnd"/>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6D1B920C"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55BEBB49"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1123D323"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2667A39C"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70FC4C7E"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1A0F8027"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5FB40DBD"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198006FF"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5F99175D"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0F222381"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c>
          <w:tcPr>
            <w:tcW w:w="699" w:type="dxa"/>
            <w:tcBorders>
              <w:top w:val="nil"/>
              <w:left w:val="nil"/>
              <w:bottom w:val="single" w:sz="4" w:space="0" w:color="auto"/>
              <w:right w:val="single" w:sz="8" w:space="0" w:color="auto"/>
            </w:tcBorders>
            <w:noWrap/>
            <w:tcMar>
              <w:top w:w="0" w:type="dxa"/>
              <w:left w:w="108" w:type="dxa"/>
              <w:bottom w:w="0" w:type="dxa"/>
              <w:right w:w="108" w:type="dxa"/>
            </w:tcMar>
            <w:hideMark/>
          </w:tcPr>
          <w:p w14:paraId="2BB8C1BD" w14:textId="77777777" w:rsidR="00E11377" w:rsidRPr="00D507E5" w:rsidRDefault="00E11377" w:rsidP="00472973">
            <w:pPr>
              <w:rPr>
                <w:rFonts w:eastAsiaTheme="minorHAnsi"/>
                <w:color w:val="A6A6A6" w:themeColor="background1" w:themeShade="A6"/>
                <w:sz w:val="20"/>
                <w:szCs w:val="20"/>
                <w:lang w:eastAsia="en-US"/>
              </w:rPr>
            </w:pPr>
            <w:r w:rsidRPr="00D507E5">
              <w:rPr>
                <w:color w:val="A6A6A6" w:themeColor="background1" w:themeShade="A6"/>
                <w:sz w:val="20"/>
                <w:szCs w:val="20"/>
              </w:rPr>
              <w:t>630</w:t>
            </w:r>
          </w:p>
        </w:tc>
      </w:tr>
      <w:tr w:rsidR="00E11377" w:rsidRPr="00D507E5" w14:paraId="60DEC829" w14:textId="77777777" w:rsidTr="003D7BB6">
        <w:trPr>
          <w:trHeight w:val="300"/>
        </w:trPr>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CDC3FAF" w14:textId="77777777" w:rsidR="00E11377" w:rsidRPr="00D507E5" w:rsidRDefault="00E11377" w:rsidP="00472973">
            <w:pPr>
              <w:rPr>
                <w:rFonts w:eastAsiaTheme="minorHAnsi"/>
                <w:sz w:val="20"/>
                <w:szCs w:val="20"/>
                <w:lang w:eastAsia="en-US"/>
              </w:rPr>
            </w:pPr>
            <w:r w:rsidRPr="00D507E5">
              <w:rPr>
                <w:sz w:val="20"/>
                <w:szCs w:val="20"/>
              </w:rPr>
              <w:lastRenderedPageBreak/>
              <w:t>Akcīzes nodokļa %, kas novirzāms Ceļu fondā</w:t>
            </w:r>
            <w:r w:rsidR="00CB033C">
              <w:rPr>
                <w:sz w:val="20"/>
                <w:szCs w:val="20"/>
              </w:rPr>
              <w:t>, %</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883F6CA" w14:textId="77777777" w:rsidR="00E11377" w:rsidRPr="00D507E5" w:rsidRDefault="00E11377" w:rsidP="00CB033C">
            <w:pPr>
              <w:rPr>
                <w:rFonts w:eastAsiaTheme="minorHAnsi"/>
                <w:sz w:val="20"/>
                <w:szCs w:val="20"/>
                <w:lang w:eastAsia="en-US"/>
              </w:rPr>
            </w:pPr>
            <w:r w:rsidRPr="00D507E5">
              <w:rPr>
                <w:sz w:val="20"/>
                <w:szCs w:val="20"/>
              </w:rPr>
              <w:t>45,0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99F7189" w14:textId="77777777" w:rsidR="00E11377" w:rsidRPr="00D507E5" w:rsidRDefault="00E11377" w:rsidP="00CB033C">
            <w:pPr>
              <w:rPr>
                <w:rFonts w:eastAsiaTheme="minorHAnsi"/>
                <w:sz w:val="20"/>
                <w:szCs w:val="20"/>
                <w:lang w:eastAsia="en-US"/>
              </w:rPr>
            </w:pPr>
            <w:r w:rsidRPr="00D507E5">
              <w:rPr>
                <w:sz w:val="20"/>
                <w:szCs w:val="20"/>
              </w:rPr>
              <w:t>47,5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4D3598E" w14:textId="77777777" w:rsidR="00E11377" w:rsidRPr="00D507E5" w:rsidRDefault="00E11377" w:rsidP="00CB033C">
            <w:pPr>
              <w:rPr>
                <w:rFonts w:eastAsiaTheme="minorHAnsi"/>
                <w:sz w:val="20"/>
                <w:szCs w:val="20"/>
                <w:lang w:eastAsia="en-US"/>
              </w:rPr>
            </w:pPr>
            <w:r w:rsidRPr="00D507E5">
              <w:rPr>
                <w:sz w:val="20"/>
                <w:szCs w:val="20"/>
              </w:rPr>
              <w:t>50,0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B1F6CB0" w14:textId="77777777" w:rsidR="00E11377" w:rsidRPr="00D507E5" w:rsidRDefault="00E11377" w:rsidP="00CB033C">
            <w:pPr>
              <w:rPr>
                <w:rFonts w:eastAsiaTheme="minorHAnsi"/>
                <w:sz w:val="20"/>
                <w:szCs w:val="20"/>
                <w:lang w:eastAsia="en-US"/>
              </w:rPr>
            </w:pPr>
            <w:r w:rsidRPr="00D507E5">
              <w:rPr>
                <w:sz w:val="20"/>
                <w:szCs w:val="20"/>
              </w:rPr>
              <w:t>52,5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F995614" w14:textId="77777777" w:rsidR="00E11377" w:rsidRPr="00D507E5" w:rsidRDefault="00E11377" w:rsidP="00CB033C">
            <w:pPr>
              <w:rPr>
                <w:rFonts w:eastAsiaTheme="minorHAnsi"/>
                <w:sz w:val="20"/>
                <w:szCs w:val="20"/>
                <w:lang w:eastAsia="en-US"/>
              </w:rPr>
            </w:pPr>
            <w:r w:rsidRPr="00D507E5">
              <w:rPr>
                <w:sz w:val="20"/>
                <w:szCs w:val="20"/>
              </w:rPr>
              <w:t>55,0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8883BAB" w14:textId="77777777" w:rsidR="00E11377" w:rsidRPr="00D507E5" w:rsidRDefault="00E11377" w:rsidP="00CB033C">
            <w:pPr>
              <w:rPr>
                <w:rFonts w:eastAsiaTheme="minorHAnsi"/>
                <w:sz w:val="20"/>
                <w:szCs w:val="20"/>
                <w:lang w:eastAsia="en-US"/>
              </w:rPr>
            </w:pPr>
            <w:r w:rsidRPr="00D507E5">
              <w:rPr>
                <w:sz w:val="20"/>
                <w:szCs w:val="20"/>
              </w:rPr>
              <w:t>57,5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65F972" w14:textId="77777777" w:rsidR="00E11377" w:rsidRPr="00D507E5" w:rsidRDefault="00E11377" w:rsidP="00CB033C">
            <w:pPr>
              <w:rPr>
                <w:rFonts w:eastAsiaTheme="minorHAnsi"/>
                <w:sz w:val="20"/>
                <w:szCs w:val="20"/>
                <w:lang w:eastAsia="en-US"/>
              </w:rPr>
            </w:pPr>
            <w:r w:rsidRPr="00D507E5">
              <w:rPr>
                <w:sz w:val="20"/>
                <w:szCs w:val="20"/>
              </w:rPr>
              <w:t>60,0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C1F5A96" w14:textId="77777777" w:rsidR="00E11377" w:rsidRPr="00D507E5" w:rsidRDefault="00E11377" w:rsidP="00CB033C">
            <w:pPr>
              <w:rPr>
                <w:rFonts w:eastAsiaTheme="minorHAnsi"/>
                <w:sz w:val="20"/>
                <w:szCs w:val="20"/>
                <w:lang w:eastAsia="en-US"/>
              </w:rPr>
            </w:pPr>
            <w:r w:rsidRPr="00D507E5">
              <w:rPr>
                <w:sz w:val="20"/>
                <w:szCs w:val="20"/>
              </w:rPr>
              <w:t>62,5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9E313F8" w14:textId="77777777" w:rsidR="00E11377" w:rsidRPr="00D507E5" w:rsidRDefault="00E11377" w:rsidP="00CB033C">
            <w:pPr>
              <w:rPr>
                <w:rFonts w:eastAsiaTheme="minorHAnsi"/>
                <w:sz w:val="20"/>
                <w:szCs w:val="20"/>
                <w:lang w:eastAsia="en-US"/>
              </w:rPr>
            </w:pPr>
            <w:r w:rsidRPr="00D507E5">
              <w:rPr>
                <w:sz w:val="20"/>
                <w:szCs w:val="20"/>
              </w:rPr>
              <w:t>65,0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781E503" w14:textId="77777777" w:rsidR="00E11377" w:rsidRPr="00D507E5" w:rsidRDefault="00E11377" w:rsidP="00CB033C">
            <w:pPr>
              <w:rPr>
                <w:rFonts w:eastAsiaTheme="minorHAnsi"/>
                <w:sz w:val="20"/>
                <w:szCs w:val="20"/>
                <w:lang w:eastAsia="en-US"/>
              </w:rPr>
            </w:pPr>
            <w:r w:rsidRPr="00D507E5">
              <w:rPr>
                <w:sz w:val="20"/>
                <w:szCs w:val="20"/>
              </w:rPr>
              <w:t>67,5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D3B8EB7" w14:textId="77777777" w:rsidR="00E11377" w:rsidRPr="00D507E5" w:rsidRDefault="00E11377" w:rsidP="00CB033C">
            <w:pPr>
              <w:rPr>
                <w:rFonts w:eastAsiaTheme="minorHAnsi"/>
                <w:sz w:val="20"/>
                <w:szCs w:val="20"/>
                <w:lang w:eastAsia="en-US"/>
              </w:rPr>
            </w:pPr>
            <w:r w:rsidRPr="00D507E5">
              <w:rPr>
                <w:sz w:val="20"/>
                <w:szCs w:val="20"/>
              </w:rPr>
              <w:t>70,0</w:t>
            </w:r>
          </w:p>
        </w:tc>
      </w:tr>
      <w:tr w:rsidR="003D7BB6" w:rsidRPr="00D507E5" w14:paraId="5089CBB2" w14:textId="77777777" w:rsidTr="003D7BB6">
        <w:trPr>
          <w:trHeight w:val="300"/>
        </w:trPr>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B1CA40" w14:textId="77777777" w:rsidR="003D7BB6" w:rsidRPr="00D507E5" w:rsidRDefault="003D7BB6" w:rsidP="00472973">
            <w:pPr>
              <w:rPr>
                <w:sz w:val="20"/>
                <w:szCs w:val="20"/>
              </w:rPr>
            </w:pP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A8CEAC" w14:textId="77777777" w:rsidR="003D7BB6" w:rsidRPr="00D507E5" w:rsidRDefault="003D7BB6" w:rsidP="004E2E00">
            <w:pPr>
              <w:rPr>
                <w:rFonts w:eastAsiaTheme="minorHAnsi"/>
                <w:b/>
                <w:bCs/>
                <w:sz w:val="20"/>
                <w:szCs w:val="20"/>
                <w:lang w:eastAsia="en-US"/>
              </w:rPr>
            </w:pPr>
            <w:r w:rsidRPr="00D507E5">
              <w:rPr>
                <w:b/>
                <w:bCs/>
                <w:sz w:val="20"/>
                <w:szCs w:val="20"/>
              </w:rPr>
              <w:t>2020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0D52A8" w14:textId="77777777" w:rsidR="003D7BB6" w:rsidRPr="00D507E5" w:rsidRDefault="003D7BB6" w:rsidP="004E2E00">
            <w:pPr>
              <w:rPr>
                <w:rFonts w:eastAsiaTheme="minorHAnsi"/>
                <w:b/>
                <w:bCs/>
                <w:sz w:val="20"/>
                <w:szCs w:val="20"/>
                <w:lang w:eastAsia="en-US"/>
              </w:rPr>
            </w:pPr>
            <w:r w:rsidRPr="00D507E5">
              <w:rPr>
                <w:b/>
                <w:bCs/>
                <w:sz w:val="20"/>
                <w:szCs w:val="20"/>
              </w:rPr>
              <w:t>2021</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28DD62" w14:textId="77777777" w:rsidR="003D7BB6" w:rsidRPr="00D507E5" w:rsidRDefault="003D7BB6" w:rsidP="004E2E00">
            <w:pPr>
              <w:rPr>
                <w:rFonts w:eastAsiaTheme="minorHAnsi"/>
                <w:b/>
                <w:bCs/>
                <w:sz w:val="20"/>
                <w:szCs w:val="20"/>
                <w:lang w:eastAsia="en-US"/>
              </w:rPr>
            </w:pPr>
            <w:r w:rsidRPr="00D507E5">
              <w:rPr>
                <w:b/>
                <w:bCs/>
                <w:sz w:val="20"/>
                <w:szCs w:val="20"/>
              </w:rPr>
              <w:t>2022</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C1D716" w14:textId="77777777" w:rsidR="003D7BB6" w:rsidRPr="00D507E5" w:rsidRDefault="003D7BB6" w:rsidP="004E2E00">
            <w:pPr>
              <w:rPr>
                <w:rFonts w:eastAsiaTheme="minorHAnsi"/>
                <w:b/>
                <w:bCs/>
                <w:sz w:val="20"/>
                <w:szCs w:val="20"/>
                <w:lang w:eastAsia="en-US"/>
              </w:rPr>
            </w:pPr>
            <w:r w:rsidRPr="00D507E5">
              <w:rPr>
                <w:b/>
                <w:bCs/>
                <w:sz w:val="20"/>
                <w:szCs w:val="20"/>
              </w:rPr>
              <w:t>2023</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6542B5" w14:textId="77777777" w:rsidR="003D7BB6" w:rsidRPr="00D507E5" w:rsidRDefault="003D7BB6" w:rsidP="004E2E00">
            <w:pPr>
              <w:rPr>
                <w:rFonts w:eastAsiaTheme="minorHAnsi"/>
                <w:b/>
                <w:bCs/>
                <w:sz w:val="20"/>
                <w:szCs w:val="20"/>
                <w:lang w:eastAsia="en-US"/>
              </w:rPr>
            </w:pPr>
            <w:r w:rsidRPr="00D507E5">
              <w:rPr>
                <w:b/>
                <w:bCs/>
                <w:sz w:val="20"/>
                <w:szCs w:val="20"/>
              </w:rPr>
              <w:t>2024</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BCD9D0" w14:textId="77777777" w:rsidR="003D7BB6" w:rsidRPr="00D507E5" w:rsidRDefault="003D7BB6" w:rsidP="004E2E00">
            <w:pPr>
              <w:rPr>
                <w:rFonts w:eastAsiaTheme="minorHAnsi"/>
                <w:b/>
                <w:bCs/>
                <w:sz w:val="20"/>
                <w:szCs w:val="20"/>
                <w:lang w:eastAsia="en-US"/>
              </w:rPr>
            </w:pPr>
            <w:r w:rsidRPr="00D507E5">
              <w:rPr>
                <w:b/>
                <w:bCs/>
                <w:sz w:val="20"/>
                <w:szCs w:val="20"/>
              </w:rPr>
              <w:t>2025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FD0C61" w14:textId="77777777" w:rsidR="003D7BB6" w:rsidRPr="00D507E5" w:rsidRDefault="003D7BB6" w:rsidP="004E2E00">
            <w:pPr>
              <w:rPr>
                <w:rFonts w:eastAsiaTheme="minorHAnsi"/>
                <w:b/>
                <w:bCs/>
                <w:sz w:val="20"/>
                <w:szCs w:val="20"/>
                <w:lang w:eastAsia="en-US"/>
              </w:rPr>
            </w:pPr>
            <w:r w:rsidRPr="00D507E5">
              <w:rPr>
                <w:b/>
                <w:bCs/>
                <w:sz w:val="20"/>
                <w:szCs w:val="20"/>
              </w:rPr>
              <w:t>2026</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D0BCFB" w14:textId="77777777" w:rsidR="003D7BB6" w:rsidRPr="00D507E5" w:rsidRDefault="003D7BB6" w:rsidP="004E2E00">
            <w:pPr>
              <w:rPr>
                <w:rFonts w:eastAsiaTheme="minorHAnsi"/>
                <w:b/>
                <w:bCs/>
                <w:sz w:val="20"/>
                <w:szCs w:val="20"/>
                <w:lang w:eastAsia="en-US"/>
              </w:rPr>
            </w:pPr>
            <w:r w:rsidRPr="00D507E5">
              <w:rPr>
                <w:b/>
                <w:bCs/>
                <w:sz w:val="20"/>
                <w:szCs w:val="20"/>
              </w:rPr>
              <w:t>2027</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EEB78F" w14:textId="77777777" w:rsidR="003D7BB6" w:rsidRPr="00D507E5" w:rsidRDefault="003D7BB6" w:rsidP="004E2E00">
            <w:pPr>
              <w:rPr>
                <w:rFonts w:eastAsiaTheme="minorHAnsi"/>
                <w:b/>
                <w:bCs/>
                <w:sz w:val="20"/>
                <w:szCs w:val="20"/>
                <w:lang w:eastAsia="en-US"/>
              </w:rPr>
            </w:pPr>
            <w:r w:rsidRPr="00D507E5">
              <w:rPr>
                <w:b/>
                <w:bCs/>
                <w:sz w:val="20"/>
                <w:szCs w:val="20"/>
              </w:rPr>
              <w:t>2028</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04C2A3" w14:textId="77777777" w:rsidR="003D7BB6" w:rsidRPr="00D507E5" w:rsidRDefault="003D7BB6" w:rsidP="004E2E00">
            <w:pPr>
              <w:rPr>
                <w:rFonts w:eastAsiaTheme="minorHAnsi"/>
                <w:b/>
                <w:bCs/>
                <w:sz w:val="20"/>
                <w:szCs w:val="20"/>
                <w:lang w:eastAsia="en-US"/>
              </w:rPr>
            </w:pPr>
            <w:r w:rsidRPr="00D507E5">
              <w:rPr>
                <w:b/>
                <w:bCs/>
                <w:sz w:val="20"/>
                <w:szCs w:val="20"/>
              </w:rPr>
              <w:t>2029</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ABD150" w14:textId="77777777" w:rsidR="003D7BB6" w:rsidRPr="00D507E5" w:rsidRDefault="003D7BB6" w:rsidP="004E2E00">
            <w:pPr>
              <w:rPr>
                <w:rFonts w:eastAsiaTheme="minorHAnsi"/>
                <w:b/>
                <w:bCs/>
                <w:sz w:val="20"/>
                <w:szCs w:val="20"/>
                <w:lang w:eastAsia="en-US"/>
              </w:rPr>
            </w:pPr>
            <w:r w:rsidRPr="00D507E5">
              <w:rPr>
                <w:b/>
                <w:bCs/>
                <w:sz w:val="20"/>
                <w:szCs w:val="20"/>
              </w:rPr>
              <w:t>2030</w:t>
            </w:r>
          </w:p>
        </w:tc>
      </w:tr>
      <w:tr w:rsidR="003D7BB6" w:rsidRPr="00D507E5" w14:paraId="55F85262" w14:textId="77777777" w:rsidTr="003D7BB6">
        <w:trPr>
          <w:trHeight w:val="300"/>
        </w:trPr>
        <w:tc>
          <w:tcPr>
            <w:tcW w:w="159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1583937" w14:textId="77777777" w:rsidR="003D7BB6" w:rsidRPr="00D507E5" w:rsidRDefault="003D7BB6" w:rsidP="00472973">
            <w:pPr>
              <w:rPr>
                <w:rFonts w:eastAsiaTheme="minorHAnsi"/>
                <w:sz w:val="20"/>
                <w:szCs w:val="20"/>
                <w:lang w:eastAsia="en-US"/>
              </w:rPr>
            </w:pPr>
            <w:r w:rsidRPr="00D507E5">
              <w:rPr>
                <w:sz w:val="20"/>
                <w:szCs w:val="20"/>
              </w:rPr>
              <w:t xml:space="preserve">Akcīzes nodoklis, kas novirzāms Ceļu fondā, milj. </w:t>
            </w:r>
            <w:proofErr w:type="spellStart"/>
            <w:r w:rsidRPr="00D507E5">
              <w:rPr>
                <w:i/>
                <w:sz w:val="20"/>
                <w:szCs w:val="20"/>
              </w:rPr>
              <w:t>euro</w:t>
            </w:r>
            <w:proofErr w:type="spellEnd"/>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097CCBF" w14:textId="77777777" w:rsidR="003D7BB6" w:rsidRPr="003D7BB6" w:rsidRDefault="003D7BB6" w:rsidP="004E2E00">
            <w:pPr>
              <w:rPr>
                <w:sz w:val="20"/>
              </w:rPr>
            </w:pPr>
            <w:r w:rsidRPr="003D7BB6">
              <w:rPr>
                <w:sz w:val="20"/>
              </w:rPr>
              <w:t>283,5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A968618" w14:textId="77777777" w:rsidR="003D7BB6" w:rsidRPr="003D7BB6" w:rsidRDefault="003D7BB6" w:rsidP="004E2E00">
            <w:pPr>
              <w:rPr>
                <w:sz w:val="20"/>
              </w:rPr>
            </w:pPr>
            <w:r w:rsidRPr="003D7BB6">
              <w:rPr>
                <w:sz w:val="20"/>
              </w:rPr>
              <w:t>299,3</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BA2FDDE" w14:textId="77777777" w:rsidR="003D7BB6" w:rsidRPr="003D7BB6" w:rsidRDefault="003D7BB6" w:rsidP="004E2E00">
            <w:pPr>
              <w:rPr>
                <w:sz w:val="20"/>
              </w:rPr>
            </w:pPr>
            <w:r w:rsidRPr="003D7BB6">
              <w:rPr>
                <w:sz w:val="20"/>
              </w:rPr>
              <w:t>315,0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6F1FB7F" w14:textId="77777777" w:rsidR="003D7BB6" w:rsidRPr="003D7BB6" w:rsidRDefault="003D7BB6" w:rsidP="004E2E00">
            <w:pPr>
              <w:rPr>
                <w:sz w:val="20"/>
              </w:rPr>
            </w:pPr>
            <w:r w:rsidRPr="003D7BB6">
              <w:rPr>
                <w:sz w:val="20"/>
              </w:rPr>
              <w:t>330,8</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C4A2CC7" w14:textId="77777777" w:rsidR="003D7BB6" w:rsidRPr="003D7BB6" w:rsidRDefault="003D7BB6" w:rsidP="004E2E00">
            <w:pPr>
              <w:rPr>
                <w:sz w:val="20"/>
              </w:rPr>
            </w:pPr>
            <w:r w:rsidRPr="003D7BB6">
              <w:rPr>
                <w:sz w:val="20"/>
              </w:rPr>
              <w:t>346,5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4A48883" w14:textId="77777777" w:rsidR="003D7BB6" w:rsidRPr="003D7BB6" w:rsidRDefault="003D7BB6" w:rsidP="004E2E00">
            <w:pPr>
              <w:rPr>
                <w:sz w:val="20"/>
              </w:rPr>
            </w:pPr>
            <w:r w:rsidRPr="003D7BB6">
              <w:rPr>
                <w:sz w:val="20"/>
              </w:rPr>
              <w:t>362,3</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715E89A" w14:textId="77777777" w:rsidR="003D7BB6" w:rsidRPr="003D7BB6" w:rsidRDefault="003D7BB6" w:rsidP="004E2E00">
            <w:pPr>
              <w:rPr>
                <w:sz w:val="20"/>
              </w:rPr>
            </w:pPr>
            <w:r w:rsidRPr="003D7BB6">
              <w:rPr>
                <w:sz w:val="20"/>
              </w:rPr>
              <w:t>378,0</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E891BB6" w14:textId="77777777" w:rsidR="003D7BB6" w:rsidRPr="003D7BB6" w:rsidRDefault="003D7BB6" w:rsidP="004E2E00">
            <w:pPr>
              <w:rPr>
                <w:sz w:val="20"/>
              </w:rPr>
            </w:pPr>
            <w:r w:rsidRPr="003D7BB6">
              <w:rPr>
                <w:sz w:val="20"/>
              </w:rPr>
              <w:t>393,8</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CF8DEB3" w14:textId="77777777" w:rsidR="003D7BB6" w:rsidRPr="003D7BB6" w:rsidRDefault="003D7BB6" w:rsidP="004E2E00">
            <w:pPr>
              <w:rPr>
                <w:sz w:val="20"/>
              </w:rPr>
            </w:pPr>
            <w:r w:rsidRPr="003D7BB6">
              <w:rPr>
                <w:sz w:val="20"/>
              </w:rPr>
              <w:t>409,5</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2843ABD" w14:textId="77777777" w:rsidR="003D7BB6" w:rsidRPr="003D7BB6" w:rsidRDefault="003D7BB6" w:rsidP="004E2E00">
            <w:pPr>
              <w:rPr>
                <w:sz w:val="20"/>
              </w:rPr>
            </w:pPr>
            <w:r w:rsidRPr="003D7BB6">
              <w:rPr>
                <w:sz w:val="20"/>
              </w:rPr>
              <w:t>425,3</w:t>
            </w:r>
          </w:p>
        </w:tc>
        <w:tc>
          <w:tcPr>
            <w:tcW w:w="69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5CE49F8" w14:textId="77777777" w:rsidR="003D7BB6" w:rsidRPr="003D7BB6" w:rsidRDefault="003D7BB6" w:rsidP="004E2E00">
            <w:pPr>
              <w:rPr>
                <w:sz w:val="20"/>
              </w:rPr>
            </w:pPr>
            <w:r w:rsidRPr="003D7BB6">
              <w:rPr>
                <w:sz w:val="20"/>
              </w:rPr>
              <w:t>441,0</w:t>
            </w:r>
          </w:p>
        </w:tc>
      </w:tr>
      <w:tr w:rsidR="003D7BB6" w:rsidRPr="00D507E5" w14:paraId="65D06A32" w14:textId="77777777" w:rsidTr="003D7BB6">
        <w:trPr>
          <w:trHeight w:val="300"/>
        </w:trPr>
        <w:tc>
          <w:tcPr>
            <w:tcW w:w="159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27D68A5" w14:textId="77777777" w:rsidR="003D7BB6" w:rsidRPr="00D507E5" w:rsidRDefault="003D7BB6" w:rsidP="00472973">
            <w:pPr>
              <w:rPr>
                <w:rFonts w:eastAsiaTheme="minorHAnsi"/>
                <w:sz w:val="20"/>
                <w:szCs w:val="20"/>
                <w:lang w:eastAsia="en-US"/>
              </w:rPr>
            </w:pPr>
            <w:r w:rsidRPr="00D507E5">
              <w:rPr>
                <w:sz w:val="20"/>
                <w:szCs w:val="20"/>
              </w:rPr>
              <w:t xml:space="preserve">Transportlīdzekļa ekspluatācijas nodoklis, milj. </w:t>
            </w:r>
            <w:proofErr w:type="spellStart"/>
            <w:r w:rsidRPr="00D507E5">
              <w:rPr>
                <w:i/>
                <w:sz w:val="20"/>
                <w:szCs w:val="20"/>
              </w:rPr>
              <w:t>euro</w:t>
            </w:r>
            <w:proofErr w:type="spellEnd"/>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10246320"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5EFB8CA7"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734FCE30"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57A5FA60"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1583274B"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638729BB"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5358E1B2"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13D73FAF"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43B2E421"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40E6B1BC" w14:textId="77777777" w:rsidR="003D7BB6" w:rsidRPr="003D7BB6" w:rsidRDefault="003D7BB6" w:rsidP="004E2E00">
            <w:pPr>
              <w:rPr>
                <w:sz w:val="20"/>
              </w:rPr>
            </w:pPr>
            <w:r w:rsidRPr="003D7BB6">
              <w:rPr>
                <w:sz w:val="20"/>
              </w:rPr>
              <w:t>116,6</w:t>
            </w:r>
          </w:p>
        </w:tc>
        <w:tc>
          <w:tcPr>
            <w:tcW w:w="69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6D3D5AC7" w14:textId="77777777" w:rsidR="003D7BB6" w:rsidRPr="003D7BB6" w:rsidRDefault="003D7BB6" w:rsidP="004E2E00">
            <w:pPr>
              <w:rPr>
                <w:sz w:val="20"/>
              </w:rPr>
            </w:pPr>
            <w:r w:rsidRPr="003D7BB6">
              <w:rPr>
                <w:sz w:val="20"/>
              </w:rPr>
              <w:t>116,6</w:t>
            </w:r>
          </w:p>
        </w:tc>
      </w:tr>
      <w:tr w:rsidR="003D7BB6" w:rsidRPr="00D507E5" w14:paraId="01F1AFC6" w14:textId="77777777" w:rsidTr="003D7BB6">
        <w:trPr>
          <w:trHeight w:val="300"/>
        </w:trPr>
        <w:tc>
          <w:tcPr>
            <w:tcW w:w="15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86DB35" w14:textId="77777777" w:rsidR="003D7BB6" w:rsidRPr="00D507E5" w:rsidRDefault="003D7BB6" w:rsidP="00472973">
            <w:pPr>
              <w:rPr>
                <w:rFonts w:eastAsiaTheme="minorHAnsi"/>
                <w:sz w:val="20"/>
                <w:szCs w:val="20"/>
                <w:lang w:eastAsia="en-US"/>
              </w:rPr>
            </w:pPr>
            <w:r w:rsidRPr="00D507E5">
              <w:rPr>
                <w:sz w:val="20"/>
                <w:szCs w:val="20"/>
              </w:rPr>
              <w:t xml:space="preserve">Autoceļu lietošanas nodeva, milj. </w:t>
            </w:r>
            <w:proofErr w:type="spellStart"/>
            <w:r w:rsidRPr="00081FB6">
              <w:rPr>
                <w:i/>
                <w:sz w:val="20"/>
                <w:szCs w:val="20"/>
              </w:rPr>
              <w:t>euro</w:t>
            </w:r>
            <w:proofErr w:type="spellEnd"/>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5B9427F7"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5DCE12E8"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45B848DD"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49D0266B"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515EB26F"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38F024D1"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6FC12D41"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60F213D1"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41EF26D9"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0EB21838" w14:textId="77777777" w:rsidR="003D7BB6" w:rsidRPr="003D7BB6" w:rsidRDefault="003D7BB6" w:rsidP="004E2E00">
            <w:pPr>
              <w:rPr>
                <w:sz w:val="20"/>
              </w:rPr>
            </w:pPr>
            <w:r w:rsidRPr="003D7BB6">
              <w:rPr>
                <w:sz w:val="20"/>
              </w:rPr>
              <w:t>32,6</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6157D776" w14:textId="77777777" w:rsidR="003D7BB6" w:rsidRPr="003D7BB6" w:rsidRDefault="003D7BB6" w:rsidP="004E2E00">
            <w:pPr>
              <w:rPr>
                <w:sz w:val="20"/>
              </w:rPr>
            </w:pPr>
            <w:r w:rsidRPr="003D7BB6">
              <w:rPr>
                <w:sz w:val="20"/>
              </w:rPr>
              <w:t>32,6</w:t>
            </w:r>
          </w:p>
        </w:tc>
      </w:tr>
      <w:tr w:rsidR="003D7BB6" w:rsidRPr="00D507E5" w14:paraId="349E0C5A" w14:textId="77777777" w:rsidTr="003D7BB6">
        <w:trPr>
          <w:trHeight w:val="300"/>
        </w:trPr>
        <w:tc>
          <w:tcPr>
            <w:tcW w:w="15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F0F39B" w14:textId="77777777" w:rsidR="003D7BB6" w:rsidRPr="00D507E5" w:rsidRDefault="003D7BB6" w:rsidP="00472973">
            <w:pPr>
              <w:rPr>
                <w:rFonts w:eastAsiaTheme="minorHAnsi"/>
                <w:sz w:val="20"/>
                <w:szCs w:val="20"/>
                <w:lang w:eastAsia="en-US"/>
              </w:rPr>
            </w:pPr>
            <w:r w:rsidRPr="00D507E5">
              <w:rPr>
                <w:sz w:val="20"/>
                <w:szCs w:val="20"/>
              </w:rPr>
              <w:t xml:space="preserve">Lielgabarīta un smagsvara pārvadājumu atļaujas izsniegšanas valsts nodeva, milj. </w:t>
            </w:r>
            <w:proofErr w:type="spellStart"/>
            <w:r w:rsidRPr="00D507E5">
              <w:rPr>
                <w:i/>
                <w:sz w:val="20"/>
                <w:szCs w:val="20"/>
              </w:rPr>
              <w:t>euro</w:t>
            </w:r>
            <w:proofErr w:type="spellEnd"/>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49BE4F63"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24F85DC9"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6732B32C"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1F107FF2"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57091C0A"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13857D28"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031F32FD"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5EF3C403"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48B39875"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2CECAA87" w14:textId="77777777" w:rsidR="003D7BB6" w:rsidRPr="003D7BB6" w:rsidRDefault="003D7BB6" w:rsidP="004E2E00">
            <w:pPr>
              <w:rPr>
                <w:sz w:val="20"/>
              </w:rPr>
            </w:pPr>
            <w:r w:rsidRPr="003D7BB6">
              <w:rPr>
                <w:sz w:val="20"/>
              </w:rPr>
              <w:t>0,5</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0E56D7B6" w14:textId="77777777" w:rsidR="003D7BB6" w:rsidRPr="003D7BB6" w:rsidRDefault="003D7BB6" w:rsidP="004E2E00">
            <w:pPr>
              <w:rPr>
                <w:sz w:val="20"/>
              </w:rPr>
            </w:pPr>
            <w:r w:rsidRPr="003D7BB6">
              <w:rPr>
                <w:sz w:val="20"/>
              </w:rPr>
              <w:t>0,5</w:t>
            </w:r>
          </w:p>
        </w:tc>
      </w:tr>
      <w:tr w:rsidR="003D7BB6" w:rsidRPr="00D507E5" w14:paraId="7037FEFA" w14:textId="77777777" w:rsidTr="003D7BB6">
        <w:trPr>
          <w:trHeight w:val="300"/>
        </w:trPr>
        <w:tc>
          <w:tcPr>
            <w:tcW w:w="15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4CAB1E" w14:textId="77777777" w:rsidR="003D7BB6" w:rsidRPr="00D507E5" w:rsidRDefault="003D7BB6" w:rsidP="00472973">
            <w:pPr>
              <w:jc w:val="right"/>
              <w:rPr>
                <w:rFonts w:eastAsiaTheme="minorHAnsi"/>
                <w:b/>
                <w:bCs/>
                <w:sz w:val="20"/>
                <w:szCs w:val="20"/>
                <w:lang w:eastAsia="en-US"/>
              </w:rPr>
            </w:pPr>
            <w:r w:rsidRPr="00D507E5">
              <w:rPr>
                <w:b/>
                <w:bCs/>
                <w:sz w:val="20"/>
                <w:szCs w:val="20"/>
              </w:rPr>
              <w:t xml:space="preserve">Ceļu fonds, milj. </w:t>
            </w:r>
            <w:proofErr w:type="spellStart"/>
            <w:r w:rsidRPr="00D507E5">
              <w:rPr>
                <w:b/>
                <w:bCs/>
                <w:i/>
                <w:sz w:val="20"/>
                <w:szCs w:val="20"/>
              </w:rPr>
              <w:t>euro</w:t>
            </w:r>
            <w:proofErr w:type="spellEnd"/>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4E4D703E" w14:textId="77777777" w:rsidR="003D7BB6" w:rsidRPr="003D7BB6" w:rsidRDefault="003D7BB6" w:rsidP="004E2E00">
            <w:pPr>
              <w:rPr>
                <w:sz w:val="20"/>
              </w:rPr>
            </w:pPr>
            <w:r w:rsidRPr="003D7BB6">
              <w:rPr>
                <w:sz w:val="20"/>
              </w:rPr>
              <w:t>433,2</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0BD7EC45" w14:textId="77777777" w:rsidR="003D7BB6" w:rsidRPr="003D7BB6" w:rsidRDefault="003D7BB6" w:rsidP="004E2E00">
            <w:pPr>
              <w:rPr>
                <w:sz w:val="20"/>
              </w:rPr>
            </w:pPr>
            <w:r w:rsidRPr="003D7BB6">
              <w:rPr>
                <w:sz w:val="20"/>
              </w:rPr>
              <w:t>448,9</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758FBC33" w14:textId="77777777" w:rsidR="003D7BB6" w:rsidRPr="003D7BB6" w:rsidRDefault="003D7BB6" w:rsidP="004E2E00">
            <w:pPr>
              <w:rPr>
                <w:sz w:val="20"/>
              </w:rPr>
            </w:pPr>
            <w:r w:rsidRPr="003D7BB6">
              <w:rPr>
                <w:sz w:val="20"/>
              </w:rPr>
              <w:t>464,7</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2633E604" w14:textId="77777777" w:rsidR="003D7BB6" w:rsidRPr="003D7BB6" w:rsidRDefault="003D7BB6" w:rsidP="004E2E00">
            <w:pPr>
              <w:rPr>
                <w:sz w:val="20"/>
              </w:rPr>
            </w:pPr>
            <w:r w:rsidRPr="003D7BB6">
              <w:rPr>
                <w:sz w:val="20"/>
              </w:rPr>
              <w:t>480,4</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300BFA1A" w14:textId="77777777" w:rsidR="003D7BB6" w:rsidRPr="003D7BB6" w:rsidRDefault="003D7BB6" w:rsidP="004E2E00">
            <w:pPr>
              <w:rPr>
                <w:sz w:val="20"/>
              </w:rPr>
            </w:pPr>
            <w:r w:rsidRPr="003D7BB6">
              <w:rPr>
                <w:sz w:val="20"/>
              </w:rPr>
              <w:t>496,2</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56867855" w14:textId="77777777" w:rsidR="003D7BB6" w:rsidRPr="003D7BB6" w:rsidRDefault="003D7BB6" w:rsidP="004E2E00">
            <w:pPr>
              <w:rPr>
                <w:sz w:val="20"/>
              </w:rPr>
            </w:pPr>
            <w:r w:rsidRPr="003D7BB6">
              <w:rPr>
                <w:sz w:val="20"/>
              </w:rPr>
              <w:t>511,9</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7FC33A41" w14:textId="77777777" w:rsidR="003D7BB6" w:rsidRPr="003D7BB6" w:rsidRDefault="003D7BB6" w:rsidP="004E2E00">
            <w:pPr>
              <w:rPr>
                <w:sz w:val="20"/>
              </w:rPr>
            </w:pPr>
            <w:r w:rsidRPr="003D7BB6">
              <w:rPr>
                <w:sz w:val="20"/>
              </w:rPr>
              <w:t>527,7</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7F9EC699" w14:textId="77777777" w:rsidR="003D7BB6" w:rsidRPr="003D7BB6" w:rsidRDefault="003D7BB6" w:rsidP="004E2E00">
            <w:pPr>
              <w:rPr>
                <w:sz w:val="20"/>
              </w:rPr>
            </w:pPr>
            <w:r w:rsidRPr="003D7BB6">
              <w:rPr>
                <w:sz w:val="20"/>
              </w:rPr>
              <w:t>543,4</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0935C682" w14:textId="77777777" w:rsidR="003D7BB6" w:rsidRPr="003D7BB6" w:rsidRDefault="003D7BB6" w:rsidP="004E2E00">
            <w:pPr>
              <w:rPr>
                <w:sz w:val="20"/>
              </w:rPr>
            </w:pPr>
            <w:r w:rsidRPr="003D7BB6">
              <w:rPr>
                <w:sz w:val="20"/>
              </w:rPr>
              <w:t>559,2</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6F0D247E" w14:textId="77777777" w:rsidR="003D7BB6" w:rsidRPr="003D7BB6" w:rsidRDefault="003D7BB6" w:rsidP="004E2E00">
            <w:pPr>
              <w:rPr>
                <w:sz w:val="20"/>
              </w:rPr>
            </w:pPr>
            <w:r w:rsidRPr="003D7BB6">
              <w:rPr>
                <w:sz w:val="20"/>
              </w:rPr>
              <w:t>574,9</w:t>
            </w:r>
          </w:p>
        </w:tc>
        <w:tc>
          <w:tcPr>
            <w:tcW w:w="699" w:type="dxa"/>
            <w:tcBorders>
              <w:top w:val="nil"/>
              <w:left w:val="nil"/>
              <w:bottom w:val="single" w:sz="8" w:space="0" w:color="auto"/>
              <w:right w:val="single" w:sz="8" w:space="0" w:color="auto"/>
            </w:tcBorders>
            <w:noWrap/>
            <w:tcMar>
              <w:top w:w="0" w:type="dxa"/>
              <w:left w:w="108" w:type="dxa"/>
              <w:bottom w:w="0" w:type="dxa"/>
              <w:right w:w="108" w:type="dxa"/>
            </w:tcMar>
            <w:hideMark/>
          </w:tcPr>
          <w:p w14:paraId="663DE99C" w14:textId="77777777" w:rsidR="003D7BB6" w:rsidRPr="003D7BB6" w:rsidRDefault="003D7BB6" w:rsidP="004E2E00">
            <w:pPr>
              <w:rPr>
                <w:sz w:val="20"/>
              </w:rPr>
            </w:pPr>
            <w:r w:rsidRPr="003D7BB6">
              <w:rPr>
                <w:sz w:val="20"/>
              </w:rPr>
              <w:t>590,7</w:t>
            </w:r>
          </w:p>
        </w:tc>
      </w:tr>
    </w:tbl>
    <w:p w14:paraId="2F3DBFF2" w14:textId="77777777" w:rsidR="00E11377" w:rsidRDefault="00E11377" w:rsidP="00472973">
      <w:pPr>
        <w:jc w:val="both"/>
        <w:rPr>
          <w:lang w:eastAsia="en-US"/>
        </w:rPr>
      </w:pPr>
    </w:p>
    <w:p w14:paraId="6EF97BF5" w14:textId="77777777" w:rsidR="00E11377" w:rsidRDefault="00E11377" w:rsidP="005316BA">
      <w:pPr>
        <w:ind w:firstLine="567"/>
        <w:jc w:val="both"/>
        <w:rPr>
          <w:lang w:eastAsia="en-US"/>
        </w:rPr>
      </w:pPr>
    </w:p>
    <w:p w14:paraId="7415460F" w14:textId="5ED9C515" w:rsidR="00C33FCB" w:rsidRDefault="00C33FCB" w:rsidP="008A66BA">
      <w:pPr>
        <w:ind w:firstLine="720"/>
        <w:jc w:val="both"/>
        <w:rPr>
          <w:lang w:eastAsia="en-US"/>
        </w:rPr>
      </w:pPr>
      <w:r>
        <w:rPr>
          <w:lang w:eastAsia="en-US"/>
        </w:rPr>
        <w:t xml:space="preserve">Satiksmes ministrija ar 2017.gada 14.jūnija vēstuli Nr. </w:t>
      </w:r>
      <w:r w:rsidRPr="00162279">
        <w:rPr>
          <w:lang w:eastAsia="en-US"/>
        </w:rPr>
        <w:t>04-02/1890</w:t>
      </w:r>
      <w:r>
        <w:rPr>
          <w:lang w:eastAsia="en-US"/>
        </w:rPr>
        <w:t>, p</w:t>
      </w:r>
      <w:r w:rsidRPr="00162279">
        <w:rPr>
          <w:lang w:eastAsia="en-US"/>
        </w:rPr>
        <w:t>amatojoties uz Saeimas Tautsaimniecības, agrārās, vides un reģionālās politikas komisijas 2017.gada 6.jūnija sēdē doto uzdevumu, iesniedz</w:t>
      </w:r>
      <w:r>
        <w:rPr>
          <w:lang w:eastAsia="en-US"/>
        </w:rPr>
        <w:t>a</w:t>
      </w:r>
      <w:r w:rsidRPr="00162279">
        <w:rPr>
          <w:lang w:eastAsia="en-US"/>
        </w:rPr>
        <w:t xml:space="preserve"> Satiksmes ministrijas redzējumu par nepieciešamajiem grozījumiem likumā “Par autoceļiem” (Nr. 879/Lp12)</w:t>
      </w:r>
      <w:r>
        <w:rPr>
          <w:lang w:eastAsia="en-US"/>
        </w:rPr>
        <w:t xml:space="preserve">, paredzot atjaunot Ceļu fondu kā speciālo budžetu un paredzot pakāpenisku finansējuma palielinājumu tam, likuma “Par autoceļiem” 12.panta ceturtajā daļā </w:t>
      </w:r>
      <w:r w:rsidR="00702AA7">
        <w:rPr>
          <w:lang w:eastAsia="en-US"/>
        </w:rPr>
        <w:t xml:space="preserve">pašlaik </w:t>
      </w:r>
      <w:r>
        <w:rPr>
          <w:lang w:eastAsia="en-US"/>
        </w:rPr>
        <w:t>noteikto apmēru</w:t>
      </w:r>
      <w:r w:rsidR="00702AA7">
        <w:rPr>
          <w:lang w:eastAsia="en-US"/>
        </w:rPr>
        <w:t xml:space="preserve"> (80 %)</w:t>
      </w:r>
      <w:r>
        <w:rPr>
          <w:lang w:eastAsia="en-US"/>
        </w:rPr>
        <w:t xml:space="preserve"> sasniedzot 2025.gadā</w:t>
      </w:r>
      <w:r w:rsidR="00BC7E52">
        <w:rPr>
          <w:rStyle w:val="FootnoteReference"/>
          <w:lang w:eastAsia="en-US"/>
        </w:rPr>
        <w:footnoteReference w:id="3"/>
      </w:r>
      <w:r>
        <w:rPr>
          <w:lang w:eastAsia="en-US"/>
        </w:rPr>
        <w:t xml:space="preserve">. Likumprojekta izskatīšana </w:t>
      </w:r>
      <w:r w:rsidR="006B3BDC">
        <w:rPr>
          <w:lang w:eastAsia="en-US"/>
        </w:rPr>
        <w:t>turpināsies</w:t>
      </w:r>
      <w:r>
        <w:rPr>
          <w:lang w:eastAsia="en-US"/>
        </w:rPr>
        <w:t xml:space="preserve"> 2017.gada </w:t>
      </w:r>
      <w:r w:rsidR="006B3BDC">
        <w:rPr>
          <w:lang w:eastAsia="en-US"/>
        </w:rPr>
        <w:t>rudens sesijā</w:t>
      </w:r>
      <w:r>
        <w:rPr>
          <w:lang w:eastAsia="en-US"/>
        </w:rPr>
        <w:t>.</w:t>
      </w:r>
      <w:r w:rsidR="00E654DF">
        <w:rPr>
          <w:lang w:eastAsia="en-US"/>
        </w:rPr>
        <w:t xml:space="preserve"> </w:t>
      </w:r>
      <w:r w:rsidR="00E654DF" w:rsidRPr="0056279D">
        <w:rPr>
          <w:lang w:eastAsia="en-US"/>
        </w:rPr>
        <w:t xml:space="preserve">Saeimā iesniegtos priekšlikumus grozījumiem likumā “Par autoceļiem” (Nr. 879/Lp12) nepieciešams precizēt atbilstoši informatīvā </w:t>
      </w:r>
      <w:r w:rsidR="0056279D" w:rsidRPr="0056279D">
        <w:rPr>
          <w:lang w:eastAsia="en-US"/>
        </w:rPr>
        <w:t>ziņojum</w:t>
      </w:r>
      <w:r w:rsidR="0056279D">
        <w:rPr>
          <w:lang w:eastAsia="en-US"/>
        </w:rPr>
        <w:t>a</w:t>
      </w:r>
      <w:r w:rsidR="0056279D" w:rsidRPr="0056279D">
        <w:rPr>
          <w:lang w:eastAsia="en-US"/>
        </w:rPr>
        <w:t xml:space="preserve"> </w:t>
      </w:r>
      <w:r w:rsidR="0056279D">
        <w:rPr>
          <w:lang w:eastAsia="en-US"/>
        </w:rPr>
        <w:t xml:space="preserve">11.tabulā </w:t>
      </w:r>
      <w:r w:rsidR="00E654DF" w:rsidRPr="0056279D">
        <w:rPr>
          <w:lang w:eastAsia="en-US"/>
        </w:rPr>
        <w:t>norād</w:t>
      </w:r>
      <w:r w:rsidR="00E11377" w:rsidRPr="0056279D">
        <w:rPr>
          <w:lang w:eastAsia="en-US"/>
        </w:rPr>
        <w:t>ītajiem priekšlikumiem</w:t>
      </w:r>
      <w:r w:rsidR="0056279D">
        <w:rPr>
          <w:lang w:eastAsia="en-US"/>
        </w:rPr>
        <w:t xml:space="preserve"> par </w:t>
      </w:r>
      <w:r w:rsidR="0056279D" w:rsidRPr="0056279D">
        <w:rPr>
          <w:lang w:eastAsia="en-US"/>
        </w:rPr>
        <w:t>Ceļu fondam novirzāmais finansējums 2020.-2030.gadā</w:t>
      </w:r>
      <w:r w:rsidR="00E654DF" w:rsidRPr="0056279D">
        <w:rPr>
          <w:lang w:eastAsia="en-US"/>
        </w:rPr>
        <w:t>.</w:t>
      </w:r>
    </w:p>
    <w:p w14:paraId="1417A5C1" w14:textId="021DF010" w:rsidR="005C2D0D" w:rsidRDefault="005C2D0D" w:rsidP="008A66BA">
      <w:pPr>
        <w:ind w:firstLine="720"/>
        <w:jc w:val="both"/>
        <w:rPr>
          <w:lang w:eastAsia="en-US"/>
        </w:rPr>
      </w:pPr>
      <w:r w:rsidRPr="005C2D0D">
        <w:rPr>
          <w:lang w:eastAsia="en-US"/>
        </w:rPr>
        <w:t>Lai palielinātu valsts autoceļu infrastruktūras uzturēšanai paredzēto finansējumu, Satiksmes ministrija valsts budžeta likumprojektu paketē iesniedz</w:t>
      </w:r>
      <w:r>
        <w:rPr>
          <w:lang w:eastAsia="en-US"/>
        </w:rPr>
        <w:t>a likumprojektu “</w:t>
      </w:r>
      <w:r w:rsidRPr="005C2D0D">
        <w:rPr>
          <w:lang w:eastAsia="en-US"/>
        </w:rPr>
        <w:t xml:space="preserve">Grozījumi </w:t>
      </w:r>
      <w:r>
        <w:rPr>
          <w:lang w:eastAsia="en-US"/>
        </w:rPr>
        <w:t>likumā “Par autoceļiem””</w:t>
      </w:r>
      <w:r w:rsidRPr="005C2D0D">
        <w:rPr>
          <w:lang w:eastAsia="en-US"/>
        </w:rPr>
        <w:t xml:space="preserve">, ar kuru bija paredzēts izslēgt no </w:t>
      </w:r>
      <w:r>
        <w:rPr>
          <w:lang w:eastAsia="en-US"/>
        </w:rPr>
        <w:t xml:space="preserve">likuma “Par autoceļiem” </w:t>
      </w:r>
      <w:r w:rsidRPr="005C2D0D">
        <w:rPr>
          <w:lang w:eastAsia="en-US"/>
        </w:rPr>
        <w:t xml:space="preserve">12.panta ceturtās daļas vārdus “ja gadskārtējā valsts budžeta likumā nav noteikts citādi”. Taču ar Ministru kabineta 2017.gada 3.oktobra sēdes </w:t>
      </w:r>
      <w:proofErr w:type="spellStart"/>
      <w:r w:rsidRPr="005C2D0D">
        <w:rPr>
          <w:lang w:eastAsia="en-US"/>
        </w:rPr>
        <w:t>protokollēmuma</w:t>
      </w:r>
      <w:proofErr w:type="spellEnd"/>
      <w:r w:rsidRPr="005C2D0D">
        <w:rPr>
          <w:lang w:eastAsia="en-US"/>
        </w:rPr>
        <w:t xml:space="preserve"> (prot. Nr.49 47.§) 2.punktu Satiksmes ministrijai tika uzdots svītrot iesniegtā likumprojekta "Grozījumi likumā "Par autoceļiem"" 1.pantu, kurā bija paredzēts likuma “Par autoceļiem” minētais grozījums.</w:t>
      </w:r>
      <w:r>
        <w:rPr>
          <w:lang w:eastAsia="en-US"/>
        </w:rPr>
        <w:t xml:space="preserve"> </w:t>
      </w:r>
    </w:p>
    <w:p w14:paraId="6F2DA88E" w14:textId="77777777" w:rsidR="00C33FCB" w:rsidRDefault="00C33FCB" w:rsidP="008A66BA">
      <w:pPr>
        <w:ind w:firstLine="720"/>
        <w:jc w:val="both"/>
        <w:rPr>
          <w:lang w:eastAsia="en-US"/>
        </w:rPr>
      </w:pPr>
    </w:p>
    <w:p w14:paraId="45A83A35" w14:textId="77777777" w:rsidR="00C33FCB" w:rsidRPr="005316BA" w:rsidRDefault="00C33FCB" w:rsidP="008A66BA">
      <w:pPr>
        <w:ind w:firstLine="720"/>
        <w:jc w:val="both"/>
        <w:rPr>
          <w:b/>
          <w:lang w:eastAsia="en-US"/>
        </w:rPr>
      </w:pPr>
      <w:r w:rsidRPr="005316BA">
        <w:rPr>
          <w:b/>
          <w:lang w:eastAsia="en-US"/>
        </w:rPr>
        <w:t>Iespējas palielināt Ceļu fondam novirzāmo līdzekļu apmēru:</w:t>
      </w:r>
    </w:p>
    <w:p w14:paraId="61CDEF60" w14:textId="77777777" w:rsidR="00C33FCB" w:rsidRDefault="00C33FCB" w:rsidP="008A66BA">
      <w:pPr>
        <w:ind w:firstLine="720"/>
        <w:jc w:val="both"/>
        <w:rPr>
          <w:lang w:eastAsia="en-US"/>
        </w:rPr>
      </w:pPr>
    </w:p>
    <w:p w14:paraId="59AE4D53" w14:textId="77777777" w:rsidR="00081FB6" w:rsidRDefault="00C33FCB" w:rsidP="008A66BA">
      <w:pPr>
        <w:ind w:firstLine="720"/>
        <w:jc w:val="both"/>
        <w:rPr>
          <w:lang w:eastAsia="en-US"/>
        </w:rPr>
      </w:pPr>
      <w:r>
        <w:rPr>
          <w:lang w:eastAsia="en-US"/>
        </w:rPr>
        <w:t xml:space="preserve">1) </w:t>
      </w:r>
      <w:r w:rsidRPr="00146CFE">
        <w:rPr>
          <w:u w:val="single"/>
          <w:lang w:eastAsia="en-US"/>
        </w:rPr>
        <w:t>Akcīzes nodokļa paaugstināšana</w:t>
      </w:r>
      <w:r>
        <w:rPr>
          <w:lang w:eastAsia="en-US"/>
        </w:rPr>
        <w:t xml:space="preserve"> – </w:t>
      </w:r>
      <w:r w:rsidR="00B84612">
        <w:rPr>
          <w:lang w:eastAsia="en-US"/>
        </w:rPr>
        <w:t>ar 2017.gada 27.jūlijā Saeimā pieņemto likumu “</w:t>
      </w:r>
      <w:r w:rsidR="00B84612" w:rsidRPr="00B84612">
        <w:rPr>
          <w:lang w:eastAsia="en-US"/>
        </w:rPr>
        <w:t>Grozījumi likumā "Par akcīzes nodokli"</w:t>
      </w:r>
      <w:r w:rsidR="00B84612">
        <w:rPr>
          <w:lang w:eastAsia="en-US"/>
        </w:rPr>
        <w:t xml:space="preserve">” akcīzes nodoklis naftas produktiem tiks palielināts no 2018.gada un 2020.gada. Kā norādījusi Finanšu ministrija, </w:t>
      </w:r>
      <w:r w:rsidR="006628B1" w:rsidRPr="006628B1">
        <w:rPr>
          <w:lang w:eastAsia="en-US"/>
        </w:rPr>
        <w:t xml:space="preserve">2018.-2020.gadam </w:t>
      </w:r>
      <w:r w:rsidR="006628B1" w:rsidRPr="006628B1">
        <w:rPr>
          <w:lang w:eastAsia="en-US"/>
        </w:rPr>
        <w:lastRenderedPageBreak/>
        <w:t>prognozētajiem valsts budžeta ieņēmumiem no akcīzes nodokļa par naftas produktiem pretī jau ir ieplānoti arī valsts budžeta izdevumi, tādējādi, lai</w:t>
      </w:r>
      <w:r w:rsidR="006628B1">
        <w:rPr>
          <w:lang w:eastAsia="en-US"/>
        </w:rPr>
        <w:t>,</w:t>
      </w:r>
      <w:r w:rsidR="006628B1" w:rsidRPr="006628B1">
        <w:rPr>
          <w:lang w:eastAsia="en-US"/>
        </w:rPr>
        <w:t xml:space="preserve"> sākot ar 2020.gadu piedāvātajā apjomā tos ieskaitītu Valsts autoceļu fonda speciālajā budžetā, būs jāsamazina izdevumi citām nozarēm iepriekš minētajā apjomā.</w:t>
      </w:r>
      <w:r w:rsidR="00B84612">
        <w:rPr>
          <w:lang w:eastAsia="en-US"/>
        </w:rPr>
        <w:t xml:space="preserve"> </w:t>
      </w:r>
      <w:r w:rsidR="006628B1">
        <w:rPr>
          <w:lang w:eastAsia="en-US"/>
        </w:rPr>
        <w:t xml:space="preserve">Līdz ar to </w:t>
      </w:r>
      <w:r w:rsidR="00B84612">
        <w:rPr>
          <w:lang w:eastAsia="en-US"/>
        </w:rPr>
        <w:t>Satiksmes ministrija uzskata,</w:t>
      </w:r>
      <w:r>
        <w:rPr>
          <w:lang w:eastAsia="en-US"/>
        </w:rPr>
        <w:t xml:space="preserve"> ka valsts budžeta papildu ieņēmumi, kas radīsies no akcīzes nodokļa naftas produktiem paaugstināšanas, </w:t>
      </w:r>
      <w:r w:rsidR="006628B1">
        <w:rPr>
          <w:lang w:eastAsia="en-US"/>
        </w:rPr>
        <w:t xml:space="preserve">sākot no 2021.gada, </w:t>
      </w:r>
      <w:r w:rsidR="00B84612">
        <w:rPr>
          <w:lang w:eastAsia="en-US"/>
        </w:rPr>
        <w:t>jānovirza</w:t>
      </w:r>
      <w:r>
        <w:rPr>
          <w:lang w:eastAsia="en-US"/>
        </w:rPr>
        <w:t xml:space="preserve"> Ceļu fondam. </w:t>
      </w:r>
    </w:p>
    <w:p w14:paraId="1371BE8C" w14:textId="0ED93EA6" w:rsidR="00C33FCB" w:rsidRDefault="00C33FCB" w:rsidP="008A66BA">
      <w:pPr>
        <w:ind w:firstLine="720"/>
        <w:jc w:val="both"/>
        <w:rPr>
          <w:lang w:eastAsia="en-US"/>
        </w:rPr>
      </w:pPr>
      <w:r w:rsidRPr="00793269">
        <w:rPr>
          <w:lang w:eastAsia="en-US"/>
        </w:rPr>
        <w:t>Svarīgākais šajā procesā ir nodrošināt caurspīdīgumu, lai autovadītājiem, kuri maksā paaugstināto akcīzes nodokli, nebūtu šaubu par iegūto līdzekļu izlietojumu. Sabiedrībai ir jābūt labi informētai par šo sistēmu un tās darbību, lai nerastos pārpratumi un aizdomas par papildu ieņēmumu izlietojumu.</w:t>
      </w:r>
      <w:r w:rsidR="00B84612">
        <w:rPr>
          <w:lang w:eastAsia="en-US"/>
        </w:rPr>
        <w:t xml:space="preserve"> Vienlaikus Satiksmes ministrija uzskata, ka papildus iepriekš minētajam akcīzes nodokļa pieaugumam, tā turpmāka </w:t>
      </w:r>
      <w:r w:rsidR="00F5659E">
        <w:rPr>
          <w:lang w:eastAsia="en-US"/>
        </w:rPr>
        <w:t>paaugstināšana</w:t>
      </w:r>
      <w:r w:rsidR="00B84612">
        <w:rPr>
          <w:lang w:eastAsia="en-US"/>
        </w:rPr>
        <w:t xml:space="preserve"> nav atbalstāma.</w:t>
      </w:r>
    </w:p>
    <w:p w14:paraId="0DA7BD54" w14:textId="77777777" w:rsidR="00C33FCB" w:rsidRDefault="00C33FCB" w:rsidP="008A66BA">
      <w:pPr>
        <w:ind w:firstLine="720"/>
        <w:jc w:val="both"/>
        <w:rPr>
          <w:lang w:eastAsia="en-US"/>
        </w:rPr>
      </w:pPr>
      <w:r>
        <w:rPr>
          <w:lang w:eastAsia="en-US"/>
        </w:rPr>
        <w:t xml:space="preserve">2) </w:t>
      </w:r>
      <w:r w:rsidRPr="00146CFE">
        <w:rPr>
          <w:u w:val="single"/>
          <w:lang w:eastAsia="en-US"/>
        </w:rPr>
        <w:t>Autoceļu lietošanas nodevas ieņēmumu pieaugums</w:t>
      </w:r>
      <w:r>
        <w:rPr>
          <w:lang w:eastAsia="en-US"/>
        </w:rPr>
        <w:t>:</w:t>
      </w:r>
    </w:p>
    <w:p w14:paraId="77170964" w14:textId="07E256BB" w:rsidR="00C33FCB" w:rsidRDefault="00C33FCB" w:rsidP="005316BA">
      <w:pPr>
        <w:tabs>
          <w:tab w:val="num" w:pos="1080"/>
        </w:tabs>
        <w:ind w:firstLine="709"/>
        <w:jc w:val="both"/>
      </w:pPr>
      <w:r>
        <w:t xml:space="preserve">Lai palielinātu autoceļu lietošanas nodevas iekasēšanu, ir plānots uzsākt </w:t>
      </w:r>
      <w:r w:rsidRPr="007B1461">
        <w:t>fiksēt autoceļu lietošanas nodevas maksāšanas pārkāpumus (un arī citus pārkāpumus ceļu satiksmē</w:t>
      </w:r>
      <w:r>
        <w:t>) ar automātisku iekārtu palīdzību</w:t>
      </w:r>
      <w:r w:rsidRPr="007B1461">
        <w:t>, neapturot transportlīdzekli</w:t>
      </w:r>
      <w:r>
        <w:t>. Līdz ar to Satiksmes ministrija sadarbībā ar</w:t>
      </w:r>
      <w:r w:rsidRPr="007B1461">
        <w:t xml:space="preserve"> VAS “Latvijas </w:t>
      </w:r>
      <w:r>
        <w:t>V</w:t>
      </w:r>
      <w:r w:rsidRPr="007B1461">
        <w:t xml:space="preserve">alsts ceļi” </w:t>
      </w:r>
      <w:r>
        <w:t>2017.gada beigās plāno uzsākt</w:t>
      </w:r>
      <w:r w:rsidRPr="007B1461">
        <w:t xml:space="preserve"> pilotprojektu</w:t>
      </w:r>
      <w:r>
        <w:t>,</w:t>
      </w:r>
      <w:r w:rsidRPr="007B1461">
        <w:t xml:space="preserve"> </w:t>
      </w:r>
      <w:r>
        <w:t xml:space="preserve">kas ļaus identificēt tos valsts autoceļu lietotājus, kas nemaksā autoceļu lietošanas nodevu. Plānotais autoceļu lietošanas nodevas ieņēmumu pieaugums, ja tiks ieviesta tās samaksas pārkāpumu automātiska kontrole, plānots aptuveni </w:t>
      </w:r>
      <w:r w:rsidRPr="005316BA">
        <w:rPr>
          <w:b/>
        </w:rPr>
        <w:t xml:space="preserve">3 milj. </w:t>
      </w:r>
      <w:proofErr w:type="spellStart"/>
      <w:r w:rsidRPr="005316BA">
        <w:rPr>
          <w:b/>
          <w:i/>
        </w:rPr>
        <w:t>euro</w:t>
      </w:r>
      <w:proofErr w:type="spellEnd"/>
      <w:r w:rsidRPr="005316BA">
        <w:rPr>
          <w:b/>
        </w:rPr>
        <w:t xml:space="preserve"> </w:t>
      </w:r>
      <w:r>
        <w:t>gadā.</w:t>
      </w:r>
    </w:p>
    <w:p w14:paraId="3CD6CC8F" w14:textId="0E0083C7" w:rsidR="000F1EA1" w:rsidRDefault="000F1EA1" w:rsidP="005316BA">
      <w:pPr>
        <w:tabs>
          <w:tab w:val="num" w:pos="1080"/>
        </w:tabs>
        <w:ind w:firstLine="709"/>
        <w:jc w:val="both"/>
      </w:pPr>
      <w:r>
        <w:t xml:space="preserve">Papildus ar </w:t>
      </w:r>
      <w:r>
        <w:rPr>
          <w:bCs/>
        </w:rPr>
        <w:t>Saeimā 2017.gada 28.jūlijā pieņemto likumu “</w:t>
      </w:r>
      <w:r w:rsidRPr="00B84612">
        <w:rPr>
          <w:bCs/>
        </w:rPr>
        <w:t>Grozījumi Autoceļu lietošanas nodevas likumā</w:t>
      </w:r>
      <w:r>
        <w:rPr>
          <w:bCs/>
        </w:rPr>
        <w:t xml:space="preserve">” </w:t>
      </w:r>
      <w:r>
        <w:t>no 2018.gada noteikts p</w:t>
      </w:r>
      <w:r w:rsidRPr="000F1EA1">
        <w:t>ienākums maksāt autoceļu lietošanas nodevu arī speciālajiem kravas transportlīdzekļiem</w:t>
      </w:r>
      <w:r>
        <w:t xml:space="preserve">, </w:t>
      </w:r>
      <w:r>
        <w:rPr>
          <w:bCs/>
        </w:rPr>
        <w:t xml:space="preserve">tā rezultātā </w:t>
      </w:r>
      <w:r w:rsidRPr="00B43D51">
        <w:rPr>
          <w:bCs/>
        </w:rPr>
        <w:t xml:space="preserve">plānotais valsts budžeta ieņēmumu pieaugums no </w:t>
      </w:r>
      <w:r>
        <w:rPr>
          <w:bCs/>
        </w:rPr>
        <w:t xml:space="preserve">autoceļu lietošanas </w:t>
      </w:r>
      <w:r w:rsidRPr="00B43D51">
        <w:rPr>
          <w:bCs/>
        </w:rPr>
        <w:t xml:space="preserve">nodevas ir aptuveni </w:t>
      </w:r>
      <w:r w:rsidRPr="005316BA">
        <w:rPr>
          <w:b/>
          <w:bCs/>
        </w:rPr>
        <w:t>0,</w:t>
      </w:r>
      <w:r>
        <w:rPr>
          <w:b/>
          <w:bCs/>
        </w:rPr>
        <w:t>8</w:t>
      </w:r>
      <w:r w:rsidRPr="005316BA">
        <w:rPr>
          <w:b/>
          <w:bCs/>
        </w:rPr>
        <w:t xml:space="preserve"> milj. </w:t>
      </w:r>
      <w:proofErr w:type="spellStart"/>
      <w:r w:rsidRPr="005316BA">
        <w:rPr>
          <w:b/>
          <w:bCs/>
          <w:i/>
        </w:rPr>
        <w:t>euro</w:t>
      </w:r>
      <w:proofErr w:type="spellEnd"/>
      <w:r>
        <w:rPr>
          <w:bCs/>
        </w:rPr>
        <w:t xml:space="preserve"> gadā, kas jau ir iekļauts likumprojektos “Par valsts budžetu 2018.gadam” un “</w:t>
      </w:r>
      <w:r w:rsidRPr="000F1EA1">
        <w:rPr>
          <w:bCs/>
        </w:rPr>
        <w:t>Par vidēja termiņa budžeta ietvaru 201</w:t>
      </w:r>
      <w:r>
        <w:rPr>
          <w:bCs/>
        </w:rPr>
        <w:t>8</w:t>
      </w:r>
      <w:r w:rsidRPr="000F1EA1">
        <w:rPr>
          <w:bCs/>
        </w:rPr>
        <w:t>., 201</w:t>
      </w:r>
      <w:r>
        <w:rPr>
          <w:bCs/>
        </w:rPr>
        <w:t>9. un 2020</w:t>
      </w:r>
      <w:r w:rsidRPr="000F1EA1">
        <w:rPr>
          <w:bCs/>
        </w:rPr>
        <w:t>. gadam</w:t>
      </w:r>
      <w:r>
        <w:rPr>
          <w:bCs/>
        </w:rPr>
        <w:t>”.</w:t>
      </w:r>
    </w:p>
    <w:p w14:paraId="316DE762" w14:textId="7E3CA03F" w:rsidR="00BC7E52" w:rsidRDefault="00DD112E" w:rsidP="00AE49B4">
      <w:pPr>
        <w:autoSpaceDE w:val="0"/>
        <w:autoSpaceDN w:val="0"/>
        <w:adjustRightInd w:val="0"/>
        <w:ind w:firstLine="567"/>
        <w:jc w:val="both"/>
      </w:pPr>
      <w:r>
        <w:rPr>
          <w:color w:val="000000"/>
        </w:rPr>
        <w:t>3</w:t>
      </w:r>
      <w:r w:rsidR="00BC7E52">
        <w:rPr>
          <w:color w:val="000000"/>
        </w:rPr>
        <w:t xml:space="preserve">) </w:t>
      </w:r>
      <w:r w:rsidR="00664D1C">
        <w:rPr>
          <w:color w:val="000000"/>
        </w:rPr>
        <w:t>Izvērtējam</w:t>
      </w:r>
      <w:r w:rsidR="00D7097A">
        <w:rPr>
          <w:color w:val="000000"/>
        </w:rPr>
        <w:t>a</w:t>
      </w:r>
      <w:r w:rsidR="00664D1C">
        <w:rPr>
          <w:color w:val="000000"/>
        </w:rPr>
        <w:t xml:space="preserve"> </w:t>
      </w:r>
      <w:r w:rsidR="00D7097A">
        <w:rPr>
          <w:color w:val="000000"/>
        </w:rPr>
        <w:t>iespēja</w:t>
      </w:r>
      <w:r w:rsidR="00664D1C">
        <w:rPr>
          <w:color w:val="000000"/>
        </w:rPr>
        <w:t xml:space="preserve"> par ieņēmumu no </w:t>
      </w:r>
      <w:r w:rsidR="00195063">
        <w:rPr>
          <w:color w:val="000000"/>
        </w:rPr>
        <w:t xml:space="preserve">administratīvajiem </w:t>
      </w:r>
      <w:r w:rsidR="00664D1C">
        <w:rPr>
          <w:color w:val="000000"/>
        </w:rPr>
        <w:t xml:space="preserve">sodiem par </w:t>
      </w:r>
      <w:r w:rsidR="00664D1C" w:rsidRPr="00664D1C">
        <w:rPr>
          <w:color w:val="000000"/>
        </w:rPr>
        <w:t>autoceļu lietošanas nodevas maksāšanas pārkāpumiem</w:t>
      </w:r>
      <w:r w:rsidR="00664D1C">
        <w:rPr>
          <w:color w:val="000000"/>
        </w:rPr>
        <w:t xml:space="preserve"> (</w:t>
      </w:r>
      <w:r w:rsidR="00664D1C" w:rsidRPr="00E9666D">
        <w:t>Latvijas Administratīvo pārkāpumu kodeksa 149.</w:t>
      </w:r>
      <w:r w:rsidR="00664D1C" w:rsidRPr="00E9666D">
        <w:rPr>
          <w:vertAlign w:val="superscript"/>
        </w:rPr>
        <w:t>40</w:t>
      </w:r>
      <w:r w:rsidR="00664D1C" w:rsidRPr="00E9666D">
        <w:t xml:space="preserve"> pants</w:t>
      </w:r>
      <w:r w:rsidR="00664D1C">
        <w:t xml:space="preserve">) novirzīšanu Ceļu fondam. Saskaņā ar Valsts policijas sniegto informāciju 2017.gada pirmajā pusgadā </w:t>
      </w:r>
      <w:r w:rsidR="00664D1C">
        <w:rPr>
          <w:color w:val="000000"/>
        </w:rPr>
        <w:t xml:space="preserve">par </w:t>
      </w:r>
      <w:r w:rsidR="00664D1C" w:rsidRPr="00664D1C">
        <w:rPr>
          <w:color w:val="000000"/>
        </w:rPr>
        <w:t>autoceļu lietošanas nodevas maksāšanas pārkāpumiem</w:t>
      </w:r>
      <w:r w:rsidR="00664D1C">
        <w:rPr>
          <w:color w:val="000000"/>
        </w:rPr>
        <w:t xml:space="preserve"> piemērots sods 163 315 </w:t>
      </w:r>
      <w:proofErr w:type="spellStart"/>
      <w:r w:rsidR="00664D1C" w:rsidRPr="00472973">
        <w:rPr>
          <w:i/>
          <w:color w:val="000000"/>
        </w:rPr>
        <w:t>euro</w:t>
      </w:r>
      <w:proofErr w:type="spellEnd"/>
      <w:r w:rsidR="00664D1C">
        <w:rPr>
          <w:color w:val="000000"/>
        </w:rPr>
        <w:t xml:space="preserve"> apmērā, līdz ar to gadā ieņēmumi varētu būt aptuveni </w:t>
      </w:r>
      <w:r w:rsidR="00664D1C" w:rsidRPr="00472973">
        <w:rPr>
          <w:b/>
          <w:color w:val="000000"/>
        </w:rPr>
        <w:t xml:space="preserve">326 000 </w:t>
      </w:r>
      <w:proofErr w:type="spellStart"/>
      <w:r w:rsidR="00664D1C" w:rsidRPr="00472973">
        <w:rPr>
          <w:b/>
          <w:i/>
          <w:color w:val="000000"/>
        </w:rPr>
        <w:t>euro</w:t>
      </w:r>
      <w:proofErr w:type="spellEnd"/>
      <w:r w:rsidR="00664D1C">
        <w:rPr>
          <w:color w:val="000000"/>
        </w:rPr>
        <w:t xml:space="preserve">. Kad tiks ieviesta </w:t>
      </w:r>
      <w:r w:rsidR="00664D1C">
        <w:t>autoceļu lietošanas nodevas samaksas pārkāpumu automātiska kontrole, prognozējams, ka iekasēto sodu apmērs pieaugs.</w:t>
      </w:r>
    </w:p>
    <w:p w14:paraId="624F0BD0" w14:textId="6ED5EBF4" w:rsidR="007C5C1E" w:rsidRPr="00800417" w:rsidRDefault="007C5C1E" w:rsidP="00AE49B4">
      <w:pPr>
        <w:autoSpaceDE w:val="0"/>
        <w:autoSpaceDN w:val="0"/>
        <w:adjustRightInd w:val="0"/>
        <w:ind w:firstLine="567"/>
        <w:jc w:val="both"/>
        <w:rPr>
          <w:color w:val="000000"/>
        </w:rPr>
      </w:pPr>
      <w:r>
        <w:rPr>
          <w:color w:val="000000"/>
        </w:rPr>
        <w:t>A</w:t>
      </w:r>
      <w:r w:rsidRPr="007C5C1E">
        <w:rPr>
          <w:color w:val="000000"/>
        </w:rPr>
        <w:t xml:space="preserve">tbilstoši Latvijas Administratīvo pārkāpumu kodeksā paredzētajam </w:t>
      </w:r>
      <w:r>
        <w:rPr>
          <w:color w:val="000000"/>
        </w:rPr>
        <w:t xml:space="preserve">pašlaik ieņēmumi no </w:t>
      </w:r>
      <w:r w:rsidRPr="007C5C1E">
        <w:rPr>
          <w:color w:val="000000"/>
        </w:rPr>
        <w:t>sod</w:t>
      </w:r>
      <w:r>
        <w:rPr>
          <w:color w:val="000000"/>
        </w:rPr>
        <w:t>iem</w:t>
      </w:r>
      <w:r w:rsidRPr="007C5C1E">
        <w:rPr>
          <w:color w:val="000000"/>
        </w:rPr>
        <w:t xml:space="preserve"> par autoceļu lietošanas nodevas maksāšanas pārkāpumiem tiek ieskaitīti valsts pamatbudžeta ieņēmumos un izlietojami valsts pamatbudžeta izdevumu segšanai</w:t>
      </w:r>
      <w:r>
        <w:rPr>
          <w:color w:val="000000"/>
        </w:rPr>
        <w:t xml:space="preserve">. Līdz ar to gadījumā, ja tiktu izlemts </w:t>
      </w:r>
      <w:r w:rsidRPr="007C5C1E">
        <w:rPr>
          <w:color w:val="000000"/>
        </w:rPr>
        <w:t>ieņēmumu</w:t>
      </w:r>
      <w:r>
        <w:rPr>
          <w:color w:val="000000"/>
        </w:rPr>
        <w:t>s</w:t>
      </w:r>
      <w:r w:rsidRPr="007C5C1E">
        <w:rPr>
          <w:color w:val="000000"/>
        </w:rPr>
        <w:t xml:space="preserve"> no administratīvajiem sodiem par autoceļu lietošana</w:t>
      </w:r>
      <w:r>
        <w:rPr>
          <w:color w:val="000000"/>
        </w:rPr>
        <w:t>s nodevas maksāšanas pārkāpumiem ieskaitīt Ceļu fondā, normatīvajos aktos veicami grozījumi, paredzot šādu speciālo regulējumu.</w:t>
      </w:r>
    </w:p>
    <w:p w14:paraId="605268C0" w14:textId="77777777" w:rsidR="00C33FCB" w:rsidRPr="005316BA" w:rsidRDefault="00C33FCB" w:rsidP="00AE49B4">
      <w:pPr>
        <w:autoSpaceDE w:val="0"/>
        <w:autoSpaceDN w:val="0"/>
        <w:adjustRightInd w:val="0"/>
        <w:ind w:firstLine="567"/>
        <w:jc w:val="both"/>
        <w:rPr>
          <w:color w:val="000000"/>
          <w:highlight w:val="yellow"/>
        </w:rPr>
      </w:pPr>
    </w:p>
    <w:p w14:paraId="548978E6" w14:textId="77777777" w:rsidR="00C33FCB" w:rsidRPr="00927E5C" w:rsidRDefault="00C33FCB" w:rsidP="00472973">
      <w:pPr>
        <w:rPr>
          <w:b/>
          <w:sz w:val="28"/>
          <w:szCs w:val="28"/>
          <w:u w:val="single"/>
        </w:rPr>
      </w:pPr>
      <w:r w:rsidRPr="00927E5C">
        <w:rPr>
          <w:b/>
          <w:sz w:val="28"/>
          <w:szCs w:val="28"/>
          <w:u w:val="single"/>
        </w:rPr>
        <w:t>Kopsavilkums un priekšlikumi</w:t>
      </w:r>
    </w:p>
    <w:p w14:paraId="38EFDFA7" w14:textId="77777777" w:rsidR="00C33FCB" w:rsidRPr="003F1815" w:rsidRDefault="00C33FCB" w:rsidP="00AE49B4">
      <w:pPr>
        <w:pStyle w:val="naisf"/>
        <w:tabs>
          <w:tab w:val="num" w:pos="960"/>
        </w:tabs>
        <w:spacing w:before="0" w:after="0"/>
        <w:ind w:firstLine="720"/>
      </w:pPr>
    </w:p>
    <w:p w14:paraId="6563EA2C" w14:textId="77777777" w:rsidR="00C33FCB" w:rsidRDefault="00C33FCB" w:rsidP="00565EC3">
      <w:pPr>
        <w:pStyle w:val="naisf"/>
        <w:tabs>
          <w:tab w:val="num" w:pos="960"/>
        </w:tabs>
        <w:spacing w:before="0" w:after="0"/>
        <w:ind w:firstLine="720"/>
      </w:pPr>
      <w:r>
        <w:rPr>
          <w:lang w:eastAsia="en-US"/>
        </w:rPr>
        <w:t xml:space="preserve">Veicot uzdevuma par nepieciešamību izvērtēt iespējamību </w:t>
      </w:r>
      <w:r w:rsidRPr="003628C1">
        <w:t>piesaistīt papildu finansējumu ceļu uzturēšanai, pārbūvei un atjaunošanai  papildus valsts budžetā paredzētajam finansējumam</w:t>
      </w:r>
      <w:r>
        <w:t xml:space="preserve">, </w:t>
      </w:r>
      <w:r w:rsidRPr="00CD6BD7">
        <w:t>ievērojot fiskālās disciplīnas nosacījumus</w:t>
      </w:r>
      <w:r>
        <w:t xml:space="preserve">, tika </w:t>
      </w:r>
      <w:r w:rsidR="00565EC3">
        <w:t>secināts, ka nepieciešams</w:t>
      </w:r>
      <w:r>
        <w:t xml:space="preserve"> </w:t>
      </w:r>
      <w:r w:rsidR="00565EC3">
        <w:t>p</w:t>
      </w:r>
      <w:r w:rsidRPr="00731A3D">
        <w:t xml:space="preserve">alielināt </w:t>
      </w:r>
      <w:r>
        <w:t xml:space="preserve">ceļu lietotāju maksāto </w:t>
      </w:r>
      <w:r w:rsidRPr="00731A3D">
        <w:t>nodokļu un nodevu ieņēmumus un izveidot Ceļu fond</w:t>
      </w:r>
      <w:r>
        <w:t>u kā speciālo budžetu</w:t>
      </w:r>
      <w:r w:rsidR="003951CD">
        <w:t xml:space="preserve">, </w:t>
      </w:r>
      <w:r w:rsidR="003951CD" w:rsidRPr="007D470E">
        <w:rPr>
          <w:lang w:eastAsia="en-US"/>
        </w:rPr>
        <w:t>pakāpeniski palielinot kopējo valsts budžeta finansējumu valsts autoceļiem</w:t>
      </w:r>
      <w:r w:rsidR="003951CD">
        <w:rPr>
          <w:lang w:eastAsia="en-US"/>
        </w:rPr>
        <w:t xml:space="preserve"> </w:t>
      </w:r>
      <w:r w:rsidR="00EA0D9C" w:rsidRPr="00EA0D9C">
        <w:rPr>
          <w:lang w:eastAsia="en-US"/>
        </w:rPr>
        <w:t xml:space="preserve">sākot no 433 miljoniem </w:t>
      </w:r>
      <w:proofErr w:type="spellStart"/>
      <w:r w:rsidR="00EA0D9C" w:rsidRPr="00472973">
        <w:rPr>
          <w:i/>
          <w:lang w:eastAsia="en-US"/>
        </w:rPr>
        <w:t>euro</w:t>
      </w:r>
      <w:proofErr w:type="spellEnd"/>
      <w:r w:rsidR="00EA0D9C" w:rsidRPr="00EA0D9C">
        <w:rPr>
          <w:lang w:eastAsia="en-US"/>
        </w:rPr>
        <w:t xml:space="preserve"> 2020. gadā, pakāpeniski finansējumu palielinot</w:t>
      </w:r>
      <w:r w:rsidR="00EE35AA" w:rsidRPr="003D7BB6">
        <w:rPr>
          <w:lang w:eastAsia="en-US"/>
        </w:rPr>
        <w:t>,</w:t>
      </w:r>
      <w:r w:rsidR="00EE35AA">
        <w:rPr>
          <w:lang w:eastAsia="en-US"/>
        </w:rPr>
        <w:t xml:space="preserve"> tai skaitā piesaistot šādus papildu resursus</w:t>
      </w:r>
      <w:r>
        <w:t>:</w:t>
      </w:r>
    </w:p>
    <w:p w14:paraId="451B9863" w14:textId="77777777" w:rsidR="00F5659E" w:rsidRDefault="00F5659E" w:rsidP="00565EC3">
      <w:pPr>
        <w:pStyle w:val="naisf"/>
        <w:tabs>
          <w:tab w:val="num" w:pos="960"/>
        </w:tabs>
        <w:spacing w:before="0" w:after="0"/>
        <w:ind w:firstLine="720"/>
      </w:pPr>
    </w:p>
    <w:p w14:paraId="4EB1F836" w14:textId="1E45A2C6" w:rsidR="00C55640" w:rsidRDefault="00C33FCB" w:rsidP="00C55640">
      <w:pPr>
        <w:ind w:firstLine="720"/>
        <w:jc w:val="both"/>
        <w:rPr>
          <w:lang w:eastAsia="en-US"/>
        </w:rPr>
      </w:pPr>
      <w:r>
        <w:t xml:space="preserve">1. </w:t>
      </w:r>
      <w:r>
        <w:rPr>
          <w:lang w:eastAsia="en-US"/>
        </w:rPr>
        <w:t xml:space="preserve">Akcīzes nodokļa paaugstināšana – </w:t>
      </w:r>
      <w:r w:rsidR="00C55640">
        <w:rPr>
          <w:lang w:eastAsia="en-US"/>
        </w:rPr>
        <w:t>ar 2017.gada 27.jūlijā Saeimā pieņemto likumu “</w:t>
      </w:r>
      <w:r w:rsidR="00F5659E">
        <w:rPr>
          <w:lang w:eastAsia="en-US"/>
        </w:rPr>
        <w:t>Grozījumi likumā “</w:t>
      </w:r>
      <w:r w:rsidR="00C55640" w:rsidRPr="00B84612">
        <w:rPr>
          <w:lang w:eastAsia="en-US"/>
        </w:rPr>
        <w:t>Par akcīzes nodokli</w:t>
      </w:r>
      <w:r w:rsidR="00F5659E">
        <w:rPr>
          <w:lang w:eastAsia="en-US"/>
        </w:rPr>
        <w:t>”</w:t>
      </w:r>
      <w:r w:rsidR="00C55640">
        <w:rPr>
          <w:lang w:eastAsia="en-US"/>
        </w:rPr>
        <w:t xml:space="preserve">” akcīzes nodoklis naftas produktiem tiks palielināts </w:t>
      </w:r>
      <w:r w:rsidR="00C55640">
        <w:rPr>
          <w:lang w:eastAsia="en-US"/>
        </w:rPr>
        <w:lastRenderedPageBreak/>
        <w:t xml:space="preserve">no 2018.gada un 2020.gada. Valsts budžeta papildu ieņēmumi, kas radīsies no akcīzes nodokļa naftas produktiem paaugstināšanas, </w:t>
      </w:r>
      <w:r w:rsidR="007C5C1E">
        <w:rPr>
          <w:lang w:eastAsia="en-US"/>
        </w:rPr>
        <w:t xml:space="preserve">sākot no 2021.gada, </w:t>
      </w:r>
      <w:r w:rsidR="00C55640">
        <w:rPr>
          <w:lang w:eastAsia="en-US"/>
        </w:rPr>
        <w:t xml:space="preserve">jānovirza Ceļu fondam. </w:t>
      </w:r>
    </w:p>
    <w:p w14:paraId="1C8C1F30" w14:textId="77777777" w:rsidR="00C33FCB" w:rsidRDefault="00C33FCB" w:rsidP="00C55640">
      <w:pPr>
        <w:pStyle w:val="naisf"/>
        <w:tabs>
          <w:tab w:val="num" w:pos="960"/>
        </w:tabs>
        <w:spacing w:before="0" w:after="0"/>
        <w:ind w:firstLine="720"/>
        <w:rPr>
          <w:lang w:eastAsia="en-US"/>
        </w:rPr>
      </w:pPr>
    </w:p>
    <w:p w14:paraId="469539AC" w14:textId="496B0E59" w:rsidR="00C33FCB" w:rsidRDefault="00C33FCB" w:rsidP="00856C43">
      <w:pPr>
        <w:pStyle w:val="naisf"/>
        <w:tabs>
          <w:tab w:val="num" w:pos="960"/>
        </w:tabs>
        <w:spacing w:before="0" w:after="0"/>
        <w:ind w:firstLine="720"/>
        <w:rPr>
          <w:bCs/>
        </w:rPr>
      </w:pPr>
      <w:r>
        <w:rPr>
          <w:lang w:eastAsia="en-US"/>
        </w:rPr>
        <w:t xml:space="preserve">2. </w:t>
      </w:r>
      <w:r w:rsidRPr="00731A3D">
        <w:rPr>
          <w:lang w:eastAsia="en-US"/>
        </w:rPr>
        <w:t>Autoceļu lietošanas nodevas ieņēmumu pieaugums</w:t>
      </w:r>
      <w:r w:rsidR="00856C43">
        <w:rPr>
          <w:lang w:eastAsia="en-US"/>
        </w:rPr>
        <w:t xml:space="preserve"> - a</w:t>
      </w:r>
      <w:r w:rsidRPr="007B1461">
        <w:t>utoceļu lietošan</w:t>
      </w:r>
      <w:r>
        <w:t>as nodevas maksāšanas pārkāpumu fiksēšana ar automātisku iekārtu palīdzību</w:t>
      </w:r>
      <w:r w:rsidRPr="007B1461">
        <w:t>, neapturot transportlīdzekli</w:t>
      </w:r>
      <w:r w:rsidR="007C5C1E">
        <w:t>.</w:t>
      </w:r>
      <w:r w:rsidR="00856C43">
        <w:rPr>
          <w:bCs/>
        </w:rPr>
        <w:t>. P</w:t>
      </w:r>
      <w:r w:rsidRPr="00B43D51">
        <w:rPr>
          <w:bCs/>
        </w:rPr>
        <w:t xml:space="preserve">lānotais valsts budžeta ieņēmumu pieaugums no </w:t>
      </w:r>
      <w:r>
        <w:rPr>
          <w:bCs/>
        </w:rPr>
        <w:t xml:space="preserve">autoceļu lietošanas </w:t>
      </w:r>
      <w:r w:rsidRPr="00B43D51">
        <w:rPr>
          <w:bCs/>
        </w:rPr>
        <w:t xml:space="preserve">nodevas ir aptuveni </w:t>
      </w:r>
      <w:r w:rsidR="00856C43">
        <w:rPr>
          <w:b/>
          <w:bCs/>
        </w:rPr>
        <w:t>3</w:t>
      </w:r>
      <w:r w:rsidRPr="00534A9A">
        <w:rPr>
          <w:b/>
          <w:bCs/>
        </w:rPr>
        <w:t>,</w:t>
      </w:r>
      <w:r w:rsidR="007C5C1E">
        <w:rPr>
          <w:b/>
          <w:bCs/>
        </w:rPr>
        <w:t>0</w:t>
      </w:r>
      <w:r w:rsidR="007C5C1E" w:rsidRPr="00534A9A">
        <w:rPr>
          <w:b/>
          <w:bCs/>
        </w:rPr>
        <w:t xml:space="preserve"> </w:t>
      </w:r>
      <w:r w:rsidRPr="00534A9A">
        <w:rPr>
          <w:b/>
          <w:bCs/>
        </w:rPr>
        <w:t xml:space="preserve">milj. </w:t>
      </w:r>
      <w:proofErr w:type="spellStart"/>
      <w:r w:rsidRPr="00534A9A">
        <w:rPr>
          <w:b/>
          <w:bCs/>
          <w:i/>
        </w:rPr>
        <w:t>euro</w:t>
      </w:r>
      <w:proofErr w:type="spellEnd"/>
      <w:r w:rsidRPr="00B43D51">
        <w:rPr>
          <w:bCs/>
        </w:rPr>
        <w:t xml:space="preserve"> gadā.</w:t>
      </w:r>
      <w:r>
        <w:rPr>
          <w:bCs/>
        </w:rPr>
        <w:t xml:space="preserve"> </w:t>
      </w:r>
    </w:p>
    <w:p w14:paraId="29CA133A" w14:textId="77777777" w:rsidR="00EE35AA" w:rsidRDefault="00EE35AA" w:rsidP="00731A3D">
      <w:pPr>
        <w:pStyle w:val="naisf"/>
        <w:tabs>
          <w:tab w:val="num" w:pos="960"/>
        </w:tabs>
        <w:spacing w:before="0" w:after="0"/>
        <w:ind w:firstLine="720"/>
        <w:rPr>
          <w:bCs/>
        </w:rPr>
      </w:pPr>
    </w:p>
    <w:p w14:paraId="48506D30" w14:textId="03FE0316" w:rsidR="00D7097A" w:rsidRDefault="007C5C1E" w:rsidP="00731A3D">
      <w:pPr>
        <w:pStyle w:val="naisf"/>
        <w:tabs>
          <w:tab w:val="num" w:pos="960"/>
        </w:tabs>
        <w:spacing w:before="0" w:after="0"/>
        <w:ind w:firstLine="720"/>
      </w:pPr>
      <w:r>
        <w:rPr>
          <w:bCs/>
        </w:rPr>
        <w:t>3</w:t>
      </w:r>
      <w:r w:rsidR="00D7097A">
        <w:rPr>
          <w:bCs/>
        </w:rPr>
        <w:t xml:space="preserve">. </w:t>
      </w:r>
      <w:r w:rsidR="00D7097A">
        <w:rPr>
          <w:color w:val="000000"/>
        </w:rPr>
        <w:t xml:space="preserve">Izvērtējama iespēja par ieņēmumu no </w:t>
      </w:r>
      <w:r w:rsidR="00195063">
        <w:rPr>
          <w:color w:val="000000"/>
        </w:rPr>
        <w:t xml:space="preserve">administratīvajiem </w:t>
      </w:r>
      <w:r w:rsidR="00D7097A">
        <w:rPr>
          <w:color w:val="000000"/>
        </w:rPr>
        <w:t xml:space="preserve">sodiem par </w:t>
      </w:r>
      <w:r w:rsidR="00D7097A" w:rsidRPr="00664D1C">
        <w:rPr>
          <w:color w:val="000000"/>
        </w:rPr>
        <w:t>autoceļu lietošanas nodevas maksāšanas pārkāpumiem</w:t>
      </w:r>
      <w:r w:rsidR="00D7097A">
        <w:rPr>
          <w:color w:val="000000"/>
        </w:rPr>
        <w:t xml:space="preserve"> </w:t>
      </w:r>
      <w:r w:rsidR="00D7097A">
        <w:t>novirzīšanu Ceļu fondam. Plānotie papildu</w:t>
      </w:r>
      <w:r w:rsidR="00D7097A">
        <w:rPr>
          <w:color w:val="000000"/>
        </w:rPr>
        <w:t xml:space="preserve"> ieņēmumi ir aptuveni </w:t>
      </w:r>
      <w:r w:rsidR="00D7097A" w:rsidRPr="000102A6">
        <w:rPr>
          <w:b/>
          <w:color w:val="000000"/>
        </w:rPr>
        <w:t xml:space="preserve">326 000 </w:t>
      </w:r>
      <w:proofErr w:type="spellStart"/>
      <w:r w:rsidR="00D7097A" w:rsidRPr="000102A6">
        <w:rPr>
          <w:b/>
          <w:i/>
          <w:color w:val="000000"/>
        </w:rPr>
        <w:t>euro</w:t>
      </w:r>
      <w:proofErr w:type="spellEnd"/>
      <w:r w:rsidR="00D7097A">
        <w:rPr>
          <w:b/>
          <w:i/>
          <w:color w:val="000000"/>
        </w:rPr>
        <w:t xml:space="preserve"> </w:t>
      </w:r>
      <w:r w:rsidR="00D7097A">
        <w:rPr>
          <w:color w:val="000000"/>
        </w:rPr>
        <w:t>gadā</w:t>
      </w:r>
      <w:r w:rsidR="00D7097A">
        <w:t>.</w:t>
      </w:r>
    </w:p>
    <w:p w14:paraId="5079B177" w14:textId="77777777" w:rsidR="00C248EA" w:rsidRDefault="00C248EA" w:rsidP="00731A3D">
      <w:pPr>
        <w:pStyle w:val="naisf"/>
        <w:tabs>
          <w:tab w:val="num" w:pos="960"/>
        </w:tabs>
        <w:spacing w:before="0" w:after="0"/>
        <w:ind w:firstLine="720"/>
      </w:pPr>
    </w:p>
    <w:p w14:paraId="6799F2B4" w14:textId="7300BB96" w:rsidR="00C248EA" w:rsidRDefault="00C248EA" w:rsidP="00731A3D">
      <w:pPr>
        <w:pStyle w:val="naisf"/>
        <w:tabs>
          <w:tab w:val="num" w:pos="960"/>
        </w:tabs>
        <w:spacing w:before="0" w:after="0"/>
        <w:ind w:firstLine="720"/>
        <w:rPr>
          <w:b/>
          <w:lang w:eastAsia="en-US"/>
        </w:rPr>
      </w:pPr>
      <w:r w:rsidRPr="00472973">
        <w:rPr>
          <w:b/>
        </w:rPr>
        <w:t>Pamatojoties uz iepriekš minēto</w:t>
      </w:r>
      <w:r w:rsidR="00FE3C0A">
        <w:rPr>
          <w:b/>
        </w:rPr>
        <w:t>,</w:t>
      </w:r>
      <w:r w:rsidRPr="00472973">
        <w:rPr>
          <w:b/>
        </w:rPr>
        <w:t xml:space="preserve"> ir atbalstāmi Satiksmes ministrijas </w:t>
      </w:r>
      <w:r w:rsidR="000771F8">
        <w:rPr>
          <w:b/>
        </w:rPr>
        <w:t>2017.gada 14.jūnijā</w:t>
      </w:r>
      <w:r w:rsidR="000771F8" w:rsidRPr="000771F8">
        <w:rPr>
          <w:b/>
        </w:rPr>
        <w:t xml:space="preserve"> Saeimas Tautsaimniecības, agrārās, vides un</w:t>
      </w:r>
      <w:r w:rsidR="000771F8">
        <w:rPr>
          <w:b/>
        </w:rPr>
        <w:t xml:space="preserve"> reģionālās politikas komisijā </w:t>
      </w:r>
      <w:r w:rsidRPr="00472973">
        <w:rPr>
          <w:b/>
        </w:rPr>
        <w:t xml:space="preserve">iesniegtie priekšlikumi </w:t>
      </w:r>
      <w:r w:rsidRPr="00472973">
        <w:rPr>
          <w:b/>
          <w:lang w:eastAsia="en-US"/>
        </w:rPr>
        <w:t xml:space="preserve">grozījumiem likumā “Par autoceļiem” (Nr. 879/Lp12) ar </w:t>
      </w:r>
      <w:r w:rsidR="000771F8">
        <w:rPr>
          <w:b/>
          <w:lang w:eastAsia="en-US"/>
        </w:rPr>
        <w:t>šādiem</w:t>
      </w:r>
      <w:r w:rsidRPr="00472973">
        <w:rPr>
          <w:b/>
          <w:lang w:eastAsia="en-US"/>
        </w:rPr>
        <w:t xml:space="preserve"> precizējumiem</w:t>
      </w:r>
      <w:r w:rsidR="000771F8">
        <w:rPr>
          <w:b/>
          <w:lang w:eastAsia="en-US"/>
        </w:rPr>
        <w:t>:</w:t>
      </w:r>
    </w:p>
    <w:p w14:paraId="0A9CE114" w14:textId="3D3F4FFE" w:rsidR="000771F8" w:rsidRDefault="000771F8" w:rsidP="00731A3D">
      <w:pPr>
        <w:pStyle w:val="naisf"/>
        <w:tabs>
          <w:tab w:val="num" w:pos="960"/>
        </w:tabs>
        <w:spacing w:before="0" w:after="0"/>
        <w:ind w:firstLine="720"/>
        <w:rPr>
          <w:b/>
          <w:lang w:eastAsia="en-US"/>
        </w:rPr>
      </w:pPr>
      <w:r>
        <w:rPr>
          <w:b/>
          <w:lang w:eastAsia="en-US"/>
        </w:rPr>
        <w:t>1) Ceļu fonds kā speciālais budžets atjaunojams no 2020.gada;</w:t>
      </w:r>
    </w:p>
    <w:p w14:paraId="4C8E9E9C" w14:textId="7E2958C2" w:rsidR="000771F8" w:rsidRDefault="000771F8" w:rsidP="00731A3D">
      <w:pPr>
        <w:pStyle w:val="naisf"/>
        <w:tabs>
          <w:tab w:val="num" w:pos="960"/>
        </w:tabs>
        <w:spacing w:before="0" w:after="0"/>
        <w:ind w:firstLine="720"/>
        <w:rPr>
          <w:b/>
          <w:lang w:eastAsia="en-US"/>
        </w:rPr>
      </w:pPr>
      <w:r>
        <w:rPr>
          <w:b/>
          <w:lang w:eastAsia="en-US"/>
        </w:rPr>
        <w:t>2) Ceļu fondā ieskaitāmi arī ieņēmumi no l</w:t>
      </w:r>
      <w:r w:rsidRPr="000771F8">
        <w:rPr>
          <w:b/>
          <w:lang w:eastAsia="en-US"/>
        </w:rPr>
        <w:t>ielgabarīta un smagsvara pārvadājumu atļaujas izsniegšanas valsts nodeva</w:t>
      </w:r>
      <w:r>
        <w:rPr>
          <w:b/>
          <w:lang w:eastAsia="en-US"/>
        </w:rPr>
        <w:t>s;</w:t>
      </w:r>
    </w:p>
    <w:p w14:paraId="36FF0EF9" w14:textId="4DCE6721" w:rsidR="000771F8" w:rsidRPr="00472973" w:rsidRDefault="000771F8" w:rsidP="00731A3D">
      <w:pPr>
        <w:pStyle w:val="naisf"/>
        <w:tabs>
          <w:tab w:val="num" w:pos="960"/>
        </w:tabs>
        <w:spacing w:before="0" w:after="0"/>
        <w:ind w:firstLine="720"/>
        <w:rPr>
          <w:b/>
          <w:bCs/>
        </w:rPr>
      </w:pPr>
      <w:r>
        <w:rPr>
          <w:b/>
          <w:lang w:eastAsia="en-US"/>
        </w:rPr>
        <w:t xml:space="preserve">3) 2020.gadā Ceļu fondā ieskaitāmi </w:t>
      </w:r>
      <w:r w:rsidRPr="000771F8">
        <w:rPr>
          <w:b/>
          <w:lang w:eastAsia="en-US"/>
        </w:rPr>
        <w:t xml:space="preserve">45 procenti no akcīzes nodokļa par naftas produktiem, katru gadu akcīzes nodokļa par naftas produktiem </w:t>
      </w:r>
      <w:r w:rsidR="001C77A6">
        <w:rPr>
          <w:b/>
          <w:lang w:eastAsia="en-US"/>
        </w:rPr>
        <w:t>ieņēmumu novirzāmo apmēru</w:t>
      </w:r>
      <w:r w:rsidRPr="000771F8">
        <w:rPr>
          <w:b/>
          <w:lang w:eastAsia="en-US"/>
        </w:rPr>
        <w:t xml:space="preserve"> Ceļu fondam palielinot vismaz par 2,5 %</w:t>
      </w:r>
      <w:r w:rsidR="001C77A6">
        <w:rPr>
          <w:b/>
          <w:lang w:eastAsia="en-US"/>
        </w:rPr>
        <w:t xml:space="preserve">, 2030.gadā sasniedzot 70% no </w:t>
      </w:r>
      <w:r w:rsidR="001C77A6" w:rsidRPr="000771F8">
        <w:rPr>
          <w:b/>
          <w:lang w:eastAsia="en-US"/>
        </w:rPr>
        <w:t>akcīzes nodokļa par naftas produktiem</w:t>
      </w:r>
      <w:r w:rsidR="001C77A6">
        <w:rPr>
          <w:b/>
          <w:lang w:eastAsia="en-US"/>
        </w:rPr>
        <w:t>.</w:t>
      </w:r>
    </w:p>
    <w:p w14:paraId="1800C061" w14:textId="77777777" w:rsidR="00C33FCB" w:rsidRDefault="00C33FCB" w:rsidP="00AE49B4">
      <w:pPr>
        <w:pStyle w:val="naisf"/>
        <w:tabs>
          <w:tab w:val="num" w:pos="960"/>
        </w:tabs>
        <w:spacing w:before="0" w:after="0"/>
        <w:ind w:firstLine="720"/>
      </w:pPr>
    </w:p>
    <w:p w14:paraId="6FE10CAC" w14:textId="77777777" w:rsidR="00892EF5" w:rsidRDefault="00892EF5" w:rsidP="00AE49B4">
      <w:pPr>
        <w:pStyle w:val="naisf"/>
        <w:tabs>
          <w:tab w:val="num" w:pos="960"/>
        </w:tabs>
        <w:spacing w:before="0" w:after="0"/>
        <w:ind w:firstLine="720"/>
      </w:pPr>
    </w:p>
    <w:p w14:paraId="27B00E9C" w14:textId="77777777" w:rsidR="00C33FCB" w:rsidRPr="003F1815" w:rsidRDefault="00C33FCB" w:rsidP="00927E5C">
      <w:pPr>
        <w:tabs>
          <w:tab w:val="num" w:pos="960"/>
        </w:tabs>
      </w:pPr>
      <w:r>
        <w:t>Satiksmes ministrs</w:t>
      </w:r>
      <w:r>
        <w:tab/>
      </w:r>
      <w:r>
        <w:tab/>
      </w:r>
      <w:r w:rsidRPr="003F1815">
        <w:tab/>
      </w:r>
      <w:r w:rsidRPr="003F1815">
        <w:tab/>
      </w:r>
      <w:r w:rsidRPr="003F1815">
        <w:tab/>
        <w:t xml:space="preserve">     </w:t>
      </w:r>
      <w:r>
        <w:t xml:space="preserve">     </w:t>
      </w:r>
      <w:r w:rsidRPr="003F1815">
        <w:t xml:space="preserve">     </w:t>
      </w:r>
      <w:r>
        <w:tab/>
      </w:r>
      <w:r>
        <w:tab/>
      </w:r>
      <w:r>
        <w:tab/>
      </w:r>
      <w:r w:rsidRPr="003F1815">
        <w:t>U. Augulis</w:t>
      </w:r>
    </w:p>
    <w:p w14:paraId="282D2E58" w14:textId="77777777" w:rsidR="00C33FCB" w:rsidRDefault="00C33FCB" w:rsidP="00927E5C">
      <w:pPr>
        <w:pStyle w:val="NormalWeb"/>
        <w:tabs>
          <w:tab w:val="num" w:pos="960"/>
        </w:tabs>
        <w:spacing w:before="0" w:beforeAutospacing="0" w:after="0" w:afterAutospacing="0"/>
        <w:jc w:val="both"/>
      </w:pPr>
    </w:p>
    <w:p w14:paraId="04CAA1D5" w14:textId="70338D8D" w:rsidR="007D01E4" w:rsidRPr="007D01E4" w:rsidRDefault="007D01E4" w:rsidP="00D8783B">
      <w:pPr>
        <w:jc w:val="both"/>
      </w:pPr>
      <w:r w:rsidRPr="007D01E4">
        <w:t>Vīza: valsts sekretār</w:t>
      </w:r>
      <w:r w:rsidR="00D8783B">
        <w:t>s</w:t>
      </w:r>
      <w:r w:rsidRPr="007D01E4">
        <w:tab/>
      </w:r>
      <w:r w:rsidRPr="007D01E4">
        <w:tab/>
      </w:r>
      <w:r w:rsidRPr="007D01E4">
        <w:tab/>
      </w:r>
      <w:r w:rsidRPr="007D01E4">
        <w:tab/>
      </w:r>
      <w:r w:rsidRPr="007D01E4">
        <w:tab/>
      </w:r>
      <w:r w:rsidRPr="007D01E4">
        <w:tab/>
      </w:r>
      <w:r w:rsidRPr="007D01E4">
        <w:tab/>
      </w:r>
      <w:r>
        <w:tab/>
      </w:r>
      <w:r w:rsidR="00081FB6">
        <w:tab/>
      </w:r>
      <w:r w:rsidR="00D8783B">
        <w:t>K. Ozoliņš</w:t>
      </w:r>
    </w:p>
    <w:p w14:paraId="0929DC97" w14:textId="77777777" w:rsidR="00C33FCB" w:rsidRPr="007D01E4" w:rsidRDefault="00C33FCB" w:rsidP="00927E5C">
      <w:pPr>
        <w:tabs>
          <w:tab w:val="num" w:pos="960"/>
        </w:tabs>
      </w:pPr>
    </w:p>
    <w:p w14:paraId="260049B3" w14:textId="77777777" w:rsidR="00175C84" w:rsidRPr="004B0816" w:rsidRDefault="00175C84" w:rsidP="00927E5C">
      <w:pPr>
        <w:tabs>
          <w:tab w:val="num" w:pos="960"/>
        </w:tabs>
        <w:rPr>
          <w:sz w:val="28"/>
          <w:szCs w:val="28"/>
        </w:rPr>
      </w:pPr>
    </w:p>
    <w:p w14:paraId="74181E62" w14:textId="3A28F25B" w:rsidR="00C33FCB" w:rsidRPr="00081FB6" w:rsidRDefault="00081FB6" w:rsidP="00927E5C">
      <w:pPr>
        <w:tabs>
          <w:tab w:val="num" w:pos="960"/>
        </w:tabs>
        <w:rPr>
          <w:sz w:val="20"/>
          <w:szCs w:val="20"/>
        </w:rPr>
      </w:pPr>
      <w:r w:rsidRPr="00081FB6">
        <w:rPr>
          <w:sz w:val="20"/>
          <w:szCs w:val="20"/>
        </w:rPr>
        <w:t>07.11</w:t>
      </w:r>
      <w:r w:rsidR="00D03FA7" w:rsidRPr="00081FB6">
        <w:rPr>
          <w:sz w:val="20"/>
          <w:szCs w:val="20"/>
        </w:rPr>
        <w:t>.2017. 1</w:t>
      </w:r>
      <w:r w:rsidR="002E648C">
        <w:rPr>
          <w:sz w:val="20"/>
          <w:szCs w:val="20"/>
        </w:rPr>
        <w:t>7</w:t>
      </w:r>
      <w:r w:rsidR="00D03FA7" w:rsidRPr="00081FB6">
        <w:rPr>
          <w:sz w:val="20"/>
          <w:szCs w:val="20"/>
        </w:rPr>
        <w:t>:</w:t>
      </w:r>
      <w:r w:rsidR="002E648C">
        <w:rPr>
          <w:sz w:val="20"/>
          <w:szCs w:val="20"/>
        </w:rPr>
        <w:t>58</w:t>
      </w:r>
      <w:bookmarkStart w:id="0" w:name="_GoBack"/>
      <w:bookmarkEnd w:id="0"/>
    </w:p>
    <w:p w14:paraId="5C5284F2" w14:textId="1DCAA672" w:rsidR="00C33FCB" w:rsidRPr="00421DF0" w:rsidRDefault="002E648C" w:rsidP="00927E5C">
      <w:pPr>
        <w:tabs>
          <w:tab w:val="num" w:pos="960"/>
        </w:tabs>
        <w:rPr>
          <w:sz w:val="20"/>
          <w:szCs w:val="20"/>
        </w:rPr>
      </w:pPr>
      <w:r>
        <w:rPr>
          <w:sz w:val="20"/>
          <w:szCs w:val="20"/>
        </w:rPr>
        <w:t>3366</w:t>
      </w:r>
    </w:p>
    <w:p w14:paraId="64C30EC1" w14:textId="77777777" w:rsidR="00C33FCB" w:rsidRPr="00421DF0" w:rsidRDefault="00C33FCB" w:rsidP="00927E5C">
      <w:pPr>
        <w:tabs>
          <w:tab w:val="num" w:pos="960"/>
        </w:tabs>
        <w:rPr>
          <w:sz w:val="20"/>
          <w:szCs w:val="20"/>
        </w:rPr>
      </w:pPr>
      <w:r w:rsidRPr="00421DF0">
        <w:rPr>
          <w:sz w:val="20"/>
          <w:szCs w:val="20"/>
        </w:rPr>
        <w:t>D. Supe 67028253</w:t>
      </w:r>
    </w:p>
    <w:p w14:paraId="2A19EFF6" w14:textId="77777777" w:rsidR="00C33FCB" w:rsidRDefault="002E648C" w:rsidP="00927E5C">
      <w:pPr>
        <w:tabs>
          <w:tab w:val="num" w:pos="960"/>
        </w:tabs>
        <w:rPr>
          <w:sz w:val="20"/>
          <w:szCs w:val="20"/>
        </w:rPr>
      </w:pPr>
      <w:hyperlink r:id="rId14" w:history="1">
        <w:r w:rsidR="00C33FCB" w:rsidRPr="00421DF0">
          <w:rPr>
            <w:rStyle w:val="Hyperlink"/>
            <w:sz w:val="20"/>
            <w:szCs w:val="20"/>
          </w:rPr>
          <w:t>Dace.Supe@sam.gov.lv</w:t>
        </w:r>
      </w:hyperlink>
      <w:r w:rsidR="00C33FCB" w:rsidRPr="00421DF0">
        <w:rPr>
          <w:sz w:val="20"/>
          <w:szCs w:val="20"/>
        </w:rPr>
        <w:t xml:space="preserve"> </w:t>
      </w:r>
    </w:p>
    <w:p w14:paraId="40176EC8" w14:textId="77777777" w:rsidR="00C33FCB" w:rsidRDefault="00C33FCB" w:rsidP="00927E5C">
      <w:pPr>
        <w:tabs>
          <w:tab w:val="num" w:pos="960"/>
        </w:tabs>
        <w:rPr>
          <w:sz w:val="20"/>
          <w:szCs w:val="20"/>
        </w:rPr>
      </w:pPr>
      <w:r>
        <w:rPr>
          <w:sz w:val="20"/>
          <w:szCs w:val="20"/>
        </w:rPr>
        <w:t>K. Marinska 67028066</w:t>
      </w:r>
    </w:p>
    <w:p w14:paraId="5E01D442" w14:textId="77777777" w:rsidR="00C33FCB" w:rsidRPr="00421DF0" w:rsidRDefault="002E648C" w:rsidP="00927E5C">
      <w:pPr>
        <w:tabs>
          <w:tab w:val="num" w:pos="960"/>
        </w:tabs>
        <w:rPr>
          <w:sz w:val="20"/>
          <w:szCs w:val="20"/>
          <w:u w:val="single"/>
        </w:rPr>
      </w:pPr>
      <w:hyperlink r:id="rId15" w:history="1">
        <w:r w:rsidR="00C33FCB" w:rsidRPr="00E74361">
          <w:rPr>
            <w:rStyle w:val="Hyperlink"/>
            <w:sz w:val="20"/>
            <w:szCs w:val="20"/>
          </w:rPr>
          <w:t>Karina.Marinska@sam.gov.lv</w:t>
        </w:r>
      </w:hyperlink>
      <w:r w:rsidR="00C33FCB">
        <w:rPr>
          <w:sz w:val="20"/>
          <w:szCs w:val="20"/>
        </w:rPr>
        <w:t xml:space="preserve"> </w:t>
      </w:r>
    </w:p>
    <w:sectPr w:rsidR="00C33FCB" w:rsidRPr="00421DF0" w:rsidSect="00E71C7F">
      <w:pgSz w:w="11906" w:h="16838"/>
      <w:pgMar w:top="1134" w:right="1134" w:bottom="1418" w:left="1701" w:header="73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782C50" w15:done="0"/>
  <w15:commentEx w15:paraId="62CC5E61" w15:done="0"/>
  <w15:commentEx w15:paraId="3839B2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358D" w14:textId="77777777" w:rsidR="000771F8" w:rsidRDefault="000771F8">
      <w:r>
        <w:separator/>
      </w:r>
    </w:p>
  </w:endnote>
  <w:endnote w:type="continuationSeparator" w:id="0">
    <w:p w14:paraId="78D957BE" w14:textId="77777777" w:rsidR="000771F8" w:rsidRDefault="0007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ADDF" w14:textId="77777777" w:rsidR="000771F8" w:rsidRDefault="000771F8" w:rsidP="00EF4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B937" w14:textId="36E85CAA" w:rsidR="000771F8" w:rsidRPr="0058430C" w:rsidRDefault="002E648C" w:rsidP="005C2D0D">
    <w:pPr>
      <w:jc w:val="both"/>
      <w:rPr>
        <w:b/>
        <w:sz w:val="20"/>
        <w:szCs w:val="20"/>
      </w:rPr>
    </w:pPr>
    <w:r w:rsidRPr="002E648C">
      <w:rPr>
        <w:sz w:val="20"/>
        <w:szCs w:val="20"/>
      </w:rPr>
      <w:t>SMzino_071117_autoceli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C206" w14:textId="06BADCC2" w:rsidR="000771F8" w:rsidRPr="0058430C" w:rsidRDefault="002E648C" w:rsidP="002D6790">
    <w:pPr>
      <w:jc w:val="both"/>
      <w:rPr>
        <w:b/>
        <w:sz w:val="20"/>
        <w:szCs w:val="20"/>
      </w:rPr>
    </w:pPr>
    <w:r w:rsidRPr="002E648C">
      <w:rPr>
        <w:sz w:val="20"/>
        <w:szCs w:val="20"/>
      </w:rPr>
      <w:t>SMzino_071117_autoceli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5A26E" w14:textId="77777777" w:rsidR="000771F8" w:rsidRDefault="000771F8">
      <w:r>
        <w:separator/>
      </w:r>
    </w:p>
  </w:footnote>
  <w:footnote w:type="continuationSeparator" w:id="0">
    <w:p w14:paraId="60D25E08" w14:textId="77777777" w:rsidR="000771F8" w:rsidRDefault="000771F8">
      <w:r>
        <w:continuationSeparator/>
      </w:r>
    </w:p>
  </w:footnote>
  <w:footnote w:id="1">
    <w:p w14:paraId="6371AEDA" w14:textId="77777777" w:rsidR="000771F8" w:rsidRDefault="000771F8">
      <w:pPr>
        <w:pStyle w:val="FootnoteText"/>
      </w:pPr>
      <w:r>
        <w:rPr>
          <w:rStyle w:val="FootnoteReference"/>
        </w:rPr>
        <w:footnoteRef/>
      </w:r>
      <w:r>
        <w:t xml:space="preserve"> Informācija stratēģiskās plānošanas vajadzībām. VAS “Latvijas Valsts ceļi”, 2017. Pieejams: </w:t>
      </w:r>
      <w:hyperlink r:id="rId1" w:history="1">
        <w:r w:rsidRPr="003E1D2B">
          <w:rPr>
            <w:rStyle w:val="Hyperlink"/>
          </w:rPr>
          <w:t>http://lvceli.lv/wp-content/uploads/2015/05/Informacija-strategiskas-planosanas-vajadzibam_2017.pdf</w:t>
        </w:r>
      </w:hyperlink>
      <w:r>
        <w:t xml:space="preserve"> </w:t>
      </w:r>
    </w:p>
  </w:footnote>
  <w:footnote w:id="2">
    <w:p w14:paraId="1B4DDD0E" w14:textId="77777777" w:rsidR="000771F8" w:rsidRDefault="000771F8" w:rsidP="007153F8">
      <w:pPr>
        <w:pStyle w:val="FootnoteText"/>
      </w:pPr>
      <w:r>
        <w:rPr>
          <w:rStyle w:val="FootnoteReference"/>
        </w:rPr>
        <w:footnoteRef/>
      </w:r>
      <w:r>
        <w:t xml:space="preserve"> Informācija stratēģiskās plānošanas vajadzībām. VAS “Latvijas Valsts ceļi”, 2017. Pieejams: </w:t>
      </w:r>
      <w:hyperlink r:id="rId2" w:history="1">
        <w:r w:rsidRPr="003E1D2B">
          <w:rPr>
            <w:rStyle w:val="Hyperlink"/>
          </w:rPr>
          <w:t>http://lvceli.lv/wp-content/uploads/2015/05/Informacija-strategiskas-planosanas-vajadzibam_2017.pdf</w:t>
        </w:r>
      </w:hyperlink>
    </w:p>
  </w:footnote>
  <w:footnote w:id="3">
    <w:p w14:paraId="15261F3B" w14:textId="77777777" w:rsidR="000771F8" w:rsidRDefault="000771F8">
      <w:pPr>
        <w:pStyle w:val="FootnoteText"/>
      </w:pPr>
      <w:r>
        <w:rPr>
          <w:rStyle w:val="FootnoteReference"/>
        </w:rPr>
        <w:footnoteRef/>
      </w:r>
      <w:r>
        <w:t xml:space="preserve"> Satiksmes ministrijas iesniegtie priekšlikumi pieejami: </w:t>
      </w:r>
      <w:hyperlink r:id="rId3" w:history="1">
        <w:r w:rsidRPr="00F04EB5">
          <w:rPr>
            <w:rStyle w:val="Hyperlink"/>
          </w:rPr>
          <w:t>http://titania.saeima.lv/LIVS12/SaeimaLIVS12.nsf/0/92D47DA1A58E0C32C225813F00384840?OpenDocument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AD6D" w14:textId="37BCA24C" w:rsidR="000771F8" w:rsidRDefault="000771F8">
    <w:pPr>
      <w:pStyle w:val="Header"/>
      <w:jc w:val="center"/>
    </w:pPr>
    <w:r>
      <w:fldChar w:fldCharType="begin"/>
    </w:r>
    <w:r>
      <w:instrText xml:space="preserve"> PAGE   \* MERGEFORMAT </w:instrText>
    </w:r>
    <w:r>
      <w:fldChar w:fldCharType="separate"/>
    </w:r>
    <w:r w:rsidR="002E648C">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F89"/>
    <w:multiLevelType w:val="hybridMultilevel"/>
    <w:tmpl w:val="AFEEB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4D2F3D"/>
    <w:multiLevelType w:val="multilevel"/>
    <w:tmpl w:val="70A6E8B4"/>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0FDE69B4"/>
    <w:multiLevelType w:val="hybridMultilevel"/>
    <w:tmpl w:val="C2720D5E"/>
    <w:lvl w:ilvl="0" w:tplc="D8A48FA4">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61023C"/>
    <w:multiLevelType w:val="hybridMultilevel"/>
    <w:tmpl w:val="AB0C7B9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BF83030"/>
    <w:multiLevelType w:val="hybridMultilevel"/>
    <w:tmpl w:val="04AEF70A"/>
    <w:lvl w:ilvl="0" w:tplc="E50C9B02">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E4F7DFC"/>
    <w:multiLevelType w:val="hybridMultilevel"/>
    <w:tmpl w:val="A176BE40"/>
    <w:lvl w:ilvl="0" w:tplc="CD8295BA">
      <w:start w:val="2"/>
      <w:numFmt w:val="bullet"/>
      <w:lvlText w:val="–"/>
      <w:lvlJc w:val="left"/>
      <w:pPr>
        <w:tabs>
          <w:tab w:val="num" w:pos="720"/>
        </w:tabs>
        <w:ind w:left="720" w:hanging="360"/>
      </w:pPr>
      <w:rPr>
        <w:rFonts w:ascii="Arial" w:eastAsia="Times New Roman" w:hAnsi="Arial" w:hint="default"/>
        <w:sz w:val="15"/>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60026D7C"/>
    <w:multiLevelType w:val="multilevel"/>
    <w:tmpl w:val="3920F140"/>
    <w:lvl w:ilvl="0">
      <w:start w:val="1"/>
      <w:numFmt w:val="decimal"/>
      <w:lvlText w:val="%1."/>
      <w:lvlJc w:val="left"/>
      <w:pPr>
        <w:tabs>
          <w:tab w:val="num" w:pos="1080"/>
        </w:tabs>
        <w:ind w:left="1080" w:hanging="360"/>
      </w:pPr>
      <w:rPr>
        <w:rFonts w:eastAsia="Times New Roman" w:cs="Times New Roman" w:hint="default"/>
        <w:b/>
        <w:sz w:val="24"/>
      </w:rPr>
    </w:lvl>
    <w:lvl w:ilvl="1">
      <w:start w:val="1"/>
      <w:numFmt w:val="decimal"/>
      <w:isLgl/>
      <w:lvlText w:val="%1.%2."/>
      <w:lvlJc w:val="left"/>
      <w:pPr>
        <w:tabs>
          <w:tab w:val="num" w:pos="704"/>
        </w:tabs>
        <w:ind w:left="704" w:hanging="4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7">
    <w:nsid w:val="61B82884"/>
    <w:multiLevelType w:val="hybridMultilevel"/>
    <w:tmpl w:val="F98E741A"/>
    <w:lvl w:ilvl="0" w:tplc="91C6D2A0">
      <w:numFmt w:val="bullet"/>
      <w:lvlText w:val="-"/>
      <w:lvlJc w:val="left"/>
      <w:pPr>
        <w:tabs>
          <w:tab w:val="num" w:pos="720"/>
        </w:tabs>
        <w:ind w:left="720" w:hanging="360"/>
      </w:pPr>
      <w:rPr>
        <w:rFonts w:ascii="Arial" w:eastAsia="Times New Roman" w:hAnsi="Arial" w:hint="default"/>
        <w:b/>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73A02454"/>
    <w:multiLevelType w:val="hybridMultilevel"/>
    <w:tmpl w:val="7A7660AE"/>
    <w:lvl w:ilvl="0" w:tplc="8F26225C">
      <w:start w:val="1"/>
      <w:numFmt w:val="decimal"/>
      <w:lvlText w:val="%1."/>
      <w:lvlJc w:val="left"/>
      <w:pPr>
        <w:ind w:left="8696" w:hanging="360"/>
      </w:pPr>
      <w:rPr>
        <w:rFonts w:cs="Times New Roman" w:hint="default"/>
      </w:rPr>
    </w:lvl>
    <w:lvl w:ilvl="1" w:tplc="04260019" w:tentative="1">
      <w:start w:val="1"/>
      <w:numFmt w:val="lowerLetter"/>
      <w:lvlText w:val="%2."/>
      <w:lvlJc w:val="left"/>
      <w:pPr>
        <w:ind w:left="9416" w:hanging="360"/>
      </w:pPr>
      <w:rPr>
        <w:rFonts w:cs="Times New Roman"/>
      </w:rPr>
    </w:lvl>
    <w:lvl w:ilvl="2" w:tplc="0426001B" w:tentative="1">
      <w:start w:val="1"/>
      <w:numFmt w:val="lowerRoman"/>
      <w:lvlText w:val="%3."/>
      <w:lvlJc w:val="right"/>
      <w:pPr>
        <w:ind w:left="10136" w:hanging="180"/>
      </w:pPr>
      <w:rPr>
        <w:rFonts w:cs="Times New Roman"/>
      </w:rPr>
    </w:lvl>
    <w:lvl w:ilvl="3" w:tplc="0426000F" w:tentative="1">
      <w:start w:val="1"/>
      <w:numFmt w:val="decimal"/>
      <w:lvlText w:val="%4."/>
      <w:lvlJc w:val="left"/>
      <w:pPr>
        <w:ind w:left="10856" w:hanging="360"/>
      </w:pPr>
      <w:rPr>
        <w:rFonts w:cs="Times New Roman"/>
      </w:rPr>
    </w:lvl>
    <w:lvl w:ilvl="4" w:tplc="04260019" w:tentative="1">
      <w:start w:val="1"/>
      <w:numFmt w:val="lowerLetter"/>
      <w:lvlText w:val="%5."/>
      <w:lvlJc w:val="left"/>
      <w:pPr>
        <w:ind w:left="11576" w:hanging="360"/>
      </w:pPr>
      <w:rPr>
        <w:rFonts w:cs="Times New Roman"/>
      </w:rPr>
    </w:lvl>
    <w:lvl w:ilvl="5" w:tplc="0426001B" w:tentative="1">
      <w:start w:val="1"/>
      <w:numFmt w:val="lowerRoman"/>
      <w:lvlText w:val="%6."/>
      <w:lvlJc w:val="right"/>
      <w:pPr>
        <w:ind w:left="12296" w:hanging="180"/>
      </w:pPr>
      <w:rPr>
        <w:rFonts w:cs="Times New Roman"/>
      </w:rPr>
    </w:lvl>
    <w:lvl w:ilvl="6" w:tplc="0426000F" w:tentative="1">
      <w:start w:val="1"/>
      <w:numFmt w:val="decimal"/>
      <w:lvlText w:val="%7."/>
      <w:lvlJc w:val="left"/>
      <w:pPr>
        <w:ind w:left="13016" w:hanging="360"/>
      </w:pPr>
      <w:rPr>
        <w:rFonts w:cs="Times New Roman"/>
      </w:rPr>
    </w:lvl>
    <w:lvl w:ilvl="7" w:tplc="04260019" w:tentative="1">
      <w:start w:val="1"/>
      <w:numFmt w:val="lowerLetter"/>
      <w:lvlText w:val="%8."/>
      <w:lvlJc w:val="left"/>
      <w:pPr>
        <w:ind w:left="13736" w:hanging="360"/>
      </w:pPr>
      <w:rPr>
        <w:rFonts w:cs="Times New Roman"/>
      </w:rPr>
    </w:lvl>
    <w:lvl w:ilvl="8" w:tplc="0426001B" w:tentative="1">
      <w:start w:val="1"/>
      <w:numFmt w:val="lowerRoman"/>
      <w:lvlText w:val="%9."/>
      <w:lvlJc w:val="right"/>
      <w:pPr>
        <w:ind w:left="14456" w:hanging="180"/>
      </w:pPr>
      <w:rPr>
        <w:rFonts w:cs="Times New Roman"/>
      </w:rPr>
    </w:lvl>
  </w:abstractNum>
  <w:num w:numId="1">
    <w:abstractNumId w:val="2"/>
  </w:num>
  <w:num w:numId="2">
    <w:abstractNumId w:val="6"/>
  </w:num>
  <w:num w:numId="3">
    <w:abstractNumId w:val="5"/>
  </w:num>
  <w:num w:numId="4">
    <w:abstractNumId w:val="7"/>
  </w:num>
  <w:num w:numId="5">
    <w:abstractNumId w:val="8"/>
  </w:num>
  <w:num w:numId="6">
    <w:abstractNumId w:val="1"/>
  </w:num>
  <w:num w:numId="7">
    <w:abstractNumId w:val="4"/>
  </w:num>
  <w:num w:numId="8">
    <w:abstractNumId w:val="3"/>
  </w:num>
  <w:num w:numId="9">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ce Bērziņa">
    <w15:presenceInfo w15:providerId="AD" w15:userId="S-1-5-21-3009535283-1737793641-2298413610-1187"/>
  </w15:person>
  <w15:person w15:author="Karina Marinska">
    <w15:presenceInfo w15:providerId="AD" w15:userId="S-1-5-21-725345543-1935655697-839522115-8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FE"/>
    <w:rsid w:val="00003A1E"/>
    <w:rsid w:val="00003AB0"/>
    <w:rsid w:val="0000517A"/>
    <w:rsid w:val="00006650"/>
    <w:rsid w:val="00016F62"/>
    <w:rsid w:val="00021064"/>
    <w:rsid w:val="000226EF"/>
    <w:rsid w:val="0002456C"/>
    <w:rsid w:val="00026F41"/>
    <w:rsid w:val="0003006D"/>
    <w:rsid w:val="00030223"/>
    <w:rsid w:val="000302ED"/>
    <w:rsid w:val="00030CE6"/>
    <w:rsid w:val="00031F4F"/>
    <w:rsid w:val="0003214D"/>
    <w:rsid w:val="000322F6"/>
    <w:rsid w:val="00037D2F"/>
    <w:rsid w:val="00040244"/>
    <w:rsid w:val="00040FF6"/>
    <w:rsid w:val="00041109"/>
    <w:rsid w:val="00041426"/>
    <w:rsid w:val="00044E15"/>
    <w:rsid w:val="000471EE"/>
    <w:rsid w:val="000476E2"/>
    <w:rsid w:val="000477D2"/>
    <w:rsid w:val="00050132"/>
    <w:rsid w:val="00053FEA"/>
    <w:rsid w:val="00054DEC"/>
    <w:rsid w:val="00054FEB"/>
    <w:rsid w:val="000555BC"/>
    <w:rsid w:val="00056306"/>
    <w:rsid w:val="0006169D"/>
    <w:rsid w:val="0006311B"/>
    <w:rsid w:val="000633AD"/>
    <w:rsid w:val="00063721"/>
    <w:rsid w:val="00063DBE"/>
    <w:rsid w:val="00072F2D"/>
    <w:rsid w:val="00076D39"/>
    <w:rsid w:val="000771F8"/>
    <w:rsid w:val="00077607"/>
    <w:rsid w:val="00081814"/>
    <w:rsid w:val="00081FB6"/>
    <w:rsid w:val="000827C0"/>
    <w:rsid w:val="00085F09"/>
    <w:rsid w:val="00090214"/>
    <w:rsid w:val="00092F4F"/>
    <w:rsid w:val="000936D5"/>
    <w:rsid w:val="00094755"/>
    <w:rsid w:val="00094ED1"/>
    <w:rsid w:val="000A246B"/>
    <w:rsid w:val="000A3EEC"/>
    <w:rsid w:val="000A46FF"/>
    <w:rsid w:val="000A5EC6"/>
    <w:rsid w:val="000A672F"/>
    <w:rsid w:val="000A67C3"/>
    <w:rsid w:val="000B0E21"/>
    <w:rsid w:val="000B146A"/>
    <w:rsid w:val="000B154B"/>
    <w:rsid w:val="000B2114"/>
    <w:rsid w:val="000B6044"/>
    <w:rsid w:val="000B6202"/>
    <w:rsid w:val="000C0283"/>
    <w:rsid w:val="000C2267"/>
    <w:rsid w:val="000C5437"/>
    <w:rsid w:val="000C55E5"/>
    <w:rsid w:val="000C59DC"/>
    <w:rsid w:val="000C5E4F"/>
    <w:rsid w:val="000C7C2E"/>
    <w:rsid w:val="000C7F10"/>
    <w:rsid w:val="000D3163"/>
    <w:rsid w:val="000D4ECB"/>
    <w:rsid w:val="000D5F9D"/>
    <w:rsid w:val="000E0434"/>
    <w:rsid w:val="000E0DAF"/>
    <w:rsid w:val="000E1B83"/>
    <w:rsid w:val="000E22F0"/>
    <w:rsid w:val="000E5BB3"/>
    <w:rsid w:val="000E6AB4"/>
    <w:rsid w:val="000E6E7B"/>
    <w:rsid w:val="000E6F99"/>
    <w:rsid w:val="000F0B88"/>
    <w:rsid w:val="000F16F8"/>
    <w:rsid w:val="000F1EA1"/>
    <w:rsid w:val="000F4B7A"/>
    <w:rsid w:val="00101A9F"/>
    <w:rsid w:val="00102BB4"/>
    <w:rsid w:val="00103A6A"/>
    <w:rsid w:val="00104637"/>
    <w:rsid w:val="001054F6"/>
    <w:rsid w:val="00111222"/>
    <w:rsid w:val="00114955"/>
    <w:rsid w:val="00116688"/>
    <w:rsid w:val="00120A3A"/>
    <w:rsid w:val="00130506"/>
    <w:rsid w:val="00131029"/>
    <w:rsid w:val="001346B6"/>
    <w:rsid w:val="00134802"/>
    <w:rsid w:val="00137C33"/>
    <w:rsid w:val="00141ED4"/>
    <w:rsid w:val="001439A0"/>
    <w:rsid w:val="001467DC"/>
    <w:rsid w:val="00146CFE"/>
    <w:rsid w:val="00150B7E"/>
    <w:rsid w:val="00150C16"/>
    <w:rsid w:val="00151F55"/>
    <w:rsid w:val="0015320C"/>
    <w:rsid w:val="00154557"/>
    <w:rsid w:val="00154A6C"/>
    <w:rsid w:val="00154C2E"/>
    <w:rsid w:val="00155A08"/>
    <w:rsid w:val="00155F91"/>
    <w:rsid w:val="001600FC"/>
    <w:rsid w:val="00161A68"/>
    <w:rsid w:val="00161D48"/>
    <w:rsid w:val="00162279"/>
    <w:rsid w:val="00164822"/>
    <w:rsid w:val="001654F2"/>
    <w:rsid w:val="001705E9"/>
    <w:rsid w:val="00173B5E"/>
    <w:rsid w:val="00173F73"/>
    <w:rsid w:val="00175C84"/>
    <w:rsid w:val="00176F5A"/>
    <w:rsid w:val="00177FCC"/>
    <w:rsid w:val="001800D1"/>
    <w:rsid w:val="00181074"/>
    <w:rsid w:val="00183AE4"/>
    <w:rsid w:val="00184F6B"/>
    <w:rsid w:val="001913E3"/>
    <w:rsid w:val="00191E96"/>
    <w:rsid w:val="001924A3"/>
    <w:rsid w:val="00193611"/>
    <w:rsid w:val="001945FC"/>
    <w:rsid w:val="00195063"/>
    <w:rsid w:val="00196BE7"/>
    <w:rsid w:val="001A0584"/>
    <w:rsid w:val="001A5B3C"/>
    <w:rsid w:val="001A7BE9"/>
    <w:rsid w:val="001B1CD5"/>
    <w:rsid w:val="001B57CF"/>
    <w:rsid w:val="001B7913"/>
    <w:rsid w:val="001C07DC"/>
    <w:rsid w:val="001C3E4C"/>
    <w:rsid w:val="001C3F41"/>
    <w:rsid w:val="001C77A6"/>
    <w:rsid w:val="001D06E8"/>
    <w:rsid w:val="001D250B"/>
    <w:rsid w:val="001D3684"/>
    <w:rsid w:val="001D4676"/>
    <w:rsid w:val="001D46A8"/>
    <w:rsid w:val="001E0F5F"/>
    <w:rsid w:val="001E1681"/>
    <w:rsid w:val="001E1C4E"/>
    <w:rsid w:val="001E268D"/>
    <w:rsid w:val="001E2B74"/>
    <w:rsid w:val="001E2DBB"/>
    <w:rsid w:val="001E6B3C"/>
    <w:rsid w:val="001E72DF"/>
    <w:rsid w:val="001F01F4"/>
    <w:rsid w:val="001F01FA"/>
    <w:rsid w:val="001F0B58"/>
    <w:rsid w:val="001F29A9"/>
    <w:rsid w:val="001F2E4B"/>
    <w:rsid w:val="001F47AD"/>
    <w:rsid w:val="001F4859"/>
    <w:rsid w:val="001F5DAE"/>
    <w:rsid w:val="001F5EBF"/>
    <w:rsid w:val="001F644E"/>
    <w:rsid w:val="001F64D7"/>
    <w:rsid w:val="001F7A0E"/>
    <w:rsid w:val="001F7DD9"/>
    <w:rsid w:val="001F7E76"/>
    <w:rsid w:val="00200E00"/>
    <w:rsid w:val="00201F6E"/>
    <w:rsid w:val="0020381E"/>
    <w:rsid w:val="00204A81"/>
    <w:rsid w:val="00211B14"/>
    <w:rsid w:val="00211B6B"/>
    <w:rsid w:val="00212985"/>
    <w:rsid w:val="00213A13"/>
    <w:rsid w:val="00216861"/>
    <w:rsid w:val="002205C9"/>
    <w:rsid w:val="002207BD"/>
    <w:rsid w:val="002210A6"/>
    <w:rsid w:val="0022729D"/>
    <w:rsid w:val="002300CF"/>
    <w:rsid w:val="00232A9B"/>
    <w:rsid w:val="00232AF6"/>
    <w:rsid w:val="00233D6A"/>
    <w:rsid w:val="002343F6"/>
    <w:rsid w:val="00235247"/>
    <w:rsid w:val="00235C57"/>
    <w:rsid w:val="002378FD"/>
    <w:rsid w:val="0024182B"/>
    <w:rsid w:val="00242837"/>
    <w:rsid w:val="00245FBF"/>
    <w:rsid w:val="002518CF"/>
    <w:rsid w:val="0025577A"/>
    <w:rsid w:val="00260D10"/>
    <w:rsid w:val="002610A8"/>
    <w:rsid w:val="00261429"/>
    <w:rsid w:val="00262ACE"/>
    <w:rsid w:val="00264E33"/>
    <w:rsid w:val="0026521A"/>
    <w:rsid w:val="002663C5"/>
    <w:rsid w:val="0026712F"/>
    <w:rsid w:val="00270603"/>
    <w:rsid w:val="00271069"/>
    <w:rsid w:val="00275BBB"/>
    <w:rsid w:val="00281DD7"/>
    <w:rsid w:val="00283182"/>
    <w:rsid w:val="002843BC"/>
    <w:rsid w:val="00290712"/>
    <w:rsid w:val="00291DB2"/>
    <w:rsid w:val="00291F96"/>
    <w:rsid w:val="00292A40"/>
    <w:rsid w:val="00292CEC"/>
    <w:rsid w:val="00294F46"/>
    <w:rsid w:val="002A043E"/>
    <w:rsid w:val="002A168E"/>
    <w:rsid w:val="002A249E"/>
    <w:rsid w:val="002A5F40"/>
    <w:rsid w:val="002B2B59"/>
    <w:rsid w:val="002B3A42"/>
    <w:rsid w:val="002B5795"/>
    <w:rsid w:val="002B5DC1"/>
    <w:rsid w:val="002B7A14"/>
    <w:rsid w:val="002C014B"/>
    <w:rsid w:val="002C18D3"/>
    <w:rsid w:val="002C3B04"/>
    <w:rsid w:val="002C4006"/>
    <w:rsid w:val="002C56CC"/>
    <w:rsid w:val="002C6514"/>
    <w:rsid w:val="002D3254"/>
    <w:rsid w:val="002D6790"/>
    <w:rsid w:val="002E0441"/>
    <w:rsid w:val="002E648C"/>
    <w:rsid w:val="002E689A"/>
    <w:rsid w:val="00300C34"/>
    <w:rsid w:val="003015B0"/>
    <w:rsid w:val="00305586"/>
    <w:rsid w:val="0030628D"/>
    <w:rsid w:val="00313A05"/>
    <w:rsid w:val="003153D8"/>
    <w:rsid w:val="003166CF"/>
    <w:rsid w:val="003167C3"/>
    <w:rsid w:val="003171DE"/>
    <w:rsid w:val="00317933"/>
    <w:rsid w:val="003227D8"/>
    <w:rsid w:val="00326B8A"/>
    <w:rsid w:val="00327A07"/>
    <w:rsid w:val="003352C0"/>
    <w:rsid w:val="00335CAC"/>
    <w:rsid w:val="00336EF6"/>
    <w:rsid w:val="003401B8"/>
    <w:rsid w:val="00342681"/>
    <w:rsid w:val="0034269E"/>
    <w:rsid w:val="0034647C"/>
    <w:rsid w:val="00346524"/>
    <w:rsid w:val="00352520"/>
    <w:rsid w:val="00352BE1"/>
    <w:rsid w:val="00353349"/>
    <w:rsid w:val="00353B11"/>
    <w:rsid w:val="0035685F"/>
    <w:rsid w:val="00357571"/>
    <w:rsid w:val="00360E24"/>
    <w:rsid w:val="003628C1"/>
    <w:rsid w:val="003678FB"/>
    <w:rsid w:val="00367B74"/>
    <w:rsid w:val="003701F7"/>
    <w:rsid w:val="00371AA6"/>
    <w:rsid w:val="0037237F"/>
    <w:rsid w:val="00374E41"/>
    <w:rsid w:val="00376893"/>
    <w:rsid w:val="003776E8"/>
    <w:rsid w:val="00380E2E"/>
    <w:rsid w:val="0038435D"/>
    <w:rsid w:val="00384603"/>
    <w:rsid w:val="00384682"/>
    <w:rsid w:val="00385086"/>
    <w:rsid w:val="00386A89"/>
    <w:rsid w:val="00386DD7"/>
    <w:rsid w:val="003872F8"/>
    <w:rsid w:val="00393669"/>
    <w:rsid w:val="00394127"/>
    <w:rsid w:val="003951CD"/>
    <w:rsid w:val="00395DD2"/>
    <w:rsid w:val="0039784E"/>
    <w:rsid w:val="003A278C"/>
    <w:rsid w:val="003A5569"/>
    <w:rsid w:val="003A73C9"/>
    <w:rsid w:val="003A7AE1"/>
    <w:rsid w:val="003B0E18"/>
    <w:rsid w:val="003B0EFF"/>
    <w:rsid w:val="003B28B5"/>
    <w:rsid w:val="003B6958"/>
    <w:rsid w:val="003B6DED"/>
    <w:rsid w:val="003C103A"/>
    <w:rsid w:val="003C1906"/>
    <w:rsid w:val="003C57CC"/>
    <w:rsid w:val="003C7CC5"/>
    <w:rsid w:val="003D2A8E"/>
    <w:rsid w:val="003D2AC0"/>
    <w:rsid w:val="003D2CB4"/>
    <w:rsid w:val="003D401F"/>
    <w:rsid w:val="003D4B36"/>
    <w:rsid w:val="003D4F96"/>
    <w:rsid w:val="003D6810"/>
    <w:rsid w:val="003D7BB6"/>
    <w:rsid w:val="003E0235"/>
    <w:rsid w:val="003E06A8"/>
    <w:rsid w:val="003E214C"/>
    <w:rsid w:val="003E35CF"/>
    <w:rsid w:val="003E39CA"/>
    <w:rsid w:val="003E39EC"/>
    <w:rsid w:val="003E3A7C"/>
    <w:rsid w:val="003E4B1D"/>
    <w:rsid w:val="003E4FFB"/>
    <w:rsid w:val="003F1815"/>
    <w:rsid w:val="003F1877"/>
    <w:rsid w:val="003F5E09"/>
    <w:rsid w:val="003F5F81"/>
    <w:rsid w:val="00402401"/>
    <w:rsid w:val="0040243D"/>
    <w:rsid w:val="00405841"/>
    <w:rsid w:val="00406F26"/>
    <w:rsid w:val="00410A63"/>
    <w:rsid w:val="00411B7E"/>
    <w:rsid w:val="00411D29"/>
    <w:rsid w:val="00412527"/>
    <w:rsid w:val="0041452F"/>
    <w:rsid w:val="00414A21"/>
    <w:rsid w:val="00415D7B"/>
    <w:rsid w:val="00416ABE"/>
    <w:rsid w:val="00420178"/>
    <w:rsid w:val="004203A8"/>
    <w:rsid w:val="00420507"/>
    <w:rsid w:val="004209F2"/>
    <w:rsid w:val="00421DF0"/>
    <w:rsid w:val="004223F6"/>
    <w:rsid w:val="00424450"/>
    <w:rsid w:val="00432A34"/>
    <w:rsid w:val="00435EA8"/>
    <w:rsid w:val="004400B3"/>
    <w:rsid w:val="004406A6"/>
    <w:rsid w:val="004432D2"/>
    <w:rsid w:val="00444760"/>
    <w:rsid w:val="00444D78"/>
    <w:rsid w:val="00446F73"/>
    <w:rsid w:val="004506B7"/>
    <w:rsid w:val="00450BC4"/>
    <w:rsid w:val="0045481C"/>
    <w:rsid w:val="00454F32"/>
    <w:rsid w:val="00455C95"/>
    <w:rsid w:val="004574FE"/>
    <w:rsid w:val="0046175F"/>
    <w:rsid w:val="0046204C"/>
    <w:rsid w:val="0046331D"/>
    <w:rsid w:val="0046784F"/>
    <w:rsid w:val="00470097"/>
    <w:rsid w:val="004705BE"/>
    <w:rsid w:val="00472973"/>
    <w:rsid w:val="00473BF4"/>
    <w:rsid w:val="00474254"/>
    <w:rsid w:val="00474C00"/>
    <w:rsid w:val="00474FFA"/>
    <w:rsid w:val="004755B6"/>
    <w:rsid w:val="004765F3"/>
    <w:rsid w:val="004823E5"/>
    <w:rsid w:val="004848CB"/>
    <w:rsid w:val="00485369"/>
    <w:rsid w:val="0049025C"/>
    <w:rsid w:val="00490F83"/>
    <w:rsid w:val="00492730"/>
    <w:rsid w:val="00496536"/>
    <w:rsid w:val="0049772E"/>
    <w:rsid w:val="004A1805"/>
    <w:rsid w:val="004A208A"/>
    <w:rsid w:val="004A2A80"/>
    <w:rsid w:val="004A2F0D"/>
    <w:rsid w:val="004A614D"/>
    <w:rsid w:val="004B0816"/>
    <w:rsid w:val="004B1CE0"/>
    <w:rsid w:val="004B3C70"/>
    <w:rsid w:val="004B459E"/>
    <w:rsid w:val="004B52A6"/>
    <w:rsid w:val="004B6D3C"/>
    <w:rsid w:val="004B6D67"/>
    <w:rsid w:val="004C1B68"/>
    <w:rsid w:val="004C2FCE"/>
    <w:rsid w:val="004C643B"/>
    <w:rsid w:val="004C6A08"/>
    <w:rsid w:val="004C6F60"/>
    <w:rsid w:val="004D4CC3"/>
    <w:rsid w:val="004D774D"/>
    <w:rsid w:val="004E1319"/>
    <w:rsid w:val="004E17C6"/>
    <w:rsid w:val="004E20DC"/>
    <w:rsid w:val="004E2C17"/>
    <w:rsid w:val="004E2E00"/>
    <w:rsid w:val="004E2E3C"/>
    <w:rsid w:val="004E5D25"/>
    <w:rsid w:val="004E6787"/>
    <w:rsid w:val="004F11DE"/>
    <w:rsid w:val="004F1BF6"/>
    <w:rsid w:val="004F37C8"/>
    <w:rsid w:val="004F3E7F"/>
    <w:rsid w:val="004F4133"/>
    <w:rsid w:val="004F4EFF"/>
    <w:rsid w:val="004F4F66"/>
    <w:rsid w:val="004F5781"/>
    <w:rsid w:val="004F6CBE"/>
    <w:rsid w:val="00503335"/>
    <w:rsid w:val="0050569B"/>
    <w:rsid w:val="00505AEB"/>
    <w:rsid w:val="00512925"/>
    <w:rsid w:val="00512D77"/>
    <w:rsid w:val="00514416"/>
    <w:rsid w:val="00515934"/>
    <w:rsid w:val="00520EC4"/>
    <w:rsid w:val="00522F42"/>
    <w:rsid w:val="00523231"/>
    <w:rsid w:val="005238E0"/>
    <w:rsid w:val="00524D79"/>
    <w:rsid w:val="0052504E"/>
    <w:rsid w:val="00527CDB"/>
    <w:rsid w:val="005309DF"/>
    <w:rsid w:val="005316BA"/>
    <w:rsid w:val="00533EF7"/>
    <w:rsid w:val="00534A9A"/>
    <w:rsid w:val="005355F4"/>
    <w:rsid w:val="00536CDB"/>
    <w:rsid w:val="00537746"/>
    <w:rsid w:val="00540F83"/>
    <w:rsid w:val="00541BEB"/>
    <w:rsid w:val="00542850"/>
    <w:rsid w:val="00544E38"/>
    <w:rsid w:val="00551552"/>
    <w:rsid w:val="005603B5"/>
    <w:rsid w:val="00560CCE"/>
    <w:rsid w:val="005611BC"/>
    <w:rsid w:val="00561DB5"/>
    <w:rsid w:val="005625CD"/>
    <w:rsid w:val="0056279D"/>
    <w:rsid w:val="0056368C"/>
    <w:rsid w:val="0056439E"/>
    <w:rsid w:val="00565EC3"/>
    <w:rsid w:val="00566651"/>
    <w:rsid w:val="00567A4D"/>
    <w:rsid w:val="00570B6B"/>
    <w:rsid w:val="00571794"/>
    <w:rsid w:val="0057382A"/>
    <w:rsid w:val="00576970"/>
    <w:rsid w:val="00576EA5"/>
    <w:rsid w:val="00580861"/>
    <w:rsid w:val="0058150A"/>
    <w:rsid w:val="00583046"/>
    <w:rsid w:val="00583D66"/>
    <w:rsid w:val="0058430C"/>
    <w:rsid w:val="00584999"/>
    <w:rsid w:val="00584D3D"/>
    <w:rsid w:val="00587B4E"/>
    <w:rsid w:val="005901C4"/>
    <w:rsid w:val="0059054A"/>
    <w:rsid w:val="005913EA"/>
    <w:rsid w:val="005952AD"/>
    <w:rsid w:val="00595724"/>
    <w:rsid w:val="00597314"/>
    <w:rsid w:val="005A1500"/>
    <w:rsid w:val="005A3FC4"/>
    <w:rsid w:val="005B07D9"/>
    <w:rsid w:val="005B1280"/>
    <w:rsid w:val="005B232D"/>
    <w:rsid w:val="005B5E85"/>
    <w:rsid w:val="005B699B"/>
    <w:rsid w:val="005C1713"/>
    <w:rsid w:val="005C1EA4"/>
    <w:rsid w:val="005C2D0D"/>
    <w:rsid w:val="005C4135"/>
    <w:rsid w:val="005C5D8C"/>
    <w:rsid w:val="005C6AF0"/>
    <w:rsid w:val="005C705A"/>
    <w:rsid w:val="005D17FE"/>
    <w:rsid w:val="005D2B28"/>
    <w:rsid w:val="005D3937"/>
    <w:rsid w:val="005D61C7"/>
    <w:rsid w:val="005D6B32"/>
    <w:rsid w:val="005E4682"/>
    <w:rsid w:val="005E4D27"/>
    <w:rsid w:val="005E4FF5"/>
    <w:rsid w:val="005E59A1"/>
    <w:rsid w:val="005E684F"/>
    <w:rsid w:val="005E722F"/>
    <w:rsid w:val="005F0824"/>
    <w:rsid w:val="005F0AB2"/>
    <w:rsid w:val="00600498"/>
    <w:rsid w:val="00600A8E"/>
    <w:rsid w:val="006011C5"/>
    <w:rsid w:val="00601F55"/>
    <w:rsid w:val="0060387D"/>
    <w:rsid w:val="00603923"/>
    <w:rsid w:val="0060746B"/>
    <w:rsid w:val="00607FFD"/>
    <w:rsid w:val="00610778"/>
    <w:rsid w:val="00611693"/>
    <w:rsid w:val="0061545A"/>
    <w:rsid w:val="00617771"/>
    <w:rsid w:val="00621599"/>
    <w:rsid w:val="006262C0"/>
    <w:rsid w:val="00627E75"/>
    <w:rsid w:val="00632ABE"/>
    <w:rsid w:val="00632F15"/>
    <w:rsid w:val="00641F93"/>
    <w:rsid w:val="0064243F"/>
    <w:rsid w:val="00643942"/>
    <w:rsid w:val="00647128"/>
    <w:rsid w:val="00651D62"/>
    <w:rsid w:val="00652722"/>
    <w:rsid w:val="0065322A"/>
    <w:rsid w:val="006546BD"/>
    <w:rsid w:val="00656212"/>
    <w:rsid w:val="006628B1"/>
    <w:rsid w:val="00664341"/>
    <w:rsid w:val="00664D1C"/>
    <w:rsid w:val="006658C8"/>
    <w:rsid w:val="006661D8"/>
    <w:rsid w:val="00672350"/>
    <w:rsid w:val="00673941"/>
    <w:rsid w:val="0067525D"/>
    <w:rsid w:val="0067555C"/>
    <w:rsid w:val="006757F4"/>
    <w:rsid w:val="00675D25"/>
    <w:rsid w:val="0067790D"/>
    <w:rsid w:val="006805C7"/>
    <w:rsid w:val="006808B9"/>
    <w:rsid w:val="006809F2"/>
    <w:rsid w:val="0068143A"/>
    <w:rsid w:val="00681C38"/>
    <w:rsid w:val="00682318"/>
    <w:rsid w:val="006824A7"/>
    <w:rsid w:val="00684381"/>
    <w:rsid w:val="00684DBB"/>
    <w:rsid w:val="00690B55"/>
    <w:rsid w:val="00690BDE"/>
    <w:rsid w:val="00691509"/>
    <w:rsid w:val="00692AE5"/>
    <w:rsid w:val="00692F54"/>
    <w:rsid w:val="006953D0"/>
    <w:rsid w:val="006964C3"/>
    <w:rsid w:val="006A1EBA"/>
    <w:rsid w:val="006A22B8"/>
    <w:rsid w:val="006A2FAB"/>
    <w:rsid w:val="006A3002"/>
    <w:rsid w:val="006A5D27"/>
    <w:rsid w:val="006A6312"/>
    <w:rsid w:val="006A778E"/>
    <w:rsid w:val="006A79E5"/>
    <w:rsid w:val="006B0CE8"/>
    <w:rsid w:val="006B354F"/>
    <w:rsid w:val="006B3BDC"/>
    <w:rsid w:val="006B4998"/>
    <w:rsid w:val="006B4B79"/>
    <w:rsid w:val="006B7F4F"/>
    <w:rsid w:val="006C0E39"/>
    <w:rsid w:val="006C27EC"/>
    <w:rsid w:val="006C4EB5"/>
    <w:rsid w:val="006C4ED6"/>
    <w:rsid w:val="006C5AAE"/>
    <w:rsid w:val="006C6B91"/>
    <w:rsid w:val="006C75A7"/>
    <w:rsid w:val="006C786A"/>
    <w:rsid w:val="006D1B43"/>
    <w:rsid w:val="006E0953"/>
    <w:rsid w:val="006E2667"/>
    <w:rsid w:val="006E4752"/>
    <w:rsid w:val="006E484A"/>
    <w:rsid w:val="006E4ED6"/>
    <w:rsid w:val="006E5957"/>
    <w:rsid w:val="006E6F5A"/>
    <w:rsid w:val="006E7F81"/>
    <w:rsid w:val="006F24A3"/>
    <w:rsid w:val="006F27B0"/>
    <w:rsid w:val="006F2E96"/>
    <w:rsid w:val="006F3038"/>
    <w:rsid w:val="006F46E9"/>
    <w:rsid w:val="006F66C9"/>
    <w:rsid w:val="006F67E5"/>
    <w:rsid w:val="007022AD"/>
    <w:rsid w:val="00702579"/>
    <w:rsid w:val="0070269B"/>
    <w:rsid w:val="00702AA7"/>
    <w:rsid w:val="00702D86"/>
    <w:rsid w:val="00703BF3"/>
    <w:rsid w:val="00704E96"/>
    <w:rsid w:val="00710A85"/>
    <w:rsid w:val="00714267"/>
    <w:rsid w:val="007153F8"/>
    <w:rsid w:val="00715A68"/>
    <w:rsid w:val="00717973"/>
    <w:rsid w:val="007200EC"/>
    <w:rsid w:val="00720DEA"/>
    <w:rsid w:val="007212D5"/>
    <w:rsid w:val="00726976"/>
    <w:rsid w:val="00727A7B"/>
    <w:rsid w:val="007313D6"/>
    <w:rsid w:val="00731A3D"/>
    <w:rsid w:val="00731C21"/>
    <w:rsid w:val="00734263"/>
    <w:rsid w:val="007415EA"/>
    <w:rsid w:val="00742A68"/>
    <w:rsid w:val="00742AFA"/>
    <w:rsid w:val="00742EAF"/>
    <w:rsid w:val="00742FE4"/>
    <w:rsid w:val="00743FE3"/>
    <w:rsid w:val="007445DF"/>
    <w:rsid w:val="00744D25"/>
    <w:rsid w:val="00745167"/>
    <w:rsid w:val="0074598C"/>
    <w:rsid w:val="0074752C"/>
    <w:rsid w:val="00750DC5"/>
    <w:rsid w:val="00750E83"/>
    <w:rsid w:val="00751B83"/>
    <w:rsid w:val="007532F8"/>
    <w:rsid w:val="00755332"/>
    <w:rsid w:val="007607E4"/>
    <w:rsid w:val="007663EA"/>
    <w:rsid w:val="00766BCB"/>
    <w:rsid w:val="00767001"/>
    <w:rsid w:val="00767B43"/>
    <w:rsid w:val="00767BB2"/>
    <w:rsid w:val="00770A85"/>
    <w:rsid w:val="007714AA"/>
    <w:rsid w:val="00771E22"/>
    <w:rsid w:val="00771F5C"/>
    <w:rsid w:val="00780005"/>
    <w:rsid w:val="00780E99"/>
    <w:rsid w:val="00783B55"/>
    <w:rsid w:val="00786754"/>
    <w:rsid w:val="00786EC4"/>
    <w:rsid w:val="007908EF"/>
    <w:rsid w:val="00793269"/>
    <w:rsid w:val="0079388A"/>
    <w:rsid w:val="00794D05"/>
    <w:rsid w:val="00795034"/>
    <w:rsid w:val="00796593"/>
    <w:rsid w:val="0079754F"/>
    <w:rsid w:val="00797E56"/>
    <w:rsid w:val="007A05A7"/>
    <w:rsid w:val="007A4C1C"/>
    <w:rsid w:val="007A4C9F"/>
    <w:rsid w:val="007A5A68"/>
    <w:rsid w:val="007A5F15"/>
    <w:rsid w:val="007A620B"/>
    <w:rsid w:val="007B021D"/>
    <w:rsid w:val="007B068E"/>
    <w:rsid w:val="007B145B"/>
    <w:rsid w:val="007B1461"/>
    <w:rsid w:val="007B23F1"/>
    <w:rsid w:val="007B4111"/>
    <w:rsid w:val="007B4C4E"/>
    <w:rsid w:val="007B5B7A"/>
    <w:rsid w:val="007B7768"/>
    <w:rsid w:val="007C25CC"/>
    <w:rsid w:val="007C5C1E"/>
    <w:rsid w:val="007C5E87"/>
    <w:rsid w:val="007C6B16"/>
    <w:rsid w:val="007C6B4E"/>
    <w:rsid w:val="007C7096"/>
    <w:rsid w:val="007D01E4"/>
    <w:rsid w:val="007D0754"/>
    <w:rsid w:val="007D1B8E"/>
    <w:rsid w:val="007D3525"/>
    <w:rsid w:val="007D470E"/>
    <w:rsid w:val="007D7453"/>
    <w:rsid w:val="007D7B98"/>
    <w:rsid w:val="007E0029"/>
    <w:rsid w:val="007E2265"/>
    <w:rsid w:val="007E3326"/>
    <w:rsid w:val="007E3BF6"/>
    <w:rsid w:val="007E4D7C"/>
    <w:rsid w:val="007E644A"/>
    <w:rsid w:val="007E6BFB"/>
    <w:rsid w:val="007E74B3"/>
    <w:rsid w:val="007E7CC3"/>
    <w:rsid w:val="007F3A8E"/>
    <w:rsid w:val="007F64F2"/>
    <w:rsid w:val="007F7524"/>
    <w:rsid w:val="00800028"/>
    <w:rsid w:val="00800417"/>
    <w:rsid w:val="00801FAD"/>
    <w:rsid w:val="008031C7"/>
    <w:rsid w:val="008046B1"/>
    <w:rsid w:val="00805805"/>
    <w:rsid w:val="0081031B"/>
    <w:rsid w:val="008138D7"/>
    <w:rsid w:val="00813C03"/>
    <w:rsid w:val="00814828"/>
    <w:rsid w:val="00814C79"/>
    <w:rsid w:val="0081676D"/>
    <w:rsid w:val="0081777B"/>
    <w:rsid w:val="00823726"/>
    <w:rsid w:val="00823B97"/>
    <w:rsid w:val="0082458B"/>
    <w:rsid w:val="00826DA0"/>
    <w:rsid w:val="00831540"/>
    <w:rsid w:val="00831882"/>
    <w:rsid w:val="00832695"/>
    <w:rsid w:val="008378E7"/>
    <w:rsid w:val="00837EC1"/>
    <w:rsid w:val="0084028E"/>
    <w:rsid w:val="00840365"/>
    <w:rsid w:val="00843046"/>
    <w:rsid w:val="008430B1"/>
    <w:rsid w:val="0084477A"/>
    <w:rsid w:val="00845F5E"/>
    <w:rsid w:val="00850188"/>
    <w:rsid w:val="00850A96"/>
    <w:rsid w:val="008529A9"/>
    <w:rsid w:val="008537A7"/>
    <w:rsid w:val="00856C43"/>
    <w:rsid w:val="00861683"/>
    <w:rsid w:val="00861911"/>
    <w:rsid w:val="00861DCF"/>
    <w:rsid w:val="008666E2"/>
    <w:rsid w:val="008674FB"/>
    <w:rsid w:val="008713E3"/>
    <w:rsid w:val="00873B15"/>
    <w:rsid w:val="008744F2"/>
    <w:rsid w:val="00874664"/>
    <w:rsid w:val="0087480C"/>
    <w:rsid w:val="00874BCE"/>
    <w:rsid w:val="00874FC9"/>
    <w:rsid w:val="00877773"/>
    <w:rsid w:val="00880134"/>
    <w:rsid w:val="00881430"/>
    <w:rsid w:val="00881F52"/>
    <w:rsid w:val="0088229D"/>
    <w:rsid w:val="008835C2"/>
    <w:rsid w:val="00884AB2"/>
    <w:rsid w:val="00886852"/>
    <w:rsid w:val="008900CF"/>
    <w:rsid w:val="00892EF5"/>
    <w:rsid w:val="00896249"/>
    <w:rsid w:val="008A1F2E"/>
    <w:rsid w:val="008A543D"/>
    <w:rsid w:val="008A66BA"/>
    <w:rsid w:val="008A67CA"/>
    <w:rsid w:val="008A7271"/>
    <w:rsid w:val="008B5E18"/>
    <w:rsid w:val="008B788F"/>
    <w:rsid w:val="008C2952"/>
    <w:rsid w:val="008C2C9B"/>
    <w:rsid w:val="008C5AF3"/>
    <w:rsid w:val="008C64F4"/>
    <w:rsid w:val="008D05CF"/>
    <w:rsid w:val="008D0E05"/>
    <w:rsid w:val="008D1A91"/>
    <w:rsid w:val="008D2EA2"/>
    <w:rsid w:val="008D343D"/>
    <w:rsid w:val="008D3555"/>
    <w:rsid w:val="008E0D48"/>
    <w:rsid w:val="008E19CC"/>
    <w:rsid w:val="008E50B0"/>
    <w:rsid w:val="008E5DF7"/>
    <w:rsid w:val="008F1034"/>
    <w:rsid w:val="008F19BF"/>
    <w:rsid w:val="008F3507"/>
    <w:rsid w:val="008F5009"/>
    <w:rsid w:val="008F5819"/>
    <w:rsid w:val="008F5D22"/>
    <w:rsid w:val="00904D83"/>
    <w:rsid w:val="00906138"/>
    <w:rsid w:val="00910B75"/>
    <w:rsid w:val="0091529F"/>
    <w:rsid w:val="0091710E"/>
    <w:rsid w:val="00920290"/>
    <w:rsid w:val="00921A7B"/>
    <w:rsid w:val="0092342F"/>
    <w:rsid w:val="00926270"/>
    <w:rsid w:val="009264B1"/>
    <w:rsid w:val="009277F8"/>
    <w:rsid w:val="00927C9F"/>
    <w:rsid w:val="00927E5C"/>
    <w:rsid w:val="009301C7"/>
    <w:rsid w:val="0093373C"/>
    <w:rsid w:val="00935E62"/>
    <w:rsid w:val="00936619"/>
    <w:rsid w:val="009370D8"/>
    <w:rsid w:val="009408A4"/>
    <w:rsid w:val="00940D2C"/>
    <w:rsid w:val="00941C38"/>
    <w:rsid w:val="00942B89"/>
    <w:rsid w:val="0094337D"/>
    <w:rsid w:val="009452BD"/>
    <w:rsid w:val="00950FCF"/>
    <w:rsid w:val="00953A1F"/>
    <w:rsid w:val="00955860"/>
    <w:rsid w:val="00963E20"/>
    <w:rsid w:val="00964EA0"/>
    <w:rsid w:val="009650E7"/>
    <w:rsid w:val="00975D99"/>
    <w:rsid w:val="009778BE"/>
    <w:rsid w:val="00977D0D"/>
    <w:rsid w:val="0098647D"/>
    <w:rsid w:val="00986AE2"/>
    <w:rsid w:val="00987331"/>
    <w:rsid w:val="009902E6"/>
    <w:rsid w:val="00992067"/>
    <w:rsid w:val="00992931"/>
    <w:rsid w:val="00992B7A"/>
    <w:rsid w:val="009939C6"/>
    <w:rsid w:val="0099471A"/>
    <w:rsid w:val="009965EC"/>
    <w:rsid w:val="009A035F"/>
    <w:rsid w:val="009A2070"/>
    <w:rsid w:val="009A2906"/>
    <w:rsid w:val="009A3731"/>
    <w:rsid w:val="009A3D59"/>
    <w:rsid w:val="009A3DDF"/>
    <w:rsid w:val="009A41FD"/>
    <w:rsid w:val="009B1DAE"/>
    <w:rsid w:val="009B5DD9"/>
    <w:rsid w:val="009B653D"/>
    <w:rsid w:val="009C04B6"/>
    <w:rsid w:val="009C3E8D"/>
    <w:rsid w:val="009C425E"/>
    <w:rsid w:val="009E02BB"/>
    <w:rsid w:val="009E05EF"/>
    <w:rsid w:val="009E46AC"/>
    <w:rsid w:val="009E5642"/>
    <w:rsid w:val="009E6237"/>
    <w:rsid w:val="009F1EF6"/>
    <w:rsid w:val="009F39C0"/>
    <w:rsid w:val="00A0047B"/>
    <w:rsid w:val="00A01956"/>
    <w:rsid w:val="00A03895"/>
    <w:rsid w:val="00A04659"/>
    <w:rsid w:val="00A048B4"/>
    <w:rsid w:val="00A06C94"/>
    <w:rsid w:val="00A07930"/>
    <w:rsid w:val="00A151C2"/>
    <w:rsid w:val="00A151DF"/>
    <w:rsid w:val="00A16B7B"/>
    <w:rsid w:val="00A1777C"/>
    <w:rsid w:val="00A21491"/>
    <w:rsid w:val="00A27AC9"/>
    <w:rsid w:val="00A31A15"/>
    <w:rsid w:val="00A32FD3"/>
    <w:rsid w:val="00A337AB"/>
    <w:rsid w:val="00A361AB"/>
    <w:rsid w:val="00A41C1A"/>
    <w:rsid w:val="00A44DAF"/>
    <w:rsid w:val="00A458AC"/>
    <w:rsid w:val="00A46B7E"/>
    <w:rsid w:val="00A475B7"/>
    <w:rsid w:val="00A52828"/>
    <w:rsid w:val="00A56C35"/>
    <w:rsid w:val="00A57048"/>
    <w:rsid w:val="00A610CD"/>
    <w:rsid w:val="00A61B14"/>
    <w:rsid w:val="00A719B4"/>
    <w:rsid w:val="00A72C5C"/>
    <w:rsid w:val="00A73F25"/>
    <w:rsid w:val="00A7550F"/>
    <w:rsid w:val="00A80BE0"/>
    <w:rsid w:val="00A81FAD"/>
    <w:rsid w:val="00A836C4"/>
    <w:rsid w:val="00A83974"/>
    <w:rsid w:val="00A86DC3"/>
    <w:rsid w:val="00A87F19"/>
    <w:rsid w:val="00A90951"/>
    <w:rsid w:val="00A90BF5"/>
    <w:rsid w:val="00A97FCE"/>
    <w:rsid w:val="00AA042A"/>
    <w:rsid w:val="00AA318B"/>
    <w:rsid w:val="00AA4484"/>
    <w:rsid w:val="00AB1CFE"/>
    <w:rsid w:val="00AB2846"/>
    <w:rsid w:val="00AB3AF6"/>
    <w:rsid w:val="00AB61C0"/>
    <w:rsid w:val="00AC02C7"/>
    <w:rsid w:val="00AC07D6"/>
    <w:rsid w:val="00AC21EF"/>
    <w:rsid w:val="00AC3ADC"/>
    <w:rsid w:val="00AC4224"/>
    <w:rsid w:val="00AC5FE3"/>
    <w:rsid w:val="00AC6A8D"/>
    <w:rsid w:val="00AD1A5D"/>
    <w:rsid w:val="00AD724F"/>
    <w:rsid w:val="00AE2DF2"/>
    <w:rsid w:val="00AE49B4"/>
    <w:rsid w:val="00AE67E4"/>
    <w:rsid w:val="00AF1F95"/>
    <w:rsid w:val="00AF3C4D"/>
    <w:rsid w:val="00AF45A8"/>
    <w:rsid w:val="00B01B7C"/>
    <w:rsid w:val="00B025C6"/>
    <w:rsid w:val="00B063D5"/>
    <w:rsid w:val="00B07B63"/>
    <w:rsid w:val="00B07EA2"/>
    <w:rsid w:val="00B10131"/>
    <w:rsid w:val="00B119A5"/>
    <w:rsid w:val="00B12954"/>
    <w:rsid w:val="00B13005"/>
    <w:rsid w:val="00B14CF1"/>
    <w:rsid w:val="00B15462"/>
    <w:rsid w:val="00B17958"/>
    <w:rsid w:val="00B21A0C"/>
    <w:rsid w:val="00B221CB"/>
    <w:rsid w:val="00B22C87"/>
    <w:rsid w:val="00B23732"/>
    <w:rsid w:val="00B244D9"/>
    <w:rsid w:val="00B24B45"/>
    <w:rsid w:val="00B25BA8"/>
    <w:rsid w:val="00B27122"/>
    <w:rsid w:val="00B27D77"/>
    <w:rsid w:val="00B30FDF"/>
    <w:rsid w:val="00B3127F"/>
    <w:rsid w:val="00B31E81"/>
    <w:rsid w:val="00B320A3"/>
    <w:rsid w:val="00B35BE9"/>
    <w:rsid w:val="00B36606"/>
    <w:rsid w:val="00B40A3B"/>
    <w:rsid w:val="00B4182C"/>
    <w:rsid w:val="00B43B60"/>
    <w:rsid w:val="00B43D51"/>
    <w:rsid w:val="00B4472D"/>
    <w:rsid w:val="00B44C00"/>
    <w:rsid w:val="00B45356"/>
    <w:rsid w:val="00B4706F"/>
    <w:rsid w:val="00B53DDB"/>
    <w:rsid w:val="00B56F62"/>
    <w:rsid w:val="00B577E1"/>
    <w:rsid w:val="00B60128"/>
    <w:rsid w:val="00B62C67"/>
    <w:rsid w:val="00B63A49"/>
    <w:rsid w:val="00B64138"/>
    <w:rsid w:val="00B66E10"/>
    <w:rsid w:val="00B7684F"/>
    <w:rsid w:val="00B76DBE"/>
    <w:rsid w:val="00B77F26"/>
    <w:rsid w:val="00B815E3"/>
    <w:rsid w:val="00B84612"/>
    <w:rsid w:val="00B85D29"/>
    <w:rsid w:val="00B90C55"/>
    <w:rsid w:val="00B90FE2"/>
    <w:rsid w:val="00B9117E"/>
    <w:rsid w:val="00B91F97"/>
    <w:rsid w:val="00B93452"/>
    <w:rsid w:val="00B9403A"/>
    <w:rsid w:val="00B94BEA"/>
    <w:rsid w:val="00BA12FB"/>
    <w:rsid w:val="00BA4470"/>
    <w:rsid w:val="00BA51BA"/>
    <w:rsid w:val="00BA633A"/>
    <w:rsid w:val="00BA6D2C"/>
    <w:rsid w:val="00BB0C0F"/>
    <w:rsid w:val="00BB16C9"/>
    <w:rsid w:val="00BB2047"/>
    <w:rsid w:val="00BB3768"/>
    <w:rsid w:val="00BB76EA"/>
    <w:rsid w:val="00BB7CFB"/>
    <w:rsid w:val="00BB7FB9"/>
    <w:rsid w:val="00BC1C8D"/>
    <w:rsid w:val="00BC4E86"/>
    <w:rsid w:val="00BC5C99"/>
    <w:rsid w:val="00BC6C9F"/>
    <w:rsid w:val="00BC7E52"/>
    <w:rsid w:val="00BD0917"/>
    <w:rsid w:val="00BD1BDB"/>
    <w:rsid w:val="00BD2056"/>
    <w:rsid w:val="00BD60FC"/>
    <w:rsid w:val="00BD6976"/>
    <w:rsid w:val="00BE07C9"/>
    <w:rsid w:val="00BE1731"/>
    <w:rsid w:val="00BE2677"/>
    <w:rsid w:val="00BE3A5F"/>
    <w:rsid w:val="00BE5D20"/>
    <w:rsid w:val="00BE6B08"/>
    <w:rsid w:val="00BE6D32"/>
    <w:rsid w:val="00BE7345"/>
    <w:rsid w:val="00BE7E17"/>
    <w:rsid w:val="00BF1B01"/>
    <w:rsid w:val="00BF449D"/>
    <w:rsid w:val="00BF592C"/>
    <w:rsid w:val="00C00101"/>
    <w:rsid w:val="00C014F8"/>
    <w:rsid w:val="00C021B8"/>
    <w:rsid w:val="00C0336C"/>
    <w:rsid w:val="00C0356B"/>
    <w:rsid w:val="00C03970"/>
    <w:rsid w:val="00C0507E"/>
    <w:rsid w:val="00C0561D"/>
    <w:rsid w:val="00C06961"/>
    <w:rsid w:val="00C07349"/>
    <w:rsid w:val="00C137D3"/>
    <w:rsid w:val="00C16824"/>
    <w:rsid w:val="00C1702A"/>
    <w:rsid w:val="00C17FDD"/>
    <w:rsid w:val="00C21C56"/>
    <w:rsid w:val="00C23777"/>
    <w:rsid w:val="00C248EA"/>
    <w:rsid w:val="00C25C29"/>
    <w:rsid w:val="00C25D7B"/>
    <w:rsid w:val="00C3175A"/>
    <w:rsid w:val="00C31BD0"/>
    <w:rsid w:val="00C33FCB"/>
    <w:rsid w:val="00C37EB6"/>
    <w:rsid w:val="00C407B1"/>
    <w:rsid w:val="00C4264B"/>
    <w:rsid w:val="00C42F6B"/>
    <w:rsid w:val="00C43573"/>
    <w:rsid w:val="00C4485B"/>
    <w:rsid w:val="00C45EBD"/>
    <w:rsid w:val="00C517F1"/>
    <w:rsid w:val="00C52609"/>
    <w:rsid w:val="00C55640"/>
    <w:rsid w:val="00C56742"/>
    <w:rsid w:val="00C56E59"/>
    <w:rsid w:val="00C5734A"/>
    <w:rsid w:val="00C578E9"/>
    <w:rsid w:val="00C57E1E"/>
    <w:rsid w:val="00C60F47"/>
    <w:rsid w:val="00C62594"/>
    <w:rsid w:val="00C63836"/>
    <w:rsid w:val="00C651A0"/>
    <w:rsid w:val="00C65F77"/>
    <w:rsid w:val="00C7178F"/>
    <w:rsid w:val="00C73CC5"/>
    <w:rsid w:val="00C76A56"/>
    <w:rsid w:val="00C76E5A"/>
    <w:rsid w:val="00C77868"/>
    <w:rsid w:val="00C80F94"/>
    <w:rsid w:val="00C82ABD"/>
    <w:rsid w:val="00C82B21"/>
    <w:rsid w:val="00C862CC"/>
    <w:rsid w:val="00C864A0"/>
    <w:rsid w:val="00C869A3"/>
    <w:rsid w:val="00C91299"/>
    <w:rsid w:val="00C919FA"/>
    <w:rsid w:val="00C930CB"/>
    <w:rsid w:val="00C93A3E"/>
    <w:rsid w:val="00C94057"/>
    <w:rsid w:val="00C9466F"/>
    <w:rsid w:val="00C94D20"/>
    <w:rsid w:val="00C94F40"/>
    <w:rsid w:val="00C95833"/>
    <w:rsid w:val="00CA0A9F"/>
    <w:rsid w:val="00CA0AF7"/>
    <w:rsid w:val="00CA3450"/>
    <w:rsid w:val="00CA5AF9"/>
    <w:rsid w:val="00CA5ED5"/>
    <w:rsid w:val="00CA6C0B"/>
    <w:rsid w:val="00CB033C"/>
    <w:rsid w:val="00CB0CB4"/>
    <w:rsid w:val="00CB189D"/>
    <w:rsid w:val="00CB317F"/>
    <w:rsid w:val="00CB4F15"/>
    <w:rsid w:val="00CB5AC1"/>
    <w:rsid w:val="00CB696B"/>
    <w:rsid w:val="00CB7A2A"/>
    <w:rsid w:val="00CB7AA4"/>
    <w:rsid w:val="00CC00BA"/>
    <w:rsid w:val="00CC06C3"/>
    <w:rsid w:val="00CC14C9"/>
    <w:rsid w:val="00CC28C3"/>
    <w:rsid w:val="00CC570F"/>
    <w:rsid w:val="00CC62BA"/>
    <w:rsid w:val="00CC7C33"/>
    <w:rsid w:val="00CD28E0"/>
    <w:rsid w:val="00CD41F5"/>
    <w:rsid w:val="00CD44CB"/>
    <w:rsid w:val="00CD4D53"/>
    <w:rsid w:val="00CD6437"/>
    <w:rsid w:val="00CD6BD7"/>
    <w:rsid w:val="00CD6F83"/>
    <w:rsid w:val="00CE2A2F"/>
    <w:rsid w:val="00CF0164"/>
    <w:rsid w:val="00CF09C2"/>
    <w:rsid w:val="00CF2DD6"/>
    <w:rsid w:val="00CF3154"/>
    <w:rsid w:val="00CF4292"/>
    <w:rsid w:val="00CF4CC8"/>
    <w:rsid w:val="00CF4EC4"/>
    <w:rsid w:val="00CF7063"/>
    <w:rsid w:val="00CF75B3"/>
    <w:rsid w:val="00D01E0F"/>
    <w:rsid w:val="00D0202B"/>
    <w:rsid w:val="00D022CB"/>
    <w:rsid w:val="00D03FA7"/>
    <w:rsid w:val="00D04B91"/>
    <w:rsid w:val="00D04BB1"/>
    <w:rsid w:val="00D0684A"/>
    <w:rsid w:val="00D07530"/>
    <w:rsid w:val="00D10A23"/>
    <w:rsid w:val="00D1408B"/>
    <w:rsid w:val="00D14807"/>
    <w:rsid w:val="00D15159"/>
    <w:rsid w:val="00D1617E"/>
    <w:rsid w:val="00D1669E"/>
    <w:rsid w:val="00D1705A"/>
    <w:rsid w:val="00D211BF"/>
    <w:rsid w:val="00D216F6"/>
    <w:rsid w:val="00D21703"/>
    <w:rsid w:val="00D22D9D"/>
    <w:rsid w:val="00D244F2"/>
    <w:rsid w:val="00D262AC"/>
    <w:rsid w:val="00D30E80"/>
    <w:rsid w:val="00D320A1"/>
    <w:rsid w:val="00D332EA"/>
    <w:rsid w:val="00D3457A"/>
    <w:rsid w:val="00D40DEF"/>
    <w:rsid w:val="00D4376C"/>
    <w:rsid w:val="00D4393F"/>
    <w:rsid w:val="00D4395C"/>
    <w:rsid w:val="00D46852"/>
    <w:rsid w:val="00D47B10"/>
    <w:rsid w:val="00D504CB"/>
    <w:rsid w:val="00D50678"/>
    <w:rsid w:val="00D50DA8"/>
    <w:rsid w:val="00D53131"/>
    <w:rsid w:val="00D542A7"/>
    <w:rsid w:val="00D5753F"/>
    <w:rsid w:val="00D61A33"/>
    <w:rsid w:val="00D63213"/>
    <w:rsid w:val="00D65403"/>
    <w:rsid w:val="00D66194"/>
    <w:rsid w:val="00D66454"/>
    <w:rsid w:val="00D702AD"/>
    <w:rsid w:val="00D705FD"/>
    <w:rsid w:val="00D7097A"/>
    <w:rsid w:val="00D709A9"/>
    <w:rsid w:val="00D72594"/>
    <w:rsid w:val="00D72EF4"/>
    <w:rsid w:val="00D73284"/>
    <w:rsid w:val="00D742C7"/>
    <w:rsid w:val="00D813CE"/>
    <w:rsid w:val="00D86555"/>
    <w:rsid w:val="00D876C4"/>
    <w:rsid w:val="00D8783B"/>
    <w:rsid w:val="00D87BE0"/>
    <w:rsid w:val="00D87D8D"/>
    <w:rsid w:val="00D918A9"/>
    <w:rsid w:val="00D933CA"/>
    <w:rsid w:val="00D938CF"/>
    <w:rsid w:val="00D94790"/>
    <w:rsid w:val="00D949D1"/>
    <w:rsid w:val="00D94B4A"/>
    <w:rsid w:val="00D9500A"/>
    <w:rsid w:val="00DA0C0B"/>
    <w:rsid w:val="00DA23D7"/>
    <w:rsid w:val="00DA46C4"/>
    <w:rsid w:val="00DA519B"/>
    <w:rsid w:val="00DA6024"/>
    <w:rsid w:val="00DB050D"/>
    <w:rsid w:val="00DB46D4"/>
    <w:rsid w:val="00DB4985"/>
    <w:rsid w:val="00DB52DA"/>
    <w:rsid w:val="00DB6450"/>
    <w:rsid w:val="00DC3D15"/>
    <w:rsid w:val="00DC4338"/>
    <w:rsid w:val="00DC4698"/>
    <w:rsid w:val="00DC5905"/>
    <w:rsid w:val="00DC7EF3"/>
    <w:rsid w:val="00DD0D5E"/>
    <w:rsid w:val="00DD112E"/>
    <w:rsid w:val="00DD27A4"/>
    <w:rsid w:val="00DD3643"/>
    <w:rsid w:val="00DD38C3"/>
    <w:rsid w:val="00DD3AE4"/>
    <w:rsid w:val="00DD71BD"/>
    <w:rsid w:val="00DE03C8"/>
    <w:rsid w:val="00DE1B37"/>
    <w:rsid w:val="00DE5AD3"/>
    <w:rsid w:val="00DF071F"/>
    <w:rsid w:val="00DF0E26"/>
    <w:rsid w:val="00DF155F"/>
    <w:rsid w:val="00DF2431"/>
    <w:rsid w:val="00DF2557"/>
    <w:rsid w:val="00DF59CB"/>
    <w:rsid w:val="00DF7DF3"/>
    <w:rsid w:val="00E02C56"/>
    <w:rsid w:val="00E03895"/>
    <w:rsid w:val="00E041AB"/>
    <w:rsid w:val="00E04AEA"/>
    <w:rsid w:val="00E04F55"/>
    <w:rsid w:val="00E11377"/>
    <w:rsid w:val="00E14732"/>
    <w:rsid w:val="00E14AA4"/>
    <w:rsid w:val="00E16081"/>
    <w:rsid w:val="00E20B91"/>
    <w:rsid w:val="00E22266"/>
    <w:rsid w:val="00E237D0"/>
    <w:rsid w:val="00E24DB8"/>
    <w:rsid w:val="00E25002"/>
    <w:rsid w:val="00E25475"/>
    <w:rsid w:val="00E278FC"/>
    <w:rsid w:val="00E30F6C"/>
    <w:rsid w:val="00E34014"/>
    <w:rsid w:val="00E35A21"/>
    <w:rsid w:val="00E36A38"/>
    <w:rsid w:val="00E406EC"/>
    <w:rsid w:val="00E41EE5"/>
    <w:rsid w:val="00E420F7"/>
    <w:rsid w:val="00E44B8A"/>
    <w:rsid w:val="00E45709"/>
    <w:rsid w:val="00E45842"/>
    <w:rsid w:val="00E47A1F"/>
    <w:rsid w:val="00E50B95"/>
    <w:rsid w:val="00E537F3"/>
    <w:rsid w:val="00E541A7"/>
    <w:rsid w:val="00E552C5"/>
    <w:rsid w:val="00E5573B"/>
    <w:rsid w:val="00E559CD"/>
    <w:rsid w:val="00E57CB4"/>
    <w:rsid w:val="00E617EC"/>
    <w:rsid w:val="00E63074"/>
    <w:rsid w:val="00E654DF"/>
    <w:rsid w:val="00E6755D"/>
    <w:rsid w:val="00E713F6"/>
    <w:rsid w:val="00E71C7F"/>
    <w:rsid w:val="00E726F0"/>
    <w:rsid w:val="00E734C2"/>
    <w:rsid w:val="00E74361"/>
    <w:rsid w:val="00E7665F"/>
    <w:rsid w:val="00E77D74"/>
    <w:rsid w:val="00E77EB6"/>
    <w:rsid w:val="00E939DD"/>
    <w:rsid w:val="00E966A4"/>
    <w:rsid w:val="00EA0022"/>
    <w:rsid w:val="00EA0D9C"/>
    <w:rsid w:val="00EA15FC"/>
    <w:rsid w:val="00EA4168"/>
    <w:rsid w:val="00EA489E"/>
    <w:rsid w:val="00EA59DE"/>
    <w:rsid w:val="00EA7E6A"/>
    <w:rsid w:val="00EB2947"/>
    <w:rsid w:val="00EB32D3"/>
    <w:rsid w:val="00EB5185"/>
    <w:rsid w:val="00EB587F"/>
    <w:rsid w:val="00EB76D4"/>
    <w:rsid w:val="00EC112D"/>
    <w:rsid w:val="00EC1565"/>
    <w:rsid w:val="00EC42F9"/>
    <w:rsid w:val="00EC5A73"/>
    <w:rsid w:val="00EC6108"/>
    <w:rsid w:val="00ED06C5"/>
    <w:rsid w:val="00ED34AB"/>
    <w:rsid w:val="00EE35AA"/>
    <w:rsid w:val="00EE37CF"/>
    <w:rsid w:val="00EE445A"/>
    <w:rsid w:val="00EE463A"/>
    <w:rsid w:val="00EF0CAB"/>
    <w:rsid w:val="00EF435C"/>
    <w:rsid w:val="00EF45E0"/>
    <w:rsid w:val="00EF475C"/>
    <w:rsid w:val="00EF5F17"/>
    <w:rsid w:val="00EF7039"/>
    <w:rsid w:val="00F0083C"/>
    <w:rsid w:val="00F0395E"/>
    <w:rsid w:val="00F04F89"/>
    <w:rsid w:val="00F06541"/>
    <w:rsid w:val="00F1341E"/>
    <w:rsid w:val="00F1398A"/>
    <w:rsid w:val="00F13DB7"/>
    <w:rsid w:val="00F14920"/>
    <w:rsid w:val="00F14C51"/>
    <w:rsid w:val="00F1518F"/>
    <w:rsid w:val="00F17717"/>
    <w:rsid w:val="00F17884"/>
    <w:rsid w:val="00F21F1D"/>
    <w:rsid w:val="00F232B7"/>
    <w:rsid w:val="00F2345B"/>
    <w:rsid w:val="00F245A2"/>
    <w:rsid w:val="00F31B3A"/>
    <w:rsid w:val="00F32FA0"/>
    <w:rsid w:val="00F33367"/>
    <w:rsid w:val="00F35EFE"/>
    <w:rsid w:val="00F37A16"/>
    <w:rsid w:val="00F41BF1"/>
    <w:rsid w:val="00F42EE7"/>
    <w:rsid w:val="00F44D98"/>
    <w:rsid w:val="00F50ACC"/>
    <w:rsid w:val="00F515A6"/>
    <w:rsid w:val="00F51C4D"/>
    <w:rsid w:val="00F5297A"/>
    <w:rsid w:val="00F52E6A"/>
    <w:rsid w:val="00F5659E"/>
    <w:rsid w:val="00F573A8"/>
    <w:rsid w:val="00F61D30"/>
    <w:rsid w:val="00F624B0"/>
    <w:rsid w:val="00F6492B"/>
    <w:rsid w:val="00F64E66"/>
    <w:rsid w:val="00F655A0"/>
    <w:rsid w:val="00F670B2"/>
    <w:rsid w:val="00F70905"/>
    <w:rsid w:val="00F731C9"/>
    <w:rsid w:val="00F733E2"/>
    <w:rsid w:val="00F75B32"/>
    <w:rsid w:val="00F7695E"/>
    <w:rsid w:val="00F8112F"/>
    <w:rsid w:val="00F8146E"/>
    <w:rsid w:val="00F84042"/>
    <w:rsid w:val="00F84629"/>
    <w:rsid w:val="00F86CD7"/>
    <w:rsid w:val="00F94EFE"/>
    <w:rsid w:val="00F970FE"/>
    <w:rsid w:val="00F97885"/>
    <w:rsid w:val="00FA0124"/>
    <w:rsid w:val="00FA0D73"/>
    <w:rsid w:val="00FA1A11"/>
    <w:rsid w:val="00FA3A7A"/>
    <w:rsid w:val="00FA521F"/>
    <w:rsid w:val="00FA65A4"/>
    <w:rsid w:val="00FA76C5"/>
    <w:rsid w:val="00FB1278"/>
    <w:rsid w:val="00FB236A"/>
    <w:rsid w:val="00FB2B8B"/>
    <w:rsid w:val="00FB3266"/>
    <w:rsid w:val="00FB36C5"/>
    <w:rsid w:val="00FB395B"/>
    <w:rsid w:val="00FB3C75"/>
    <w:rsid w:val="00FB3E5B"/>
    <w:rsid w:val="00FB7106"/>
    <w:rsid w:val="00FC069C"/>
    <w:rsid w:val="00FC1A78"/>
    <w:rsid w:val="00FC1B2B"/>
    <w:rsid w:val="00FC1CC9"/>
    <w:rsid w:val="00FC2865"/>
    <w:rsid w:val="00FC5655"/>
    <w:rsid w:val="00FD10B6"/>
    <w:rsid w:val="00FD1209"/>
    <w:rsid w:val="00FD339A"/>
    <w:rsid w:val="00FD50D8"/>
    <w:rsid w:val="00FD558C"/>
    <w:rsid w:val="00FD65AC"/>
    <w:rsid w:val="00FD75CE"/>
    <w:rsid w:val="00FE2938"/>
    <w:rsid w:val="00FE342E"/>
    <w:rsid w:val="00FE3C0A"/>
    <w:rsid w:val="00FE552F"/>
    <w:rsid w:val="00FE60EA"/>
    <w:rsid w:val="00FE7528"/>
    <w:rsid w:val="00FF0600"/>
    <w:rsid w:val="00FF2B43"/>
    <w:rsid w:val="00FF39A7"/>
    <w:rsid w:val="00FF4946"/>
    <w:rsid w:val="00FF611B"/>
    <w:rsid w:val="00FF7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uiPriority w:val="99"/>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uiPriority w:val="99"/>
    <w:rsid w:val="00F94EFE"/>
    <w:pPr>
      <w:jc w:val="center"/>
    </w:pPr>
    <w:rPr>
      <w:b/>
      <w:bCs/>
    </w:rPr>
  </w:style>
  <w:style w:type="character" w:customStyle="1" w:styleId="BodyTextChar">
    <w:name w:val="Body Text Char"/>
    <w:link w:val="BodyText"/>
    <w:uiPriority w:val="99"/>
    <w:locked/>
    <w:rsid w:val="00F94EFE"/>
    <w:rPr>
      <w:rFonts w:ascii="Times New Roman" w:hAnsi="Times New Roman" w:cs="Times New Roman"/>
      <w:b/>
      <w:sz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0"/>
      <w:szCs w:val="20"/>
    </w:rPr>
  </w:style>
  <w:style w:type="character" w:customStyle="1" w:styleId="FooterChar">
    <w:name w:val="Footer Char"/>
    <w:link w:val="Footer"/>
    <w:uiPriority w:val="99"/>
    <w:locked/>
    <w:rsid w:val="00D876C4"/>
    <w:rPr>
      <w:rFonts w:ascii="Calibri" w:hAnsi="Calibri" w:cs="Times New Roman"/>
    </w:rPr>
  </w:style>
  <w:style w:type="character" w:styleId="PageNumber">
    <w:name w:val="page number"/>
    <w:uiPriority w:val="99"/>
    <w:rsid w:val="00D876C4"/>
    <w:rPr>
      <w:rFonts w:cs="Times New Roman"/>
    </w:rPr>
  </w:style>
  <w:style w:type="character" w:styleId="CommentReference">
    <w:name w:val="annotation reference"/>
    <w:uiPriority w:val="99"/>
    <w:semiHidden/>
    <w:rsid w:val="00184F6B"/>
    <w:rPr>
      <w:rFonts w:cs="Times New Roman"/>
      <w:sz w:val="16"/>
    </w:rPr>
  </w:style>
  <w:style w:type="paragraph" w:styleId="CommentText">
    <w:name w:val="annotation text"/>
    <w:basedOn w:val="Normal"/>
    <w:link w:val="CommentTextChar"/>
    <w:uiPriority w:val="99"/>
    <w:semiHidden/>
    <w:rsid w:val="00184F6B"/>
    <w:rPr>
      <w:sz w:val="20"/>
      <w:szCs w:val="20"/>
    </w:rPr>
  </w:style>
  <w:style w:type="character" w:customStyle="1" w:styleId="CommentTextChar">
    <w:name w:val="Comment Text Char"/>
    <w:link w:val="CommentText"/>
    <w:uiPriority w:val="99"/>
    <w:semiHidden/>
    <w:locked/>
    <w:rsid w:val="00184F6B"/>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184F6B"/>
    <w:rPr>
      <w:b/>
      <w:bCs/>
    </w:rPr>
  </w:style>
  <w:style w:type="character" w:customStyle="1" w:styleId="CommentSubjectChar">
    <w:name w:val="Comment Subject Char"/>
    <w:link w:val="CommentSubject"/>
    <w:uiPriority w:val="99"/>
    <w:semiHidden/>
    <w:locked/>
    <w:rsid w:val="00184F6B"/>
    <w:rPr>
      <w:rFonts w:ascii="Times New Roman" w:hAnsi="Times New Roman" w:cs="Times New Roman"/>
      <w:b/>
      <w:sz w:val="20"/>
      <w:lang w:eastAsia="lv-LV"/>
    </w:rPr>
  </w:style>
  <w:style w:type="paragraph" w:styleId="BalloonText">
    <w:name w:val="Balloon Text"/>
    <w:basedOn w:val="Normal"/>
    <w:link w:val="BalloonTextChar"/>
    <w:uiPriority w:val="99"/>
    <w:semiHidden/>
    <w:rsid w:val="00184F6B"/>
    <w:rPr>
      <w:rFonts w:ascii="Tahoma" w:hAnsi="Tahoma"/>
      <w:sz w:val="16"/>
      <w:szCs w:val="16"/>
    </w:rPr>
  </w:style>
  <w:style w:type="character" w:customStyle="1" w:styleId="BalloonTextChar">
    <w:name w:val="Balloon Text Char"/>
    <w:link w:val="BalloonText"/>
    <w:uiPriority w:val="99"/>
    <w:semiHidden/>
    <w:locked/>
    <w:rsid w:val="00184F6B"/>
    <w:rPr>
      <w:rFonts w:ascii="Tahoma" w:hAnsi="Tahoma" w:cs="Times New Roman"/>
      <w:sz w:val="16"/>
      <w:lang w:eastAsia="lv-LV"/>
    </w:rPr>
  </w:style>
  <w:style w:type="paragraph" w:styleId="ListParagraph">
    <w:name w:val="List Paragraph"/>
    <w:basedOn w:val="Normal"/>
    <w:uiPriority w:val="99"/>
    <w:qFormat/>
    <w:rsid w:val="00184F6B"/>
    <w:pPr>
      <w:ind w:left="720"/>
      <w:contextualSpacing/>
    </w:pPr>
  </w:style>
  <w:style w:type="table" w:styleId="TableGrid">
    <w:name w:val="Table Grid"/>
    <w:basedOn w:val="TableNormal"/>
    <w:uiPriority w:val="9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uiPriority w:val="99"/>
    <w:rsid w:val="00191E96"/>
    <w:pPr>
      <w:spacing w:after="160" w:line="240" w:lineRule="exact"/>
    </w:pPr>
    <w:rPr>
      <w:rFonts w:ascii="Tahoma" w:hAnsi="Tahoma"/>
      <w:sz w:val="20"/>
      <w:szCs w:val="20"/>
      <w:lang w:val="en-US" w:eastAsia="en-US"/>
    </w:rPr>
  </w:style>
  <w:style w:type="paragraph" w:styleId="NormalWeb">
    <w:name w:val="Normal (Web)"/>
    <w:basedOn w:val="Normal"/>
    <w:uiPriority w:val="99"/>
    <w:rsid w:val="00DC3D15"/>
    <w:pPr>
      <w:spacing w:before="100" w:beforeAutospacing="1" w:after="100" w:afterAutospacing="1"/>
    </w:pPr>
  </w:style>
  <w:style w:type="paragraph" w:customStyle="1" w:styleId="Default">
    <w:name w:val="Default"/>
    <w:uiPriority w:val="99"/>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6F66C9"/>
    <w:pPr>
      <w:tabs>
        <w:tab w:val="center" w:pos="4153"/>
        <w:tab w:val="right" w:pos="8306"/>
      </w:tabs>
    </w:pPr>
  </w:style>
  <w:style w:type="character" w:customStyle="1" w:styleId="HeaderChar">
    <w:name w:val="Header Char"/>
    <w:link w:val="Header"/>
    <w:uiPriority w:val="99"/>
    <w:locked/>
    <w:rsid w:val="006F66C9"/>
    <w:rPr>
      <w:rFonts w:ascii="Times New Roman" w:hAnsi="Times New Roman" w:cs="Times New Roman"/>
      <w:sz w:val="24"/>
    </w:rPr>
  </w:style>
  <w:style w:type="character" w:styleId="Hyperlink">
    <w:name w:val="Hyperlink"/>
    <w:uiPriority w:val="99"/>
    <w:rsid w:val="0070269B"/>
    <w:rPr>
      <w:rFonts w:cs="Times New Roman"/>
      <w:color w:val="0000FF"/>
      <w:u w:val="single"/>
    </w:rPr>
  </w:style>
  <w:style w:type="paragraph" w:styleId="FootnoteText">
    <w:name w:val="footnote text"/>
    <w:basedOn w:val="Normal"/>
    <w:link w:val="FootnoteTextChar"/>
    <w:uiPriority w:val="99"/>
    <w:semiHidden/>
    <w:rsid w:val="00780E99"/>
    <w:rPr>
      <w:sz w:val="20"/>
      <w:szCs w:val="20"/>
    </w:rPr>
  </w:style>
  <w:style w:type="character" w:customStyle="1" w:styleId="FootnoteTextChar">
    <w:name w:val="Footnote Text Char"/>
    <w:link w:val="FootnoteText"/>
    <w:uiPriority w:val="99"/>
    <w:semiHidden/>
    <w:locked/>
    <w:rsid w:val="00780E99"/>
    <w:rPr>
      <w:rFonts w:ascii="Times New Roman" w:hAnsi="Times New Roman" w:cs="Times New Roman"/>
    </w:rPr>
  </w:style>
  <w:style w:type="character" w:styleId="FootnoteReference">
    <w:name w:val="footnote reference"/>
    <w:uiPriority w:val="99"/>
    <w:semiHidden/>
    <w:rsid w:val="00780E99"/>
    <w:rPr>
      <w:rFonts w:cs="Times New Roman"/>
      <w:vertAlign w:val="superscript"/>
    </w:rPr>
  </w:style>
  <w:style w:type="paragraph" w:customStyle="1" w:styleId="tv2132">
    <w:name w:val="tv2132"/>
    <w:basedOn w:val="Normal"/>
    <w:uiPriority w:val="99"/>
    <w:rsid w:val="00245FBF"/>
    <w:pPr>
      <w:spacing w:line="360" w:lineRule="auto"/>
      <w:ind w:firstLine="300"/>
    </w:pPr>
    <w:rPr>
      <w:color w:val="414142"/>
      <w:sz w:val="20"/>
      <w:szCs w:val="20"/>
    </w:rPr>
  </w:style>
  <w:style w:type="paragraph" w:customStyle="1" w:styleId="tv2131">
    <w:name w:val="tv2131"/>
    <w:basedOn w:val="Normal"/>
    <w:uiPriority w:val="99"/>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uiPriority w:val="99"/>
    <w:rsid w:val="00C62594"/>
    <w:rPr>
      <w:rFonts w:ascii="Tahoma" w:eastAsia="Calibri" w:hAnsi="Tahoma"/>
      <w:color w:val="2D2F30"/>
      <w:sz w:val="17"/>
      <w:szCs w:val="20"/>
    </w:rPr>
  </w:style>
  <w:style w:type="character" w:customStyle="1" w:styleId="NormalWeb4CharChar">
    <w:name w:val="Normal (Web)4 Char Char"/>
    <w:link w:val="NormalWeb4Char"/>
    <w:uiPriority w:val="99"/>
    <w:locked/>
    <w:rsid w:val="00C62594"/>
    <w:rPr>
      <w:rFonts w:ascii="Tahoma" w:hAnsi="Tahoma"/>
      <w:color w:val="2D2F30"/>
      <w:sz w:val="17"/>
    </w:rPr>
  </w:style>
  <w:style w:type="character" w:customStyle="1" w:styleId="apple-converted-space">
    <w:name w:val="apple-converted-space"/>
    <w:uiPriority w:val="99"/>
    <w:rsid w:val="00342681"/>
  </w:style>
  <w:style w:type="paragraph" w:styleId="NoSpacing">
    <w:name w:val="No Spacing"/>
    <w:uiPriority w:val="99"/>
    <w:qFormat/>
    <w:rsid w:val="007E3BF6"/>
    <w:pPr>
      <w:widowControl w:val="0"/>
    </w:pPr>
    <w:rPr>
      <w:sz w:val="22"/>
      <w:szCs w:val="22"/>
      <w:lang w:eastAsia="en-US"/>
    </w:rPr>
  </w:style>
  <w:style w:type="paragraph" w:styleId="BodyText2">
    <w:name w:val="Body Text 2"/>
    <w:basedOn w:val="Normal"/>
    <w:link w:val="BodyText2Char"/>
    <w:uiPriority w:val="99"/>
    <w:semiHidden/>
    <w:rsid w:val="009A2070"/>
    <w:pPr>
      <w:spacing w:after="120" w:line="480" w:lineRule="auto"/>
    </w:pPr>
  </w:style>
  <w:style w:type="character" w:customStyle="1" w:styleId="BodyText2Char">
    <w:name w:val="Body Text 2 Char"/>
    <w:link w:val="BodyText2"/>
    <w:uiPriority w:val="99"/>
    <w:semiHidden/>
    <w:locked/>
    <w:rsid w:val="009A2070"/>
    <w:rPr>
      <w:rFonts w:ascii="Times New Roman" w:hAnsi="Times New Roman" w:cs="Times New Roman"/>
      <w:sz w:val="24"/>
      <w:szCs w:val="24"/>
    </w:rPr>
  </w:style>
  <w:style w:type="character" w:styleId="FollowedHyperlink">
    <w:name w:val="FollowedHyperlink"/>
    <w:uiPriority w:val="99"/>
    <w:semiHidden/>
    <w:rsid w:val="0046175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uiPriority w:val="99"/>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uiPriority w:val="99"/>
    <w:rsid w:val="00F94EFE"/>
    <w:pPr>
      <w:jc w:val="center"/>
    </w:pPr>
    <w:rPr>
      <w:b/>
      <w:bCs/>
    </w:rPr>
  </w:style>
  <w:style w:type="character" w:customStyle="1" w:styleId="BodyTextChar">
    <w:name w:val="Body Text Char"/>
    <w:link w:val="BodyText"/>
    <w:uiPriority w:val="99"/>
    <w:locked/>
    <w:rsid w:val="00F94EFE"/>
    <w:rPr>
      <w:rFonts w:ascii="Times New Roman" w:hAnsi="Times New Roman" w:cs="Times New Roman"/>
      <w:b/>
      <w:sz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0"/>
      <w:szCs w:val="20"/>
    </w:rPr>
  </w:style>
  <w:style w:type="character" w:customStyle="1" w:styleId="FooterChar">
    <w:name w:val="Footer Char"/>
    <w:link w:val="Footer"/>
    <w:uiPriority w:val="99"/>
    <w:locked/>
    <w:rsid w:val="00D876C4"/>
    <w:rPr>
      <w:rFonts w:ascii="Calibri" w:hAnsi="Calibri" w:cs="Times New Roman"/>
    </w:rPr>
  </w:style>
  <w:style w:type="character" w:styleId="PageNumber">
    <w:name w:val="page number"/>
    <w:uiPriority w:val="99"/>
    <w:rsid w:val="00D876C4"/>
    <w:rPr>
      <w:rFonts w:cs="Times New Roman"/>
    </w:rPr>
  </w:style>
  <w:style w:type="character" w:styleId="CommentReference">
    <w:name w:val="annotation reference"/>
    <w:uiPriority w:val="99"/>
    <w:semiHidden/>
    <w:rsid w:val="00184F6B"/>
    <w:rPr>
      <w:rFonts w:cs="Times New Roman"/>
      <w:sz w:val="16"/>
    </w:rPr>
  </w:style>
  <w:style w:type="paragraph" w:styleId="CommentText">
    <w:name w:val="annotation text"/>
    <w:basedOn w:val="Normal"/>
    <w:link w:val="CommentTextChar"/>
    <w:uiPriority w:val="99"/>
    <w:semiHidden/>
    <w:rsid w:val="00184F6B"/>
    <w:rPr>
      <w:sz w:val="20"/>
      <w:szCs w:val="20"/>
    </w:rPr>
  </w:style>
  <w:style w:type="character" w:customStyle="1" w:styleId="CommentTextChar">
    <w:name w:val="Comment Text Char"/>
    <w:link w:val="CommentText"/>
    <w:uiPriority w:val="99"/>
    <w:semiHidden/>
    <w:locked/>
    <w:rsid w:val="00184F6B"/>
    <w:rPr>
      <w:rFonts w:ascii="Times New Roman" w:hAnsi="Times New Roman" w:cs="Times New Roman"/>
      <w:sz w:val="20"/>
      <w:lang w:eastAsia="lv-LV"/>
    </w:rPr>
  </w:style>
  <w:style w:type="paragraph" w:styleId="CommentSubject">
    <w:name w:val="annotation subject"/>
    <w:basedOn w:val="CommentText"/>
    <w:next w:val="CommentText"/>
    <w:link w:val="CommentSubjectChar"/>
    <w:uiPriority w:val="99"/>
    <w:semiHidden/>
    <w:rsid w:val="00184F6B"/>
    <w:rPr>
      <w:b/>
      <w:bCs/>
    </w:rPr>
  </w:style>
  <w:style w:type="character" w:customStyle="1" w:styleId="CommentSubjectChar">
    <w:name w:val="Comment Subject Char"/>
    <w:link w:val="CommentSubject"/>
    <w:uiPriority w:val="99"/>
    <w:semiHidden/>
    <w:locked/>
    <w:rsid w:val="00184F6B"/>
    <w:rPr>
      <w:rFonts w:ascii="Times New Roman" w:hAnsi="Times New Roman" w:cs="Times New Roman"/>
      <w:b/>
      <w:sz w:val="20"/>
      <w:lang w:eastAsia="lv-LV"/>
    </w:rPr>
  </w:style>
  <w:style w:type="paragraph" w:styleId="BalloonText">
    <w:name w:val="Balloon Text"/>
    <w:basedOn w:val="Normal"/>
    <w:link w:val="BalloonTextChar"/>
    <w:uiPriority w:val="99"/>
    <w:semiHidden/>
    <w:rsid w:val="00184F6B"/>
    <w:rPr>
      <w:rFonts w:ascii="Tahoma" w:hAnsi="Tahoma"/>
      <w:sz w:val="16"/>
      <w:szCs w:val="16"/>
    </w:rPr>
  </w:style>
  <w:style w:type="character" w:customStyle="1" w:styleId="BalloonTextChar">
    <w:name w:val="Balloon Text Char"/>
    <w:link w:val="BalloonText"/>
    <w:uiPriority w:val="99"/>
    <w:semiHidden/>
    <w:locked/>
    <w:rsid w:val="00184F6B"/>
    <w:rPr>
      <w:rFonts w:ascii="Tahoma" w:hAnsi="Tahoma" w:cs="Times New Roman"/>
      <w:sz w:val="16"/>
      <w:lang w:eastAsia="lv-LV"/>
    </w:rPr>
  </w:style>
  <w:style w:type="paragraph" w:styleId="ListParagraph">
    <w:name w:val="List Paragraph"/>
    <w:basedOn w:val="Normal"/>
    <w:uiPriority w:val="99"/>
    <w:qFormat/>
    <w:rsid w:val="00184F6B"/>
    <w:pPr>
      <w:ind w:left="720"/>
      <w:contextualSpacing/>
    </w:pPr>
  </w:style>
  <w:style w:type="table" w:styleId="TableGrid">
    <w:name w:val="Table Grid"/>
    <w:basedOn w:val="TableNormal"/>
    <w:uiPriority w:val="9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uiPriority w:val="99"/>
    <w:rsid w:val="00191E96"/>
    <w:pPr>
      <w:spacing w:after="160" w:line="240" w:lineRule="exact"/>
    </w:pPr>
    <w:rPr>
      <w:rFonts w:ascii="Tahoma" w:hAnsi="Tahoma"/>
      <w:sz w:val="20"/>
      <w:szCs w:val="20"/>
      <w:lang w:val="en-US" w:eastAsia="en-US"/>
    </w:rPr>
  </w:style>
  <w:style w:type="paragraph" w:styleId="NormalWeb">
    <w:name w:val="Normal (Web)"/>
    <w:basedOn w:val="Normal"/>
    <w:uiPriority w:val="99"/>
    <w:rsid w:val="00DC3D15"/>
    <w:pPr>
      <w:spacing w:before="100" w:beforeAutospacing="1" w:after="100" w:afterAutospacing="1"/>
    </w:pPr>
  </w:style>
  <w:style w:type="paragraph" w:customStyle="1" w:styleId="Default">
    <w:name w:val="Default"/>
    <w:uiPriority w:val="99"/>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6F66C9"/>
    <w:pPr>
      <w:tabs>
        <w:tab w:val="center" w:pos="4153"/>
        <w:tab w:val="right" w:pos="8306"/>
      </w:tabs>
    </w:pPr>
  </w:style>
  <w:style w:type="character" w:customStyle="1" w:styleId="HeaderChar">
    <w:name w:val="Header Char"/>
    <w:link w:val="Header"/>
    <w:uiPriority w:val="99"/>
    <w:locked/>
    <w:rsid w:val="006F66C9"/>
    <w:rPr>
      <w:rFonts w:ascii="Times New Roman" w:hAnsi="Times New Roman" w:cs="Times New Roman"/>
      <w:sz w:val="24"/>
    </w:rPr>
  </w:style>
  <w:style w:type="character" w:styleId="Hyperlink">
    <w:name w:val="Hyperlink"/>
    <w:uiPriority w:val="99"/>
    <w:rsid w:val="0070269B"/>
    <w:rPr>
      <w:rFonts w:cs="Times New Roman"/>
      <w:color w:val="0000FF"/>
      <w:u w:val="single"/>
    </w:rPr>
  </w:style>
  <w:style w:type="paragraph" w:styleId="FootnoteText">
    <w:name w:val="footnote text"/>
    <w:basedOn w:val="Normal"/>
    <w:link w:val="FootnoteTextChar"/>
    <w:uiPriority w:val="99"/>
    <w:semiHidden/>
    <w:rsid w:val="00780E99"/>
    <w:rPr>
      <w:sz w:val="20"/>
      <w:szCs w:val="20"/>
    </w:rPr>
  </w:style>
  <w:style w:type="character" w:customStyle="1" w:styleId="FootnoteTextChar">
    <w:name w:val="Footnote Text Char"/>
    <w:link w:val="FootnoteText"/>
    <w:uiPriority w:val="99"/>
    <w:semiHidden/>
    <w:locked/>
    <w:rsid w:val="00780E99"/>
    <w:rPr>
      <w:rFonts w:ascii="Times New Roman" w:hAnsi="Times New Roman" w:cs="Times New Roman"/>
    </w:rPr>
  </w:style>
  <w:style w:type="character" w:styleId="FootnoteReference">
    <w:name w:val="footnote reference"/>
    <w:uiPriority w:val="99"/>
    <w:semiHidden/>
    <w:rsid w:val="00780E99"/>
    <w:rPr>
      <w:rFonts w:cs="Times New Roman"/>
      <w:vertAlign w:val="superscript"/>
    </w:rPr>
  </w:style>
  <w:style w:type="paragraph" w:customStyle="1" w:styleId="tv2132">
    <w:name w:val="tv2132"/>
    <w:basedOn w:val="Normal"/>
    <w:uiPriority w:val="99"/>
    <w:rsid w:val="00245FBF"/>
    <w:pPr>
      <w:spacing w:line="360" w:lineRule="auto"/>
      <w:ind w:firstLine="300"/>
    </w:pPr>
    <w:rPr>
      <w:color w:val="414142"/>
      <w:sz w:val="20"/>
      <w:szCs w:val="20"/>
    </w:rPr>
  </w:style>
  <w:style w:type="paragraph" w:customStyle="1" w:styleId="tv2131">
    <w:name w:val="tv2131"/>
    <w:basedOn w:val="Normal"/>
    <w:uiPriority w:val="99"/>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uiPriority w:val="99"/>
    <w:rsid w:val="00C62594"/>
    <w:rPr>
      <w:rFonts w:ascii="Tahoma" w:eastAsia="Calibri" w:hAnsi="Tahoma"/>
      <w:color w:val="2D2F30"/>
      <w:sz w:val="17"/>
      <w:szCs w:val="20"/>
    </w:rPr>
  </w:style>
  <w:style w:type="character" w:customStyle="1" w:styleId="NormalWeb4CharChar">
    <w:name w:val="Normal (Web)4 Char Char"/>
    <w:link w:val="NormalWeb4Char"/>
    <w:uiPriority w:val="99"/>
    <w:locked/>
    <w:rsid w:val="00C62594"/>
    <w:rPr>
      <w:rFonts w:ascii="Tahoma" w:hAnsi="Tahoma"/>
      <w:color w:val="2D2F30"/>
      <w:sz w:val="17"/>
    </w:rPr>
  </w:style>
  <w:style w:type="character" w:customStyle="1" w:styleId="apple-converted-space">
    <w:name w:val="apple-converted-space"/>
    <w:uiPriority w:val="99"/>
    <w:rsid w:val="00342681"/>
  </w:style>
  <w:style w:type="paragraph" w:styleId="NoSpacing">
    <w:name w:val="No Spacing"/>
    <w:uiPriority w:val="99"/>
    <w:qFormat/>
    <w:rsid w:val="007E3BF6"/>
    <w:pPr>
      <w:widowControl w:val="0"/>
    </w:pPr>
    <w:rPr>
      <w:sz w:val="22"/>
      <w:szCs w:val="22"/>
      <w:lang w:eastAsia="en-US"/>
    </w:rPr>
  </w:style>
  <w:style w:type="paragraph" w:styleId="BodyText2">
    <w:name w:val="Body Text 2"/>
    <w:basedOn w:val="Normal"/>
    <w:link w:val="BodyText2Char"/>
    <w:uiPriority w:val="99"/>
    <w:semiHidden/>
    <w:rsid w:val="009A2070"/>
    <w:pPr>
      <w:spacing w:after="120" w:line="480" w:lineRule="auto"/>
    </w:pPr>
  </w:style>
  <w:style w:type="character" w:customStyle="1" w:styleId="BodyText2Char">
    <w:name w:val="Body Text 2 Char"/>
    <w:link w:val="BodyText2"/>
    <w:uiPriority w:val="99"/>
    <w:semiHidden/>
    <w:locked/>
    <w:rsid w:val="009A2070"/>
    <w:rPr>
      <w:rFonts w:ascii="Times New Roman" w:hAnsi="Times New Roman" w:cs="Times New Roman"/>
      <w:sz w:val="24"/>
      <w:szCs w:val="24"/>
    </w:rPr>
  </w:style>
  <w:style w:type="character" w:styleId="FollowedHyperlink">
    <w:name w:val="FollowedHyperlink"/>
    <w:uiPriority w:val="99"/>
    <w:semiHidden/>
    <w:rsid w:val="0046175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5181">
      <w:bodyDiv w:val="1"/>
      <w:marLeft w:val="0"/>
      <w:marRight w:val="0"/>
      <w:marTop w:val="0"/>
      <w:marBottom w:val="0"/>
      <w:divBdr>
        <w:top w:val="none" w:sz="0" w:space="0" w:color="auto"/>
        <w:left w:val="none" w:sz="0" w:space="0" w:color="auto"/>
        <w:bottom w:val="none" w:sz="0" w:space="0" w:color="auto"/>
        <w:right w:val="none" w:sz="0" w:space="0" w:color="auto"/>
      </w:divBdr>
    </w:div>
    <w:div w:id="263537537">
      <w:bodyDiv w:val="1"/>
      <w:marLeft w:val="0"/>
      <w:marRight w:val="0"/>
      <w:marTop w:val="0"/>
      <w:marBottom w:val="0"/>
      <w:divBdr>
        <w:top w:val="none" w:sz="0" w:space="0" w:color="auto"/>
        <w:left w:val="none" w:sz="0" w:space="0" w:color="auto"/>
        <w:bottom w:val="none" w:sz="0" w:space="0" w:color="auto"/>
        <w:right w:val="none" w:sz="0" w:space="0" w:color="auto"/>
      </w:divBdr>
    </w:div>
    <w:div w:id="282347910">
      <w:bodyDiv w:val="1"/>
      <w:marLeft w:val="0"/>
      <w:marRight w:val="0"/>
      <w:marTop w:val="0"/>
      <w:marBottom w:val="0"/>
      <w:divBdr>
        <w:top w:val="none" w:sz="0" w:space="0" w:color="auto"/>
        <w:left w:val="none" w:sz="0" w:space="0" w:color="auto"/>
        <w:bottom w:val="none" w:sz="0" w:space="0" w:color="auto"/>
        <w:right w:val="none" w:sz="0" w:space="0" w:color="auto"/>
      </w:divBdr>
    </w:div>
    <w:div w:id="284510427">
      <w:marLeft w:val="0"/>
      <w:marRight w:val="0"/>
      <w:marTop w:val="0"/>
      <w:marBottom w:val="0"/>
      <w:divBdr>
        <w:top w:val="none" w:sz="0" w:space="0" w:color="auto"/>
        <w:left w:val="none" w:sz="0" w:space="0" w:color="auto"/>
        <w:bottom w:val="none" w:sz="0" w:space="0" w:color="auto"/>
        <w:right w:val="none" w:sz="0" w:space="0" w:color="auto"/>
      </w:divBdr>
      <w:divsChild>
        <w:div w:id="284510431">
          <w:marLeft w:val="0"/>
          <w:marRight w:val="0"/>
          <w:marTop w:val="0"/>
          <w:marBottom w:val="0"/>
          <w:divBdr>
            <w:top w:val="none" w:sz="0" w:space="0" w:color="auto"/>
            <w:left w:val="none" w:sz="0" w:space="0" w:color="auto"/>
            <w:bottom w:val="none" w:sz="0" w:space="0" w:color="auto"/>
            <w:right w:val="none" w:sz="0" w:space="0" w:color="auto"/>
          </w:divBdr>
          <w:divsChild>
            <w:div w:id="284510425">
              <w:marLeft w:val="0"/>
              <w:marRight w:val="0"/>
              <w:marTop w:val="0"/>
              <w:marBottom w:val="0"/>
              <w:divBdr>
                <w:top w:val="none" w:sz="0" w:space="0" w:color="auto"/>
                <w:left w:val="none" w:sz="0" w:space="0" w:color="auto"/>
                <w:bottom w:val="none" w:sz="0" w:space="0" w:color="auto"/>
                <w:right w:val="none" w:sz="0" w:space="0" w:color="auto"/>
              </w:divBdr>
              <w:divsChild>
                <w:div w:id="284510423">
                  <w:marLeft w:val="0"/>
                  <w:marRight w:val="0"/>
                  <w:marTop w:val="0"/>
                  <w:marBottom w:val="0"/>
                  <w:divBdr>
                    <w:top w:val="none" w:sz="0" w:space="0" w:color="auto"/>
                    <w:left w:val="none" w:sz="0" w:space="0" w:color="auto"/>
                    <w:bottom w:val="none" w:sz="0" w:space="0" w:color="auto"/>
                    <w:right w:val="none" w:sz="0" w:space="0" w:color="auto"/>
                  </w:divBdr>
                  <w:divsChild>
                    <w:div w:id="284510432">
                      <w:marLeft w:val="0"/>
                      <w:marRight w:val="0"/>
                      <w:marTop w:val="0"/>
                      <w:marBottom w:val="0"/>
                      <w:divBdr>
                        <w:top w:val="none" w:sz="0" w:space="0" w:color="auto"/>
                        <w:left w:val="none" w:sz="0" w:space="0" w:color="auto"/>
                        <w:bottom w:val="none" w:sz="0" w:space="0" w:color="auto"/>
                        <w:right w:val="none" w:sz="0" w:space="0" w:color="auto"/>
                      </w:divBdr>
                      <w:divsChild>
                        <w:div w:id="284510439">
                          <w:marLeft w:val="0"/>
                          <w:marRight w:val="0"/>
                          <w:marTop w:val="0"/>
                          <w:marBottom w:val="0"/>
                          <w:divBdr>
                            <w:top w:val="none" w:sz="0" w:space="0" w:color="auto"/>
                            <w:left w:val="none" w:sz="0" w:space="0" w:color="auto"/>
                            <w:bottom w:val="none" w:sz="0" w:space="0" w:color="auto"/>
                            <w:right w:val="none" w:sz="0" w:space="0" w:color="auto"/>
                          </w:divBdr>
                          <w:divsChild>
                            <w:div w:id="284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10429">
      <w:marLeft w:val="0"/>
      <w:marRight w:val="0"/>
      <w:marTop w:val="0"/>
      <w:marBottom w:val="0"/>
      <w:divBdr>
        <w:top w:val="none" w:sz="0" w:space="0" w:color="auto"/>
        <w:left w:val="none" w:sz="0" w:space="0" w:color="auto"/>
        <w:bottom w:val="none" w:sz="0" w:space="0" w:color="auto"/>
        <w:right w:val="none" w:sz="0" w:space="0" w:color="auto"/>
      </w:divBdr>
    </w:div>
    <w:div w:id="284510430">
      <w:marLeft w:val="0"/>
      <w:marRight w:val="0"/>
      <w:marTop w:val="0"/>
      <w:marBottom w:val="0"/>
      <w:divBdr>
        <w:top w:val="none" w:sz="0" w:space="0" w:color="auto"/>
        <w:left w:val="none" w:sz="0" w:space="0" w:color="auto"/>
        <w:bottom w:val="none" w:sz="0" w:space="0" w:color="auto"/>
        <w:right w:val="none" w:sz="0" w:space="0" w:color="auto"/>
      </w:divBdr>
    </w:div>
    <w:div w:id="284510437">
      <w:marLeft w:val="0"/>
      <w:marRight w:val="0"/>
      <w:marTop w:val="0"/>
      <w:marBottom w:val="0"/>
      <w:divBdr>
        <w:top w:val="none" w:sz="0" w:space="0" w:color="auto"/>
        <w:left w:val="none" w:sz="0" w:space="0" w:color="auto"/>
        <w:bottom w:val="none" w:sz="0" w:space="0" w:color="auto"/>
        <w:right w:val="none" w:sz="0" w:space="0" w:color="auto"/>
      </w:divBdr>
    </w:div>
    <w:div w:id="284510438">
      <w:marLeft w:val="0"/>
      <w:marRight w:val="0"/>
      <w:marTop w:val="0"/>
      <w:marBottom w:val="0"/>
      <w:divBdr>
        <w:top w:val="none" w:sz="0" w:space="0" w:color="auto"/>
        <w:left w:val="none" w:sz="0" w:space="0" w:color="auto"/>
        <w:bottom w:val="none" w:sz="0" w:space="0" w:color="auto"/>
        <w:right w:val="none" w:sz="0" w:space="0" w:color="auto"/>
      </w:divBdr>
    </w:div>
    <w:div w:id="284510440">
      <w:marLeft w:val="0"/>
      <w:marRight w:val="0"/>
      <w:marTop w:val="0"/>
      <w:marBottom w:val="0"/>
      <w:divBdr>
        <w:top w:val="none" w:sz="0" w:space="0" w:color="auto"/>
        <w:left w:val="none" w:sz="0" w:space="0" w:color="auto"/>
        <w:bottom w:val="none" w:sz="0" w:space="0" w:color="auto"/>
        <w:right w:val="none" w:sz="0" w:space="0" w:color="auto"/>
      </w:divBdr>
    </w:div>
    <w:div w:id="284510441">
      <w:marLeft w:val="0"/>
      <w:marRight w:val="0"/>
      <w:marTop w:val="0"/>
      <w:marBottom w:val="0"/>
      <w:divBdr>
        <w:top w:val="none" w:sz="0" w:space="0" w:color="auto"/>
        <w:left w:val="none" w:sz="0" w:space="0" w:color="auto"/>
        <w:bottom w:val="none" w:sz="0" w:space="0" w:color="auto"/>
        <w:right w:val="none" w:sz="0" w:space="0" w:color="auto"/>
      </w:divBdr>
    </w:div>
    <w:div w:id="284510442">
      <w:marLeft w:val="0"/>
      <w:marRight w:val="0"/>
      <w:marTop w:val="0"/>
      <w:marBottom w:val="0"/>
      <w:divBdr>
        <w:top w:val="none" w:sz="0" w:space="0" w:color="auto"/>
        <w:left w:val="none" w:sz="0" w:space="0" w:color="auto"/>
        <w:bottom w:val="none" w:sz="0" w:space="0" w:color="auto"/>
        <w:right w:val="none" w:sz="0" w:space="0" w:color="auto"/>
      </w:divBdr>
      <w:divsChild>
        <w:div w:id="284510426">
          <w:marLeft w:val="547"/>
          <w:marRight w:val="0"/>
          <w:marTop w:val="86"/>
          <w:marBottom w:val="0"/>
          <w:divBdr>
            <w:top w:val="none" w:sz="0" w:space="0" w:color="auto"/>
            <w:left w:val="none" w:sz="0" w:space="0" w:color="auto"/>
            <w:bottom w:val="none" w:sz="0" w:space="0" w:color="auto"/>
            <w:right w:val="none" w:sz="0" w:space="0" w:color="auto"/>
          </w:divBdr>
        </w:div>
      </w:divsChild>
    </w:div>
    <w:div w:id="284510443">
      <w:marLeft w:val="0"/>
      <w:marRight w:val="0"/>
      <w:marTop w:val="0"/>
      <w:marBottom w:val="0"/>
      <w:divBdr>
        <w:top w:val="none" w:sz="0" w:space="0" w:color="auto"/>
        <w:left w:val="none" w:sz="0" w:space="0" w:color="auto"/>
        <w:bottom w:val="none" w:sz="0" w:space="0" w:color="auto"/>
        <w:right w:val="none" w:sz="0" w:space="0" w:color="auto"/>
      </w:divBdr>
      <w:divsChild>
        <w:div w:id="284510444">
          <w:marLeft w:val="0"/>
          <w:marRight w:val="0"/>
          <w:marTop w:val="0"/>
          <w:marBottom w:val="0"/>
          <w:divBdr>
            <w:top w:val="none" w:sz="0" w:space="0" w:color="auto"/>
            <w:left w:val="none" w:sz="0" w:space="0" w:color="auto"/>
            <w:bottom w:val="none" w:sz="0" w:space="0" w:color="auto"/>
            <w:right w:val="none" w:sz="0" w:space="0" w:color="auto"/>
          </w:divBdr>
          <w:divsChild>
            <w:div w:id="284510433">
              <w:marLeft w:val="0"/>
              <w:marRight w:val="0"/>
              <w:marTop w:val="0"/>
              <w:marBottom w:val="0"/>
              <w:divBdr>
                <w:top w:val="none" w:sz="0" w:space="0" w:color="auto"/>
                <w:left w:val="none" w:sz="0" w:space="0" w:color="auto"/>
                <w:bottom w:val="none" w:sz="0" w:space="0" w:color="auto"/>
                <w:right w:val="none" w:sz="0" w:space="0" w:color="auto"/>
              </w:divBdr>
              <w:divsChild>
                <w:div w:id="284510436">
                  <w:marLeft w:val="0"/>
                  <w:marRight w:val="0"/>
                  <w:marTop w:val="0"/>
                  <w:marBottom w:val="0"/>
                  <w:divBdr>
                    <w:top w:val="none" w:sz="0" w:space="0" w:color="auto"/>
                    <w:left w:val="none" w:sz="0" w:space="0" w:color="auto"/>
                    <w:bottom w:val="none" w:sz="0" w:space="0" w:color="auto"/>
                    <w:right w:val="none" w:sz="0" w:space="0" w:color="auto"/>
                  </w:divBdr>
                  <w:divsChild>
                    <w:div w:id="284510424">
                      <w:marLeft w:val="0"/>
                      <w:marRight w:val="0"/>
                      <w:marTop w:val="0"/>
                      <w:marBottom w:val="0"/>
                      <w:divBdr>
                        <w:top w:val="none" w:sz="0" w:space="0" w:color="auto"/>
                        <w:left w:val="none" w:sz="0" w:space="0" w:color="auto"/>
                        <w:bottom w:val="none" w:sz="0" w:space="0" w:color="auto"/>
                        <w:right w:val="none" w:sz="0" w:space="0" w:color="auto"/>
                      </w:divBdr>
                      <w:divsChild>
                        <w:div w:id="284510435">
                          <w:marLeft w:val="0"/>
                          <w:marRight w:val="0"/>
                          <w:marTop w:val="0"/>
                          <w:marBottom w:val="0"/>
                          <w:divBdr>
                            <w:top w:val="none" w:sz="0" w:space="0" w:color="auto"/>
                            <w:left w:val="none" w:sz="0" w:space="0" w:color="auto"/>
                            <w:bottom w:val="none" w:sz="0" w:space="0" w:color="auto"/>
                            <w:right w:val="none" w:sz="0" w:space="0" w:color="auto"/>
                          </w:divBdr>
                          <w:divsChild>
                            <w:div w:id="284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10445">
      <w:marLeft w:val="0"/>
      <w:marRight w:val="0"/>
      <w:marTop w:val="0"/>
      <w:marBottom w:val="0"/>
      <w:divBdr>
        <w:top w:val="none" w:sz="0" w:space="0" w:color="auto"/>
        <w:left w:val="none" w:sz="0" w:space="0" w:color="auto"/>
        <w:bottom w:val="none" w:sz="0" w:space="0" w:color="auto"/>
        <w:right w:val="none" w:sz="0" w:space="0" w:color="auto"/>
      </w:divBdr>
    </w:div>
    <w:div w:id="284510446">
      <w:marLeft w:val="0"/>
      <w:marRight w:val="0"/>
      <w:marTop w:val="0"/>
      <w:marBottom w:val="0"/>
      <w:divBdr>
        <w:top w:val="none" w:sz="0" w:space="0" w:color="auto"/>
        <w:left w:val="none" w:sz="0" w:space="0" w:color="auto"/>
        <w:bottom w:val="none" w:sz="0" w:space="0" w:color="auto"/>
        <w:right w:val="none" w:sz="0" w:space="0" w:color="auto"/>
      </w:divBdr>
    </w:div>
    <w:div w:id="284510447">
      <w:marLeft w:val="0"/>
      <w:marRight w:val="0"/>
      <w:marTop w:val="0"/>
      <w:marBottom w:val="0"/>
      <w:divBdr>
        <w:top w:val="none" w:sz="0" w:space="0" w:color="auto"/>
        <w:left w:val="none" w:sz="0" w:space="0" w:color="auto"/>
        <w:bottom w:val="none" w:sz="0" w:space="0" w:color="auto"/>
        <w:right w:val="none" w:sz="0" w:space="0" w:color="auto"/>
      </w:divBdr>
    </w:div>
    <w:div w:id="284510448">
      <w:marLeft w:val="0"/>
      <w:marRight w:val="0"/>
      <w:marTop w:val="0"/>
      <w:marBottom w:val="0"/>
      <w:divBdr>
        <w:top w:val="none" w:sz="0" w:space="0" w:color="auto"/>
        <w:left w:val="none" w:sz="0" w:space="0" w:color="auto"/>
        <w:bottom w:val="none" w:sz="0" w:space="0" w:color="auto"/>
        <w:right w:val="none" w:sz="0" w:space="0" w:color="auto"/>
      </w:divBdr>
    </w:div>
    <w:div w:id="284510449">
      <w:marLeft w:val="0"/>
      <w:marRight w:val="0"/>
      <w:marTop w:val="0"/>
      <w:marBottom w:val="0"/>
      <w:divBdr>
        <w:top w:val="none" w:sz="0" w:space="0" w:color="auto"/>
        <w:left w:val="none" w:sz="0" w:space="0" w:color="auto"/>
        <w:bottom w:val="none" w:sz="0" w:space="0" w:color="auto"/>
        <w:right w:val="none" w:sz="0" w:space="0" w:color="auto"/>
      </w:divBdr>
    </w:div>
    <w:div w:id="284510450">
      <w:marLeft w:val="0"/>
      <w:marRight w:val="0"/>
      <w:marTop w:val="0"/>
      <w:marBottom w:val="0"/>
      <w:divBdr>
        <w:top w:val="none" w:sz="0" w:space="0" w:color="auto"/>
        <w:left w:val="none" w:sz="0" w:space="0" w:color="auto"/>
        <w:bottom w:val="none" w:sz="0" w:space="0" w:color="auto"/>
        <w:right w:val="none" w:sz="0" w:space="0" w:color="auto"/>
      </w:divBdr>
    </w:div>
    <w:div w:id="284510451">
      <w:marLeft w:val="0"/>
      <w:marRight w:val="0"/>
      <w:marTop w:val="0"/>
      <w:marBottom w:val="0"/>
      <w:divBdr>
        <w:top w:val="none" w:sz="0" w:space="0" w:color="auto"/>
        <w:left w:val="none" w:sz="0" w:space="0" w:color="auto"/>
        <w:bottom w:val="none" w:sz="0" w:space="0" w:color="auto"/>
        <w:right w:val="none" w:sz="0" w:space="0" w:color="auto"/>
      </w:divBdr>
    </w:div>
    <w:div w:id="284510452">
      <w:marLeft w:val="0"/>
      <w:marRight w:val="0"/>
      <w:marTop w:val="0"/>
      <w:marBottom w:val="0"/>
      <w:divBdr>
        <w:top w:val="none" w:sz="0" w:space="0" w:color="auto"/>
        <w:left w:val="none" w:sz="0" w:space="0" w:color="auto"/>
        <w:bottom w:val="none" w:sz="0" w:space="0" w:color="auto"/>
        <w:right w:val="none" w:sz="0" w:space="0" w:color="auto"/>
      </w:divBdr>
    </w:div>
    <w:div w:id="284510453">
      <w:marLeft w:val="0"/>
      <w:marRight w:val="0"/>
      <w:marTop w:val="0"/>
      <w:marBottom w:val="0"/>
      <w:divBdr>
        <w:top w:val="none" w:sz="0" w:space="0" w:color="auto"/>
        <w:left w:val="none" w:sz="0" w:space="0" w:color="auto"/>
        <w:bottom w:val="none" w:sz="0" w:space="0" w:color="auto"/>
        <w:right w:val="none" w:sz="0" w:space="0" w:color="auto"/>
      </w:divBdr>
    </w:div>
    <w:div w:id="284510454">
      <w:marLeft w:val="0"/>
      <w:marRight w:val="0"/>
      <w:marTop w:val="0"/>
      <w:marBottom w:val="0"/>
      <w:divBdr>
        <w:top w:val="none" w:sz="0" w:space="0" w:color="auto"/>
        <w:left w:val="none" w:sz="0" w:space="0" w:color="auto"/>
        <w:bottom w:val="none" w:sz="0" w:space="0" w:color="auto"/>
        <w:right w:val="none" w:sz="0" w:space="0" w:color="auto"/>
      </w:divBdr>
    </w:div>
    <w:div w:id="284510455">
      <w:marLeft w:val="0"/>
      <w:marRight w:val="0"/>
      <w:marTop w:val="0"/>
      <w:marBottom w:val="0"/>
      <w:divBdr>
        <w:top w:val="none" w:sz="0" w:space="0" w:color="auto"/>
        <w:left w:val="none" w:sz="0" w:space="0" w:color="auto"/>
        <w:bottom w:val="none" w:sz="0" w:space="0" w:color="auto"/>
        <w:right w:val="none" w:sz="0" w:space="0" w:color="auto"/>
      </w:divBdr>
    </w:div>
    <w:div w:id="284510456">
      <w:marLeft w:val="0"/>
      <w:marRight w:val="0"/>
      <w:marTop w:val="0"/>
      <w:marBottom w:val="0"/>
      <w:divBdr>
        <w:top w:val="none" w:sz="0" w:space="0" w:color="auto"/>
        <w:left w:val="none" w:sz="0" w:space="0" w:color="auto"/>
        <w:bottom w:val="none" w:sz="0" w:space="0" w:color="auto"/>
        <w:right w:val="none" w:sz="0" w:space="0" w:color="auto"/>
      </w:divBdr>
    </w:div>
    <w:div w:id="284510457">
      <w:marLeft w:val="0"/>
      <w:marRight w:val="0"/>
      <w:marTop w:val="0"/>
      <w:marBottom w:val="0"/>
      <w:divBdr>
        <w:top w:val="none" w:sz="0" w:space="0" w:color="auto"/>
        <w:left w:val="none" w:sz="0" w:space="0" w:color="auto"/>
        <w:bottom w:val="none" w:sz="0" w:space="0" w:color="auto"/>
        <w:right w:val="none" w:sz="0" w:space="0" w:color="auto"/>
      </w:divBdr>
    </w:div>
    <w:div w:id="310908167">
      <w:bodyDiv w:val="1"/>
      <w:marLeft w:val="0"/>
      <w:marRight w:val="0"/>
      <w:marTop w:val="0"/>
      <w:marBottom w:val="0"/>
      <w:divBdr>
        <w:top w:val="none" w:sz="0" w:space="0" w:color="auto"/>
        <w:left w:val="none" w:sz="0" w:space="0" w:color="auto"/>
        <w:bottom w:val="none" w:sz="0" w:space="0" w:color="auto"/>
        <w:right w:val="none" w:sz="0" w:space="0" w:color="auto"/>
      </w:divBdr>
    </w:div>
    <w:div w:id="684138268">
      <w:bodyDiv w:val="1"/>
      <w:marLeft w:val="0"/>
      <w:marRight w:val="0"/>
      <w:marTop w:val="0"/>
      <w:marBottom w:val="0"/>
      <w:divBdr>
        <w:top w:val="none" w:sz="0" w:space="0" w:color="auto"/>
        <w:left w:val="none" w:sz="0" w:space="0" w:color="auto"/>
        <w:bottom w:val="none" w:sz="0" w:space="0" w:color="auto"/>
        <w:right w:val="none" w:sz="0" w:space="0" w:color="auto"/>
      </w:divBdr>
    </w:div>
    <w:div w:id="1565070592">
      <w:bodyDiv w:val="1"/>
      <w:marLeft w:val="0"/>
      <w:marRight w:val="0"/>
      <w:marTop w:val="0"/>
      <w:marBottom w:val="0"/>
      <w:divBdr>
        <w:top w:val="none" w:sz="0" w:space="0" w:color="auto"/>
        <w:left w:val="none" w:sz="0" w:space="0" w:color="auto"/>
        <w:bottom w:val="none" w:sz="0" w:space="0" w:color="auto"/>
        <w:right w:val="none" w:sz="0" w:space="0" w:color="auto"/>
      </w:divBdr>
    </w:div>
    <w:div w:id="20836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rina.Marinska@sam.gov.lv"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ce.Supe@s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12/SaeimaLIVS12.nsf/0/92D47DA1A58E0C32C225813F00384840?OpenDocument" TargetMode="External"/><Relationship Id="rId2" Type="http://schemas.openxmlformats.org/officeDocument/2006/relationships/hyperlink" Target="http://lvceli.lv/wp-content/uploads/2015/05/Informacija-strategiskas-planosanas-vajadzibam_2017.pdf" TargetMode="External"/><Relationship Id="rId1" Type="http://schemas.openxmlformats.org/officeDocument/2006/relationships/hyperlink" Target="http://lvceli.lv/wp-content/uploads/2015/05/Informacija-strategiskas-planosanas-vajadzibam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7E23-7BFC-4F16-B197-AD0F1751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3366</Words>
  <Characters>21461</Characters>
  <Application>Microsoft Office Word</Application>
  <DocSecurity>0</DocSecurity>
  <Lines>178</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iespējamību piesaistīt papildu finansējumu ceļu uzturēšanai, pārbūvei un atjaunošanai papildus valsts budžetā paredzētajam finansējumam</vt:lpstr>
      <vt:lpstr>Informatīvais ziņojums par iespējamību piesaistīt papildu finansējumu ceļu uzturēšanai, pārbūvei un atjaunošanai papildus valsts budžetā paredzētajam finansējumam</vt:lpstr>
    </vt:vector>
  </TitlesOfParts>
  <Company>Satiksmes ministrija</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iespējamību piesaistīt papildu finansējumu ceļu uzturēšanai, pārbūvei un atjaunošanai papildus valsts budžetā paredzētajam finansējumam</dc:title>
  <dc:subject>Informatīvais ziņojums</dc:subject>
  <dc:creator>Dace.Suveizda@sam.gov.lv</dc:creator>
  <dc:description>Dace.Supe@sam.gov.lv; 67028253</dc:description>
  <cp:lastModifiedBy>Dace Supe</cp:lastModifiedBy>
  <cp:revision>18</cp:revision>
  <cp:lastPrinted>2017-10-25T12:45:00Z</cp:lastPrinted>
  <dcterms:created xsi:type="dcterms:W3CDTF">2017-09-08T12:32:00Z</dcterms:created>
  <dcterms:modified xsi:type="dcterms:W3CDTF">2017-11-07T15:58:00Z</dcterms:modified>
</cp:coreProperties>
</file>