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C2C5" w14:textId="77777777" w:rsidR="008D0E01" w:rsidRPr="00DA0CA0" w:rsidRDefault="00A9577E" w:rsidP="009E12EA">
      <w:pPr>
        <w:pStyle w:val="Default"/>
        <w:spacing w:line="276" w:lineRule="auto"/>
        <w:jc w:val="center"/>
        <w:rPr>
          <w:b/>
          <w:bCs/>
          <w:sz w:val="28"/>
          <w:szCs w:val="28"/>
          <w:lang w:val="en-US"/>
        </w:rPr>
      </w:pPr>
      <w:r w:rsidRPr="00DA0CA0">
        <w:rPr>
          <w:b/>
          <w:bCs/>
          <w:sz w:val="28"/>
          <w:szCs w:val="28"/>
          <w:lang w:val="en-GB"/>
        </w:rPr>
        <w:t>AGR</w:t>
      </w:r>
      <w:r w:rsidRPr="00DA0CA0">
        <w:rPr>
          <w:b/>
          <w:bCs/>
          <w:sz w:val="28"/>
          <w:szCs w:val="28"/>
          <w:lang w:val="en-US"/>
        </w:rPr>
        <w:t>EEMENT</w:t>
      </w:r>
    </w:p>
    <w:p w14:paraId="498B6D06" w14:textId="0B41FAAA" w:rsidR="00920BCA" w:rsidRDefault="00A87E4C" w:rsidP="009E12EA">
      <w:pPr>
        <w:pStyle w:val="Default"/>
        <w:spacing w:line="276" w:lineRule="auto"/>
        <w:jc w:val="center"/>
        <w:rPr>
          <w:b/>
          <w:bCs/>
          <w:sz w:val="28"/>
          <w:szCs w:val="28"/>
          <w:lang w:val="en-US"/>
        </w:rPr>
      </w:pPr>
      <w:r>
        <w:rPr>
          <w:b/>
          <w:bCs/>
          <w:sz w:val="28"/>
          <w:szCs w:val="28"/>
          <w:lang w:val="en-US"/>
        </w:rPr>
        <w:t>on Financing and I</w:t>
      </w:r>
      <w:r w:rsidR="00920BCA" w:rsidRPr="00DA0CA0">
        <w:rPr>
          <w:b/>
          <w:bCs/>
          <w:sz w:val="28"/>
          <w:szCs w:val="28"/>
          <w:lang w:val="en-US"/>
        </w:rPr>
        <w:t>mplementation</w:t>
      </w:r>
      <w:r w:rsidR="00304B68">
        <w:rPr>
          <w:b/>
          <w:bCs/>
          <w:sz w:val="28"/>
          <w:szCs w:val="28"/>
          <w:lang w:val="en-US"/>
        </w:rPr>
        <w:br/>
      </w:r>
      <w:r w:rsidR="00920BCA" w:rsidRPr="00DA0CA0">
        <w:rPr>
          <w:b/>
          <w:bCs/>
          <w:sz w:val="28"/>
          <w:szCs w:val="28"/>
          <w:lang w:val="en-US"/>
        </w:rPr>
        <w:t>of Cross Border Cooperation Programme</w:t>
      </w:r>
    </w:p>
    <w:p w14:paraId="04E255A7" w14:textId="00C68F02" w:rsidR="00CD0970" w:rsidRPr="00320AD6" w:rsidRDefault="00633528" w:rsidP="009E12EA">
      <w:pPr>
        <w:pStyle w:val="Default"/>
        <w:spacing w:line="276" w:lineRule="auto"/>
        <w:jc w:val="center"/>
        <w:rPr>
          <w:b/>
          <w:bCs/>
          <w:sz w:val="28"/>
          <w:szCs w:val="28"/>
          <w:lang w:val="en-US"/>
        </w:rPr>
      </w:pPr>
      <w:r>
        <w:rPr>
          <w:b/>
          <w:bCs/>
          <w:sz w:val="28"/>
          <w:szCs w:val="28"/>
          <w:lang w:val="en-US"/>
        </w:rPr>
        <w:t>"Latvia</w:t>
      </w:r>
      <w:r w:rsidR="00841D6A">
        <w:rPr>
          <w:b/>
          <w:bCs/>
          <w:sz w:val="28"/>
          <w:szCs w:val="28"/>
          <w:lang w:val="en-US"/>
        </w:rPr>
        <w:t>-Russia</w:t>
      </w:r>
      <w:r>
        <w:rPr>
          <w:b/>
          <w:bCs/>
          <w:sz w:val="28"/>
          <w:szCs w:val="28"/>
          <w:lang w:val="en-US"/>
        </w:rPr>
        <w:t>" 2014-2020</w:t>
      </w:r>
    </w:p>
    <w:p w14:paraId="79FC8C4E" w14:textId="77777777" w:rsidR="00DA0CA0" w:rsidRPr="00DA0CA0" w:rsidRDefault="00DA0CA0" w:rsidP="00DA0CA0">
      <w:pPr>
        <w:pStyle w:val="Default"/>
        <w:spacing w:line="360" w:lineRule="auto"/>
        <w:ind w:firstLine="709"/>
        <w:jc w:val="center"/>
        <w:rPr>
          <w:b/>
          <w:bCs/>
          <w:sz w:val="28"/>
          <w:szCs w:val="28"/>
          <w:lang w:val="en-US"/>
        </w:rPr>
      </w:pPr>
    </w:p>
    <w:p w14:paraId="689F85B8" w14:textId="77777777" w:rsidR="0074557A" w:rsidRDefault="005554C7" w:rsidP="00962F9A">
      <w:pPr>
        <w:pStyle w:val="Default"/>
        <w:spacing w:line="360" w:lineRule="auto"/>
        <w:jc w:val="center"/>
        <w:rPr>
          <w:sz w:val="28"/>
          <w:szCs w:val="28"/>
          <w:lang w:val="en-GB"/>
        </w:rPr>
      </w:pPr>
      <w:r w:rsidRPr="00DA0CA0">
        <w:rPr>
          <w:sz w:val="28"/>
          <w:szCs w:val="28"/>
          <w:lang w:val="en-GB"/>
        </w:rPr>
        <w:t>Preamble</w:t>
      </w:r>
    </w:p>
    <w:p w14:paraId="4AD9C793" w14:textId="77777777" w:rsidR="00DA0CA0" w:rsidRPr="00DA0CA0" w:rsidRDefault="00DA0CA0" w:rsidP="00DA0CA0">
      <w:pPr>
        <w:pStyle w:val="Default"/>
        <w:spacing w:line="360" w:lineRule="auto"/>
        <w:ind w:firstLine="709"/>
        <w:jc w:val="center"/>
        <w:rPr>
          <w:sz w:val="28"/>
          <w:szCs w:val="28"/>
          <w:lang w:val="en-GB"/>
        </w:rPr>
      </w:pPr>
    </w:p>
    <w:p w14:paraId="08464FD3" w14:textId="56670A78" w:rsidR="00841D6A" w:rsidRPr="00522486" w:rsidRDefault="00841D6A" w:rsidP="00841D6A">
      <w:pPr>
        <w:pStyle w:val="Default"/>
        <w:spacing w:line="360" w:lineRule="auto"/>
        <w:ind w:firstLine="709"/>
        <w:jc w:val="both"/>
        <w:rPr>
          <w:sz w:val="28"/>
          <w:szCs w:val="28"/>
          <w:lang w:val="en-US"/>
        </w:rPr>
      </w:pPr>
      <w:r>
        <w:rPr>
          <w:sz w:val="28"/>
          <w:szCs w:val="28"/>
          <w:lang w:val="en-GB"/>
        </w:rPr>
        <w:t>T</w:t>
      </w:r>
      <w:r w:rsidRPr="00DA0CA0">
        <w:rPr>
          <w:sz w:val="28"/>
          <w:szCs w:val="28"/>
          <w:lang w:val="en-GB"/>
        </w:rPr>
        <w:t>he European Commission, hereinafter referred to as "</w:t>
      </w:r>
      <w:r w:rsidRPr="00962F9A">
        <w:rPr>
          <w:bCs/>
          <w:sz w:val="28"/>
          <w:szCs w:val="28"/>
          <w:lang w:val="en-GB"/>
        </w:rPr>
        <w:t>the Commission</w:t>
      </w:r>
      <w:r w:rsidRPr="00962F9A">
        <w:rPr>
          <w:sz w:val="28"/>
          <w:szCs w:val="28"/>
          <w:lang w:val="en-GB"/>
        </w:rPr>
        <w:t>", acting on behalf of the European Union, hereinafter referred to as "</w:t>
      </w:r>
      <w:r w:rsidRPr="00962F9A">
        <w:rPr>
          <w:bCs/>
          <w:sz w:val="28"/>
          <w:szCs w:val="28"/>
          <w:lang w:val="en-GB"/>
        </w:rPr>
        <w:t>the EU</w:t>
      </w:r>
      <w:r w:rsidRPr="00962F9A">
        <w:rPr>
          <w:sz w:val="28"/>
          <w:szCs w:val="28"/>
          <w:lang w:val="en-GB"/>
        </w:rPr>
        <w:t>"</w:t>
      </w:r>
      <w:r w:rsidR="00E63FEC">
        <w:rPr>
          <w:sz w:val="28"/>
          <w:szCs w:val="28"/>
          <w:lang w:val="en-GB"/>
        </w:rPr>
        <w:t>,</w:t>
      </w:r>
    </w:p>
    <w:p w14:paraId="1FCA232D" w14:textId="0E85FCB8" w:rsidR="00227FEA" w:rsidRPr="00962F9A" w:rsidRDefault="00841D6A" w:rsidP="00227FEA">
      <w:pPr>
        <w:pStyle w:val="Default"/>
        <w:spacing w:line="360" w:lineRule="auto"/>
        <w:ind w:firstLine="709"/>
        <w:jc w:val="both"/>
        <w:rPr>
          <w:sz w:val="28"/>
          <w:szCs w:val="28"/>
          <w:lang w:val="en-GB"/>
        </w:rPr>
      </w:pPr>
      <w:r w:rsidRPr="00841D6A">
        <w:rPr>
          <w:sz w:val="28"/>
          <w:szCs w:val="28"/>
          <w:lang w:val="en-GB"/>
        </w:rPr>
        <w:t>t</w:t>
      </w:r>
      <w:r w:rsidR="00227FEA" w:rsidRPr="00962F9A">
        <w:rPr>
          <w:sz w:val="28"/>
          <w:szCs w:val="28"/>
          <w:lang w:val="en-GB"/>
        </w:rPr>
        <w:t xml:space="preserve">he Government of the Russian Federation, acting on behalf of the Russian Federation, hereinafter referred to as </w:t>
      </w:r>
      <w:r w:rsidR="00227FEA" w:rsidRPr="00962F9A">
        <w:rPr>
          <w:bCs/>
          <w:sz w:val="28"/>
          <w:szCs w:val="28"/>
          <w:lang w:val="en-GB"/>
        </w:rPr>
        <w:t>"the Russian Federation"</w:t>
      </w:r>
    </w:p>
    <w:p w14:paraId="37B8A047" w14:textId="77777777" w:rsidR="008D0E01" w:rsidRPr="00DA0CA0" w:rsidRDefault="008D0E01" w:rsidP="00DA0CA0">
      <w:pPr>
        <w:pStyle w:val="Default"/>
        <w:spacing w:line="360" w:lineRule="auto"/>
        <w:ind w:firstLine="709"/>
        <w:jc w:val="both"/>
        <w:rPr>
          <w:sz w:val="28"/>
          <w:szCs w:val="28"/>
          <w:lang w:val="en-GB"/>
        </w:rPr>
      </w:pPr>
      <w:r w:rsidRPr="00DA0CA0">
        <w:rPr>
          <w:sz w:val="28"/>
          <w:szCs w:val="28"/>
          <w:lang w:val="en-GB"/>
        </w:rPr>
        <w:t xml:space="preserve">and </w:t>
      </w:r>
    </w:p>
    <w:p w14:paraId="40E993AB" w14:textId="2E559DA4" w:rsidR="009E12EA" w:rsidRPr="009E12EA" w:rsidRDefault="00633528" w:rsidP="009E12EA">
      <w:pPr>
        <w:pStyle w:val="Default"/>
        <w:spacing w:line="360" w:lineRule="auto"/>
        <w:ind w:firstLine="709"/>
        <w:jc w:val="both"/>
        <w:rPr>
          <w:sz w:val="28"/>
          <w:szCs w:val="28"/>
          <w:lang w:val="en-GB"/>
        </w:rPr>
      </w:pPr>
      <w:r w:rsidRPr="00633528">
        <w:rPr>
          <w:sz w:val="28"/>
          <w:szCs w:val="28"/>
          <w:lang w:val="en-GB"/>
        </w:rPr>
        <w:t>the Government of the Republic of Latvia, acting on behalf of the Republic of Latvia</w:t>
      </w:r>
      <w:r w:rsidR="009E12EA" w:rsidRPr="009E12EA">
        <w:rPr>
          <w:sz w:val="28"/>
          <w:szCs w:val="28"/>
          <w:lang w:val="en-GB"/>
        </w:rPr>
        <w:t xml:space="preserve">, hereinafter referred to as "the Member State" </w:t>
      </w:r>
    </w:p>
    <w:p w14:paraId="5BD2D2B9" w14:textId="77777777" w:rsidR="009E12EA" w:rsidRPr="009E12EA" w:rsidRDefault="009E12EA" w:rsidP="009E12EA">
      <w:pPr>
        <w:pStyle w:val="Default"/>
        <w:spacing w:line="360" w:lineRule="auto"/>
        <w:ind w:firstLine="709"/>
        <w:jc w:val="both"/>
        <w:rPr>
          <w:sz w:val="28"/>
          <w:szCs w:val="28"/>
          <w:lang w:val="en-GB"/>
        </w:rPr>
      </w:pPr>
      <w:r w:rsidRPr="009E12EA">
        <w:rPr>
          <w:sz w:val="28"/>
          <w:szCs w:val="28"/>
          <w:lang w:val="en-GB"/>
        </w:rPr>
        <w:t xml:space="preserve">hereinafter collectively referred to as "the Parties" </w:t>
      </w:r>
    </w:p>
    <w:p w14:paraId="41EAE79C" w14:textId="77777777" w:rsidR="00DA0CA0" w:rsidRPr="00DA0CA0" w:rsidRDefault="009E12EA" w:rsidP="00DA0CA0">
      <w:pPr>
        <w:pStyle w:val="Default"/>
        <w:spacing w:line="360" w:lineRule="auto"/>
        <w:ind w:firstLine="709"/>
        <w:jc w:val="both"/>
        <w:rPr>
          <w:sz w:val="28"/>
          <w:szCs w:val="28"/>
          <w:lang w:val="en-GB"/>
        </w:rPr>
      </w:pPr>
      <w:r w:rsidRPr="009E12EA">
        <w:rPr>
          <w:sz w:val="28"/>
          <w:szCs w:val="28"/>
          <w:lang w:val="en-GB"/>
        </w:rPr>
        <w:t xml:space="preserve">have agreed as follows: </w:t>
      </w:r>
    </w:p>
    <w:p w14:paraId="612A49E1" w14:textId="77777777" w:rsidR="006203BB" w:rsidRDefault="006203BB" w:rsidP="00A87E4C">
      <w:pPr>
        <w:pStyle w:val="Default"/>
        <w:spacing w:line="360" w:lineRule="auto"/>
        <w:rPr>
          <w:b/>
          <w:sz w:val="28"/>
          <w:szCs w:val="28"/>
          <w:lang w:val="en-GB"/>
        </w:rPr>
      </w:pPr>
    </w:p>
    <w:p w14:paraId="2E611993" w14:textId="77777777" w:rsidR="000B226F" w:rsidRPr="00EB092A" w:rsidRDefault="00DA0CA0" w:rsidP="00DA0CA0">
      <w:pPr>
        <w:pStyle w:val="Default"/>
        <w:spacing w:line="360" w:lineRule="auto"/>
        <w:ind w:firstLine="709"/>
        <w:jc w:val="center"/>
        <w:rPr>
          <w:b/>
          <w:sz w:val="28"/>
          <w:szCs w:val="28"/>
          <w:lang w:val="en-GB"/>
        </w:rPr>
      </w:pPr>
      <w:r w:rsidRPr="00EB092A">
        <w:rPr>
          <w:b/>
          <w:sz w:val="28"/>
          <w:szCs w:val="28"/>
          <w:lang w:val="en-GB"/>
        </w:rPr>
        <w:t>Special Conditions</w:t>
      </w:r>
    </w:p>
    <w:p w14:paraId="5E1EF843" w14:textId="77777777" w:rsidR="00DA0CA0" w:rsidRPr="00DA0CA0" w:rsidRDefault="00DA0CA0" w:rsidP="00DA0CA0">
      <w:pPr>
        <w:pStyle w:val="Default"/>
        <w:spacing w:line="360" w:lineRule="auto"/>
        <w:ind w:firstLine="709"/>
        <w:jc w:val="center"/>
        <w:rPr>
          <w:bCs/>
          <w:sz w:val="28"/>
          <w:szCs w:val="28"/>
          <w:lang w:val="en-GB"/>
        </w:rPr>
      </w:pPr>
    </w:p>
    <w:p w14:paraId="652716B4" w14:textId="77777777" w:rsidR="00DA0CA0" w:rsidRPr="00DA0CA0" w:rsidRDefault="009D281A" w:rsidP="00DA0CA0">
      <w:pPr>
        <w:pStyle w:val="Default"/>
        <w:spacing w:line="360" w:lineRule="auto"/>
        <w:ind w:firstLine="709"/>
        <w:jc w:val="center"/>
        <w:rPr>
          <w:bCs/>
          <w:sz w:val="28"/>
          <w:szCs w:val="28"/>
          <w:lang w:val="en-GB"/>
        </w:rPr>
      </w:pPr>
      <w:r w:rsidRPr="00DA0CA0">
        <w:rPr>
          <w:bCs/>
          <w:sz w:val="28"/>
          <w:szCs w:val="28"/>
          <w:lang w:val="en-GB"/>
        </w:rPr>
        <w:t>Article 1</w:t>
      </w:r>
    </w:p>
    <w:p w14:paraId="279ED49A" w14:textId="77777777" w:rsidR="00917800" w:rsidRPr="00DA0CA0" w:rsidRDefault="009D281A" w:rsidP="00DA0CA0">
      <w:pPr>
        <w:pStyle w:val="Default"/>
        <w:spacing w:line="360" w:lineRule="auto"/>
        <w:ind w:firstLine="709"/>
        <w:jc w:val="center"/>
        <w:rPr>
          <w:bCs/>
          <w:sz w:val="28"/>
          <w:szCs w:val="28"/>
          <w:lang w:val="en-GB"/>
        </w:rPr>
      </w:pPr>
      <w:r w:rsidRPr="00DA0CA0">
        <w:rPr>
          <w:bCs/>
          <w:sz w:val="28"/>
          <w:szCs w:val="28"/>
          <w:lang w:val="en-GB"/>
        </w:rPr>
        <w:t>Purpose</w:t>
      </w:r>
      <w:r w:rsidR="00EB6EDB">
        <w:rPr>
          <w:bCs/>
          <w:sz w:val="28"/>
          <w:szCs w:val="28"/>
          <w:lang w:val="en-GB"/>
        </w:rPr>
        <w:t xml:space="preserve"> of this Agreement</w:t>
      </w:r>
    </w:p>
    <w:p w14:paraId="134EF04A" w14:textId="77777777" w:rsidR="00DA0CA0" w:rsidRPr="00DA0CA0" w:rsidRDefault="00DA0CA0" w:rsidP="00DA0CA0">
      <w:pPr>
        <w:pStyle w:val="Default"/>
        <w:spacing w:line="360" w:lineRule="auto"/>
        <w:ind w:firstLine="709"/>
        <w:jc w:val="center"/>
        <w:rPr>
          <w:sz w:val="28"/>
          <w:szCs w:val="28"/>
          <w:lang w:val="en-GB"/>
        </w:rPr>
      </w:pPr>
    </w:p>
    <w:p w14:paraId="6EA22DF5" w14:textId="22CC502A" w:rsidR="00B36991" w:rsidRDefault="008118D1" w:rsidP="00304B68">
      <w:pPr>
        <w:pStyle w:val="Default"/>
        <w:spacing w:line="360" w:lineRule="auto"/>
        <w:ind w:firstLine="709"/>
        <w:jc w:val="both"/>
        <w:rPr>
          <w:sz w:val="28"/>
          <w:szCs w:val="28"/>
          <w:lang w:val="en-GB"/>
        </w:rPr>
      </w:pPr>
      <w:r w:rsidRPr="00DA0CA0">
        <w:rPr>
          <w:sz w:val="28"/>
          <w:szCs w:val="28"/>
          <w:lang w:val="en-GB"/>
        </w:rPr>
        <w:t xml:space="preserve">This Agreement sets out the conditions </w:t>
      </w:r>
      <w:r w:rsidR="000A626E" w:rsidRPr="00DA0CA0">
        <w:rPr>
          <w:sz w:val="28"/>
          <w:szCs w:val="28"/>
          <w:lang w:val="en-GB"/>
        </w:rPr>
        <w:t xml:space="preserve">for </w:t>
      </w:r>
      <w:r w:rsidRPr="00DA0CA0">
        <w:rPr>
          <w:sz w:val="28"/>
          <w:szCs w:val="28"/>
          <w:lang w:val="en-GB"/>
        </w:rPr>
        <w:t xml:space="preserve">financing and implementation of </w:t>
      </w:r>
      <w:r w:rsidR="008D0E01" w:rsidRPr="00DA0CA0">
        <w:rPr>
          <w:sz w:val="28"/>
          <w:szCs w:val="28"/>
          <w:lang w:val="en-GB"/>
        </w:rPr>
        <w:t xml:space="preserve">the </w:t>
      </w:r>
      <w:r w:rsidR="002C76D1" w:rsidRPr="00DA0CA0">
        <w:rPr>
          <w:sz w:val="28"/>
          <w:szCs w:val="28"/>
          <w:lang w:val="en-GB"/>
        </w:rPr>
        <w:t>Cross Border Cooperation Programme</w:t>
      </w:r>
      <w:r w:rsidR="002C76D1" w:rsidRPr="00DA0CA0">
        <w:rPr>
          <w:b/>
          <w:sz w:val="28"/>
          <w:szCs w:val="28"/>
          <w:lang w:val="en-GB"/>
        </w:rPr>
        <w:t xml:space="preserve"> </w:t>
      </w:r>
      <w:r w:rsidR="00633528" w:rsidRPr="00633528">
        <w:rPr>
          <w:sz w:val="28"/>
          <w:szCs w:val="28"/>
          <w:lang w:val="en-GB"/>
        </w:rPr>
        <w:t>"Latvia</w:t>
      </w:r>
      <w:r w:rsidR="00841D6A">
        <w:rPr>
          <w:sz w:val="28"/>
          <w:szCs w:val="28"/>
          <w:lang w:val="en-GB"/>
        </w:rPr>
        <w:t>-Russia</w:t>
      </w:r>
      <w:r w:rsidR="00633528" w:rsidRPr="00633528">
        <w:rPr>
          <w:sz w:val="28"/>
          <w:szCs w:val="28"/>
          <w:lang w:val="en-GB"/>
        </w:rPr>
        <w:t>" 2014-2020</w:t>
      </w:r>
      <w:r w:rsidR="00633528">
        <w:rPr>
          <w:sz w:val="28"/>
          <w:szCs w:val="28"/>
          <w:lang w:val="en-GB"/>
        </w:rPr>
        <w:t xml:space="preserve">, </w:t>
      </w:r>
      <w:r w:rsidR="00D475C4" w:rsidRPr="00DA0CA0">
        <w:rPr>
          <w:sz w:val="28"/>
          <w:szCs w:val="28"/>
          <w:lang w:val="en-US"/>
        </w:rPr>
        <w:t xml:space="preserve">hereinafter referred to as </w:t>
      </w:r>
      <w:r w:rsidR="0074557A" w:rsidRPr="00DA0CA0">
        <w:rPr>
          <w:sz w:val="28"/>
          <w:szCs w:val="28"/>
          <w:lang w:val="en-GB"/>
        </w:rPr>
        <w:t>"the Programme"</w:t>
      </w:r>
      <w:r w:rsidR="00836DA2" w:rsidRPr="00DA0CA0">
        <w:rPr>
          <w:sz w:val="28"/>
          <w:szCs w:val="28"/>
          <w:lang w:val="en-GB"/>
        </w:rPr>
        <w:t>,</w:t>
      </w:r>
      <w:r w:rsidR="0074557A" w:rsidRPr="00DA0CA0">
        <w:rPr>
          <w:sz w:val="28"/>
          <w:szCs w:val="28"/>
          <w:lang w:val="en-GB"/>
        </w:rPr>
        <w:t xml:space="preserve"> </w:t>
      </w:r>
      <w:r w:rsidR="002C76D1" w:rsidRPr="00DA0CA0">
        <w:rPr>
          <w:sz w:val="28"/>
          <w:szCs w:val="28"/>
          <w:lang w:val="en-GB"/>
        </w:rPr>
        <w:t>as described in</w:t>
      </w:r>
      <w:r w:rsidR="002C33C2" w:rsidRPr="00DA0CA0">
        <w:rPr>
          <w:sz w:val="28"/>
          <w:szCs w:val="28"/>
          <w:lang w:val="en-GB"/>
        </w:rPr>
        <w:t xml:space="preserve"> the</w:t>
      </w:r>
      <w:r w:rsidR="002C76D1" w:rsidRPr="00DA0CA0">
        <w:rPr>
          <w:sz w:val="28"/>
          <w:szCs w:val="28"/>
          <w:lang w:val="en-GB"/>
        </w:rPr>
        <w:t xml:space="preserve"> Joint</w:t>
      </w:r>
      <w:r w:rsidR="0074557A" w:rsidRPr="00DA0CA0">
        <w:rPr>
          <w:sz w:val="28"/>
          <w:szCs w:val="28"/>
          <w:lang w:val="en-GB"/>
        </w:rPr>
        <w:t xml:space="preserve"> </w:t>
      </w:r>
      <w:r w:rsidR="002C76D1" w:rsidRPr="00DA0CA0">
        <w:rPr>
          <w:sz w:val="28"/>
          <w:szCs w:val="28"/>
          <w:lang w:val="en-GB"/>
        </w:rPr>
        <w:t>Operational Programme</w:t>
      </w:r>
      <w:r w:rsidR="00DA0CA0" w:rsidRPr="00DA0CA0">
        <w:rPr>
          <w:sz w:val="28"/>
          <w:szCs w:val="28"/>
          <w:lang w:val="en-US"/>
        </w:rPr>
        <w:t xml:space="preserve"> </w:t>
      </w:r>
      <w:r w:rsidR="00D40D58">
        <w:rPr>
          <w:sz w:val="28"/>
          <w:szCs w:val="28"/>
          <w:lang w:val="en-US"/>
        </w:rPr>
        <w:t xml:space="preserve">adopted by </w:t>
      </w:r>
      <w:r w:rsidR="00DA0CA0" w:rsidRPr="00DA0CA0">
        <w:rPr>
          <w:sz w:val="28"/>
          <w:szCs w:val="28"/>
          <w:lang w:val="en-GB"/>
        </w:rPr>
        <w:t xml:space="preserve">the Commission </w:t>
      </w:r>
      <w:r w:rsidR="00D40D58" w:rsidRPr="00D40D58">
        <w:rPr>
          <w:sz w:val="28"/>
          <w:szCs w:val="28"/>
          <w:lang w:val="en-GB"/>
        </w:rPr>
        <w:t>(</w:t>
      </w:r>
      <w:r w:rsidR="00D40D58" w:rsidRPr="00633528">
        <w:rPr>
          <w:sz w:val="28"/>
          <w:szCs w:val="28"/>
          <w:lang w:val="en-GB"/>
        </w:rPr>
        <w:t>CRIS Decision number:</w:t>
      </w:r>
      <w:r w:rsidR="00D40D58" w:rsidRPr="00D40D58">
        <w:rPr>
          <w:sz w:val="28"/>
          <w:szCs w:val="28"/>
          <w:lang w:val="en-GB"/>
        </w:rPr>
        <w:t xml:space="preserve"> </w:t>
      </w:r>
      <w:r w:rsidR="00633528" w:rsidRPr="00633528">
        <w:rPr>
          <w:sz w:val="28"/>
          <w:szCs w:val="28"/>
          <w:lang w:val="en-GB"/>
        </w:rPr>
        <w:t>2015/039-067</w:t>
      </w:r>
      <w:r w:rsidR="00633528">
        <w:rPr>
          <w:sz w:val="28"/>
          <w:szCs w:val="28"/>
          <w:lang w:val="en-GB"/>
        </w:rPr>
        <w:t>)</w:t>
      </w:r>
      <w:r w:rsidR="005F0D9A">
        <w:rPr>
          <w:sz w:val="28"/>
          <w:szCs w:val="28"/>
          <w:lang w:val="en-GB"/>
        </w:rPr>
        <w:t>.</w:t>
      </w:r>
    </w:p>
    <w:p w14:paraId="67C85193" w14:textId="77777777" w:rsidR="00A87E4C" w:rsidRDefault="00A87E4C" w:rsidP="00A87E4C">
      <w:pPr>
        <w:pStyle w:val="Default"/>
        <w:spacing w:line="360" w:lineRule="auto"/>
        <w:jc w:val="both"/>
        <w:rPr>
          <w:sz w:val="28"/>
          <w:szCs w:val="28"/>
          <w:lang w:val="en-GB"/>
        </w:rPr>
      </w:pPr>
    </w:p>
    <w:p w14:paraId="79246E2B" w14:textId="77777777" w:rsidR="00A87E4C" w:rsidRDefault="00A87E4C" w:rsidP="00A87E4C">
      <w:pPr>
        <w:pStyle w:val="Default"/>
        <w:spacing w:line="360" w:lineRule="auto"/>
        <w:jc w:val="both"/>
        <w:rPr>
          <w:sz w:val="28"/>
          <w:szCs w:val="28"/>
          <w:lang w:val="en-GB"/>
        </w:rPr>
      </w:pPr>
    </w:p>
    <w:p w14:paraId="05A3540C" w14:textId="77777777" w:rsidR="00A87E4C" w:rsidRDefault="00A87E4C" w:rsidP="00A87E4C">
      <w:pPr>
        <w:pStyle w:val="Default"/>
        <w:spacing w:line="360" w:lineRule="auto"/>
        <w:jc w:val="both"/>
        <w:rPr>
          <w:sz w:val="28"/>
          <w:szCs w:val="28"/>
          <w:lang w:val="en-GB"/>
        </w:rPr>
      </w:pPr>
    </w:p>
    <w:p w14:paraId="65DBFD8A" w14:textId="77777777" w:rsidR="00A87E4C" w:rsidRDefault="00A87E4C" w:rsidP="00A87E4C">
      <w:pPr>
        <w:pStyle w:val="Default"/>
        <w:spacing w:line="360" w:lineRule="auto"/>
        <w:jc w:val="both"/>
        <w:rPr>
          <w:sz w:val="28"/>
          <w:szCs w:val="28"/>
          <w:lang w:val="en-GB"/>
        </w:rPr>
      </w:pPr>
    </w:p>
    <w:p w14:paraId="439A8547" w14:textId="77777777" w:rsidR="00A87E4C" w:rsidRPr="00304B68" w:rsidRDefault="00A87E4C" w:rsidP="00A87E4C">
      <w:pPr>
        <w:pStyle w:val="Default"/>
        <w:spacing w:line="360" w:lineRule="auto"/>
        <w:jc w:val="both"/>
        <w:rPr>
          <w:sz w:val="28"/>
          <w:szCs w:val="28"/>
          <w:lang w:val="en-GB"/>
        </w:rPr>
      </w:pPr>
    </w:p>
    <w:p w14:paraId="044D8783" w14:textId="77777777" w:rsidR="00DA0CA0" w:rsidRPr="00DA0CA0" w:rsidRDefault="008D0E01" w:rsidP="00DA0CA0">
      <w:pPr>
        <w:pStyle w:val="Default"/>
        <w:spacing w:line="360" w:lineRule="auto"/>
        <w:ind w:firstLine="709"/>
        <w:jc w:val="center"/>
        <w:rPr>
          <w:bCs/>
          <w:sz w:val="28"/>
          <w:szCs w:val="28"/>
          <w:lang w:val="en-GB"/>
        </w:rPr>
      </w:pPr>
      <w:r w:rsidRPr="00DA0CA0">
        <w:rPr>
          <w:bCs/>
          <w:sz w:val="28"/>
          <w:szCs w:val="28"/>
          <w:lang w:val="en-GB"/>
        </w:rPr>
        <w:lastRenderedPageBreak/>
        <w:t>Article 2</w:t>
      </w:r>
    </w:p>
    <w:p w14:paraId="2D5457C0" w14:textId="77777777" w:rsidR="00917800" w:rsidRPr="00DA0CA0" w:rsidRDefault="008D0E01" w:rsidP="00DA0CA0">
      <w:pPr>
        <w:pStyle w:val="Default"/>
        <w:spacing w:line="360" w:lineRule="auto"/>
        <w:ind w:firstLine="709"/>
        <w:jc w:val="center"/>
        <w:rPr>
          <w:bCs/>
          <w:sz w:val="28"/>
          <w:szCs w:val="28"/>
          <w:lang w:val="en-GB"/>
        </w:rPr>
      </w:pPr>
      <w:r w:rsidRPr="00DA0CA0">
        <w:rPr>
          <w:bCs/>
          <w:sz w:val="28"/>
          <w:szCs w:val="28"/>
          <w:lang w:val="en-GB"/>
        </w:rPr>
        <w:t xml:space="preserve">Total Estimated </w:t>
      </w:r>
      <w:r w:rsidR="000A626E" w:rsidRPr="00DA0CA0">
        <w:rPr>
          <w:bCs/>
          <w:sz w:val="28"/>
          <w:szCs w:val="28"/>
          <w:lang w:val="en-GB"/>
        </w:rPr>
        <w:t>B</w:t>
      </w:r>
      <w:r w:rsidR="006F07A8" w:rsidRPr="00DA0CA0">
        <w:rPr>
          <w:bCs/>
          <w:sz w:val="28"/>
          <w:szCs w:val="28"/>
          <w:lang w:val="en-GB"/>
        </w:rPr>
        <w:t xml:space="preserve">udget </w:t>
      </w:r>
      <w:r w:rsidRPr="00DA0CA0">
        <w:rPr>
          <w:bCs/>
          <w:sz w:val="28"/>
          <w:szCs w:val="28"/>
          <w:lang w:val="en-GB"/>
        </w:rPr>
        <w:t xml:space="preserve">and Financial Contributions </w:t>
      </w:r>
      <w:r w:rsidR="00525F37" w:rsidRPr="00DA0CA0">
        <w:rPr>
          <w:bCs/>
          <w:sz w:val="28"/>
          <w:szCs w:val="28"/>
          <w:lang w:val="en-GB"/>
        </w:rPr>
        <w:t>to the Programme</w:t>
      </w:r>
    </w:p>
    <w:p w14:paraId="17B72C35" w14:textId="77777777" w:rsidR="00227FEA" w:rsidRPr="00DA0CA0" w:rsidRDefault="00227FEA" w:rsidP="00DA0CA0">
      <w:pPr>
        <w:pStyle w:val="Default"/>
        <w:spacing w:line="360" w:lineRule="auto"/>
        <w:ind w:firstLine="709"/>
        <w:jc w:val="center"/>
        <w:rPr>
          <w:sz w:val="28"/>
          <w:szCs w:val="28"/>
          <w:lang w:val="en-GB"/>
        </w:rPr>
      </w:pPr>
    </w:p>
    <w:p w14:paraId="69279D5B" w14:textId="4C79A1A3" w:rsidR="000B1A36" w:rsidRPr="000B1A36" w:rsidRDefault="008D0E01" w:rsidP="00B94D84">
      <w:pPr>
        <w:pStyle w:val="Default"/>
        <w:spacing w:after="120" w:line="360" w:lineRule="auto"/>
        <w:ind w:firstLine="709"/>
        <w:jc w:val="both"/>
        <w:rPr>
          <w:lang w:val="en-GB"/>
        </w:rPr>
      </w:pPr>
      <w:r w:rsidRPr="00DA0CA0">
        <w:rPr>
          <w:sz w:val="28"/>
          <w:szCs w:val="28"/>
          <w:lang w:val="en-GB"/>
        </w:rPr>
        <w:t xml:space="preserve">2.1 The total </w:t>
      </w:r>
      <w:r w:rsidR="00CB50DE" w:rsidRPr="00DA0CA0">
        <w:rPr>
          <w:sz w:val="28"/>
          <w:szCs w:val="28"/>
          <w:lang w:val="en-GB"/>
        </w:rPr>
        <w:t xml:space="preserve">budget </w:t>
      </w:r>
      <w:r w:rsidRPr="00DA0CA0">
        <w:rPr>
          <w:sz w:val="28"/>
          <w:szCs w:val="28"/>
          <w:lang w:val="en-GB"/>
        </w:rPr>
        <w:t xml:space="preserve">of the </w:t>
      </w:r>
      <w:r w:rsidR="003F474F" w:rsidRPr="00DA0CA0">
        <w:rPr>
          <w:sz w:val="28"/>
          <w:szCs w:val="28"/>
          <w:lang w:val="en-GB"/>
        </w:rPr>
        <w:t>P</w:t>
      </w:r>
      <w:r w:rsidRPr="00DA0CA0">
        <w:rPr>
          <w:sz w:val="28"/>
          <w:szCs w:val="28"/>
          <w:lang w:val="en-GB"/>
        </w:rPr>
        <w:t xml:space="preserve">rogramme is estimated at </w:t>
      </w:r>
      <w:r w:rsidR="000B1A36" w:rsidRPr="000B1A36">
        <w:rPr>
          <w:sz w:val="28"/>
          <w:szCs w:val="28"/>
          <w:lang w:val="en-GB"/>
        </w:rPr>
        <w:t xml:space="preserve">EUR </w:t>
      </w:r>
      <w:r w:rsidR="00633528" w:rsidRPr="00633528">
        <w:rPr>
          <w:sz w:val="28"/>
          <w:szCs w:val="28"/>
          <w:lang w:val="en-GB"/>
        </w:rPr>
        <w:t>24,812,082</w:t>
      </w:r>
      <w:r w:rsidR="00633528">
        <w:rPr>
          <w:sz w:val="28"/>
          <w:szCs w:val="28"/>
          <w:lang w:val="en-GB"/>
        </w:rPr>
        <w:t xml:space="preserve">, </w:t>
      </w:r>
      <w:r w:rsidR="00DA0CA0" w:rsidRPr="00DA0CA0">
        <w:rPr>
          <w:sz w:val="28"/>
          <w:szCs w:val="28"/>
          <w:lang w:val="en-GB"/>
        </w:rPr>
        <w:t xml:space="preserve">which corresponds to </w:t>
      </w:r>
      <w:r w:rsidR="00841D6A" w:rsidRPr="00DA0CA0">
        <w:rPr>
          <w:sz w:val="28"/>
          <w:szCs w:val="28"/>
          <w:lang w:val="en-GB"/>
        </w:rPr>
        <w:t>the EU financial contribution</w:t>
      </w:r>
      <w:r w:rsidR="00841D6A">
        <w:rPr>
          <w:sz w:val="28"/>
          <w:szCs w:val="28"/>
          <w:lang w:val="en-GB"/>
        </w:rPr>
        <w:t xml:space="preserve">, </w:t>
      </w:r>
      <w:r w:rsidR="00227FEA">
        <w:rPr>
          <w:sz w:val="28"/>
          <w:szCs w:val="28"/>
          <w:lang w:val="en-GB"/>
        </w:rPr>
        <w:t xml:space="preserve">the </w:t>
      </w:r>
      <w:r w:rsidR="00227FEA" w:rsidRPr="00DA0CA0">
        <w:rPr>
          <w:sz w:val="28"/>
          <w:szCs w:val="28"/>
          <w:lang w:val="en-GB"/>
        </w:rPr>
        <w:t>financial contribution</w:t>
      </w:r>
      <w:r w:rsidR="00227FEA" w:rsidRPr="001E5983">
        <w:rPr>
          <w:sz w:val="28"/>
          <w:szCs w:val="28"/>
          <w:lang w:val="en-GB"/>
        </w:rPr>
        <w:t xml:space="preserve"> </w:t>
      </w:r>
      <w:r w:rsidR="00227FEA">
        <w:rPr>
          <w:sz w:val="28"/>
          <w:szCs w:val="28"/>
          <w:lang w:val="en-US"/>
        </w:rPr>
        <w:t xml:space="preserve">of the </w:t>
      </w:r>
      <w:r w:rsidR="00E64CCA">
        <w:rPr>
          <w:sz w:val="28"/>
          <w:szCs w:val="28"/>
          <w:lang w:val="en-GB"/>
        </w:rPr>
        <w:t>Russian Federation</w:t>
      </w:r>
      <w:r w:rsidR="00227FEA" w:rsidRPr="00DA0CA0">
        <w:rPr>
          <w:sz w:val="28"/>
          <w:szCs w:val="28"/>
          <w:lang w:val="en-GB"/>
        </w:rPr>
        <w:t xml:space="preserve"> </w:t>
      </w:r>
      <w:r w:rsidR="00633528" w:rsidRPr="00633528">
        <w:rPr>
          <w:sz w:val="28"/>
          <w:szCs w:val="28"/>
          <w:lang w:val="en-GB"/>
        </w:rPr>
        <w:t>and the Member State's financial contribution</w:t>
      </w:r>
      <w:r w:rsidR="00633528">
        <w:rPr>
          <w:sz w:val="28"/>
          <w:szCs w:val="28"/>
          <w:lang w:val="en-GB"/>
        </w:rPr>
        <w:t>.</w:t>
      </w:r>
      <w:r w:rsidR="00633528" w:rsidRPr="00633528">
        <w:rPr>
          <w:sz w:val="28"/>
          <w:szCs w:val="28"/>
          <w:lang w:val="en-GB"/>
        </w:rPr>
        <w:t xml:space="preserve"> </w:t>
      </w:r>
      <w:r w:rsidR="000B1A36" w:rsidRPr="00633528">
        <w:rPr>
          <w:sz w:val="28"/>
          <w:szCs w:val="28"/>
          <w:lang w:val="en-GB"/>
        </w:rPr>
        <w:t>Further financing will be provided by the beneficiaries at project level.</w:t>
      </w:r>
      <w:r w:rsidR="000B1A36" w:rsidRPr="000B1A36">
        <w:rPr>
          <w:lang w:val="en-GB"/>
        </w:rPr>
        <w:t xml:space="preserve"> </w:t>
      </w:r>
    </w:p>
    <w:p w14:paraId="2FCC9D6D" w14:textId="77777777" w:rsidR="000B1A36" w:rsidRPr="000B1A36" w:rsidRDefault="008D0E01" w:rsidP="00DA0CA0">
      <w:pPr>
        <w:pStyle w:val="Default"/>
        <w:spacing w:line="360" w:lineRule="auto"/>
        <w:ind w:firstLine="709"/>
        <w:jc w:val="both"/>
        <w:rPr>
          <w:sz w:val="28"/>
          <w:szCs w:val="28"/>
          <w:lang w:val="en-GB"/>
        </w:rPr>
      </w:pPr>
      <w:r w:rsidRPr="00DA0CA0">
        <w:rPr>
          <w:sz w:val="28"/>
          <w:szCs w:val="28"/>
          <w:lang w:val="en-GB"/>
        </w:rPr>
        <w:t xml:space="preserve">2.2 The maximum EU financial contribution to the Programme is set at </w:t>
      </w:r>
      <w:r w:rsidR="000B1A36" w:rsidRPr="000B1A36">
        <w:rPr>
          <w:sz w:val="28"/>
          <w:szCs w:val="28"/>
          <w:lang w:val="en-GB"/>
        </w:rPr>
        <w:t xml:space="preserve">EUR </w:t>
      </w:r>
      <w:r w:rsidR="00633528" w:rsidRPr="00633528">
        <w:rPr>
          <w:sz w:val="28"/>
          <w:szCs w:val="28"/>
          <w:lang w:val="en-GB"/>
        </w:rPr>
        <w:t>15,875,028</w:t>
      </w:r>
      <w:r w:rsidR="00633528">
        <w:rPr>
          <w:sz w:val="28"/>
          <w:szCs w:val="28"/>
          <w:lang w:val="en-GB"/>
        </w:rPr>
        <w:t>.</w:t>
      </w:r>
    </w:p>
    <w:p w14:paraId="57C0319E" w14:textId="77777777" w:rsidR="008118D1" w:rsidRPr="00DA0CA0" w:rsidRDefault="008118D1" w:rsidP="00DA0CA0">
      <w:pPr>
        <w:pStyle w:val="Default"/>
        <w:spacing w:line="360" w:lineRule="auto"/>
        <w:ind w:firstLine="709"/>
        <w:jc w:val="both"/>
        <w:rPr>
          <w:sz w:val="28"/>
          <w:szCs w:val="28"/>
          <w:lang w:val="en-GB"/>
        </w:rPr>
      </w:pPr>
      <w:r w:rsidRPr="00DA0CA0">
        <w:rPr>
          <w:sz w:val="28"/>
          <w:szCs w:val="28"/>
          <w:lang w:val="en-GB"/>
        </w:rPr>
        <w:t>The EU financial contribution to the Programme is provided under the European Neighbourhood Instrument and the European Regional Development Fund.</w:t>
      </w:r>
    </w:p>
    <w:p w14:paraId="033C5E22" w14:textId="77777777" w:rsidR="008D0E01" w:rsidRPr="00DA0CA0" w:rsidRDefault="008D0E01" w:rsidP="00DA0CA0">
      <w:pPr>
        <w:pStyle w:val="Default"/>
        <w:spacing w:line="360" w:lineRule="auto"/>
        <w:ind w:firstLine="709"/>
        <w:jc w:val="both"/>
        <w:rPr>
          <w:sz w:val="28"/>
          <w:szCs w:val="28"/>
          <w:lang w:val="en-GB"/>
        </w:rPr>
      </w:pPr>
      <w:r w:rsidRPr="00DA0CA0">
        <w:rPr>
          <w:sz w:val="28"/>
          <w:szCs w:val="28"/>
          <w:lang w:val="en-GB"/>
        </w:rPr>
        <w:t xml:space="preserve">2.3 The financial contribution of the Russian </w:t>
      </w:r>
      <w:r w:rsidR="008118D1" w:rsidRPr="00DA0CA0">
        <w:rPr>
          <w:sz w:val="28"/>
          <w:szCs w:val="28"/>
          <w:lang w:val="en-GB"/>
        </w:rPr>
        <w:t>Federation</w:t>
      </w:r>
      <w:r w:rsidRPr="00DA0CA0">
        <w:rPr>
          <w:sz w:val="28"/>
          <w:szCs w:val="28"/>
          <w:lang w:val="en-GB"/>
        </w:rPr>
        <w:t xml:space="preserve"> to the Programme is set at EUR </w:t>
      </w:r>
      <w:r w:rsidR="00633528" w:rsidRPr="00633528">
        <w:rPr>
          <w:sz w:val="28"/>
          <w:szCs w:val="28"/>
          <w:lang w:val="en-GB"/>
        </w:rPr>
        <w:t>7,937,514</w:t>
      </w:r>
      <w:r w:rsidR="00633528">
        <w:rPr>
          <w:sz w:val="28"/>
          <w:szCs w:val="28"/>
          <w:lang w:val="en-GB"/>
        </w:rPr>
        <w:t>.</w:t>
      </w:r>
    </w:p>
    <w:p w14:paraId="3DF3E8C3" w14:textId="77777777" w:rsidR="002E6770" w:rsidRPr="00DA0CA0" w:rsidRDefault="002E6770" w:rsidP="00DA0CA0">
      <w:pPr>
        <w:pStyle w:val="Default"/>
        <w:spacing w:line="360" w:lineRule="auto"/>
        <w:ind w:firstLine="709"/>
        <w:jc w:val="both"/>
        <w:rPr>
          <w:sz w:val="28"/>
          <w:szCs w:val="28"/>
          <w:lang w:val="en-GB"/>
        </w:rPr>
      </w:pPr>
      <w:r w:rsidRPr="00DA0CA0">
        <w:rPr>
          <w:sz w:val="28"/>
          <w:szCs w:val="28"/>
          <w:lang w:val="en-GB"/>
        </w:rPr>
        <w:t xml:space="preserve">The financial contribution of the Russian </w:t>
      </w:r>
      <w:r w:rsidR="00F92DF2" w:rsidRPr="00DA0CA0">
        <w:rPr>
          <w:sz w:val="28"/>
          <w:szCs w:val="28"/>
          <w:lang w:val="en-GB"/>
        </w:rPr>
        <w:t>Federation to</w:t>
      </w:r>
      <w:r w:rsidRPr="00DA0CA0">
        <w:rPr>
          <w:sz w:val="28"/>
          <w:szCs w:val="28"/>
          <w:lang w:val="en-GB"/>
        </w:rPr>
        <w:t xml:space="preserve"> the Programme is provided under the Federal Budget of the Russian Federation</w:t>
      </w:r>
      <w:r w:rsidR="00F92DF2" w:rsidRPr="00DA0CA0">
        <w:rPr>
          <w:sz w:val="28"/>
          <w:szCs w:val="28"/>
          <w:lang w:val="en-GB"/>
        </w:rPr>
        <w:t>.</w:t>
      </w:r>
    </w:p>
    <w:p w14:paraId="51355356" w14:textId="77777777" w:rsidR="00633528" w:rsidRDefault="000B1A36" w:rsidP="00DA0CA0">
      <w:pPr>
        <w:pStyle w:val="Default"/>
        <w:spacing w:line="360" w:lineRule="auto"/>
        <w:ind w:firstLine="709"/>
        <w:jc w:val="both"/>
        <w:rPr>
          <w:sz w:val="28"/>
          <w:szCs w:val="28"/>
          <w:lang w:val="en-GB"/>
        </w:rPr>
      </w:pPr>
      <w:r w:rsidRPr="000B1A36">
        <w:rPr>
          <w:sz w:val="28"/>
          <w:szCs w:val="28"/>
          <w:lang w:val="en-GB"/>
        </w:rPr>
        <w:t xml:space="preserve">2.4 </w:t>
      </w:r>
      <w:r w:rsidR="00633528" w:rsidRPr="00633528">
        <w:rPr>
          <w:sz w:val="28"/>
          <w:szCs w:val="28"/>
          <w:lang w:val="en-GB"/>
        </w:rPr>
        <w:t>The maximum financial contribution of the Member State to the Programme is set at EUR 999,540.</w:t>
      </w:r>
    </w:p>
    <w:p w14:paraId="05CAFA90" w14:textId="77777777" w:rsidR="00633528" w:rsidRDefault="00633528" w:rsidP="00DA0CA0">
      <w:pPr>
        <w:pStyle w:val="Default"/>
        <w:spacing w:line="360" w:lineRule="auto"/>
        <w:ind w:firstLine="709"/>
        <w:jc w:val="both"/>
        <w:rPr>
          <w:sz w:val="28"/>
          <w:szCs w:val="28"/>
          <w:lang w:val="en-GB"/>
        </w:rPr>
      </w:pPr>
      <w:r w:rsidRPr="00633528">
        <w:rPr>
          <w:sz w:val="28"/>
          <w:szCs w:val="28"/>
          <w:lang w:val="en-GB"/>
        </w:rPr>
        <w:t>The financial contribution of the Member State to the Programme is provided under the State Budget of the Member State.</w:t>
      </w:r>
    </w:p>
    <w:p w14:paraId="56FB2480" w14:textId="77777777" w:rsidR="00E2651F" w:rsidRPr="00DA0CA0" w:rsidRDefault="008D0E01" w:rsidP="00DA0CA0">
      <w:pPr>
        <w:pStyle w:val="Default"/>
        <w:spacing w:line="360" w:lineRule="auto"/>
        <w:ind w:firstLine="709"/>
        <w:jc w:val="both"/>
        <w:rPr>
          <w:sz w:val="28"/>
          <w:szCs w:val="28"/>
          <w:lang w:val="en-GB"/>
        </w:rPr>
      </w:pPr>
      <w:r w:rsidRPr="00DA0CA0">
        <w:rPr>
          <w:sz w:val="28"/>
          <w:szCs w:val="28"/>
          <w:lang w:val="en-GB"/>
        </w:rPr>
        <w:t>2.</w:t>
      </w:r>
      <w:r w:rsidR="00052B41" w:rsidRPr="00DA0CA0">
        <w:rPr>
          <w:sz w:val="28"/>
          <w:szCs w:val="28"/>
          <w:lang w:val="en-GB"/>
        </w:rPr>
        <w:t>5</w:t>
      </w:r>
      <w:r w:rsidRPr="00DA0CA0">
        <w:rPr>
          <w:sz w:val="28"/>
          <w:szCs w:val="28"/>
          <w:lang w:val="en-GB"/>
        </w:rPr>
        <w:t xml:space="preserve"> The </w:t>
      </w:r>
      <w:r w:rsidR="00486919" w:rsidRPr="00DA0CA0">
        <w:rPr>
          <w:sz w:val="28"/>
          <w:szCs w:val="28"/>
          <w:lang w:val="en-GB"/>
        </w:rPr>
        <w:t xml:space="preserve">annual </w:t>
      </w:r>
      <w:r w:rsidRPr="00DA0CA0">
        <w:rPr>
          <w:sz w:val="28"/>
          <w:szCs w:val="28"/>
          <w:lang w:val="en-GB"/>
        </w:rPr>
        <w:t xml:space="preserve">breakdown of the Parties' financial contributions is shown in the budget included in the </w:t>
      </w:r>
      <w:r w:rsidR="00163880" w:rsidRPr="00DA0CA0">
        <w:rPr>
          <w:sz w:val="28"/>
          <w:szCs w:val="28"/>
          <w:lang w:val="en-GB"/>
        </w:rPr>
        <w:t xml:space="preserve">Joint Operational </w:t>
      </w:r>
      <w:r w:rsidR="00633528">
        <w:rPr>
          <w:sz w:val="28"/>
          <w:szCs w:val="28"/>
          <w:lang w:val="en-GB"/>
        </w:rPr>
        <w:t>Programme.</w:t>
      </w:r>
    </w:p>
    <w:p w14:paraId="7BB4398F" w14:textId="18F09FD1" w:rsidR="00793068" w:rsidRDefault="009D281A" w:rsidP="00DA0CA0">
      <w:pPr>
        <w:pStyle w:val="Default"/>
        <w:spacing w:line="360" w:lineRule="auto"/>
        <w:ind w:firstLine="709"/>
        <w:jc w:val="both"/>
        <w:rPr>
          <w:sz w:val="28"/>
          <w:szCs w:val="28"/>
          <w:lang w:val="en-GB"/>
        </w:rPr>
      </w:pPr>
      <w:r w:rsidRPr="00DA0CA0">
        <w:rPr>
          <w:sz w:val="28"/>
          <w:szCs w:val="28"/>
          <w:lang w:val="en-GB"/>
        </w:rPr>
        <w:t>2.6</w:t>
      </w:r>
      <w:r w:rsidR="008D0E01" w:rsidRPr="00DA0CA0">
        <w:rPr>
          <w:sz w:val="28"/>
          <w:szCs w:val="28"/>
          <w:lang w:val="en-GB"/>
        </w:rPr>
        <w:t xml:space="preserve"> The Russian </w:t>
      </w:r>
      <w:r w:rsidR="00657F57" w:rsidRPr="00DA0CA0">
        <w:rPr>
          <w:sz w:val="28"/>
          <w:szCs w:val="28"/>
          <w:lang w:val="en-GB"/>
        </w:rPr>
        <w:t>Federation</w:t>
      </w:r>
      <w:r w:rsidR="008D0E01" w:rsidRPr="00DA0CA0">
        <w:rPr>
          <w:sz w:val="28"/>
          <w:szCs w:val="28"/>
          <w:lang w:val="en-GB"/>
        </w:rPr>
        <w:t xml:space="preserve"> </w:t>
      </w:r>
      <w:r w:rsidR="00EB6EDB">
        <w:rPr>
          <w:sz w:val="28"/>
          <w:szCs w:val="28"/>
          <w:lang w:val="en-GB"/>
        </w:rPr>
        <w:t>shall</w:t>
      </w:r>
      <w:r w:rsidR="008D0E01" w:rsidRPr="00DA0CA0">
        <w:rPr>
          <w:sz w:val="28"/>
          <w:szCs w:val="28"/>
          <w:lang w:val="en-GB"/>
        </w:rPr>
        <w:t xml:space="preserve"> </w:t>
      </w:r>
      <w:r w:rsidR="006B1284" w:rsidRPr="00DA0CA0">
        <w:rPr>
          <w:sz w:val="28"/>
          <w:szCs w:val="28"/>
          <w:lang w:val="en-GB"/>
        </w:rPr>
        <w:t xml:space="preserve">transfer its financial contribution to </w:t>
      </w:r>
      <w:r w:rsidR="008D0E01" w:rsidRPr="00DA0CA0">
        <w:rPr>
          <w:sz w:val="28"/>
          <w:szCs w:val="28"/>
          <w:lang w:val="en-GB"/>
        </w:rPr>
        <w:t xml:space="preserve">the Programme through </w:t>
      </w:r>
      <w:r w:rsidR="00032426" w:rsidRPr="00DA0CA0">
        <w:rPr>
          <w:sz w:val="28"/>
          <w:szCs w:val="28"/>
          <w:lang w:val="en-GB"/>
        </w:rPr>
        <w:t xml:space="preserve">the European Bank for Reconstruction and Development </w:t>
      </w:r>
      <w:r w:rsidR="006D1F64" w:rsidRPr="00DA0CA0">
        <w:rPr>
          <w:sz w:val="28"/>
          <w:szCs w:val="28"/>
          <w:lang w:val="en-GB"/>
        </w:rPr>
        <w:t xml:space="preserve">hereinafter referred to </w:t>
      </w:r>
      <w:r w:rsidR="00032426" w:rsidRPr="00DA0CA0">
        <w:rPr>
          <w:sz w:val="28"/>
          <w:szCs w:val="28"/>
          <w:lang w:val="en-GB"/>
        </w:rPr>
        <w:t>as</w:t>
      </w:r>
      <w:r w:rsidR="00B63655" w:rsidRPr="00DA0CA0">
        <w:rPr>
          <w:sz w:val="28"/>
          <w:szCs w:val="28"/>
          <w:lang w:val="en-GB"/>
        </w:rPr>
        <w:t xml:space="preserve"> EBRD</w:t>
      </w:r>
      <w:r w:rsidR="008D0E01" w:rsidRPr="00DA0CA0">
        <w:rPr>
          <w:sz w:val="28"/>
          <w:szCs w:val="28"/>
          <w:lang w:val="en-GB"/>
        </w:rPr>
        <w:t xml:space="preserve">. The modalities of </w:t>
      </w:r>
      <w:r w:rsidR="00F156A9">
        <w:rPr>
          <w:sz w:val="28"/>
          <w:szCs w:val="28"/>
          <w:lang w:val="en-GB"/>
        </w:rPr>
        <w:t xml:space="preserve">its </w:t>
      </w:r>
      <w:r w:rsidR="002E54FE" w:rsidRPr="00DA0CA0">
        <w:rPr>
          <w:sz w:val="28"/>
          <w:szCs w:val="28"/>
          <w:lang w:val="en-GB"/>
        </w:rPr>
        <w:t>transfer</w:t>
      </w:r>
      <w:r w:rsidR="004B1788" w:rsidRPr="00DA0CA0">
        <w:rPr>
          <w:sz w:val="28"/>
          <w:szCs w:val="28"/>
          <w:lang w:val="en-GB"/>
        </w:rPr>
        <w:t xml:space="preserve"> </w:t>
      </w:r>
      <w:r w:rsidR="002E54FE" w:rsidRPr="00DA0CA0">
        <w:rPr>
          <w:sz w:val="28"/>
          <w:szCs w:val="28"/>
          <w:lang w:val="en-GB"/>
        </w:rPr>
        <w:t xml:space="preserve">to the </w:t>
      </w:r>
      <w:r w:rsidR="00351A86" w:rsidRPr="00DA0CA0">
        <w:rPr>
          <w:sz w:val="28"/>
          <w:szCs w:val="28"/>
          <w:lang w:val="en-GB"/>
        </w:rPr>
        <w:t>P</w:t>
      </w:r>
      <w:r w:rsidR="002E54FE" w:rsidRPr="00DA0CA0">
        <w:rPr>
          <w:sz w:val="28"/>
          <w:szCs w:val="28"/>
          <w:lang w:val="en-GB"/>
        </w:rPr>
        <w:t>rogramme</w:t>
      </w:r>
      <w:r w:rsidR="008D0E01" w:rsidRPr="00DA0CA0">
        <w:rPr>
          <w:sz w:val="28"/>
          <w:szCs w:val="28"/>
          <w:lang w:val="en-GB"/>
        </w:rPr>
        <w:t xml:space="preserve"> </w:t>
      </w:r>
      <w:r w:rsidR="00EB6EDB">
        <w:rPr>
          <w:sz w:val="28"/>
          <w:szCs w:val="28"/>
          <w:lang w:val="en-GB"/>
        </w:rPr>
        <w:t>shall</w:t>
      </w:r>
      <w:r w:rsidR="008D0E01" w:rsidRPr="00DA0CA0">
        <w:rPr>
          <w:sz w:val="28"/>
          <w:szCs w:val="28"/>
          <w:lang w:val="en-GB"/>
        </w:rPr>
        <w:t xml:space="preserve"> be stipulated in an agreement be</w:t>
      </w:r>
      <w:bookmarkStart w:id="0" w:name="_GoBack"/>
      <w:bookmarkEnd w:id="0"/>
      <w:r w:rsidR="008D0E01" w:rsidRPr="00DA0CA0">
        <w:rPr>
          <w:sz w:val="28"/>
          <w:szCs w:val="28"/>
          <w:lang w:val="en-GB"/>
        </w:rPr>
        <w:t xml:space="preserve">tween the Russian </w:t>
      </w:r>
      <w:r w:rsidR="00657F57" w:rsidRPr="00DA0CA0">
        <w:rPr>
          <w:sz w:val="28"/>
          <w:szCs w:val="28"/>
          <w:lang w:val="en-GB"/>
        </w:rPr>
        <w:t>Federation</w:t>
      </w:r>
      <w:r w:rsidR="008D0E01" w:rsidRPr="00DA0CA0">
        <w:rPr>
          <w:sz w:val="28"/>
          <w:szCs w:val="28"/>
          <w:lang w:val="en-GB"/>
        </w:rPr>
        <w:t xml:space="preserve"> and</w:t>
      </w:r>
      <w:r w:rsidR="00FC353B" w:rsidRPr="00DA0CA0">
        <w:rPr>
          <w:sz w:val="28"/>
          <w:szCs w:val="28"/>
          <w:lang w:val="en-GB"/>
        </w:rPr>
        <w:t xml:space="preserve"> EBRD</w:t>
      </w:r>
      <w:r w:rsidR="008D0E01" w:rsidRPr="00DA0CA0">
        <w:rPr>
          <w:sz w:val="28"/>
          <w:szCs w:val="28"/>
          <w:lang w:val="en-GB"/>
        </w:rPr>
        <w:t xml:space="preserve">, in compliance with </w:t>
      </w:r>
      <w:r w:rsidR="001A2F31" w:rsidRPr="00DA0CA0">
        <w:rPr>
          <w:sz w:val="28"/>
          <w:szCs w:val="28"/>
          <w:lang w:val="en-GB"/>
        </w:rPr>
        <w:t>Article 2</w:t>
      </w:r>
      <w:r w:rsidR="008700B1" w:rsidRPr="00DA0CA0">
        <w:rPr>
          <w:sz w:val="28"/>
          <w:szCs w:val="28"/>
          <w:lang w:val="en-GB"/>
        </w:rPr>
        <w:t xml:space="preserve"> of </w:t>
      </w:r>
      <w:r w:rsidR="00845106" w:rsidRPr="00DA0CA0">
        <w:rPr>
          <w:sz w:val="28"/>
          <w:szCs w:val="28"/>
          <w:lang w:val="en-GB"/>
        </w:rPr>
        <w:t>Annex I (General Conditions)</w:t>
      </w:r>
      <w:r w:rsidR="008D0E01" w:rsidRPr="00DA0CA0">
        <w:rPr>
          <w:sz w:val="28"/>
          <w:szCs w:val="28"/>
          <w:lang w:val="en-GB"/>
        </w:rPr>
        <w:t>.</w:t>
      </w:r>
    </w:p>
    <w:p w14:paraId="6CCCF060" w14:textId="77777777" w:rsidR="00227FEA" w:rsidRDefault="00227FEA" w:rsidP="00DA0CA0">
      <w:pPr>
        <w:pStyle w:val="Default"/>
        <w:spacing w:line="360" w:lineRule="auto"/>
        <w:ind w:firstLine="709"/>
        <w:jc w:val="center"/>
        <w:rPr>
          <w:bCs/>
          <w:sz w:val="28"/>
          <w:szCs w:val="28"/>
          <w:lang w:val="en-GB"/>
        </w:rPr>
      </w:pPr>
    </w:p>
    <w:p w14:paraId="19F7CF16" w14:textId="77777777" w:rsidR="00A87E4C" w:rsidRDefault="00A87E4C" w:rsidP="00DA0CA0">
      <w:pPr>
        <w:pStyle w:val="Default"/>
        <w:spacing w:line="360" w:lineRule="auto"/>
        <w:ind w:firstLine="709"/>
        <w:jc w:val="center"/>
        <w:rPr>
          <w:bCs/>
          <w:sz w:val="28"/>
          <w:szCs w:val="28"/>
          <w:lang w:val="en-GB"/>
        </w:rPr>
      </w:pPr>
    </w:p>
    <w:p w14:paraId="0D2E8CA3" w14:textId="77777777" w:rsidR="00DA0CA0" w:rsidRPr="00DA0CA0" w:rsidRDefault="008D0E01" w:rsidP="00DA0CA0">
      <w:pPr>
        <w:pStyle w:val="Default"/>
        <w:spacing w:line="360" w:lineRule="auto"/>
        <w:ind w:firstLine="709"/>
        <w:jc w:val="center"/>
        <w:rPr>
          <w:bCs/>
          <w:sz w:val="28"/>
          <w:szCs w:val="28"/>
          <w:lang w:val="en-GB"/>
        </w:rPr>
      </w:pPr>
      <w:r w:rsidRPr="00DA0CA0">
        <w:rPr>
          <w:bCs/>
          <w:sz w:val="28"/>
          <w:szCs w:val="28"/>
          <w:lang w:val="en-GB"/>
        </w:rPr>
        <w:lastRenderedPageBreak/>
        <w:t>Article 3</w:t>
      </w:r>
    </w:p>
    <w:p w14:paraId="4DD60322" w14:textId="77777777" w:rsidR="008D0E01" w:rsidRPr="00DA0CA0" w:rsidRDefault="008D0E01" w:rsidP="00DA0CA0">
      <w:pPr>
        <w:pStyle w:val="Default"/>
        <w:spacing w:line="360" w:lineRule="auto"/>
        <w:ind w:firstLine="709"/>
        <w:jc w:val="center"/>
        <w:rPr>
          <w:sz w:val="28"/>
          <w:szCs w:val="28"/>
          <w:lang w:val="en-GB"/>
        </w:rPr>
      </w:pPr>
      <w:r w:rsidRPr="00DA0CA0">
        <w:rPr>
          <w:bCs/>
          <w:sz w:val="28"/>
          <w:szCs w:val="28"/>
          <w:lang w:val="en-GB"/>
        </w:rPr>
        <w:t>Implementation</w:t>
      </w:r>
    </w:p>
    <w:p w14:paraId="264318DA" w14:textId="77777777" w:rsidR="00DA0CA0" w:rsidRDefault="00DA0CA0" w:rsidP="00DA0CA0">
      <w:pPr>
        <w:pStyle w:val="Default"/>
        <w:spacing w:line="360" w:lineRule="auto"/>
        <w:ind w:firstLine="709"/>
        <w:jc w:val="both"/>
        <w:rPr>
          <w:sz w:val="28"/>
          <w:szCs w:val="28"/>
          <w:lang w:val="en-GB"/>
        </w:rPr>
      </w:pPr>
    </w:p>
    <w:p w14:paraId="771D3371" w14:textId="77777777" w:rsidR="001A76B9" w:rsidRDefault="008D0E01" w:rsidP="00DA0CA0">
      <w:pPr>
        <w:pStyle w:val="Default"/>
        <w:spacing w:line="360" w:lineRule="auto"/>
        <w:ind w:firstLine="709"/>
        <w:jc w:val="both"/>
        <w:rPr>
          <w:sz w:val="28"/>
          <w:szCs w:val="28"/>
          <w:lang w:val="en-GB"/>
        </w:rPr>
      </w:pPr>
      <w:r w:rsidRPr="00DA0CA0">
        <w:rPr>
          <w:sz w:val="28"/>
          <w:szCs w:val="28"/>
          <w:lang w:val="en-GB"/>
        </w:rPr>
        <w:t xml:space="preserve">This Programme shall be implemented under shared management in accordance with the terms and the conditions set out in this </w:t>
      </w:r>
      <w:r w:rsidR="00853B2D" w:rsidRPr="00DA0CA0">
        <w:rPr>
          <w:sz w:val="28"/>
          <w:szCs w:val="28"/>
          <w:lang w:val="en-GB"/>
        </w:rPr>
        <w:t>Agreement</w:t>
      </w:r>
      <w:r w:rsidRPr="00DA0CA0">
        <w:rPr>
          <w:sz w:val="28"/>
          <w:szCs w:val="28"/>
          <w:lang w:val="en-GB"/>
        </w:rPr>
        <w:t>, the Parties' applicable legislatio</w:t>
      </w:r>
      <w:r w:rsidR="00B40278" w:rsidRPr="00DA0CA0">
        <w:rPr>
          <w:sz w:val="28"/>
          <w:szCs w:val="28"/>
          <w:lang w:val="en-GB"/>
        </w:rPr>
        <w:t xml:space="preserve">n, the </w:t>
      </w:r>
      <w:r w:rsidR="00613160" w:rsidRPr="00DA0CA0">
        <w:rPr>
          <w:sz w:val="28"/>
          <w:szCs w:val="28"/>
          <w:lang w:val="en-GB"/>
        </w:rPr>
        <w:t xml:space="preserve">Joint Operational </w:t>
      </w:r>
      <w:r w:rsidR="00B40278" w:rsidRPr="00DA0CA0">
        <w:rPr>
          <w:sz w:val="28"/>
          <w:szCs w:val="28"/>
          <w:lang w:val="en-GB"/>
        </w:rPr>
        <w:t>Programme and the</w:t>
      </w:r>
      <w:r w:rsidR="007547D3" w:rsidRPr="00DA0CA0">
        <w:rPr>
          <w:sz w:val="28"/>
          <w:szCs w:val="28"/>
          <w:lang w:val="en-GB"/>
        </w:rPr>
        <w:t xml:space="preserve"> document describing the</w:t>
      </w:r>
      <w:r w:rsidR="00B40278" w:rsidRPr="00DA0CA0">
        <w:rPr>
          <w:sz w:val="28"/>
          <w:szCs w:val="28"/>
          <w:lang w:val="en-GB"/>
        </w:rPr>
        <w:t xml:space="preserve"> Management and Control Systems</w:t>
      </w:r>
      <w:r w:rsidR="00B571FF" w:rsidRPr="00DA0CA0">
        <w:rPr>
          <w:sz w:val="28"/>
          <w:szCs w:val="28"/>
          <w:lang w:val="en-GB"/>
        </w:rPr>
        <w:t>.</w:t>
      </w:r>
    </w:p>
    <w:p w14:paraId="364B647F" w14:textId="77777777" w:rsidR="00DA0CA0" w:rsidRPr="00DA0CA0" w:rsidRDefault="00DA0CA0" w:rsidP="00DA0CA0">
      <w:pPr>
        <w:pStyle w:val="Default"/>
        <w:spacing w:line="360" w:lineRule="auto"/>
        <w:ind w:firstLine="709"/>
        <w:jc w:val="both"/>
        <w:rPr>
          <w:sz w:val="28"/>
          <w:szCs w:val="28"/>
          <w:lang w:val="en-GB"/>
        </w:rPr>
      </w:pPr>
    </w:p>
    <w:p w14:paraId="055B2C17" w14:textId="77777777" w:rsidR="00DA0CA0" w:rsidRPr="00DA0CA0" w:rsidRDefault="008D0E01" w:rsidP="00DA0CA0">
      <w:pPr>
        <w:pStyle w:val="Default"/>
        <w:spacing w:line="360" w:lineRule="auto"/>
        <w:ind w:firstLine="709"/>
        <w:jc w:val="center"/>
        <w:rPr>
          <w:bCs/>
          <w:sz w:val="28"/>
          <w:szCs w:val="28"/>
          <w:lang w:val="en-GB"/>
        </w:rPr>
      </w:pPr>
      <w:r w:rsidRPr="00DA0CA0">
        <w:rPr>
          <w:bCs/>
          <w:sz w:val="28"/>
          <w:szCs w:val="28"/>
          <w:lang w:val="en-GB"/>
        </w:rPr>
        <w:t>Article 4</w:t>
      </w:r>
    </w:p>
    <w:p w14:paraId="15B71A91" w14:textId="77777777" w:rsidR="008D0E01" w:rsidRPr="00DA0CA0" w:rsidRDefault="008D0E01" w:rsidP="00DA0CA0">
      <w:pPr>
        <w:pStyle w:val="Default"/>
        <w:spacing w:line="360" w:lineRule="auto"/>
        <w:ind w:firstLine="709"/>
        <w:jc w:val="center"/>
        <w:rPr>
          <w:sz w:val="28"/>
          <w:szCs w:val="28"/>
          <w:lang w:val="en-GB"/>
        </w:rPr>
      </w:pPr>
      <w:r w:rsidRPr="00DA0CA0">
        <w:rPr>
          <w:bCs/>
          <w:sz w:val="28"/>
          <w:szCs w:val="28"/>
          <w:lang w:val="en-GB"/>
        </w:rPr>
        <w:t>Execution Period</w:t>
      </w:r>
    </w:p>
    <w:p w14:paraId="2C82E699" w14:textId="77777777" w:rsidR="00DA0CA0" w:rsidRDefault="00DA0CA0" w:rsidP="00DA0CA0">
      <w:pPr>
        <w:pStyle w:val="Default"/>
        <w:spacing w:line="360" w:lineRule="auto"/>
        <w:ind w:firstLine="709"/>
        <w:jc w:val="both"/>
        <w:rPr>
          <w:sz w:val="28"/>
          <w:szCs w:val="28"/>
          <w:lang w:val="en-GB"/>
        </w:rPr>
      </w:pPr>
    </w:p>
    <w:p w14:paraId="34D53EB8" w14:textId="77777777" w:rsidR="004964D4" w:rsidRDefault="008D0E01" w:rsidP="00DA0CA0">
      <w:pPr>
        <w:pStyle w:val="Default"/>
        <w:spacing w:line="360" w:lineRule="auto"/>
        <w:ind w:firstLine="709"/>
        <w:jc w:val="both"/>
        <w:rPr>
          <w:sz w:val="28"/>
          <w:szCs w:val="28"/>
          <w:lang w:val="en-GB"/>
        </w:rPr>
      </w:pPr>
      <w:r w:rsidRPr="00DA0CA0">
        <w:rPr>
          <w:sz w:val="28"/>
          <w:szCs w:val="28"/>
          <w:lang w:val="en-GB"/>
        </w:rPr>
        <w:t xml:space="preserve">The period of execution of this </w:t>
      </w:r>
      <w:r w:rsidR="00853B2D" w:rsidRPr="00DA0CA0">
        <w:rPr>
          <w:sz w:val="28"/>
          <w:szCs w:val="28"/>
          <w:lang w:val="en-GB"/>
        </w:rPr>
        <w:t>Agreement</w:t>
      </w:r>
      <w:r w:rsidRPr="00DA0CA0">
        <w:rPr>
          <w:sz w:val="28"/>
          <w:szCs w:val="28"/>
          <w:lang w:val="en-GB"/>
        </w:rPr>
        <w:t xml:space="preserve"> as defined in Article </w:t>
      </w:r>
      <w:r w:rsidR="005554C7" w:rsidRPr="00DA0CA0">
        <w:rPr>
          <w:sz w:val="28"/>
          <w:szCs w:val="28"/>
          <w:lang w:val="en-GB"/>
        </w:rPr>
        <w:t>5</w:t>
      </w:r>
      <w:r w:rsidRPr="00DA0CA0">
        <w:rPr>
          <w:sz w:val="28"/>
          <w:szCs w:val="28"/>
          <w:lang w:val="en-GB"/>
        </w:rPr>
        <w:t xml:space="preserve"> of Annex I (General Conditions) shall commence on the entry into force of this </w:t>
      </w:r>
      <w:r w:rsidR="00853B2D" w:rsidRPr="00DA0CA0">
        <w:rPr>
          <w:sz w:val="28"/>
          <w:szCs w:val="28"/>
          <w:lang w:val="en-GB"/>
        </w:rPr>
        <w:t>Agreement</w:t>
      </w:r>
      <w:r w:rsidRPr="00DA0CA0">
        <w:rPr>
          <w:sz w:val="28"/>
          <w:szCs w:val="28"/>
          <w:lang w:val="en-GB"/>
        </w:rPr>
        <w:t xml:space="preserve"> and end at </w:t>
      </w:r>
      <w:r w:rsidR="00DA0CA0">
        <w:rPr>
          <w:sz w:val="28"/>
          <w:szCs w:val="28"/>
          <w:lang w:val="en-GB"/>
        </w:rPr>
        <w:t>31 December 2024 at the latest.</w:t>
      </w:r>
    </w:p>
    <w:p w14:paraId="73D3E917" w14:textId="77777777" w:rsidR="00DA0CA0" w:rsidRPr="00DA0CA0" w:rsidRDefault="00DA0CA0" w:rsidP="00DA0CA0">
      <w:pPr>
        <w:pStyle w:val="Default"/>
        <w:spacing w:line="360" w:lineRule="auto"/>
        <w:ind w:firstLine="709"/>
        <w:jc w:val="both"/>
        <w:rPr>
          <w:b/>
          <w:bCs/>
          <w:sz w:val="28"/>
          <w:szCs w:val="28"/>
          <w:lang w:val="en-GB"/>
        </w:rPr>
      </w:pPr>
    </w:p>
    <w:p w14:paraId="23A205CD" w14:textId="77777777" w:rsidR="00DA0CA0" w:rsidRPr="00DA0CA0" w:rsidRDefault="008D0E01" w:rsidP="00DA0CA0">
      <w:pPr>
        <w:pStyle w:val="Default"/>
        <w:spacing w:line="360" w:lineRule="auto"/>
        <w:ind w:firstLine="709"/>
        <w:jc w:val="center"/>
        <w:rPr>
          <w:bCs/>
          <w:sz w:val="28"/>
          <w:szCs w:val="28"/>
          <w:lang w:val="en-GB"/>
        </w:rPr>
      </w:pPr>
      <w:r w:rsidRPr="00DA0CA0">
        <w:rPr>
          <w:bCs/>
          <w:sz w:val="28"/>
          <w:szCs w:val="28"/>
          <w:lang w:val="en-GB"/>
        </w:rPr>
        <w:t>Article 5</w:t>
      </w:r>
    </w:p>
    <w:p w14:paraId="19C5596C" w14:textId="77777777" w:rsidR="008D0E01" w:rsidRPr="00DA0CA0" w:rsidRDefault="009D281A" w:rsidP="00DA0CA0">
      <w:pPr>
        <w:pStyle w:val="Default"/>
        <w:spacing w:line="360" w:lineRule="auto"/>
        <w:ind w:firstLine="709"/>
        <w:jc w:val="center"/>
        <w:rPr>
          <w:sz w:val="28"/>
          <w:szCs w:val="28"/>
          <w:lang w:val="en-GB"/>
        </w:rPr>
      </w:pPr>
      <w:r w:rsidRPr="00DA0CA0">
        <w:rPr>
          <w:bCs/>
          <w:sz w:val="28"/>
          <w:szCs w:val="28"/>
          <w:lang w:val="en-GB"/>
        </w:rPr>
        <w:t>Communication</w:t>
      </w:r>
      <w:r w:rsidR="000C3CA8" w:rsidRPr="00DA0CA0">
        <w:rPr>
          <w:bCs/>
          <w:sz w:val="28"/>
          <w:szCs w:val="28"/>
          <w:lang w:val="en-GB"/>
        </w:rPr>
        <w:t>s</w:t>
      </w:r>
    </w:p>
    <w:p w14:paraId="430456CE" w14:textId="77777777" w:rsidR="00DA0CA0" w:rsidRDefault="00DA0CA0" w:rsidP="00DA0CA0">
      <w:pPr>
        <w:pStyle w:val="Default"/>
        <w:spacing w:line="360" w:lineRule="auto"/>
        <w:ind w:firstLine="709"/>
        <w:jc w:val="both"/>
        <w:rPr>
          <w:sz w:val="28"/>
          <w:szCs w:val="28"/>
          <w:lang w:val="en-GB"/>
        </w:rPr>
      </w:pPr>
    </w:p>
    <w:p w14:paraId="1882FD1F" w14:textId="77777777" w:rsidR="00E64B05" w:rsidRDefault="008D0E01" w:rsidP="00DA0CA0">
      <w:pPr>
        <w:pStyle w:val="Default"/>
        <w:spacing w:line="360" w:lineRule="auto"/>
        <w:ind w:firstLine="709"/>
        <w:jc w:val="both"/>
        <w:rPr>
          <w:sz w:val="28"/>
          <w:szCs w:val="28"/>
          <w:lang w:val="en-GB"/>
        </w:rPr>
      </w:pPr>
      <w:r w:rsidRPr="00DA0CA0">
        <w:rPr>
          <w:sz w:val="28"/>
          <w:szCs w:val="28"/>
          <w:lang w:val="en-GB"/>
        </w:rPr>
        <w:t xml:space="preserve">All communications concerning the implementation of this </w:t>
      </w:r>
      <w:r w:rsidR="00853B2D" w:rsidRPr="00DA0CA0">
        <w:rPr>
          <w:sz w:val="28"/>
          <w:szCs w:val="28"/>
          <w:lang w:val="en-GB"/>
        </w:rPr>
        <w:t>Agreement</w:t>
      </w:r>
      <w:r w:rsidRPr="00DA0CA0">
        <w:rPr>
          <w:sz w:val="28"/>
          <w:szCs w:val="28"/>
          <w:lang w:val="en-GB"/>
        </w:rPr>
        <w:t xml:space="preserve"> shall be in writing, shall refer expressly to this</w:t>
      </w:r>
      <w:r w:rsidR="002C33C2" w:rsidRPr="00DA0CA0">
        <w:rPr>
          <w:sz w:val="28"/>
          <w:szCs w:val="28"/>
          <w:lang w:val="en-GB"/>
        </w:rPr>
        <w:t xml:space="preserve"> Programme</w:t>
      </w:r>
      <w:r w:rsidRPr="00DA0CA0">
        <w:rPr>
          <w:sz w:val="28"/>
          <w:szCs w:val="28"/>
          <w:lang w:val="en-GB"/>
        </w:rPr>
        <w:t xml:space="preserve"> as identified in Article 1 of th</w:t>
      </w:r>
      <w:r w:rsidR="0063111D">
        <w:rPr>
          <w:sz w:val="28"/>
          <w:szCs w:val="28"/>
          <w:lang w:val="en-GB"/>
        </w:rPr>
        <w:t>i</w:t>
      </w:r>
      <w:r w:rsidR="00633528">
        <w:rPr>
          <w:sz w:val="28"/>
          <w:szCs w:val="28"/>
          <w:lang w:val="en-GB"/>
        </w:rPr>
        <w:t xml:space="preserve">s Agreement (Special Conditions) </w:t>
      </w:r>
      <w:r w:rsidRPr="00DA0CA0">
        <w:rPr>
          <w:sz w:val="28"/>
          <w:szCs w:val="28"/>
          <w:lang w:val="en-GB"/>
        </w:rPr>
        <w:t>and shall be sent to the following addresses:</w:t>
      </w:r>
    </w:p>
    <w:p w14:paraId="74355165" w14:textId="059BA4BF" w:rsidR="008D0E01" w:rsidRPr="00DA0CA0" w:rsidRDefault="008D0E01" w:rsidP="00A87E4C">
      <w:pPr>
        <w:pStyle w:val="Default"/>
        <w:ind w:firstLine="709"/>
        <w:jc w:val="both"/>
        <w:rPr>
          <w:sz w:val="28"/>
          <w:szCs w:val="28"/>
          <w:lang w:val="en-GB"/>
        </w:rPr>
      </w:pPr>
    </w:p>
    <w:p w14:paraId="3C80864E" w14:textId="77777777" w:rsidR="00E51E9D" w:rsidRPr="00E51E9D" w:rsidRDefault="00E51E9D" w:rsidP="00A87E4C">
      <w:pPr>
        <w:autoSpaceDE w:val="0"/>
        <w:autoSpaceDN w:val="0"/>
        <w:adjustRightInd w:val="0"/>
        <w:spacing w:after="120" w:line="240" w:lineRule="auto"/>
        <w:jc w:val="both"/>
        <w:rPr>
          <w:rFonts w:ascii="Times New Roman" w:hAnsi="Times New Roman"/>
          <w:color w:val="000000"/>
          <w:sz w:val="28"/>
          <w:szCs w:val="28"/>
          <w:lang w:val="en-GB"/>
        </w:rPr>
      </w:pPr>
      <w:r w:rsidRPr="00E51E9D">
        <w:rPr>
          <w:rFonts w:ascii="Times New Roman" w:hAnsi="Times New Roman"/>
          <w:color w:val="000000"/>
          <w:sz w:val="28"/>
          <w:szCs w:val="28"/>
          <w:lang w:val="en-GB"/>
        </w:rPr>
        <w:t xml:space="preserve">a) for the Commission </w:t>
      </w:r>
    </w:p>
    <w:p w14:paraId="29AD267E" w14:textId="77777777" w:rsidR="00633528" w:rsidRPr="00633528"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sidRPr="00633528">
        <w:rPr>
          <w:rFonts w:ascii="Times New Roman" w:hAnsi="Times New Roman"/>
          <w:color w:val="000000"/>
          <w:sz w:val="28"/>
          <w:szCs w:val="28"/>
          <w:lang w:val="en-GB"/>
        </w:rPr>
        <w:t>European Commission</w:t>
      </w:r>
    </w:p>
    <w:p w14:paraId="72AA868A" w14:textId="77777777" w:rsidR="00633528" w:rsidRPr="00633528"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sidRPr="00633528">
        <w:rPr>
          <w:rFonts w:ascii="Times New Roman" w:hAnsi="Times New Roman"/>
          <w:color w:val="000000"/>
          <w:sz w:val="28"/>
          <w:szCs w:val="28"/>
          <w:lang w:val="en-GB"/>
        </w:rPr>
        <w:t>Directorate-General Neighbourhood and Enlargement Negotiations – (DG NEAR)</w:t>
      </w:r>
    </w:p>
    <w:p w14:paraId="12F84303" w14:textId="77777777" w:rsidR="00633528" w:rsidRPr="00633528"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sidRPr="00633528">
        <w:rPr>
          <w:rFonts w:ascii="Times New Roman" w:hAnsi="Times New Roman"/>
          <w:color w:val="000000"/>
          <w:sz w:val="28"/>
          <w:szCs w:val="28"/>
          <w:lang w:val="en-GB"/>
        </w:rPr>
        <w:t>Mr. Mathieu Bousquet</w:t>
      </w:r>
    </w:p>
    <w:p w14:paraId="592F8CB3" w14:textId="77777777" w:rsidR="00633528" w:rsidRPr="00633528"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sidRPr="00633528">
        <w:rPr>
          <w:rFonts w:ascii="Times New Roman" w:hAnsi="Times New Roman"/>
          <w:color w:val="000000"/>
          <w:sz w:val="28"/>
          <w:szCs w:val="28"/>
          <w:lang w:val="en-GB"/>
        </w:rPr>
        <w:t>Head of Unit Georgia, Moldova &amp; Neighbourhood Cross-Border Cooperation (C1)</w:t>
      </w:r>
    </w:p>
    <w:p w14:paraId="10359B3A" w14:textId="77777777" w:rsidR="00633528" w:rsidRPr="00633528" w:rsidRDefault="00633528" w:rsidP="00A87E4C">
      <w:pPr>
        <w:autoSpaceDE w:val="0"/>
        <w:autoSpaceDN w:val="0"/>
        <w:adjustRightInd w:val="0"/>
        <w:spacing w:after="120" w:line="240" w:lineRule="auto"/>
        <w:jc w:val="both"/>
        <w:rPr>
          <w:rFonts w:ascii="Times New Roman" w:hAnsi="Times New Roman"/>
          <w:color w:val="000000"/>
          <w:sz w:val="28"/>
          <w:szCs w:val="28"/>
          <w:lang w:val="fr-BE"/>
        </w:rPr>
      </w:pPr>
      <w:r w:rsidRPr="00633528">
        <w:rPr>
          <w:rFonts w:ascii="Times New Roman" w:hAnsi="Times New Roman"/>
          <w:color w:val="000000"/>
          <w:sz w:val="28"/>
          <w:szCs w:val="28"/>
          <w:lang w:val="fr-BE"/>
        </w:rPr>
        <w:t>Office L-15 04/058</w:t>
      </w:r>
    </w:p>
    <w:p w14:paraId="7390BEA2" w14:textId="77777777" w:rsidR="00633528" w:rsidRPr="00633528" w:rsidRDefault="00633528" w:rsidP="00A87E4C">
      <w:pPr>
        <w:autoSpaceDE w:val="0"/>
        <w:autoSpaceDN w:val="0"/>
        <w:adjustRightInd w:val="0"/>
        <w:spacing w:after="120" w:line="240" w:lineRule="auto"/>
        <w:jc w:val="both"/>
        <w:rPr>
          <w:rFonts w:ascii="Times New Roman" w:hAnsi="Times New Roman"/>
          <w:color w:val="000000"/>
          <w:sz w:val="28"/>
          <w:szCs w:val="28"/>
          <w:lang w:val="fr-BE"/>
        </w:rPr>
      </w:pPr>
      <w:r w:rsidRPr="00633528">
        <w:rPr>
          <w:rFonts w:ascii="Times New Roman" w:hAnsi="Times New Roman"/>
          <w:color w:val="000000"/>
          <w:sz w:val="28"/>
          <w:szCs w:val="28"/>
          <w:lang w:val="fr-BE"/>
        </w:rPr>
        <w:t>Avenue du Bourget, 1</w:t>
      </w:r>
    </w:p>
    <w:p w14:paraId="12EE4065" w14:textId="77777777" w:rsidR="00633528" w:rsidRPr="00633528"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sidRPr="00633528">
        <w:rPr>
          <w:rFonts w:ascii="Times New Roman" w:hAnsi="Times New Roman"/>
          <w:color w:val="000000"/>
          <w:sz w:val="28"/>
          <w:szCs w:val="28"/>
          <w:lang w:val="en-GB"/>
        </w:rPr>
        <w:t>B-1049 Brussels</w:t>
      </w:r>
    </w:p>
    <w:p w14:paraId="592919C3" w14:textId="3F0BD7CD" w:rsidR="00633528"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sidRPr="00633528">
        <w:rPr>
          <w:rFonts w:ascii="Times New Roman" w:hAnsi="Times New Roman"/>
          <w:color w:val="000000"/>
          <w:sz w:val="28"/>
          <w:szCs w:val="28"/>
          <w:lang w:val="en-GB"/>
        </w:rPr>
        <w:t>Belgium</w:t>
      </w:r>
    </w:p>
    <w:p w14:paraId="18CE3B17" w14:textId="77777777" w:rsidR="008C7DE2" w:rsidRDefault="008C7DE2" w:rsidP="00633528">
      <w:pPr>
        <w:autoSpaceDE w:val="0"/>
        <w:autoSpaceDN w:val="0"/>
        <w:adjustRightInd w:val="0"/>
        <w:spacing w:after="120" w:line="360" w:lineRule="auto"/>
        <w:jc w:val="both"/>
        <w:rPr>
          <w:rFonts w:ascii="Times New Roman" w:hAnsi="Times New Roman"/>
          <w:color w:val="000000"/>
          <w:sz w:val="28"/>
          <w:szCs w:val="28"/>
          <w:lang w:val="en-GB"/>
        </w:rPr>
      </w:pPr>
    </w:p>
    <w:p w14:paraId="3ABD8E63" w14:textId="77777777" w:rsidR="00E51E9D" w:rsidRPr="00E51E9D" w:rsidRDefault="00E51E9D" w:rsidP="00A87E4C">
      <w:pPr>
        <w:autoSpaceDE w:val="0"/>
        <w:autoSpaceDN w:val="0"/>
        <w:adjustRightInd w:val="0"/>
        <w:spacing w:after="120" w:line="240" w:lineRule="auto"/>
        <w:jc w:val="both"/>
        <w:rPr>
          <w:rFonts w:ascii="Times New Roman" w:hAnsi="Times New Roman"/>
          <w:color w:val="000000"/>
          <w:sz w:val="28"/>
          <w:szCs w:val="28"/>
          <w:lang w:val="en-GB"/>
        </w:rPr>
      </w:pPr>
      <w:r w:rsidRPr="00E51E9D">
        <w:rPr>
          <w:rFonts w:ascii="Times New Roman" w:hAnsi="Times New Roman"/>
          <w:color w:val="000000"/>
          <w:sz w:val="28"/>
          <w:szCs w:val="28"/>
          <w:lang w:val="en-GB"/>
        </w:rPr>
        <w:t xml:space="preserve">b) for the Russian Federation </w:t>
      </w:r>
    </w:p>
    <w:p w14:paraId="150C4C2D" w14:textId="77777777" w:rsidR="00633528" w:rsidRPr="00633528"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sidRPr="00633528">
        <w:rPr>
          <w:rFonts w:ascii="Times New Roman" w:hAnsi="Times New Roman"/>
          <w:color w:val="000000"/>
          <w:sz w:val="28"/>
          <w:szCs w:val="28"/>
          <w:lang w:val="en-GB"/>
        </w:rPr>
        <w:t>Ministry of Economic Development of the Russian Federation</w:t>
      </w:r>
    </w:p>
    <w:p w14:paraId="24139A53" w14:textId="77777777" w:rsidR="00EB092A" w:rsidRDefault="00EB092A" w:rsidP="00A87E4C">
      <w:pPr>
        <w:autoSpaceDE w:val="0"/>
        <w:autoSpaceDN w:val="0"/>
        <w:adjustRightInd w:val="0"/>
        <w:spacing w:after="120" w:line="240" w:lineRule="auto"/>
        <w:jc w:val="both"/>
        <w:rPr>
          <w:rFonts w:ascii="Times New Roman" w:hAnsi="Times New Roman"/>
          <w:color w:val="000000"/>
          <w:sz w:val="28"/>
          <w:szCs w:val="28"/>
          <w:lang w:val="en-GB"/>
        </w:rPr>
      </w:pPr>
      <w:r w:rsidRPr="00EB092A">
        <w:rPr>
          <w:rFonts w:ascii="Times New Roman" w:hAnsi="Times New Roman"/>
          <w:color w:val="000000"/>
          <w:sz w:val="28"/>
          <w:szCs w:val="28"/>
          <w:lang w:val="en-GB"/>
        </w:rPr>
        <w:t>1-ya Tverskaya-Yamskaya</w:t>
      </w:r>
      <w:r w:rsidR="00934C9A">
        <w:rPr>
          <w:rFonts w:ascii="Times New Roman" w:hAnsi="Times New Roman"/>
          <w:color w:val="000000"/>
          <w:sz w:val="28"/>
          <w:szCs w:val="28"/>
          <w:lang w:val="en-GB"/>
        </w:rPr>
        <w:t>,</w:t>
      </w:r>
      <w:r w:rsidRPr="00EB092A">
        <w:rPr>
          <w:rFonts w:ascii="Times New Roman" w:hAnsi="Times New Roman"/>
          <w:color w:val="000000"/>
          <w:sz w:val="28"/>
          <w:szCs w:val="28"/>
          <w:lang w:val="en-GB"/>
        </w:rPr>
        <w:t xml:space="preserve"> </w:t>
      </w:r>
      <w:r w:rsidR="00227FEA">
        <w:rPr>
          <w:rFonts w:ascii="Times New Roman" w:hAnsi="Times New Roman"/>
          <w:color w:val="000000"/>
          <w:sz w:val="28"/>
          <w:szCs w:val="28"/>
          <w:lang w:val="en-GB"/>
        </w:rPr>
        <w:t>D.</w:t>
      </w:r>
      <w:r w:rsidR="00227FEA" w:rsidRPr="00EB092A">
        <w:rPr>
          <w:rFonts w:ascii="Times New Roman" w:hAnsi="Times New Roman"/>
          <w:color w:val="000000"/>
          <w:sz w:val="28"/>
          <w:szCs w:val="28"/>
          <w:lang w:val="en-GB"/>
        </w:rPr>
        <w:t>1,3,</w:t>
      </w:r>
    </w:p>
    <w:p w14:paraId="6396B03E" w14:textId="77777777" w:rsidR="00EB092A" w:rsidRDefault="00EB092A" w:rsidP="00A87E4C">
      <w:pPr>
        <w:autoSpaceDE w:val="0"/>
        <w:autoSpaceDN w:val="0"/>
        <w:adjustRightInd w:val="0"/>
        <w:spacing w:after="120" w:line="240" w:lineRule="auto"/>
        <w:jc w:val="both"/>
        <w:rPr>
          <w:rFonts w:ascii="Times New Roman" w:hAnsi="Times New Roman"/>
          <w:color w:val="000000"/>
          <w:sz w:val="28"/>
          <w:szCs w:val="28"/>
          <w:lang w:val="en-GB"/>
        </w:rPr>
      </w:pPr>
      <w:r w:rsidRPr="00EB092A">
        <w:rPr>
          <w:rFonts w:ascii="Times New Roman" w:hAnsi="Times New Roman"/>
          <w:color w:val="000000"/>
          <w:sz w:val="28"/>
          <w:szCs w:val="28"/>
          <w:lang w:val="en-GB"/>
        </w:rPr>
        <w:t xml:space="preserve">125993, </w:t>
      </w:r>
      <w:r>
        <w:rPr>
          <w:rFonts w:ascii="Times New Roman" w:hAnsi="Times New Roman"/>
          <w:color w:val="000000"/>
          <w:sz w:val="28"/>
          <w:szCs w:val="28"/>
          <w:lang w:val="en-GB"/>
        </w:rPr>
        <w:t>GSP</w:t>
      </w:r>
      <w:r w:rsidRPr="00EB092A">
        <w:rPr>
          <w:rFonts w:ascii="Times New Roman" w:hAnsi="Times New Roman"/>
          <w:color w:val="000000"/>
          <w:sz w:val="28"/>
          <w:szCs w:val="28"/>
          <w:lang w:val="en-GB"/>
        </w:rPr>
        <w:t xml:space="preserve">-3, А-47, </w:t>
      </w:r>
      <w:r>
        <w:rPr>
          <w:rFonts w:ascii="Times New Roman" w:hAnsi="Times New Roman"/>
          <w:color w:val="000000"/>
          <w:sz w:val="28"/>
          <w:szCs w:val="28"/>
          <w:lang w:val="en-GB"/>
        </w:rPr>
        <w:t>Moscow</w:t>
      </w:r>
    </w:p>
    <w:p w14:paraId="7CA7067D" w14:textId="55237D52" w:rsidR="008C7DE2" w:rsidRDefault="00EB092A" w:rsidP="00A87E4C">
      <w:pPr>
        <w:autoSpaceDE w:val="0"/>
        <w:autoSpaceDN w:val="0"/>
        <w:adjustRightInd w:val="0"/>
        <w:spacing w:after="120" w:line="240" w:lineRule="auto"/>
        <w:jc w:val="both"/>
        <w:rPr>
          <w:rFonts w:ascii="Times New Roman" w:hAnsi="Times New Roman"/>
          <w:color w:val="000000"/>
          <w:sz w:val="28"/>
          <w:szCs w:val="28"/>
          <w:lang w:val="en-GB"/>
        </w:rPr>
      </w:pPr>
      <w:r>
        <w:rPr>
          <w:rFonts w:ascii="Times New Roman" w:hAnsi="Times New Roman"/>
          <w:color w:val="000000"/>
          <w:sz w:val="28"/>
          <w:szCs w:val="28"/>
          <w:lang w:val="en-GB"/>
        </w:rPr>
        <w:t>Russian Federation</w:t>
      </w:r>
    </w:p>
    <w:p w14:paraId="4D8BA2F5" w14:textId="77777777" w:rsidR="00304B68" w:rsidRDefault="00304B68" w:rsidP="00633528">
      <w:pPr>
        <w:autoSpaceDE w:val="0"/>
        <w:autoSpaceDN w:val="0"/>
        <w:adjustRightInd w:val="0"/>
        <w:spacing w:after="120" w:line="360" w:lineRule="auto"/>
        <w:jc w:val="both"/>
        <w:rPr>
          <w:rFonts w:ascii="Times New Roman" w:hAnsi="Times New Roman"/>
          <w:color w:val="000000"/>
          <w:sz w:val="28"/>
          <w:szCs w:val="28"/>
          <w:lang w:val="en-GB"/>
        </w:rPr>
      </w:pPr>
    </w:p>
    <w:p w14:paraId="2EB0E3C5" w14:textId="77777777" w:rsidR="00E51E9D" w:rsidRPr="00E51E9D"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Pr>
          <w:rFonts w:ascii="Times New Roman" w:hAnsi="Times New Roman"/>
          <w:color w:val="000000"/>
          <w:sz w:val="28"/>
          <w:szCs w:val="28"/>
          <w:lang w:val="en-GB"/>
        </w:rPr>
        <w:t xml:space="preserve">c) for the </w:t>
      </w:r>
      <w:r w:rsidR="00E51E9D" w:rsidRPr="00E51E9D">
        <w:rPr>
          <w:rFonts w:ascii="Times New Roman" w:hAnsi="Times New Roman"/>
          <w:color w:val="000000"/>
          <w:sz w:val="28"/>
          <w:szCs w:val="28"/>
          <w:lang w:val="en-GB"/>
        </w:rPr>
        <w:t xml:space="preserve">Member State </w:t>
      </w:r>
    </w:p>
    <w:p w14:paraId="531EC7DE" w14:textId="77777777" w:rsidR="00633528" w:rsidRPr="00633528"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sidRPr="00633528">
        <w:rPr>
          <w:rFonts w:ascii="Times New Roman" w:hAnsi="Times New Roman"/>
          <w:color w:val="000000"/>
          <w:sz w:val="28"/>
          <w:szCs w:val="28"/>
          <w:lang w:val="en-GB"/>
        </w:rPr>
        <w:t>Ministry of Environmental Protection and Regional Development of the Republic of Latvia</w:t>
      </w:r>
    </w:p>
    <w:p w14:paraId="5EE67E8A" w14:textId="77777777" w:rsidR="00633528" w:rsidRPr="00633528"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sidRPr="00633528">
        <w:rPr>
          <w:rFonts w:ascii="Times New Roman" w:hAnsi="Times New Roman"/>
          <w:color w:val="000000"/>
          <w:sz w:val="28"/>
          <w:szCs w:val="28"/>
          <w:lang w:val="en-GB"/>
        </w:rPr>
        <w:t>Mr.</w:t>
      </w:r>
      <w:r>
        <w:rPr>
          <w:rFonts w:ascii="Times New Roman" w:hAnsi="Times New Roman"/>
          <w:color w:val="000000"/>
          <w:sz w:val="28"/>
          <w:szCs w:val="28"/>
          <w:lang w:val="en-GB"/>
        </w:rPr>
        <w:t xml:space="preserve"> </w:t>
      </w:r>
      <w:r w:rsidRPr="00633528">
        <w:rPr>
          <w:rFonts w:ascii="Times New Roman" w:hAnsi="Times New Roman"/>
          <w:color w:val="000000"/>
          <w:sz w:val="28"/>
          <w:szCs w:val="28"/>
          <w:lang w:val="en-GB"/>
        </w:rPr>
        <w:t>Sandis Cakuls</w:t>
      </w:r>
    </w:p>
    <w:p w14:paraId="4B916DBE" w14:textId="0ED2F8E4" w:rsidR="00633528" w:rsidRPr="00633528"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sidRPr="00633528">
        <w:rPr>
          <w:rFonts w:ascii="Times New Roman" w:hAnsi="Times New Roman"/>
          <w:color w:val="000000"/>
          <w:sz w:val="28"/>
          <w:szCs w:val="28"/>
          <w:lang w:val="en-GB"/>
        </w:rPr>
        <w:t xml:space="preserve">Head of the Managing Authority of the </w:t>
      </w:r>
      <w:r w:rsidR="00F156A9">
        <w:rPr>
          <w:rFonts w:ascii="Times New Roman" w:hAnsi="Times New Roman"/>
          <w:color w:val="000000"/>
          <w:sz w:val="28"/>
          <w:szCs w:val="28"/>
          <w:lang w:val="en-GB"/>
        </w:rPr>
        <w:t>Latvia-Russia</w:t>
      </w:r>
      <w:r w:rsidRPr="00633528">
        <w:rPr>
          <w:rFonts w:ascii="Times New Roman" w:hAnsi="Times New Roman"/>
          <w:color w:val="000000"/>
          <w:sz w:val="28"/>
          <w:szCs w:val="28"/>
          <w:lang w:val="en-GB"/>
        </w:rPr>
        <w:t xml:space="preserve"> Cross Border Cooperation Programme 2014-2020</w:t>
      </w:r>
    </w:p>
    <w:p w14:paraId="252BE44C" w14:textId="41F402C7" w:rsidR="00633528" w:rsidRPr="00051674"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sidRPr="00051674">
        <w:rPr>
          <w:rFonts w:ascii="Times New Roman" w:hAnsi="Times New Roman"/>
          <w:color w:val="000000"/>
          <w:sz w:val="28"/>
          <w:szCs w:val="28"/>
          <w:lang w:val="en-GB"/>
        </w:rPr>
        <w:t xml:space="preserve">Peldu </w:t>
      </w:r>
      <w:r w:rsidR="006C55E7">
        <w:rPr>
          <w:rFonts w:ascii="Times New Roman" w:hAnsi="Times New Roman"/>
          <w:color w:val="000000"/>
          <w:sz w:val="28"/>
          <w:szCs w:val="28"/>
          <w:lang w:val="en-GB"/>
        </w:rPr>
        <w:t>street,</w:t>
      </w:r>
      <w:r w:rsidRPr="00051674">
        <w:rPr>
          <w:rFonts w:ascii="Times New Roman" w:hAnsi="Times New Roman"/>
          <w:color w:val="000000"/>
          <w:sz w:val="28"/>
          <w:szCs w:val="28"/>
          <w:lang w:val="en-GB"/>
        </w:rPr>
        <w:t xml:space="preserve"> 25</w:t>
      </w:r>
    </w:p>
    <w:p w14:paraId="1FE1FC05" w14:textId="77777777" w:rsidR="00633528" w:rsidRPr="00051674"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sidRPr="00051674">
        <w:rPr>
          <w:rFonts w:ascii="Times New Roman" w:hAnsi="Times New Roman"/>
          <w:color w:val="000000"/>
          <w:sz w:val="28"/>
          <w:szCs w:val="28"/>
          <w:lang w:val="en-GB"/>
        </w:rPr>
        <w:t xml:space="preserve">Riga, LV1494 </w:t>
      </w:r>
    </w:p>
    <w:p w14:paraId="3B8E1F70" w14:textId="691C0485" w:rsidR="00DA0CA0" w:rsidRPr="00051674" w:rsidRDefault="00633528" w:rsidP="00A87E4C">
      <w:pPr>
        <w:autoSpaceDE w:val="0"/>
        <w:autoSpaceDN w:val="0"/>
        <w:adjustRightInd w:val="0"/>
        <w:spacing w:after="120" w:line="240" w:lineRule="auto"/>
        <w:jc w:val="both"/>
        <w:rPr>
          <w:rFonts w:ascii="Times New Roman" w:hAnsi="Times New Roman"/>
          <w:color w:val="000000"/>
          <w:sz w:val="28"/>
          <w:szCs w:val="28"/>
          <w:lang w:val="en-GB"/>
        </w:rPr>
      </w:pPr>
      <w:r w:rsidRPr="00051674">
        <w:rPr>
          <w:rFonts w:ascii="Times New Roman" w:hAnsi="Times New Roman"/>
          <w:color w:val="000000"/>
          <w:sz w:val="28"/>
          <w:szCs w:val="28"/>
          <w:lang w:val="en-GB"/>
        </w:rPr>
        <w:t>Latvia</w:t>
      </w:r>
    </w:p>
    <w:p w14:paraId="5658DA70" w14:textId="77777777" w:rsidR="00DA0CA0" w:rsidRPr="00051674" w:rsidRDefault="008D0E01" w:rsidP="00DA0CA0">
      <w:pPr>
        <w:pStyle w:val="Default"/>
        <w:spacing w:line="360" w:lineRule="auto"/>
        <w:ind w:firstLine="709"/>
        <w:jc w:val="center"/>
        <w:rPr>
          <w:bCs/>
          <w:sz w:val="28"/>
          <w:szCs w:val="28"/>
          <w:lang w:val="en-GB"/>
        </w:rPr>
      </w:pPr>
      <w:r w:rsidRPr="00051674">
        <w:rPr>
          <w:bCs/>
          <w:sz w:val="28"/>
          <w:szCs w:val="28"/>
          <w:lang w:val="en-GB"/>
        </w:rPr>
        <w:t>Article 6</w:t>
      </w:r>
    </w:p>
    <w:p w14:paraId="29C0D0DB" w14:textId="77777777" w:rsidR="008D0E01" w:rsidRPr="00DA0CA0" w:rsidRDefault="008D0E01" w:rsidP="00DA0CA0">
      <w:pPr>
        <w:pStyle w:val="Default"/>
        <w:spacing w:line="360" w:lineRule="auto"/>
        <w:ind w:firstLine="709"/>
        <w:jc w:val="center"/>
        <w:rPr>
          <w:sz w:val="28"/>
          <w:szCs w:val="28"/>
          <w:lang w:val="en-GB"/>
        </w:rPr>
      </w:pPr>
      <w:r w:rsidRPr="00DA0CA0">
        <w:rPr>
          <w:bCs/>
          <w:sz w:val="28"/>
          <w:szCs w:val="28"/>
          <w:lang w:val="en-GB"/>
        </w:rPr>
        <w:t>Cooperation with OLAF</w:t>
      </w:r>
    </w:p>
    <w:p w14:paraId="6519370D" w14:textId="77777777" w:rsidR="00DA0CA0" w:rsidRDefault="00DA0CA0" w:rsidP="00DA0CA0">
      <w:pPr>
        <w:pStyle w:val="Default"/>
        <w:spacing w:line="360" w:lineRule="auto"/>
        <w:ind w:firstLine="709"/>
        <w:jc w:val="both"/>
        <w:rPr>
          <w:sz w:val="28"/>
          <w:szCs w:val="28"/>
          <w:lang w:val="en-GB"/>
        </w:rPr>
      </w:pPr>
    </w:p>
    <w:p w14:paraId="03DAE8D6" w14:textId="00F767A0" w:rsidR="00227FEA" w:rsidRPr="00304B68" w:rsidRDefault="00EB64BA" w:rsidP="00DA0CA0">
      <w:pPr>
        <w:pStyle w:val="Default"/>
        <w:spacing w:line="360" w:lineRule="auto"/>
        <w:ind w:firstLine="709"/>
        <w:jc w:val="both"/>
        <w:rPr>
          <w:sz w:val="28"/>
          <w:szCs w:val="28"/>
          <w:lang w:val="en-GB"/>
        </w:rPr>
      </w:pPr>
      <w:r w:rsidRPr="00DA0CA0">
        <w:rPr>
          <w:sz w:val="28"/>
          <w:szCs w:val="28"/>
          <w:lang w:val="en-GB"/>
        </w:rPr>
        <w:t>For the purposes of Article 1</w:t>
      </w:r>
      <w:r w:rsidR="00DA0CA0">
        <w:rPr>
          <w:sz w:val="28"/>
          <w:szCs w:val="28"/>
          <w:lang w:val="en-GB"/>
        </w:rPr>
        <w:t>7</w:t>
      </w:r>
      <w:r w:rsidRPr="00DA0CA0">
        <w:rPr>
          <w:sz w:val="28"/>
          <w:szCs w:val="28"/>
          <w:lang w:val="en-GB"/>
        </w:rPr>
        <w:t xml:space="preserve"> of Annex I (General Conditions), t</w:t>
      </w:r>
      <w:r w:rsidR="008D0E01" w:rsidRPr="00DA0CA0">
        <w:rPr>
          <w:sz w:val="28"/>
          <w:szCs w:val="28"/>
          <w:lang w:val="en-GB"/>
        </w:rPr>
        <w:t xml:space="preserve">he contact point of the Russian </w:t>
      </w:r>
      <w:r w:rsidR="00657F57" w:rsidRPr="00DA0CA0">
        <w:rPr>
          <w:sz w:val="28"/>
          <w:szCs w:val="28"/>
          <w:lang w:val="en-GB"/>
        </w:rPr>
        <w:t>Federation</w:t>
      </w:r>
      <w:r w:rsidR="008D0E01" w:rsidRPr="00DA0CA0">
        <w:rPr>
          <w:sz w:val="28"/>
          <w:szCs w:val="28"/>
          <w:lang w:val="en-GB"/>
        </w:rPr>
        <w:t xml:space="preserve"> to cooperate with the European Anti-Fraud Office (OLAF) </w:t>
      </w:r>
      <w:r w:rsidR="00D13F70" w:rsidRPr="00D13F70">
        <w:rPr>
          <w:sz w:val="28"/>
          <w:szCs w:val="28"/>
          <w:lang w:val="en-GB"/>
        </w:rPr>
        <w:t xml:space="preserve">in order to facilitate OLAF's operational activities </w:t>
      </w:r>
      <w:r w:rsidR="008D0E01" w:rsidRPr="00DA0CA0">
        <w:rPr>
          <w:sz w:val="28"/>
          <w:szCs w:val="28"/>
          <w:lang w:val="en-GB"/>
        </w:rPr>
        <w:t xml:space="preserve">shall be: </w:t>
      </w:r>
      <w:r w:rsidR="00A935A7">
        <w:rPr>
          <w:sz w:val="28"/>
          <w:szCs w:val="28"/>
          <w:lang w:val="en-GB"/>
        </w:rPr>
        <w:t xml:space="preserve">Russian National </w:t>
      </w:r>
      <w:r w:rsidR="00902E0F">
        <w:rPr>
          <w:sz w:val="28"/>
          <w:szCs w:val="28"/>
          <w:lang w:val="en-GB"/>
        </w:rPr>
        <w:t>A</w:t>
      </w:r>
      <w:r w:rsidR="00A935A7">
        <w:rPr>
          <w:sz w:val="28"/>
          <w:szCs w:val="28"/>
          <w:lang w:val="en-GB"/>
        </w:rPr>
        <w:t>uthority</w:t>
      </w:r>
      <w:r w:rsidR="00F20A27" w:rsidRPr="00DA0CA0">
        <w:rPr>
          <w:sz w:val="28"/>
          <w:szCs w:val="28"/>
          <w:lang w:val="en-GB"/>
        </w:rPr>
        <w:t>.</w:t>
      </w:r>
    </w:p>
    <w:p w14:paraId="52D02DBF" w14:textId="77777777" w:rsidR="00A87E4C" w:rsidRDefault="00A87E4C" w:rsidP="00EB6EDB">
      <w:pPr>
        <w:pStyle w:val="Default"/>
        <w:spacing w:line="360" w:lineRule="auto"/>
        <w:ind w:firstLine="709"/>
        <w:jc w:val="center"/>
        <w:rPr>
          <w:bCs/>
          <w:sz w:val="28"/>
          <w:szCs w:val="28"/>
          <w:lang w:val="en-GB"/>
        </w:rPr>
      </w:pPr>
    </w:p>
    <w:p w14:paraId="5B7FB1DC" w14:textId="77777777" w:rsidR="00EB6EDB" w:rsidRPr="00EB6EDB" w:rsidRDefault="008D0E01" w:rsidP="00EB6EDB">
      <w:pPr>
        <w:pStyle w:val="Default"/>
        <w:spacing w:line="360" w:lineRule="auto"/>
        <w:ind w:firstLine="709"/>
        <w:jc w:val="center"/>
        <w:rPr>
          <w:bCs/>
          <w:sz w:val="28"/>
          <w:szCs w:val="28"/>
          <w:lang w:val="en-GB"/>
        </w:rPr>
      </w:pPr>
      <w:r w:rsidRPr="00EB6EDB">
        <w:rPr>
          <w:bCs/>
          <w:sz w:val="28"/>
          <w:szCs w:val="28"/>
          <w:lang w:val="en-GB"/>
        </w:rPr>
        <w:t>Article 7</w:t>
      </w:r>
    </w:p>
    <w:p w14:paraId="4CD72C40" w14:textId="77777777" w:rsidR="008D0E01" w:rsidRPr="00EB6EDB" w:rsidRDefault="008D0E01" w:rsidP="00EB6EDB">
      <w:pPr>
        <w:pStyle w:val="Default"/>
        <w:spacing w:line="360" w:lineRule="auto"/>
        <w:ind w:firstLine="709"/>
        <w:jc w:val="center"/>
        <w:rPr>
          <w:sz w:val="28"/>
          <w:szCs w:val="28"/>
          <w:lang w:val="en-GB"/>
        </w:rPr>
      </w:pPr>
      <w:r w:rsidRPr="00EB6EDB">
        <w:rPr>
          <w:bCs/>
          <w:sz w:val="28"/>
          <w:szCs w:val="28"/>
          <w:lang w:val="en-GB"/>
        </w:rPr>
        <w:t>Annexes</w:t>
      </w:r>
    </w:p>
    <w:p w14:paraId="75C9679E" w14:textId="77777777" w:rsidR="00EB6EDB" w:rsidRDefault="00EB6EDB" w:rsidP="00DA0CA0">
      <w:pPr>
        <w:pStyle w:val="Default"/>
        <w:spacing w:line="360" w:lineRule="auto"/>
        <w:ind w:firstLine="709"/>
        <w:jc w:val="both"/>
        <w:rPr>
          <w:sz w:val="28"/>
          <w:szCs w:val="28"/>
          <w:lang w:val="en-GB"/>
        </w:rPr>
      </w:pPr>
    </w:p>
    <w:p w14:paraId="4A990678" w14:textId="77777777" w:rsidR="001F03AB" w:rsidRPr="001F03AB" w:rsidRDefault="001F03AB" w:rsidP="001F03AB">
      <w:pPr>
        <w:pStyle w:val="Default"/>
        <w:spacing w:line="360" w:lineRule="auto"/>
        <w:ind w:firstLine="709"/>
        <w:jc w:val="both"/>
        <w:rPr>
          <w:sz w:val="28"/>
          <w:szCs w:val="28"/>
          <w:lang w:val="en-US"/>
        </w:rPr>
      </w:pPr>
      <w:r w:rsidRPr="001F03AB">
        <w:rPr>
          <w:sz w:val="28"/>
          <w:szCs w:val="28"/>
          <w:lang w:val="en-US"/>
        </w:rPr>
        <w:t xml:space="preserve">7.1 This Agreement is composed of: </w:t>
      </w:r>
    </w:p>
    <w:p w14:paraId="6B99FCFD" w14:textId="77777777" w:rsidR="001F03AB" w:rsidRPr="001F03AB" w:rsidRDefault="001F03AB" w:rsidP="001F03AB">
      <w:pPr>
        <w:pStyle w:val="Default"/>
        <w:spacing w:line="360" w:lineRule="auto"/>
        <w:ind w:firstLine="709"/>
        <w:jc w:val="both"/>
        <w:rPr>
          <w:sz w:val="28"/>
          <w:szCs w:val="28"/>
          <w:lang w:val="en-US"/>
        </w:rPr>
      </w:pPr>
      <w:r w:rsidRPr="001F03AB">
        <w:rPr>
          <w:sz w:val="28"/>
          <w:szCs w:val="28"/>
          <w:lang w:val="en-US"/>
        </w:rPr>
        <w:t>(a) these Special Conditions;</w:t>
      </w:r>
    </w:p>
    <w:p w14:paraId="0D8B561F" w14:textId="77777777" w:rsidR="001F03AB" w:rsidRPr="001F03AB" w:rsidRDefault="001F03AB" w:rsidP="001F03AB">
      <w:pPr>
        <w:pStyle w:val="Default"/>
        <w:spacing w:line="360" w:lineRule="auto"/>
        <w:ind w:firstLine="709"/>
        <w:jc w:val="both"/>
        <w:rPr>
          <w:sz w:val="28"/>
          <w:szCs w:val="28"/>
          <w:lang w:val="en-US"/>
        </w:rPr>
      </w:pPr>
      <w:r w:rsidRPr="001F03AB">
        <w:rPr>
          <w:sz w:val="28"/>
          <w:szCs w:val="28"/>
          <w:lang w:val="en-US"/>
        </w:rPr>
        <w:t>(b) Annex I: General Conditions;</w:t>
      </w:r>
    </w:p>
    <w:p w14:paraId="35739F6E" w14:textId="77777777" w:rsidR="001F03AB" w:rsidRDefault="001F03AB" w:rsidP="00DA0CA0">
      <w:pPr>
        <w:pStyle w:val="Default"/>
        <w:spacing w:line="360" w:lineRule="auto"/>
        <w:ind w:firstLine="709"/>
        <w:jc w:val="both"/>
        <w:rPr>
          <w:sz w:val="28"/>
          <w:szCs w:val="28"/>
          <w:lang w:val="en-US"/>
        </w:rPr>
      </w:pPr>
      <w:r w:rsidRPr="001F03AB">
        <w:rPr>
          <w:sz w:val="28"/>
          <w:szCs w:val="28"/>
          <w:lang w:val="en-US"/>
        </w:rPr>
        <w:t xml:space="preserve">(c) Annex II: Award of procurement contracts by Russian private beneficiaries. </w:t>
      </w:r>
    </w:p>
    <w:p w14:paraId="2FB81355" w14:textId="77777777" w:rsidR="001F03AB" w:rsidRDefault="001F03AB" w:rsidP="00DA0CA0">
      <w:pPr>
        <w:pStyle w:val="Default"/>
        <w:spacing w:line="360" w:lineRule="auto"/>
        <w:ind w:firstLine="709"/>
        <w:jc w:val="both"/>
        <w:rPr>
          <w:sz w:val="28"/>
          <w:szCs w:val="28"/>
          <w:lang w:val="en-US"/>
        </w:rPr>
      </w:pPr>
    </w:p>
    <w:p w14:paraId="43CA6B96" w14:textId="77777777" w:rsidR="00E87DBB" w:rsidRDefault="008D0E01" w:rsidP="00DA0CA0">
      <w:pPr>
        <w:pStyle w:val="Default"/>
        <w:spacing w:line="360" w:lineRule="auto"/>
        <w:ind w:firstLine="709"/>
        <w:jc w:val="both"/>
        <w:rPr>
          <w:sz w:val="28"/>
          <w:szCs w:val="28"/>
          <w:lang w:val="en-GB"/>
        </w:rPr>
      </w:pPr>
      <w:r w:rsidRPr="00DA0CA0">
        <w:rPr>
          <w:sz w:val="28"/>
          <w:szCs w:val="28"/>
          <w:lang w:val="en-GB"/>
        </w:rPr>
        <w:t xml:space="preserve">7.2. In the event of a conflict between, on the one hand, the provisions of the Annexes and, on the other hand, the provisions of </w:t>
      </w:r>
      <w:r w:rsidR="0080479B">
        <w:rPr>
          <w:sz w:val="28"/>
          <w:szCs w:val="28"/>
          <w:lang w:val="en-GB"/>
        </w:rPr>
        <w:t xml:space="preserve">this </w:t>
      </w:r>
      <w:r w:rsidR="0080479B" w:rsidRPr="000A1ABE">
        <w:rPr>
          <w:sz w:val="28"/>
          <w:szCs w:val="28"/>
          <w:lang w:val="en-GB"/>
        </w:rPr>
        <w:t>Agreement</w:t>
      </w:r>
      <w:r w:rsidR="001F03AB" w:rsidRPr="000A1ABE">
        <w:rPr>
          <w:sz w:val="28"/>
          <w:szCs w:val="28"/>
          <w:lang w:val="en-GB"/>
        </w:rPr>
        <w:t xml:space="preserve"> </w:t>
      </w:r>
      <w:r w:rsidR="000A1ABE" w:rsidRPr="000A1ABE">
        <w:rPr>
          <w:sz w:val="28"/>
          <w:szCs w:val="28"/>
          <w:lang w:val="en-GB"/>
        </w:rPr>
        <w:t>(</w:t>
      </w:r>
      <w:r w:rsidRPr="000A1ABE">
        <w:rPr>
          <w:sz w:val="28"/>
          <w:szCs w:val="28"/>
          <w:lang w:val="en-GB"/>
        </w:rPr>
        <w:t>Special Conditions</w:t>
      </w:r>
      <w:r w:rsidR="000A1ABE" w:rsidRPr="000A1ABE">
        <w:rPr>
          <w:sz w:val="28"/>
          <w:szCs w:val="28"/>
          <w:lang w:val="en-GB"/>
        </w:rPr>
        <w:t>)</w:t>
      </w:r>
      <w:r w:rsidRPr="000A1ABE">
        <w:rPr>
          <w:sz w:val="28"/>
          <w:szCs w:val="28"/>
          <w:lang w:val="en-GB"/>
        </w:rPr>
        <w:t>,</w:t>
      </w:r>
      <w:r w:rsidRPr="00DA0CA0">
        <w:rPr>
          <w:sz w:val="28"/>
          <w:szCs w:val="28"/>
          <w:lang w:val="en-GB"/>
        </w:rPr>
        <w:t xml:space="preserve"> the latter shall take precedence. In the event of a conflict between the provisions of Annex I </w:t>
      </w:r>
      <w:r w:rsidR="008C7DE2" w:rsidRPr="00EB6EDB">
        <w:rPr>
          <w:bCs/>
          <w:sz w:val="28"/>
          <w:szCs w:val="28"/>
          <w:lang w:val="en-GB"/>
        </w:rPr>
        <w:t>(General Conditions)</w:t>
      </w:r>
      <w:r w:rsidR="006577C4" w:rsidRPr="001F009F">
        <w:rPr>
          <w:sz w:val="28"/>
          <w:szCs w:val="28"/>
          <w:lang w:val="en-GB"/>
        </w:rPr>
        <w:t xml:space="preserve"> </w:t>
      </w:r>
      <w:r w:rsidRPr="00DA0CA0">
        <w:rPr>
          <w:sz w:val="28"/>
          <w:szCs w:val="28"/>
          <w:lang w:val="en-GB"/>
        </w:rPr>
        <w:t>and those of Annex II</w:t>
      </w:r>
      <w:r w:rsidR="006577C4">
        <w:rPr>
          <w:sz w:val="28"/>
          <w:szCs w:val="28"/>
          <w:lang w:val="en-GB"/>
        </w:rPr>
        <w:t xml:space="preserve"> </w:t>
      </w:r>
      <w:r w:rsidR="006577C4" w:rsidRPr="001F009F">
        <w:rPr>
          <w:sz w:val="28"/>
          <w:szCs w:val="28"/>
          <w:lang w:val="en-GB"/>
        </w:rPr>
        <w:t>(Award of procurement contracts by Russian private beneficiaries)</w:t>
      </w:r>
      <w:r w:rsidRPr="00DA0CA0">
        <w:rPr>
          <w:sz w:val="28"/>
          <w:szCs w:val="28"/>
          <w:lang w:val="en-GB"/>
        </w:rPr>
        <w:t>, the provisions of</w:t>
      </w:r>
      <w:r w:rsidR="00EB6EDB">
        <w:rPr>
          <w:sz w:val="28"/>
          <w:szCs w:val="28"/>
          <w:lang w:val="en-GB"/>
        </w:rPr>
        <w:t xml:space="preserve"> Annex I</w:t>
      </w:r>
      <w:r w:rsidR="006577C4">
        <w:rPr>
          <w:sz w:val="28"/>
          <w:szCs w:val="28"/>
          <w:lang w:val="en-GB"/>
        </w:rPr>
        <w:t xml:space="preserve"> </w:t>
      </w:r>
      <w:r w:rsidR="006577C4" w:rsidRPr="001F009F">
        <w:rPr>
          <w:sz w:val="28"/>
          <w:szCs w:val="28"/>
          <w:lang w:val="en-GB"/>
        </w:rPr>
        <w:t xml:space="preserve">(General </w:t>
      </w:r>
      <w:r w:rsidR="00797835">
        <w:rPr>
          <w:sz w:val="28"/>
          <w:szCs w:val="28"/>
          <w:lang w:val="en-GB"/>
        </w:rPr>
        <w:t>C</w:t>
      </w:r>
      <w:r w:rsidR="006577C4" w:rsidRPr="001F009F">
        <w:rPr>
          <w:sz w:val="28"/>
          <w:szCs w:val="28"/>
          <w:lang w:val="en-GB"/>
        </w:rPr>
        <w:t>onditions)</w:t>
      </w:r>
      <w:r w:rsidR="00EB6EDB">
        <w:rPr>
          <w:sz w:val="28"/>
          <w:szCs w:val="28"/>
          <w:lang w:val="en-GB"/>
        </w:rPr>
        <w:t xml:space="preserve"> shall take precedence.</w:t>
      </w:r>
    </w:p>
    <w:p w14:paraId="478E2CD0" w14:textId="77777777" w:rsidR="00EB6EDB" w:rsidRPr="00DA0CA0" w:rsidRDefault="00EB6EDB" w:rsidP="00DA0CA0">
      <w:pPr>
        <w:pStyle w:val="Default"/>
        <w:spacing w:line="360" w:lineRule="auto"/>
        <w:ind w:firstLine="709"/>
        <w:jc w:val="both"/>
        <w:rPr>
          <w:b/>
          <w:bCs/>
          <w:sz w:val="28"/>
          <w:szCs w:val="28"/>
          <w:lang w:val="en-GB"/>
        </w:rPr>
      </w:pPr>
    </w:p>
    <w:p w14:paraId="345A00CE" w14:textId="77777777" w:rsidR="00EB6EDB" w:rsidRPr="00EB6EDB" w:rsidRDefault="008D0E01" w:rsidP="00EB6EDB">
      <w:pPr>
        <w:pStyle w:val="Default"/>
        <w:spacing w:line="360" w:lineRule="auto"/>
        <w:ind w:firstLine="709"/>
        <w:jc w:val="center"/>
        <w:rPr>
          <w:bCs/>
          <w:sz w:val="28"/>
          <w:szCs w:val="28"/>
          <w:lang w:val="en-GB"/>
        </w:rPr>
      </w:pPr>
      <w:r w:rsidRPr="00EB6EDB">
        <w:rPr>
          <w:bCs/>
          <w:sz w:val="28"/>
          <w:szCs w:val="28"/>
          <w:lang w:val="en-GB"/>
        </w:rPr>
        <w:t>Article 8</w:t>
      </w:r>
    </w:p>
    <w:p w14:paraId="7BDD9F1F" w14:textId="77777777" w:rsidR="008D0E01" w:rsidRPr="00522486" w:rsidRDefault="008D0E01" w:rsidP="00193C39">
      <w:pPr>
        <w:pStyle w:val="Default"/>
        <w:spacing w:line="360" w:lineRule="auto"/>
        <w:ind w:firstLine="709"/>
        <w:jc w:val="center"/>
        <w:rPr>
          <w:bCs/>
          <w:sz w:val="28"/>
          <w:szCs w:val="28"/>
          <w:lang w:val="en-US"/>
        </w:rPr>
      </w:pPr>
      <w:r w:rsidRPr="00EB6EDB">
        <w:rPr>
          <w:bCs/>
          <w:sz w:val="28"/>
          <w:szCs w:val="28"/>
          <w:lang w:val="en-GB"/>
        </w:rPr>
        <w:t>Provisions derogating from or supplementing Annex I (General Conditions)</w:t>
      </w:r>
    </w:p>
    <w:p w14:paraId="002E62A0" w14:textId="77777777" w:rsidR="00143B83" w:rsidRPr="00522486" w:rsidRDefault="00143B83" w:rsidP="00193C39">
      <w:pPr>
        <w:pStyle w:val="Default"/>
        <w:spacing w:line="360" w:lineRule="auto"/>
        <w:ind w:firstLine="709"/>
        <w:jc w:val="center"/>
        <w:rPr>
          <w:sz w:val="28"/>
          <w:szCs w:val="28"/>
          <w:lang w:val="en-US"/>
        </w:rPr>
      </w:pPr>
    </w:p>
    <w:p w14:paraId="0E8A3911" w14:textId="77777777" w:rsidR="000A1ABE" w:rsidRPr="000A1ABE" w:rsidRDefault="000A1ABE" w:rsidP="000A1ABE">
      <w:pPr>
        <w:pStyle w:val="Default"/>
        <w:spacing w:line="360" w:lineRule="auto"/>
        <w:ind w:firstLine="709"/>
        <w:jc w:val="both"/>
        <w:rPr>
          <w:sz w:val="28"/>
          <w:szCs w:val="28"/>
          <w:lang w:val="en-GB"/>
        </w:rPr>
      </w:pPr>
      <w:r w:rsidRPr="000A1ABE">
        <w:rPr>
          <w:sz w:val="28"/>
          <w:szCs w:val="28"/>
          <w:lang w:val="en-GB"/>
        </w:rPr>
        <w:t xml:space="preserve">The following shall supplement Annex I (General Conditions): </w:t>
      </w:r>
    </w:p>
    <w:p w14:paraId="67BC09B5" w14:textId="77777777" w:rsidR="00EB6EDB" w:rsidRDefault="000A1ABE" w:rsidP="000A1ABE">
      <w:pPr>
        <w:pStyle w:val="Default"/>
        <w:spacing w:line="360" w:lineRule="auto"/>
        <w:ind w:firstLine="709"/>
        <w:jc w:val="both"/>
        <w:rPr>
          <w:sz w:val="28"/>
          <w:szCs w:val="28"/>
          <w:lang w:val="en-GB"/>
        </w:rPr>
      </w:pPr>
      <w:r w:rsidRPr="000A1ABE">
        <w:rPr>
          <w:sz w:val="28"/>
          <w:szCs w:val="28"/>
          <w:lang w:val="en-GB"/>
        </w:rPr>
        <w:t>The Russian Federation and the Member State may conduct additional checks on the use of Programme financing under this Agreement each on its respective territory.</w:t>
      </w:r>
    </w:p>
    <w:p w14:paraId="6CC2B5FA" w14:textId="77777777" w:rsidR="00A87E4C" w:rsidRDefault="00A87E4C" w:rsidP="00A87E4C">
      <w:pPr>
        <w:spacing w:after="0" w:line="360" w:lineRule="auto"/>
        <w:rPr>
          <w:rFonts w:ascii="Times New Roman" w:hAnsi="Times New Roman"/>
          <w:sz w:val="28"/>
          <w:szCs w:val="28"/>
          <w:lang w:val="en-GB"/>
        </w:rPr>
      </w:pPr>
    </w:p>
    <w:p w14:paraId="65A30C57" w14:textId="77777777" w:rsidR="00EB6EDB" w:rsidRPr="00EB6EDB" w:rsidRDefault="00087A9E" w:rsidP="00EB6EDB">
      <w:pPr>
        <w:spacing w:after="0" w:line="360" w:lineRule="auto"/>
        <w:ind w:firstLine="709"/>
        <w:jc w:val="center"/>
        <w:rPr>
          <w:rFonts w:ascii="Times New Roman" w:hAnsi="Times New Roman"/>
          <w:sz w:val="28"/>
          <w:szCs w:val="28"/>
          <w:lang w:val="en-GB"/>
        </w:rPr>
      </w:pPr>
      <w:r w:rsidRPr="00EB6EDB">
        <w:rPr>
          <w:rFonts w:ascii="Times New Roman" w:hAnsi="Times New Roman"/>
          <w:sz w:val="28"/>
          <w:szCs w:val="28"/>
          <w:lang w:val="en-GB"/>
        </w:rPr>
        <w:t>Article 9</w:t>
      </w:r>
    </w:p>
    <w:p w14:paraId="3B1D5014" w14:textId="77777777" w:rsidR="00087A9E" w:rsidRPr="00EB6EDB" w:rsidRDefault="00087A9E" w:rsidP="00EB6EDB">
      <w:pPr>
        <w:spacing w:after="0" w:line="360" w:lineRule="auto"/>
        <w:ind w:firstLine="709"/>
        <w:jc w:val="center"/>
        <w:rPr>
          <w:rFonts w:ascii="Times New Roman" w:hAnsi="Times New Roman"/>
          <w:sz w:val="28"/>
          <w:szCs w:val="28"/>
          <w:lang w:val="en-GB"/>
        </w:rPr>
      </w:pPr>
      <w:r w:rsidRPr="00EB6EDB">
        <w:rPr>
          <w:rFonts w:ascii="Times New Roman" w:hAnsi="Times New Roman"/>
          <w:sz w:val="28"/>
          <w:szCs w:val="28"/>
          <w:lang w:val="en-GB"/>
        </w:rPr>
        <w:t>Consultations</w:t>
      </w:r>
    </w:p>
    <w:p w14:paraId="6E95ED5F" w14:textId="77777777" w:rsidR="00EB6EDB" w:rsidRDefault="00EB6EDB" w:rsidP="00DA0CA0">
      <w:pPr>
        <w:spacing w:after="0" w:line="360" w:lineRule="auto"/>
        <w:ind w:firstLine="709"/>
        <w:jc w:val="both"/>
        <w:rPr>
          <w:rFonts w:ascii="Times New Roman" w:hAnsi="Times New Roman"/>
          <w:sz w:val="28"/>
          <w:szCs w:val="28"/>
          <w:lang w:val="en-GB"/>
        </w:rPr>
      </w:pPr>
    </w:p>
    <w:p w14:paraId="08C05B1D" w14:textId="77777777" w:rsidR="00087A9E"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9.1 The Parties shall consult each other</w:t>
      </w:r>
      <w:r w:rsidR="000D40BE" w:rsidRPr="00DA0CA0">
        <w:rPr>
          <w:rFonts w:ascii="Times New Roman" w:hAnsi="Times New Roman"/>
          <w:sz w:val="28"/>
          <w:szCs w:val="28"/>
          <w:lang w:val="en-GB"/>
        </w:rPr>
        <w:t xml:space="preserve"> in order to resolve any disagreement relating to the implementation or interpretation of this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w:t>
      </w:r>
    </w:p>
    <w:p w14:paraId="567415EA" w14:textId="77777777" w:rsidR="00087A9E"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9.2 Where any of the Parties becomes aware of problems in carrying out procedures relating to management of this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 it shall establish all necessary contacts with the other Parties and the Managing Authority to remedy the situation and may take any steps that are necessary.</w:t>
      </w:r>
    </w:p>
    <w:p w14:paraId="3E799C8E" w14:textId="0ACEA075" w:rsidR="00087A9E"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9.3 The consultation may lead to the amendment, suspension or termination </w:t>
      </w:r>
      <w:r w:rsidR="006577C4" w:rsidRPr="00DA0CA0">
        <w:rPr>
          <w:rFonts w:ascii="Times New Roman" w:hAnsi="Times New Roman"/>
          <w:sz w:val="28"/>
          <w:szCs w:val="28"/>
          <w:lang w:val="en-GB"/>
        </w:rPr>
        <w:t>of</w:t>
      </w:r>
      <w:r w:rsidR="006577C4">
        <w:rPr>
          <w:rFonts w:ascii="Times New Roman" w:hAnsi="Times New Roman"/>
          <w:sz w:val="28"/>
          <w:szCs w:val="28"/>
          <w:lang w:val="en-GB"/>
        </w:rPr>
        <w:t> </w:t>
      </w:r>
      <w:r w:rsidRPr="00DA0CA0">
        <w:rPr>
          <w:rFonts w:ascii="Times New Roman" w:hAnsi="Times New Roman"/>
          <w:sz w:val="28"/>
          <w:szCs w:val="28"/>
          <w:lang w:val="en-GB"/>
        </w:rPr>
        <w:t xml:space="preserve">this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w:t>
      </w:r>
    </w:p>
    <w:p w14:paraId="5A77D8AA" w14:textId="77777777" w:rsidR="00EB6EDB" w:rsidRPr="00DA0CA0" w:rsidRDefault="00EB6EDB" w:rsidP="00DA0CA0">
      <w:pPr>
        <w:spacing w:after="0" w:line="360" w:lineRule="auto"/>
        <w:ind w:firstLine="709"/>
        <w:jc w:val="both"/>
        <w:rPr>
          <w:rFonts w:ascii="Times New Roman" w:hAnsi="Times New Roman"/>
          <w:sz w:val="28"/>
          <w:szCs w:val="28"/>
          <w:lang w:val="en-GB"/>
        </w:rPr>
      </w:pPr>
    </w:p>
    <w:p w14:paraId="42BFCCDF" w14:textId="77777777" w:rsidR="00EB6EDB" w:rsidRPr="00EB6EDB" w:rsidRDefault="00087A9E" w:rsidP="00EB6EDB">
      <w:pPr>
        <w:spacing w:after="0" w:line="360" w:lineRule="auto"/>
        <w:ind w:firstLine="709"/>
        <w:jc w:val="center"/>
        <w:rPr>
          <w:rFonts w:ascii="Times New Roman" w:hAnsi="Times New Roman"/>
          <w:sz w:val="28"/>
          <w:szCs w:val="28"/>
          <w:lang w:val="en-GB"/>
        </w:rPr>
      </w:pPr>
      <w:r w:rsidRPr="00EB6EDB">
        <w:rPr>
          <w:rFonts w:ascii="Times New Roman" w:hAnsi="Times New Roman"/>
          <w:sz w:val="28"/>
          <w:szCs w:val="28"/>
          <w:lang w:val="en-GB"/>
        </w:rPr>
        <w:t>Article 10</w:t>
      </w:r>
    </w:p>
    <w:p w14:paraId="53235C0E" w14:textId="77777777" w:rsidR="00087A9E" w:rsidRPr="00EB6EDB" w:rsidRDefault="00087A9E" w:rsidP="00EB6EDB">
      <w:pPr>
        <w:spacing w:after="0" w:line="360" w:lineRule="auto"/>
        <w:ind w:firstLine="709"/>
        <w:jc w:val="center"/>
        <w:rPr>
          <w:rFonts w:ascii="Times New Roman" w:hAnsi="Times New Roman"/>
          <w:sz w:val="28"/>
          <w:szCs w:val="28"/>
          <w:lang w:val="en-GB"/>
        </w:rPr>
      </w:pPr>
      <w:r w:rsidRPr="00EB6EDB">
        <w:rPr>
          <w:rFonts w:ascii="Times New Roman" w:hAnsi="Times New Roman"/>
          <w:sz w:val="28"/>
          <w:szCs w:val="28"/>
          <w:lang w:val="en-GB"/>
        </w:rPr>
        <w:t xml:space="preserve">Amendment of this </w:t>
      </w:r>
      <w:r w:rsidR="00853B2D" w:rsidRPr="00EB6EDB">
        <w:rPr>
          <w:rFonts w:ascii="Times New Roman" w:hAnsi="Times New Roman"/>
          <w:sz w:val="28"/>
          <w:szCs w:val="28"/>
          <w:lang w:val="en-GB"/>
        </w:rPr>
        <w:t>Agreement</w:t>
      </w:r>
    </w:p>
    <w:p w14:paraId="0E8F6526" w14:textId="77777777" w:rsidR="00EB6EDB" w:rsidRDefault="00EB6EDB" w:rsidP="00DA0CA0">
      <w:pPr>
        <w:spacing w:after="0" w:line="360" w:lineRule="auto"/>
        <w:ind w:firstLine="709"/>
        <w:jc w:val="both"/>
        <w:rPr>
          <w:rFonts w:ascii="Times New Roman" w:hAnsi="Times New Roman"/>
          <w:sz w:val="28"/>
          <w:szCs w:val="28"/>
          <w:lang w:val="en-GB"/>
        </w:rPr>
      </w:pPr>
    </w:p>
    <w:p w14:paraId="2E281109" w14:textId="77777777" w:rsidR="00087A9E"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10.1 Any amendment of this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 xml:space="preserve"> shall be made in writing, including the possibility of an exchange of letters upon agreement of the Parties.</w:t>
      </w:r>
    </w:p>
    <w:p w14:paraId="522262E1" w14:textId="77777777" w:rsidR="00087A9E"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10.2 The Party requesting the amendment shall submit the request to the other Parties at least three months before the amendment is intended to enter into force, except in cases which are duly </w:t>
      </w:r>
      <w:r w:rsidR="000A626E" w:rsidRPr="00DA0CA0">
        <w:rPr>
          <w:rFonts w:ascii="Times New Roman" w:hAnsi="Times New Roman"/>
          <w:sz w:val="28"/>
          <w:szCs w:val="28"/>
          <w:lang w:val="en-GB"/>
        </w:rPr>
        <w:t xml:space="preserve">justified </w:t>
      </w:r>
      <w:r w:rsidRPr="00DA0CA0">
        <w:rPr>
          <w:rFonts w:ascii="Times New Roman" w:hAnsi="Times New Roman"/>
          <w:sz w:val="28"/>
          <w:szCs w:val="28"/>
          <w:lang w:val="en-GB"/>
        </w:rPr>
        <w:t>by the requesting Party and accepted by the others.</w:t>
      </w:r>
    </w:p>
    <w:p w14:paraId="0C383F10" w14:textId="77777777" w:rsidR="00EB6EDB" w:rsidRPr="00DA0CA0" w:rsidRDefault="00EB6EDB" w:rsidP="00DA0CA0">
      <w:pPr>
        <w:spacing w:after="0" w:line="360" w:lineRule="auto"/>
        <w:ind w:firstLine="709"/>
        <w:jc w:val="both"/>
        <w:rPr>
          <w:rFonts w:ascii="Times New Roman" w:hAnsi="Times New Roman"/>
          <w:sz w:val="28"/>
          <w:szCs w:val="28"/>
          <w:lang w:val="en-GB"/>
        </w:rPr>
      </w:pPr>
    </w:p>
    <w:p w14:paraId="64D7FCD0" w14:textId="77777777" w:rsidR="00EB6EDB" w:rsidRPr="00EB6EDB" w:rsidRDefault="009D281A" w:rsidP="00EB6EDB">
      <w:pPr>
        <w:spacing w:after="0" w:line="360" w:lineRule="auto"/>
        <w:ind w:firstLine="709"/>
        <w:jc w:val="center"/>
        <w:rPr>
          <w:rFonts w:ascii="Times New Roman" w:hAnsi="Times New Roman"/>
          <w:sz w:val="28"/>
          <w:szCs w:val="28"/>
          <w:lang w:val="en-GB"/>
        </w:rPr>
      </w:pPr>
      <w:r w:rsidRPr="00EB6EDB">
        <w:rPr>
          <w:rFonts w:ascii="Times New Roman" w:hAnsi="Times New Roman"/>
          <w:sz w:val="28"/>
          <w:szCs w:val="28"/>
          <w:lang w:val="en-GB"/>
        </w:rPr>
        <w:t>Article 11</w:t>
      </w:r>
    </w:p>
    <w:p w14:paraId="4D0A93A6" w14:textId="77777777" w:rsidR="00087A9E" w:rsidRPr="00EB6EDB" w:rsidRDefault="009D281A" w:rsidP="00EB6EDB">
      <w:pPr>
        <w:spacing w:after="0" w:line="360" w:lineRule="auto"/>
        <w:ind w:firstLine="709"/>
        <w:jc w:val="center"/>
        <w:rPr>
          <w:rFonts w:ascii="Times New Roman" w:hAnsi="Times New Roman"/>
          <w:sz w:val="28"/>
          <w:szCs w:val="28"/>
          <w:lang w:val="en-GB"/>
        </w:rPr>
      </w:pPr>
      <w:r w:rsidRPr="00EB6EDB">
        <w:rPr>
          <w:rFonts w:ascii="Times New Roman" w:hAnsi="Times New Roman"/>
          <w:sz w:val="28"/>
          <w:szCs w:val="28"/>
          <w:lang w:val="en-GB"/>
        </w:rPr>
        <w:t xml:space="preserve">Suspension of this </w:t>
      </w:r>
      <w:r w:rsidR="00853B2D" w:rsidRPr="00EB6EDB">
        <w:rPr>
          <w:rFonts w:ascii="Times New Roman" w:hAnsi="Times New Roman"/>
          <w:sz w:val="28"/>
          <w:szCs w:val="28"/>
          <w:lang w:val="en-GB"/>
        </w:rPr>
        <w:t>Agreement</w:t>
      </w:r>
    </w:p>
    <w:p w14:paraId="29CF2A36" w14:textId="77777777" w:rsidR="00EB6EDB" w:rsidRDefault="00EB6EDB" w:rsidP="00DA0CA0">
      <w:pPr>
        <w:spacing w:after="0" w:line="360" w:lineRule="auto"/>
        <w:ind w:firstLine="709"/>
        <w:jc w:val="both"/>
        <w:rPr>
          <w:rFonts w:ascii="Times New Roman" w:hAnsi="Times New Roman"/>
          <w:sz w:val="28"/>
          <w:szCs w:val="28"/>
          <w:lang w:val="en-GB"/>
        </w:rPr>
      </w:pPr>
    </w:p>
    <w:p w14:paraId="0B932A78" w14:textId="77777777" w:rsidR="00087A9E"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11.1 The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 xml:space="preserve"> may be suspended in the following cases:</w:t>
      </w:r>
    </w:p>
    <w:p w14:paraId="27D0F0B2" w14:textId="77777777" w:rsidR="00087A9E"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 </w:t>
      </w:r>
      <w:r w:rsidR="00A935A7">
        <w:rPr>
          <w:rFonts w:ascii="Times New Roman" w:hAnsi="Times New Roman"/>
          <w:sz w:val="28"/>
          <w:szCs w:val="28"/>
          <w:lang w:val="en-GB"/>
        </w:rPr>
        <w:t>Each Party</w:t>
      </w:r>
      <w:r w:rsidR="000A626E" w:rsidRPr="00DA0CA0">
        <w:rPr>
          <w:rFonts w:ascii="Times New Roman" w:hAnsi="Times New Roman"/>
          <w:sz w:val="28"/>
          <w:szCs w:val="28"/>
          <w:lang w:val="en-GB"/>
        </w:rPr>
        <w:t xml:space="preserve"> </w:t>
      </w:r>
      <w:r w:rsidRPr="00DA0CA0">
        <w:rPr>
          <w:rFonts w:ascii="Times New Roman" w:hAnsi="Times New Roman"/>
          <w:sz w:val="28"/>
          <w:szCs w:val="28"/>
          <w:lang w:val="en-GB"/>
        </w:rPr>
        <w:t xml:space="preserve">may suspend the implementation of this </w:t>
      </w:r>
      <w:r w:rsidR="00853B2D" w:rsidRPr="00DA0CA0">
        <w:rPr>
          <w:rFonts w:ascii="Times New Roman" w:hAnsi="Times New Roman"/>
          <w:sz w:val="28"/>
          <w:szCs w:val="28"/>
          <w:lang w:val="en-GB"/>
        </w:rPr>
        <w:t>Agreement</w:t>
      </w:r>
      <w:r w:rsidR="00EB6EDB">
        <w:rPr>
          <w:rFonts w:ascii="Times New Roman" w:hAnsi="Times New Roman"/>
          <w:sz w:val="28"/>
          <w:szCs w:val="28"/>
          <w:lang w:val="en-GB"/>
        </w:rPr>
        <w:t xml:space="preserve"> if </w:t>
      </w:r>
      <w:r w:rsidR="002C33C2" w:rsidRPr="00DA0CA0">
        <w:rPr>
          <w:rFonts w:ascii="Times New Roman" w:hAnsi="Times New Roman"/>
          <w:sz w:val="28"/>
          <w:szCs w:val="28"/>
          <w:lang w:val="en-GB"/>
        </w:rPr>
        <w:t>one of the other</w:t>
      </w:r>
      <w:r w:rsidRPr="00DA0CA0">
        <w:rPr>
          <w:rFonts w:ascii="Times New Roman" w:hAnsi="Times New Roman"/>
          <w:sz w:val="28"/>
          <w:szCs w:val="28"/>
          <w:lang w:val="en-GB"/>
        </w:rPr>
        <w:t xml:space="preserve"> Part</w:t>
      </w:r>
      <w:r w:rsidR="002C33C2" w:rsidRPr="00DA0CA0">
        <w:rPr>
          <w:rFonts w:ascii="Times New Roman" w:hAnsi="Times New Roman"/>
          <w:sz w:val="28"/>
          <w:szCs w:val="28"/>
          <w:lang w:val="en-GB"/>
        </w:rPr>
        <w:t>ies</w:t>
      </w:r>
      <w:r w:rsidRPr="00DA0CA0">
        <w:rPr>
          <w:rFonts w:ascii="Times New Roman" w:hAnsi="Times New Roman"/>
          <w:sz w:val="28"/>
          <w:szCs w:val="28"/>
          <w:lang w:val="en-GB"/>
        </w:rPr>
        <w:t xml:space="preserve"> breaches an obligation under this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w:t>
      </w:r>
    </w:p>
    <w:p w14:paraId="15AEB1DC" w14:textId="77777777" w:rsidR="00087A9E"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 </w:t>
      </w:r>
      <w:r w:rsidR="00A935A7">
        <w:rPr>
          <w:rFonts w:ascii="Times New Roman" w:hAnsi="Times New Roman"/>
          <w:sz w:val="28"/>
          <w:szCs w:val="28"/>
          <w:lang w:val="en-GB"/>
        </w:rPr>
        <w:t>Each Party</w:t>
      </w:r>
      <w:r w:rsidRPr="00DA0CA0">
        <w:rPr>
          <w:rFonts w:ascii="Times New Roman" w:hAnsi="Times New Roman"/>
          <w:sz w:val="28"/>
          <w:szCs w:val="28"/>
          <w:lang w:val="en-GB"/>
        </w:rPr>
        <w:t xml:space="preserve"> may suspend this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 xml:space="preserve"> in case of breach </w:t>
      </w:r>
      <w:r w:rsidR="00447FAE">
        <w:rPr>
          <w:rFonts w:ascii="Times New Roman" w:hAnsi="Times New Roman"/>
          <w:sz w:val="28"/>
          <w:szCs w:val="28"/>
          <w:lang w:val="en-GB"/>
        </w:rPr>
        <w:t xml:space="preserve">by </w:t>
      </w:r>
      <w:r w:rsidR="00447FAE" w:rsidRPr="00DA0CA0">
        <w:rPr>
          <w:rFonts w:ascii="Times New Roman" w:hAnsi="Times New Roman"/>
          <w:sz w:val="28"/>
          <w:szCs w:val="28"/>
          <w:lang w:val="en-GB"/>
        </w:rPr>
        <w:t xml:space="preserve">one of the other Parties </w:t>
      </w:r>
      <w:r w:rsidRPr="00DA0CA0">
        <w:rPr>
          <w:rFonts w:ascii="Times New Roman" w:hAnsi="Times New Roman"/>
          <w:sz w:val="28"/>
          <w:szCs w:val="28"/>
          <w:lang w:val="en-GB"/>
        </w:rPr>
        <w:t xml:space="preserve">of an </w:t>
      </w:r>
      <w:r w:rsidR="00885B32" w:rsidRPr="00DA0CA0">
        <w:rPr>
          <w:rFonts w:ascii="Times New Roman" w:hAnsi="Times New Roman"/>
          <w:sz w:val="28"/>
          <w:szCs w:val="28"/>
          <w:lang w:val="en-GB"/>
        </w:rPr>
        <w:t xml:space="preserve">international legal </w:t>
      </w:r>
      <w:r w:rsidRPr="00DA0CA0">
        <w:rPr>
          <w:rFonts w:ascii="Times New Roman" w:hAnsi="Times New Roman"/>
          <w:sz w:val="28"/>
          <w:szCs w:val="28"/>
          <w:lang w:val="en-GB"/>
        </w:rPr>
        <w:t>obligation relating to</w:t>
      </w:r>
      <w:r w:rsidR="00B63655" w:rsidRPr="00DA0CA0">
        <w:rPr>
          <w:rFonts w:ascii="Times New Roman" w:hAnsi="Times New Roman"/>
          <w:sz w:val="28"/>
          <w:szCs w:val="28"/>
          <w:lang w:val="en-GB"/>
        </w:rPr>
        <w:t xml:space="preserve"> </w:t>
      </w:r>
      <w:r w:rsidRPr="00DA0CA0">
        <w:rPr>
          <w:rFonts w:ascii="Times New Roman" w:hAnsi="Times New Roman"/>
          <w:sz w:val="28"/>
          <w:szCs w:val="28"/>
          <w:lang w:val="en-GB"/>
        </w:rPr>
        <w:t>respect for human rights, democratic principles and the rule of law and in serious cases of corruption</w:t>
      </w:r>
      <w:r w:rsidR="00B63655" w:rsidRPr="00DA0CA0">
        <w:rPr>
          <w:rFonts w:ascii="Times New Roman" w:hAnsi="Times New Roman"/>
          <w:sz w:val="28"/>
          <w:szCs w:val="28"/>
          <w:lang w:val="en-GB"/>
        </w:rPr>
        <w:t xml:space="preserve"> as defined in Article 18.3 of Annex I (General Conditions)</w:t>
      </w:r>
      <w:r w:rsidRPr="00DA0CA0">
        <w:rPr>
          <w:rFonts w:ascii="Times New Roman" w:hAnsi="Times New Roman"/>
          <w:sz w:val="28"/>
          <w:szCs w:val="28"/>
          <w:lang w:val="en-GB"/>
        </w:rPr>
        <w:t>.</w:t>
      </w:r>
    </w:p>
    <w:p w14:paraId="69EA0C8D" w14:textId="77777777" w:rsidR="00087A9E"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 This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 xml:space="preserve"> may be suspended in cases of force majeure, as defined below. </w:t>
      </w:r>
    </w:p>
    <w:p w14:paraId="52F06FF0" w14:textId="33EE69C4" w:rsidR="00087A9E"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"Force majeure" shall mean any unforeseeable and exceptional situation or event beyond the </w:t>
      </w:r>
      <w:r w:rsidR="00143B83">
        <w:rPr>
          <w:rFonts w:ascii="Times New Roman" w:hAnsi="Times New Roman"/>
          <w:sz w:val="28"/>
          <w:szCs w:val="28"/>
          <w:lang w:val="en-GB"/>
        </w:rPr>
        <w:t>P</w:t>
      </w:r>
      <w:r w:rsidR="00143B83" w:rsidRPr="00DA0CA0">
        <w:rPr>
          <w:rFonts w:ascii="Times New Roman" w:hAnsi="Times New Roman"/>
          <w:sz w:val="28"/>
          <w:szCs w:val="28"/>
          <w:lang w:val="en-GB"/>
        </w:rPr>
        <w:t xml:space="preserve">arties' </w:t>
      </w:r>
      <w:r w:rsidRPr="00DA0CA0">
        <w:rPr>
          <w:rFonts w:ascii="Times New Roman" w:hAnsi="Times New Roman"/>
          <w:sz w:val="28"/>
          <w:szCs w:val="28"/>
          <w:lang w:val="en-GB"/>
        </w:rPr>
        <w:t xml:space="preserve">control which prevents either of them from fulfilling any of their obligations, not attributable to error or negligence on their part (or the part of their contractors, agents or employees) and proves insurmountable in spite of all due diligence. Defects in equipment or material or delays in making them available, labour disputes, strikes or financial difficulties cannot be invoked as force majeure. A </w:t>
      </w:r>
      <w:r w:rsidR="00AF215A" w:rsidRPr="00DA0CA0">
        <w:rPr>
          <w:rFonts w:ascii="Times New Roman" w:hAnsi="Times New Roman"/>
          <w:sz w:val="28"/>
          <w:szCs w:val="28"/>
          <w:lang w:val="en-GB"/>
        </w:rPr>
        <w:t>P</w:t>
      </w:r>
      <w:r w:rsidRPr="00DA0CA0">
        <w:rPr>
          <w:rFonts w:ascii="Times New Roman" w:hAnsi="Times New Roman"/>
          <w:sz w:val="28"/>
          <w:szCs w:val="28"/>
          <w:lang w:val="en-GB"/>
        </w:rPr>
        <w:t xml:space="preserve">arty faced with force majeure shall inform the other </w:t>
      </w:r>
      <w:r w:rsidR="00AF215A" w:rsidRPr="00DA0CA0">
        <w:rPr>
          <w:rFonts w:ascii="Times New Roman" w:hAnsi="Times New Roman"/>
          <w:sz w:val="28"/>
          <w:szCs w:val="28"/>
          <w:lang w:val="en-GB"/>
        </w:rPr>
        <w:t>P</w:t>
      </w:r>
      <w:r w:rsidRPr="00DA0CA0">
        <w:rPr>
          <w:rFonts w:ascii="Times New Roman" w:hAnsi="Times New Roman"/>
          <w:sz w:val="28"/>
          <w:szCs w:val="28"/>
          <w:lang w:val="en-GB"/>
        </w:rPr>
        <w:t>art</w:t>
      </w:r>
      <w:r w:rsidR="00AF215A" w:rsidRPr="00DA0CA0">
        <w:rPr>
          <w:rFonts w:ascii="Times New Roman" w:hAnsi="Times New Roman"/>
          <w:sz w:val="28"/>
          <w:szCs w:val="28"/>
          <w:lang w:val="en-GB"/>
        </w:rPr>
        <w:t>ies</w:t>
      </w:r>
      <w:r w:rsidRPr="00DA0CA0">
        <w:rPr>
          <w:rFonts w:ascii="Times New Roman" w:hAnsi="Times New Roman"/>
          <w:sz w:val="28"/>
          <w:szCs w:val="28"/>
          <w:lang w:val="en-GB"/>
        </w:rPr>
        <w:t xml:space="preserve"> without delay, stating the nature, probable duration and foreseeable effects of the problem, and take any measure to minimise possible damage.</w:t>
      </w:r>
    </w:p>
    <w:p w14:paraId="6D03278C" w14:textId="77777777" w:rsidR="00087A9E"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 None of the Parties shall be held liable for breach of its obligations under this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 xml:space="preserve"> if it is prevented from fulfilling them by force majeure, provided</w:t>
      </w:r>
      <w:r w:rsidR="004A2A8B" w:rsidRPr="00DA0CA0">
        <w:rPr>
          <w:rFonts w:ascii="Times New Roman" w:hAnsi="Times New Roman"/>
          <w:sz w:val="28"/>
          <w:szCs w:val="28"/>
          <w:lang w:val="en-GB"/>
        </w:rPr>
        <w:t xml:space="preserve"> that</w:t>
      </w:r>
      <w:r w:rsidRPr="00DA0CA0">
        <w:rPr>
          <w:rFonts w:ascii="Times New Roman" w:hAnsi="Times New Roman"/>
          <w:sz w:val="28"/>
          <w:szCs w:val="28"/>
          <w:lang w:val="en-GB"/>
        </w:rPr>
        <w:t xml:space="preserve"> it takes measures to minimise any possible damage</w:t>
      </w:r>
      <w:r w:rsidR="004A2A8B" w:rsidRPr="00DA0CA0">
        <w:rPr>
          <w:rFonts w:ascii="Times New Roman" w:hAnsi="Times New Roman"/>
          <w:sz w:val="28"/>
          <w:szCs w:val="28"/>
          <w:lang w:val="en-GB"/>
        </w:rPr>
        <w:t xml:space="preserve"> and that the other Parties are duly informed</w:t>
      </w:r>
      <w:r w:rsidRPr="00DA0CA0">
        <w:rPr>
          <w:rFonts w:ascii="Times New Roman" w:hAnsi="Times New Roman"/>
          <w:sz w:val="28"/>
          <w:szCs w:val="28"/>
          <w:lang w:val="en-GB"/>
        </w:rPr>
        <w:t>.</w:t>
      </w:r>
    </w:p>
    <w:p w14:paraId="2D110C23" w14:textId="77777777" w:rsidR="00087A9E"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11.2 </w:t>
      </w:r>
      <w:r w:rsidR="00A935A7">
        <w:rPr>
          <w:rFonts w:ascii="Times New Roman" w:hAnsi="Times New Roman"/>
          <w:sz w:val="28"/>
          <w:szCs w:val="28"/>
          <w:lang w:val="en-GB"/>
        </w:rPr>
        <w:t>Each Party</w:t>
      </w:r>
      <w:r w:rsidRPr="00DA0CA0">
        <w:rPr>
          <w:rFonts w:ascii="Times New Roman" w:hAnsi="Times New Roman"/>
          <w:sz w:val="28"/>
          <w:szCs w:val="28"/>
          <w:lang w:val="en-GB"/>
        </w:rPr>
        <w:t xml:space="preserve"> may take any appropriate precautionary measure before suspension takes place.</w:t>
      </w:r>
    </w:p>
    <w:p w14:paraId="020B724F" w14:textId="77777777" w:rsidR="00087A9E"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11.3 When the suspension is notified, the consequences for the ongoing procurement and grant contracts and for such contracts to be signed shall be indicated.</w:t>
      </w:r>
    </w:p>
    <w:p w14:paraId="0C2D0124" w14:textId="77777777" w:rsidR="000C3CA8"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11.4 </w:t>
      </w:r>
      <w:r w:rsidR="000E5413" w:rsidRPr="00DA0CA0">
        <w:rPr>
          <w:rFonts w:ascii="Times New Roman" w:hAnsi="Times New Roman"/>
          <w:sz w:val="28"/>
          <w:szCs w:val="28"/>
          <w:lang w:val="en-GB"/>
        </w:rPr>
        <w:t xml:space="preserve">Irrespective of the Parties' right to suspend the Agreement, </w:t>
      </w:r>
      <w:r w:rsidR="00A935A7">
        <w:rPr>
          <w:rFonts w:ascii="Times New Roman" w:hAnsi="Times New Roman"/>
          <w:sz w:val="28"/>
          <w:szCs w:val="28"/>
          <w:lang w:val="en-GB"/>
        </w:rPr>
        <w:t>each Party</w:t>
      </w:r>
      <w:r w:rsidR="00E75530" w:rsidRPr="00DA0CA0">
        <w:rPr>
          <w:rFonts w:ascii="Times New Roman" w:hAnsi="Times New Roman"/>
          <w:sz w:val="28"/>
          <w:szCs w:val="28"/>
          <w:lang w:val="en-GB"/>
        </w:rPr>
        <w:t xml:space="preserve"> </w:t>
      </w:r>
      <w:r w:rsidR="00415D48" w:rsidRPr="00DA0CA0">
        <w:rPr>
          <w:rFonts w:ascii="Times New Roman" w:hAnsi="Times New Roman"/>
          <w:sz w:val="28"/>
          <w:szCs w:val="28"/>
          <w:lang w:val="en-GB"/>
        </w:rPr>
        <w:t>that co-finance</w:t>
      </w:r>
      <w:r w:rsidR="00A935A7">
        <w:rPr>
          <w:rFonts w:ascii="Times New Roman" w:hAnsi="Times New Roman"/>
          <w:sz w:val="28"/>
          <w:szCs w:val="28"/>
          <w:lang w:val="en-GB"/>
        </w:rPr>
        <w:t>s</w:t>
      </w:r>
      <w:r w:rsidR="00F172F8" w:rsidRPr="00DA0CA0">
        <w:rPr>
          <w:rFonts w:ascii="Times New Roman" w:hAnsi="Times New Roman"/>
          <w:sz w:val="28"/>
          <w:szCs w:val="28"/>
          <w:lang w:val="en-GB"/>
        </w:rPr>
        <w:t xml:space="preserve"> the</w:t>
      </w:r>
      <w:r w:rsidR="00E75530" w:rsidRPr="00DA0CA0">
        <w:rPr>
          <w:rFonts w:ascii="Times New Roman" w:hAnsi="Times New Roman"/>
          <w:sz w:val="28"/>
          <w:szCs w:val="28"/>
          <w:lang w:val="en-GB"/>
        </w:rPr>
        <w:t xml:space="preserve"> Programme</w:t>
      </w:r>
      <w:r w:rsidR="000E5413" w:rsidRPr="00DA0CA0">
        <w:rPr>
          <w:rFonts w:ascii="Times New Roman" w:hAnsi="Times New Roman"/>
          <w:sz w:val="28"/>
          <w:szCs w:val="28"/>
          <w:lang w:val="en-GB"/>
        </w:rPr>
        <w:t xml:space="preserve"> may suspend all or part of the</w:t>
      </w:r>
      <w:r w:rsidR="000A626E" w:rsidRPr="00DA0CA0">
        <w:rPr>
          <w:rFonts w:ascii="Times New Roman" w:hAnsi="Times New Roman"/>
          <w:sz w:val="28"/>
          <w:szCs w:val="28"/>
          <w:lang w:val="en-GB"/>
        </w:rPr>
        <w:t>ir</w:t>
      </w:r>
      <w:r w:rsidR="000E5413" w:rsidRPr="00DA0CA0">
        <w:rPr>
          <w:rFonts w:ascii="Times New Roman" w:hAnsi="Times New Roman"/>
          <w:sz w:val="28"/>
          <w:szCs w:val="28"/>
          <w:lang w:val="en-GB"/>
        </w:rPr>
        <w:t xml:space="preserve"> payments</w:t>
      </w:r>
      <w:r w:rsidRPr="00DA0CA0">
        <w:rPr>
          <w:rFonts w:ascii="Times New Roman" w:hAnsi="Times New Roman"/>
          <w:sz w:val="28"/>
          <w:szCs w:val="28"/>
          <w:lang w:val="en-GB"/>
        </w:rPr>
        <w:t xml:space="preserve"> in duly justified cases after having given the Managing Authority the opportunity to present its observations.</w:t>
      </w:r>
    </w:p>
    <w:p w14:paraId="35917DA6" w14:textId="77777777" w:rsidR="00087A9E"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11.5 </w:t>
      </w:r>
      <w:r w:rsidR="003A3676">
        <w:rPr>
          <w:rFonts w:ascii="Times New Roman" w:hAnsi="Times New Roman"/>
          <w:sz w:val="28"/>
          <w:szCs w:val="28"/>
          <w:lang w:val="en-GB"/>
        </w:rPr>
        <w:t>Each Party</w:t>
      </w:r>
      <w:r w:rsidRPr="00DA0CA0">
        <w:rPr>
          <w:rFonts w:ascii="Times New Roman" w:hAnsi="Times New Roman"/>
          <w:sz w:val="28"/>
          <w:szCs w:val="28"/>
          <w:lang w:val="en-GB"/>
        </w:rPr>
        <w:t xml:space="preserve"> shall resume the implementation of the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 xml:space="preserve"> once the conditions allow with prior mutual written approval. This is without prejudice to any amendments </w:t>
      </w:r>
      <w:r w:rsidR="000A626E" w:rsidRPr="00DA0CA0">
        <w:rPr>
          <w:rFonts w:ascii="Times New Roman" w:hAnsi="Times New Roman"/>
          <w:sz w:val="28"/>
          <w:szCs w:val="28"/>
          <w:lang w:val="en-GB"/>
        </w:rPr>
        <w:t xml:space="preserve">to </w:t>
      </w:r>
      <w:r w:rsidRPr="00DA0CA0">
        <w:rPr>
          <w:rFonts w:ascii="Times New Roman" w:hAnsi="Times New Roman"/>
          <w:sz w:val="28"/>
          <w:szCs w:val="28"/>
          <w:lang w:val="en-GB"/>
        </w:rPr>
        <w:t xml:space="preserve">this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 xml:space="preserve"> which may be necessary to adapt the action to the new implementing conditions, including, if possible, the extension of the implementation period, or the termination of this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 xml:space="preserve"> in accordance with Article 12</w:t>
      </w:r>
      <w:r w:rsidR="002E1DAF">
        <w:rPr>
          <w:rFonts w:ascii="Times New Roman" w:hAnsi="Times New Roman"/>
          <w:sz w:val="28"/>
          <w:szCs w:val="28"/>
          <w:lang w:val="en-GB"/>
        </w:rPr>
        <w:t xml:space="preserve"> of this Agreement (</w:t>
      </w:r>
      <w:r w:rsidR="00BC6E9C">
        <w:rPr>
          <w:rFonts w:ascii="Times New Roman" w:hAnsi="Times New Roman"/>
          <w:sz w:val="28"/>
          <w:szCs w:val="28"/>
          <w:lang w:val="en-GB"/>
        </w:rPr>
        <w:t>Special Conditions</w:t>
      </w:r>
      <w:r w:rsidR="002E1DAF">
        <w:rPr>
          <w:rFonts w:ascii="Times New Roman" w:hAnsi="Times New Roman"/>
          <w:sz w:val="28"/>
          <w:szCs w:val="28"/>
          <w:lang w:val="en-GB"/>
        </w:rPr>
        <w:t>)</w:t>
      </w:r>
      <w:r w:rsidRPr="00DA0CA0">
        <w:rPr>
          <w:rFonts w:ascii="Times New Roman" w:hAnsi="Times New Roman"/>
          <w:sz w:val="28"/>
          <w:szCs w:val="28"/>
          <w:lang w:val="en-GB"/>
        </w:rPr>
        <w:t>.</w:t>
      </w:r>
    </w:p>
    <w:p w14:paraId="298E2349" w14:textId="77777777" w:rsidR="00EB6EDB" w:rsidRPr="00DA0CA0" w:rsidRDefault="00EB6EDB" w:rsidP="00DA0CA0">
      <w:pPr>
        <w:spacing w:after="0" w:line="360" w:lineRule="auto"/>
        <w:ind w:firstLine="709"/>
        <w:jc w:val="both"/>
        <w:rPr>
          <w:rFonts w:ascii="Times New Roman" w:hAnsi="Times New Roman"/>
          <w:sz w:val="28"/>
          <w:szCs w:val="28"/>
          <w:lang w:val="en-GB"/>
        </w:rPr>
      </w:pPr>
    </w:p>
    <w:p w14:paraId="4CEC77D8" w14:textId="77777777" w:rsidR="00EB6EDB" w:rsidRPr="00EB6EDB" w:rsidRDefault="00087A9E" w:rsidP="00EB6EDB">
      <w:pPr>
        <w:spacing w:after="0" w:line="360" w:lineRule="auto"/>
        <w:ind w:firstLine="709"/>
        <w:jc w:val="center"/>
        <w:rPr>
          <w:rFonts w:ascii="Times New Roman" w:hAnsi="Times New Roman"/>
          <w:sz w:val="28"/>
          <w:szCs w:val="28"/>
          <w:lang w:val="en-GB"/>
        </w:rPr>
      </w:pPr>
      <w:r w:rsidRPr="00EB6EDB">
        <w:rPr>
          <w:rFonts w:ascii="Times New Roman" w:hAnsi="Times New Roman"/>
          <w:sz w:val="28"/>
          <w:szCs w:val="28"/>
          <w:lang w:val="en-GB"/>
        </w:rPr>
        <w:t>Article 12</w:t>
      </w:r>
    </w:p>
    <w:p w14:paraId="26BE6885" w14:textId="77777777" w:rsidR="00087A9E" w:rsidRPr="00EB6EDB" w:rsidRDefault="00087A9E" w:rsidP="00EB6EDB">
      <w:pPr>
        <w:spacing w:after="0" w:line="360" w:lineRule="auto"/>
        <w:ind w:firstLine="709"/>
        <w:jc w:val="center"/>
        <w:rPr>
          <w:rFonts w:ascii="Times New Roman" w:hAnsi="Times New Roman"/>
          <w:sz w:val="28"/>
          <w:szCs w:val="28"/>
          <w:lang w:val="en-GB"/>
        </w:rPr>
      </w:pPr>
      <w:r w:rsidRPr="00EB6EDB">
        <w:rPr>
          <w:rFonts w:ascii="Times New Roman" w:hAnsi="Times New Roman"/>
          <w:sz w:val="28"/>
          <w:szCs w:val="28"/>
          <w:lang w:val="en-GB"/>
        </w:rPr>
        <w:t xml:space="preserve">Termination of this </w:t>
      </w:r>
      <w:r w:rsidR="00853B2D" w:rsidRPr="00EB6EDB">
        <w:rPr>
          <w:rFonts w:ascii="Times New Roman" w:hAnsi="Times New Roman"/>
          <w:sz w:val="28"/>
          <w:szCs w:val="28"/>
          <w:lang w:val="en-GB"/>
        </w:rPr>
        <w:t>Agreement</w:t>
      </w:r>
    </w:p>
    <w:p w14:paraId="71BC81FE" w14:textId="77777777" w:rsidR="00EB6EDB" w:rsidRDefault="00EB6EDB" w:rsidP="00DA0CA0">
      <w:pPr>
        <w:spacing w:after="0" w:line="360" w:lineRule="auto"/>
        <w:ind w:firstLine="709"/>
        <w:jc w:val="both"/>
        <w:rPr>
          <w:rFonts w:ascii="Times New Roman" w:hAnsi="Times New Roman"/>
          <w:sz w:val="28"/>
          <w:szCs w:val="28"/>
          <w:lang w:val="en-GB"/>
        </w:rPr>
      </w:pPr>
    </w:p>
    <w:p w14:paraId="67D3D8A5" w14:textId="77777777" w:rsidR="00087A9E"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12.1 If the issues which led to the suspension of this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 xml:space="preserve"> have not been resolved within a maximum period of 180 days, </w:t>
      </w:r>
      <w:r w:rsidR="00A935A7">
        <w:rPr>
          <w:rFonts w:ascii="Times New Roman" w:hAnsi="Times New Roman"/>
          <w:sz w:val="28"/>
          <w:szCs w:val="28"/>
          <w:lang w:val="en-GB"/>
        </w:rPr>
        <w:t>each Party</w:t>
      </w:r>
      <w:r w:rsidR="000E5413" w:rsidRPr="00DA0CA0">
        <w:rPr>
          <w:rFonts w:ascii="Times New Roman" w:hAnsi="Times New Roman"/>
          <w:sz w:val="28"/>
          <w:szCs w:val="28"/>
          <w:lang w:val="en-GB"/>
        </w:rPr>
        <w:t xml:space="preserve"> </w:t>
      </w:r>
      <w:r w:rsidRPr="00DA0CA0">
        <w:rPr>
          <w:rFonts w:ascii="Times New Roman" w:hAnsi="Times New Roman"/>
          <w:sz w:val="28"/>
          <w:szCs w:val="28"/>
          <w:lang w:val="en-GB"/>
        </w:rPr>
        <w:t xml:space="preserve">may terminate this </w:t>
      </w:r>
      <w:r w:rsidR="00853B2D" w:rsidRPr="00DA0CA0">
        <w:rPr>
          <w:rFonts w:ascii="Times New Roman" w:hAnsi="Times New Roman"/>
          <w:sz w:val="28"/>
          <w:szCs w:val="28"/>
          <w:lang w:val="en-GB"/>
        </w:rPr>
        <w:t>Agreement</w:t>
      </w:r>
      <w:r w:rsidRPr="00DA0CA0">
        <w:rPr>
          <w:rFonts w:ascii="Times New Roman" w:hAnsi="Times New Roman"/>
          <w:sz w:val="28"/>
          <w:szCs w:val="28"/>
          <w:lang w:val="en-GB"/>
        </w:rPr>
        <w:t xml:space="preserve"> at 30 days' notice.</w:t>
      </w:r>
    </w:p>
    <w:p w14:paraId="452B1705" w14:textId="77777777" w:rsidR="00087A9E" w:rsidRPr="00DA0CA0"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 xml:space="preserve">12.2 When the termination is notified, the consequences </w:t>
      </w:r>
      <w:r w:rsidR="002C33C2" w:rsidRPr="00DA0CA0">
        <w:rPr>
          <w:rFonts w:ascii="Times New Roman" w:hAnsi="Times New Roman"/>
          <w:sz w:val="28"/>
          <w:szCs w:val="28"/>
          <w:lang w:val="en-GB"/>
        </w:rPr>
        <w:t>for</w:t>
      </w:r>
      <w:r w:rsidRPr="00DA0CA0">
        <w:rPr>
          <w:rFonts w:ascii="Times New Roman" w:hAnsi="Times New Roman"/>
          <w:sz w:val="28"/>
          <w:szCs w:val="28"/>
          <w:lang w:val="en-GB"/>
        </w:rPr>
        <w:t xml:space="preserve"> the ongoing </w:t>
      </w:r>
      <w:r w:rsidR="002C33C2" w:rsidRPr="00DA0CA0">
        <w:rPr>
          <w:rFonts w:ascii="Times New Roman" w:hAnsi="Times New Roman"/>
          <w:sz w:val="28"/>
          <w:szCs w:val="28"/>
          <w:lang w:val="en-GB"/>
        </w:rPr>
        <w:t xml:space="preserve">procurement and </w:t>
      </w:r>
      <w:r w:rsidRPr="00DA0CA0">
        <w:rPr>
          <w:rFonts w:ascii="Times New Roman" w:hAnsi="Times New Roman"/>
          <w:sz w:val="28"/>
          <w:szCs w:val="28"/>
          <w:lang w:val="en-GB"/>
        </w:rPr>
        <w:t xml:space="preserve">contracts and </w:t>
      </w:r>
      <w:r w:rsidR="0021576B">
        <w:rPr>
          <w:rFonts w:ascii="Times New Roman" w:hAnsi="Times New Roman"/>
          <w:sz w:val="28"/>
          <w:szCs w:val="28"/>
          <w:lang w:val="en-GB"/>
        </w:rPr>
        <w:t xml:space="preserve">for </w:t>
      </w:r>
      <w:r w:rsidR="002C33C2" w:rsidRPr="00DA0CA0">
        <w:rPr>
          <w:rFonts w:ascii="Times New Roman" w:hAnsi="Times New Roman"/>
          <w:sz w:val="28"/>
          <w:szCs w:val="28"/>
          <w:lang w:val="en-GB"/>
        </w:rPr>
        <w:t xml:space="preserve">such </w:t>
      </w:r>
      <w:r w:rsidRPr="00DA0CA0">
        <w:rPr>
          <w:rFonts w:ascii="Times New Roman" w:hAnsi="Times New Roman"/>
          <w:sz w:val="28"/>
          <w:szCs w:val="28"/>
          <w:lang w:val="en-GB"/>
        </w:rPr>
        <w:t>contracts to be signed shall be indicated.</w:t>
      </w:r>
    </w:p>
    <w:p w14:paraId="211EF5EE" w14:textId="77777777" w:rsidR="00087A9E" w:rsidRDefault="00087A9E" w:rsidP="00DA0CA0">
      <w:pPr>
        <w:spacing w:after="0" w:line="360" w:lineRule="auto"/>
        <w:ind w:firstLine="709"/>
        <w:jc w:val="both"/>
        <w:rPr>
          <w:rFonts w:ascii="Times New Roman" w:hAnsi="Times New Roman"/>
          <w:sz w:val="28"/>
          <w:szCs w:val="28"/>
          <w:lang w:val="en-GB"/>
        </w:rPr>
      </w:pPr>
      <w:r w:rsidRPr="00DA0CA0">
        <w:rPr>
          <w:rFonts w:ascii="Times New Roman" w:hAnsi="Times New Roman"/>
          <w:sz w:val="28"/>
          <w:szCs w:val="28"/>
          <w:lang w:val="en-GB"/>
        </w:rPr>
        <w:t>12.3 Where the Programme cannot be implemented due to problems arising in relations between Participating Countries and in other duly justified cases, the Co</w:t>
      </w:r>
      <w:r w:rsidR="000A1ABE">
        <w:rPr>
          <w:rFonts w:ascii="Times New Roman" w:hAnsi="Times New Roman"/>
          <w:sz w:val="28"/>
          <w:szCs w:val="28"/>
          <w:lang w:val="en-GB"/>
        </w:rPr>
        <w:t xml:space="preserve">mmission </w:t>
      </w:r>
      <w:r w:rsidRPr="00DA0CA0">
        <w:rPr>
          <w:rFonts w:ascii="Times New Roman" w:hAnsi="Times New Roman"/>
          <w:sz w:val="28"/>
          <w:szCs w:val="28"/>
          <w:lang w:val="en-GB"/>
        </w:rPr>
        <w:t>may decide to discontinue the Programme before the expiry date of the period of execution at the request of the Joint Monitoring Committee or on its own initiative after having consulted the Joint Monitoring Committee.</w:t>
      </w:r>
    </w:p>
    <w:p w14:paraId="3BCD8081" w14:textId="77777777" w:rsidR="00EB6EDB" w:rsidRPr="00DA0CA0" w:rsidRDefault="00EB6EDB" w:rsidP="00DA0CA0">
      <w:pPr>
        <w:spacing w:after="0" w:line="360" w:lineRule="auto"/>
        <w:ind w:firstLine="709"/>
        <w:jc w:val="both"/>
        <w:rPr>
          <w:rFonts w:ascii="Times New Roman" w:hAnsi="Times New Roman"/>
          <w:sz w:val="28"/>
          <w:szCs w:val="28"/>
          <w:lang w:val="en-GB"/>
        </w:rPr>
      </w:pPr>
    </w:p>
    <w:p w14:paraId="55C7B4EC" w14:textId="77777777" w:rsidR="00EB6EDB" w:rsidRPr="00EB6EDB" w:rsidRDefault="00087A9E" w:rsidP="00EB6EDB">
      <w:pPr>
        <w:pStyle w:val="Default"/>
        <w:spacing w:line="360" w:lineRule="auto"/>
        <w:ind w:firstLine="709"/>
        <w:jc w:val="center"/>
        <w:rPr>
          <w:bCs/>
          <w:sz w:val="28"/>
          <w:szCs w:val="28"/>
          <w:lang w:val="en-GB"/>
        </w:rPr>
      </w:pPr>
      <w:r w:rsidRPr="00EB6EDB">
        <w:rPr>
          <w:bCs/>
          <w:sz w:val="28"/>
          <w:szCs w:val="28"/>
          <w:lang w:val="en-GB"/>
        </w:rPr>
        <w:t>Article 13</w:t>
      </w:r>
    </w:p>
    <w:p w14:paraId="69749654" w14:textId="77777777" w:rsidR="008D0E01" w:rsidRPr="00EB6EDB" w:rsidRDefault="009D281A" w:rsidP="00EB6EDB">
      <w:pPr>
        <w:pStyle w:val="Default"/>
        <w:spacing w:line="360" w:lineRule="auto"/>
        <w:ind w:firstLine="709"/>
        <w:jc w:val="center"/>
        <w:rPr>
          <w:sz w:val="28"/>
          <w:szCs w:val="28"/>
          <w:lang w:val="en-GB"/>
        </w:rPr>
      </w:pPr>
      <w:r w:rsidRPr="00EB6EDB">
        <w:rPr>
          <w:bCs/>
          <w:sz w:val="28"/>
          <w:szCs w:val="28"/>
          <w:lang w:val="en-GB"/>
        </w:rPr>
        <w:t>Entry into force</w:t>
      </w:r>
    </w:p>
    <w:p w14:paraId="38B7F121" w14:textId="77777777" w:rsidR="00EB6EDB" w:rsidRDefault="00EB6EDB" w:rsidP="00DA0CA0">
      <w:pPr>
        <w:autoSpaceDE w:val="0"/>
        <w:autoSpaceDN w:val="0"/>
        <w:adjustRightInd w:val="0"/>
        <w:spacing w:after="0" w:line="360" w:lineRule="auto"/>
        <w:ind w:firstLine="709"/>
        <w:jc w:val="both"/>
        <w:rPr>
          <w:rFonts w:ascii="Times New Roman" w:hAnsi="Times New Roman"/>
          <w:color w:val="000000"/>
          <w:sz w:val="28"/>
          <w:szCs w:val="28"/>
          <w:lang w:val="en-US"/>
        </w:rPr>
      </w:pPr>
    </w:p>
    <w:p w14:paraId="03AA45F3" w14:textId="77777777" w:rsidR="00394F4A" w:rsidRPr="00DA0CA0" w:rsidRDefault="00394F4A" w:rsidP="00DA0CA0">
      <w:pPr>
        <w:autoSpaceDE w:val="0"/>
        <w:autoSpaceDN w:val="0"/>
        <w:adjustRightInd w:val="0"/>
        <w:spacing w:after="0" w:line="360" w:lineRule="auto"/>
        <w:ind w:firstLine="709"/>
        <w:jc w:val="both"/>
        <w:rPr>
          <w:rFonts w:ascii="Times New Roman" w:hAnsi="Times New Roman"/>
          <w:color w:val="000000"/>
          <w:sz w:val="28"/>
          <w:szCs w:val="28"/>
          <w:lang w:val="en-US"/>
        </w:rPr>
      </w:pPr>
      <w:r w:rsidRPr="00DA0CA0">
        <w:rPr>
          <w:rFonts w:ascii="Times New Roman" w:hAnsi="Times New Roman"/>
          <w:color w:val="000000"/>
          <w:sz w:val="28"/>
          <w:szCs w:val="28"/>
          <w:lang w:val="en-US"/>
        </w:rPr>
        <w:t xml:space="preserve">This </w:t>
      </w:r>
      <w:r w:rsidR="00853B2D" w:rsidRPr="00DA0CA0">
        <w:rPr>
          <w:rFonts w:ascii="Times New Roman" w:hAnsi="Times New Roman"/>
          <w:color w:val="000000"/>
          <w:sz w:val="28"/>
          <w:szCs w:val="28"/>
          <w:lang w:val="en-US"/>
        </w:rPr>
        <w:t>Agreement</w:t>
      </w:r>
      <w:r w:rsidRPr="00DA0CA0">
        <w:rPr>
          <w:rFonts w:ascii="Times New Roman" w:hAnsi="Times New Roman"/>
          <w:color w:val="000000"/>
          <w:sz w:val="28"/>
          <w:szCs w:val="28"/>
          <w:lang w:val="en-US"/>
        </w:rPr>
        <w:t xml:space="preserve"> shall enter into force on the</w:t>
      </w:r>
      <w:r w:rsidR="00052D3E" w:rsidRPr="00DA0CA0">
        <w:rPr>
          <w:rFonts w:ascii="Times New Roman" w:hAnsi="Times New Roman"/>
          <w:color w:val="000000"/>
          <w:sz w:val="28"/>
          <w:szCs w:val="28"/>
          <w:lang w:val="en-US"/>
        </w:rPr>
        <w:t xml:space="preserve"> first day of the </w:t>
      </w:r>
      <w:r w:rsidR="00FE207C" w:rsidRPr="00DA0CA0">
        <w:rPr>
          <w:rFonts w:ascii="Times New Roman" w:hAnsi="Times New Roman"/>
          <w:color w:val="000000"/>
          <w:sz w:val="28"/>
          <w:szCs w:val="28"/>
          <w:lang w:val="en-US"/>
        </w:rPr>
        <w:t xml:space="preserve">second </w:t>
      </w:r>
      <w:r w:rsidR="00052D3E" w:rsidRPr="00DA0CA0">
        <w:rPr>
          <w:rFonts w:ascii="Times New Roman" w:hAnsi="Times New Roman"/>
          <w:color w:val="000000"/>
          <w:sz w:val="28"/>
          <w:szCs w:val="28"/>
          <w:lang w:val="en-US"/>
        </w:rPr>
        <w:t xml:space="preserve">month following the </w:t>
      </w:r>
      <w:r w:rsidRPr="00DA0CA0">
        <w:rPr>
          <w:rFonts w:ascii="Times New Roman" w:hAnsi="Times New Roman"/>
          <w:color w:val="000000"/>
          <w:sz w:val="28"/>
          <w:szCs w:val="28"/>
          <w:lang w:val="en-US"/>
        </w:rPr>
        <w:t xml:space="preserve">date on which the Commission receives the last notification from the Russian Federation </w:t>
      </w:r>
      <w:r w:rsidR="00052D3E" w:rsidRPr="00DA0CA0">
        <w:rPr>
          <w:rFonts w:ascii="Times New Roman" w:hAnsi="Times New Roman"/>
          <w:color w:val="000000"/>
          <w:sz w:val="28"/>
          <w:szCs w:val="28"/>
          <w:lang w:val="en-US"/>
        </w:rPr>
        <w:t>or</w:t>
      </w:r>
      <w:r w:rsidR="000E5413" w:rsidRPr="00DA0CA0">
        <w:rPr>
          <w:rFonts w:ascii="Times New Roman" w:hAnsi="Times New Roman"/>
          <w:color w:val="000000"/>
          <w:sz w:val="28"/>
          <w:szCs w:val="28"/>
          <w:lang w:val="en-US"/>
        </w:rPr>
        <w:t xml:space="preserve"> the Member State </w:t>
      </w:r>
      <w:r w:rsidRPr="00DA0CA0">
        <w:rPr>
          <w:rFonts w:ascii="Times New Roman" w:hAnsi="Times New Roman"/>
          <w:color w:val="000000"/>
          <w:sz w:val="28"/>
          <w:szCs w:val="28"/>
          <w:lang w:val="en-US"/>
        </w:rPr>
        <w:t xml:space="preserve">confirming the completion of the internal procedures necessary for its entry into force. The Commission shall inform the Russian Federation and the Member State of the date of receipt of this notification. </w:t>
      </w:r>
    </w:p>
    <w:p w14:paraId="364A2F47" w14:textId="77777777" w:rsidR="001878D7" w:rsidRDefault="001878D7" w:rsidP="00EB6EDB">
      <w:pPr>
        <w:autoSpaceDE w:val="0"/>
        <w:autoSpaceDN w:val="0"/>
        <w:adjustRightInd w:val="0"/>
        <w:spacing w:after="0" w:line="360" w:lineRule="auto"/>
        <w:ind w:firstLine="709"/>
        <w:jc w:val="both"/>
        <w:rPr>
          <w:rFonts w:ascii="Times New Roman" w:hAnsi="Times New Roman"/>
          <w:color w:val="000000"/>
          <w:sz w:val="28"/>
          <w:szCs w:val="28"/>
          <w:lang w:val="en-US"/>
        </w:rPr>
      </w:pPr>
    </w:p>
    <w:p w14:paraId="570492E1" w14:textId="77777777" w:rsidR="001878D7" w:rsidRPr="001878D7" w:rsidRDefault="001878D7" w:rsidP="00B94D84">
      <w:pPr>
        <w:spacing w:after="120" w:line="360" w:lineRule="auto"/>
        <w:ind w:firstLine="709"/>
        <w:jc w:val="both"/>
        <w:rPr>
          <w:rFonts w:ascii="Times New Roman" w:hAnsi="Times New Roman"/>
          <w:sz w:val="28"/>
          <w:szCs w:val="28"/>
          <w:lang w:val="en-GB"/>
        </w:rPr>
      </w:pPr>
      <w:r w:rsidRPr="001878D7">
        <w:rPr>
          <w:rFonts w:ascii="Times New Roman" w:hAnsi="Times New Roman"/>
          <w:sz w:val="28"/>
          <w:szCs w:val="28"/>
          <w:lang w:val="en-GB"/>
        </w:rPr>
        <w:t xml:space="preserve">Done in </w:t>
      </w:r>
      <w:r w:rsidR="000A1ABE">
        <w:rPr>
          <w:rFonts w:ascii="Times New Roman" w:hAnsi="Times New Roman"/>
          <w:sz w:val="28"/>
          <w:szCs w:val="28"/>
          <w:lang w:val="en-GB"/>
        </w:rPr>
        <w:t>three</w:t>
      </w:r>
      <w:r w:rsidRPr="001878D7">
        <w:rPr>
          <w:rFonts w:ascii="Times New Roman" w:hAnsi="Times New Roman"/>
          <w:sz w:val="28"/>
          <w:szCs w:val="28"/>
          <w:lang w:val="en-GB"/>
        </w:rPr>
        <w:t xml:space="preserve"> copies</w:t>
      </w:r>
      <w:r w:rsidR="008878EC">
        <w:rPr>
          <w:rFonts w:ascii="Times New Roman" w:hAnsi="Times New Roman"/>
          <w:sz w:val="28"/>
          <w:szCs w:val="28"/>
          <w:lang w:val="en-GB"/>
        </w:rPr>
        <w:t>, each in Russian and English</w:t>
      </w:r>
      <w:r w:rsidR="00576C6B">
        <w:rPr>
          <w:rFonts w:ascii="Times New Roman" w:hAnsi="Times New Roman"/>
          <w:sz w:val="28"/>
          <w:szCs w:val="28"/>
          <w:lang w:val="en-GB"/>
        </w:rPr>
        <w:t>, one for</w:t>
      </w:r>
      <w:r w:rsidR="000A1ABE">
        <w:rPr>
          <w:rFonts w:ascii="Times New Roman" w:hAnsi="Times New Roman"/>
          <w:sz w:val="28"/>
          <w:szCs w:val="28"/>
          <w:lang w:val="en-GB"/>
        </w:rPr>
        <w:t xml:space="preserve"> each P</w:t>
      </w:r>
      <w:r w:rsidR="008878EC">
        <w:rPr>
          <w:rFonts w:ascii="Times New Roman" w:hAnsi="Times New Roman"/>
          <w:sz w:val="28"/>
          <w:szCs w:val="28"/>
          <w:lang w:val="en-GB"/>
        </w:rPr>
        <w:t>arty,</w:t>
      </w:r>
      <w:r>
        <w:rPr>
          <w:rFonts w:ascii="Times New Roman" w:hAnsi="Times New Roman"/>
          <w:sz w:val="28"/>
          <w:szCs w:val="28"/>
          <w:lang w:val="en-GB"/>
        </w:rPr>
        <w:t xml:space="preserve"> all the texts</w:t>
      </w:r>
      <w:r w:rsidRPr="001878D7">
        <w:rPr>
          <w:rFonts w:ascii="Times New Roman" w:hAnsi="Times New Roman"/>
          <w:sz w:val="28"/>
          <w:szCs w:val="28"/>
          <w:lang w:val="en-GB"/>
        </w:rPr>
        <w:t xml:space="preserve"> having equal legal effect. </w:t>
      </w:r>
    </w:p>
    <w:p w14:paraId="6583A4A4" w14:textId="77777777" w:rsidR="00FE207C" w:rsidRPr="00DA0CA0" w:rsidRDefault="00FE207C" w:rsidP="00DA0CA0">
      <w:pPr>
        <w:spacing w:after="0" w:line="360" w:lineRule="auto"/>
        <w:ind w:firstLine="709"/>
        <w:jc w:val="both"/>
        <w:rPr>
          <w:rFonts w:ascii="Times New Roman" w:hAnsi="Times New Roman"/>
          <w:sz w:val="28"/>
          <w:szCs w:val="28"/>
          <w:lang w:val="en-US"/>
        </w:rPr>
      </w:pPr>
    </w:p>
    <w:tbl>
      <w:tblPr>
        <w:tblW w:w="13424" w:type="dxa"/>
        <w:tblLayout w:type="fixed"/>
        <w:tblLook w:val="04A0" w:firstRow="1" w:lastRow="0" w:firstColumn="1" w:lastColumn="0" w:noHBand="0" w:noVBand="1"/>
      </w:tblPr>
      <w:tblGrid>
        <w:gridCol w:w="3356"/>
        <w:gridCol w:w="3356"/>
        <w:gridCol w:w="3356"/>
        <w:gridCol w:w="3356"/>
      </w:tblGrid>
      <w:tr w:rsidR="00907334" w:rsidRPr="00A2361D" w14:paraId="09614CB4" w14:textId="167DD7C4" w:rsidTr="00907334">
        <w:trPr>
          <w:trHeight w:val="1664"/>
        </w:trPr>
        <w:tc>
          <w:tcPr>
            <w:tcW w:w="3356" w:type="dxa"/>
            <w:hideMark/>
          </w:tcPr>
          <w:p w14:paraId="2563C6A1" w14:textId="5347C6AF" w:rsidR="00907334" w:rsidRPr="00AC735B" w:rsidRDefault="00907334" w:rsidP="00A87E4C">
            <w:pPr>
              <w:pStyle w:val="Default"/>
              <w:jc w:val="center"/>
              <w:rPr>
                <w:rFonts w:eastAsia="MS Mincho"/>
                <w:sz w:val="28"/>
                <w:szCs w:val="28"/>
                <w:lang w:val="en-GB"/>
              </w:rPr>
            </w:pPr>
            <w:r w:rsidRPr="0063111D">
              <w:rPr>
                <w:sz w:val="28"/>
                <w:szCs w:val="28"/>
                <w:lang w:val="en-GB"/>
              </w:rPr>
              <w:t>FOR THE</w:t>
            </w:r>
            <w:r>
              <w:rPr>
                <w:sz w:val="28"/>
                <w:szCs w:val="28"/>
                <w:lang w:val="en-GB"/>
              </w:rPr>
              <w:t xml:space="preserve"> EUROPEAN</w:t>
            </w:r>
          </w:p>
          <w:p w14:paraId="5D58CE06" w14:textId="356A2F83" w:rsidR="00907334" w:rsidRPr="0063111D" w:rsidRDefault="00907334" w:rsidP="00A87E4C">
            <w:pPr>
              <w:pStyle w:val="Default"/>
              <w:jc w:val="center"/>
              <w:rPr>
                <w:rFonts w:eastAsiaTheme="minorEastAsia" w:cstheme="minorBidi"/>
                <w:sz w:val="28"/>
                <w:szCs w:val="28"/>
                <w:lang w:val="en-GB"/>
              </w:rPr>
            </w:pPr>
            <w:r w:rsidRPr="0063111D">
              <w:rPr>
                <w:sz w:val="28"/>
                <w:szCs w:val="28"/>
                <w:lang w:val="en-GB"/>
              </w:rPr>
              <w:t>COMMISSION</w:t>
            </w:r>
            <w:r w:rsidRPr="0063111D" w:rsidDel="00AC735B">
              <w:rPr>
                <w:sz w:val="28"/>
                <w:szCs w:val="28"/>
                <w:lang w:val="en-GB"/>
              </w:rPr>
              <w:t xml:space="preserve"> </w:t>
            </w:r>
          </w:p>
        </w:tc>
        <w:tc>
          <w:tcPr>
            <w:tcW w:w="3356" w:type="dxa"/>
          </w:tcPr>
          <w:p w14:paraId="5DEBE5A8" w14:textId="1EAD5EA8" w:rsidR="00907334" w:rsidRPr="0063111D" w:rsidRDefault="00907334" w:rsidP="00A87E4C">
            <w:pPr>
              <w:pStyle w:val="Default"/>
              <w:jc w:val="center"/>
              <w:rPr>
                <w:sz w:val="28"/>
                <w:szCs w:val="28"/>
                <w:lang w:val="en-GB"/>
              </w:rPr>
            </w:pPr>
            <w:r w:rsidRPr="0063111D">
              <w:rPr>
                <w:sz w:val="28"/>
                <w:szCs w:val="28"/>
                <w:lang w:val="en-GB"/>
              </w:rPr>
              <w:t>FOR THE GOVERNMENT OF THE RUSSIAN FEDERATION</w:t>
            </w:r>
            <w:r w:rsidRPr="0063111D" w:rsidDel="00AC735B">
              <w:rPr>
                <w:sz w:val="28"/>
                <w:szCs w:val="28"/>
                <w:lang w:val="en-GB"/>
              </w:rPr>
              <w:t xml:space="preserve"> </w:t>
            </w:r>
          </w:p>
        </w:tc>
        <w:tc>
          <w:tcPr>
            <w:tcW w:w="3356" w:type="dxa"/>
            <w:hideMark/>
          </w:tcPr>
          <w:p w14:paraId="32E4AA2D" w14:textId="4F5CF5D5" w:rsidR="00907334" w:rsidRPr="0063111D" w:rsidRDefault="00907334" w:rsidP="00A87E4C">
            <w:pPr>
              <w:pStyle w:val="Default"/>
              <w:jc w:val="center"/>
              <w:rPr>
                <w:rFonts w:eastAsiaTheme="minorEastAsia" w:cstheme="minorBidi"/>
                <w:sz w:val="28"/>
                <w:szCs w:val="28"/>
                <w:lang w:val="en-GB"/>
              </w:rPr>
            </w:pPr>
            <w:r w:rsidRPr="0063111D">
              <w:rPr>
                <w:sz w:val="28"/>
                <w:szCs w:val="28"/>
                <w:lang w:val="en-GB"/>
              </w:rPr>
              <w:t>FOR THE GOVERNMENT OF THE REPUBLIC OF LATVIA</w:t>
            </w:r>
          </w:p>
        </w:tc>
        <w:tc>
          <w:tcPr>
            <w:tcW w:w="3356" w:type="dxa"/>
          </w:tcPr>
          <w:p w14:paraId="74CB4401" w14:textId="25D2DFCE" w:rsidR="00907334" w:rsidRPr="0063111D" w:rsidRDefault="00907334" w:rsidP="00A87E4C">
            <w:pPr>
              <w:pStyle w:val="Default"/>
              <w:jc w:val="center"/>
              <w:rPr>
                <w:sz w:val="28"/>
                <w:szCs w:val="28"/>
                <w:lang w:val="en-GB"/>
              </w:rPr>
            </w:pPr>
          </w:p>
        </w:tc>
      </w:tr>
      <w:tr w:rsidR="00907334" w:rsidRPr="00A2361D" w14:paraId="315CA48E" w14:textId="34FCD758" w:rsidTr="00907334">
        <w:trPr>
          <w:trHeight w:val="2046"/>
        </w:trPr>
        <w:tc>
          <w:tcPr>
            <w:tcW w:w="3356" w:type="dxa"/>
            <w:hideMark/>
          </w:tcPr>
          <w:p w14:paraId="57711A1D" w14:textId="16969015" w:rsidR="00907334" w:rsidRPr="0063111D" w:rsidRDefault="00907334" w:rsidP="00A87E4C">
            <w:pPr>
              <w:pStyle w:val="Default"/>
              <w:jc w:val="center"/>
              <w:rPr>
                <w:rFonts w:eastAsiaTheme="minorEastAsia" w:cstheme="minorBidi"/>
                <w:sz w:val="28"/>
                <w:szCs w:val="28"/>
                <w:lang w:val="en-GB"/>
              </w:rPr>
            </w:pPr>
            <w:r w:rsidRPr="0063111D">
              <w:rPr>
                <w:sz w:val="28"/>
                <w:szCs w:val="28"/>
                <w:lang w:val="en-GB"/>
              </w:rPr>
              <w:t>Lawrence Meredith Director Neighbourhood East</w:t>
            </w:r>
            <w:r w:rsidRPr="0063111D" w:rsidDel="00AC735B">
              <w:rPr>
                <w:sz w:val="28"/>
                <w:szCs w:val="28"/>
                <w:lang w:val="en-GB"/>
              </w:rPr>
              <w:t xml:space="preserve"> </w:t>
            </w:r>
          </w:p>
        </w:tc>
        <w:tc>
          <w:tcPr>
            <w:tcW w:w="3356" w:type="dxa"/>
          </w:tcPr>
          <w:p w14:paraId="612F74E5" w14:textId="7C981CD7" w:rsidR="00907334" w:rsidRPr="00A52529" w:rsidRDefault="00907334" w:rsidP="00A87E4C">
            <w:pPr>
              <w:pStyle w:val="Default"/>
              <w:jc w:val="center"/>
              <w:rPr>
                <w:sz w:val="28"/>
                <w:szCs w:val="28"/>
                <w:lang w:val="en-GB"/>
              </w:rPr>
            </w:pPr>
            <w:r w:rsidRPr="0063111D" w:rsidDel="00AC735B">
              <w:rPr>
                <w:sz w:val="28"/>
                <w:szCs w:val="28"/>
                <w:lang w:val="en-GB"/>
              </w:rPr>
              <w:t xml:space="preserve"> </w:t>
            </w:r>
          </w:p>
        </w:tc>
        <w:tc>
          <w:tcPr>
            <w:tcW w:w="3356" w:type="dxa"/>
            <w:hideMark/>
          </w:tcPr>
          <w:p w14:paraId="2903B157" w14:textId="5DF2474E" w:rsidR="00907334" w:rsidRPr="00A52529" w:rsidRDefault="00907334" w:rsidP="00A87E4C">
            <w:pPr>
              <w:pStyle w:val="Default"/>
              <w:jc w:val="center"/>
              <w:rPr>
                <w:rFonts w:eastAsiaTheme="minorEastAsia" w:cstheme="minorBidi"/>
                <w:sz w:val="28"/>
                <w:szCs w:val="28"/>
                <w:lang w:val="en-GB"/>
              </w:rPr>
            </w:pPr>
            <w:r w:rsidRPr="00A52529">
              <w:rPr>
                <w:sz w:val="28"/>
                <w:szCs w:val="28"/>
                <w:lang w:val="en-GB"/>
              </w:rPr>
              <w:t>Kaspars Gerhards</w:t>
            </w:r>
          </w:p>
          <w:p w14:paraId="0DB7122D" w14:textId="77777777" w:rsidR="00907334" w:rsidRPr="00A52529" w:rsidRDefault="00907334" w:rsidP="00A87E4C">
            <w:pPr>
              <w:pStyle w:val="Default"/>
              <w:jc w:val="center"/>
              <w:rPr>
                <w:rFonts w:eastAsiaTheme="minorEastAsia" w:cstheme="minorBidi"/>
                <w:sz w:val="28"/>
                <w:szCs w:val="28"/>
                <w:lang w:val="en-GB"/>
              </w:rPr>
            </w:pPr>
            <w:r w:rsidRPr="00A52529">
              <w:rPr>
                <w:sz w:val="28"/>
                <w:szCs w:val="28"/>
                <w:lang w:val="en-GB"/>
              </w:rPr>
              <w:t>Minister of Environmental Protection and Regional Development</w:t>
            </w:r>
          </w:p>
          <w:p w14:paraId="43410B55" w14:textId="77777777" w:rsidR="00907334" w:rsidRPr="00A52529" w:rsidRDefault="00907334" w:rsidP="00A87E4C">
            <w:pPr>
              <w:pStyle w:val="Default"/>
              <w:jc w:val="center"/>
              <w:rPr>
                <w:rFonts w:eastAsiaTheme="minorEastAsia" w:cstheme="minorBidi"/>
                <w:sz w:val="28"/>
                <w:szCs w:val="28"/>
                <w:lang w:val="en-GB"/>
              </w:rPr>
            </w:pPr>
            <w:r w:rsidRPr="00A52529">
              <w:rPr>
                <w:sz w:val="28"/>
                <w:szCs w:val="28"/>
                <w:lang w:val="en-GB"/>
              </w:rPr>
              <w:t>of the Republic of Latvia</w:t>
            </w:r>
          </w:p>
        </w:tc>
        <w:tc>
          <w:tcPr>
            <w:tcW w:w="3356" w:type="dxa"/>
          </w:tcPr>
          <w:p w14:paraId="62DE23E8" w14:textId="34F7E249" w:rsidR="00907334" w:rsidRPr="00A52529" w:rsidRDefault="00907334" w:rsidP="00A87E4C">
            <w:pPr>
              <w:pStyle w:val="Default"/>
              <w:jc w:val="center"/>
              <w:rPr>
                <w:sz w:val="28"/>
                <w:szCs w:val="28"/>
                <w:lang w:val="en-GB"/>
              </w:rPr>
            </w:pPr>
          </w:p>
        </w:tc>
      </w:tr>
      <w:tr w:rsidR="00907334" w:rsidRPr="0063111D" w14:paraId="1F92541D" w14:textId="7F146C6B" w:rsidTr="00907334">
        <w:trPr>
          <w:trHeight w:val="1098"/>
        </w:trPr>
        <w:tc>
          <w:tcPr>
            <w:tcW w:w="3356" w:type="dxa"/>
          </w:tcPr>
          <w:p w14:paraId="59132138" w14:textId="77777777" w:rsidR="00907334" w:rsidRDefault="00907334" w:rsidP="00522486">
            <w:pPr>
              <w:pStyle w:val="Default"/>
              <w:spacing w:line="360" w:lineRule="auto"/>
              <w:rPr>
                <w:sz w:val="28"/>
                <w:szCs w:val="28"/>
                <w:lang w:val="en-GB"/>
              </w:rPr>
            </w:pPr>
          </w:p>
          <w:p w14:paraId="5A2E1FBA" w14:textId="7C22C85D" w:rsidR="00907334" w:rsidRPr="0063111D" w:rsidRDefault="00907334" w:rsidP="00A87E4C">
            <w:pPr>
              <w:pStyle w:val="Default"/>
              <w:spacing w:line="360" w:lineRule="auto"/>
              <w:ind w:firstLine="50"/>
              <w:jc w:val="center"/>
              <w:rPr>
                <w:sz w:val="28"/>
                <w:szCs w:val="28"/>
                <w:lang w:val="en-GB"/>
              </w:rPr>
            </w:pPr>
            <w:r w:rsidRPr="00A87E4C">
              <w:rPr>
                <w:sz w:val="28"/>
                <w:szCs w:val="28"/>
                <w:lang w:val="en-GB"/>
              </w:rPr>
              <w:t>Signature</w:t>
            </w:r>
          </w:p>
        </w:tc>
        <w:tc>
          <w:tcPr>
            <w:tcW w:w="3356" w:type="dxa"/>
          </w:tcPr>
          <w:p w14:paraId="1A996A14" w14:textId="77777777" w:rsidR="00907334" w:rsidRDefault="00907334" w:rsidP="00522486">
            <w:pPr>
              <w:pStyle w:val="Default"/>
              <w:spacing w:line="360" w:lineRule="auto"/>
              <w:rPr>
                <w:sz w:val="28"/>
                <w:szCs w:val="28"/>
                <w:lang w:val="en-GB"/>
              </w:rPr>
            </w:pPr>
          </w:p>
          <w:p w14:paraId="5EFFD180" w14:textId="0A873BCA" w:rsidR="00907334" w:rsidRDefault="00907334" w:rsidP="00A87E4C">
            <w:pPr>
              <w:pStyle w:val="Default"/>
              <w:spacing w:line="360" w:lineRule="auto"/>
              <w:jc w:val="center"/>
              <w:rPr>
                <w:sz w:val="28"/>
                <w:szCs w:val="28"/>
                <w:lang w:val="en-GB"/>
              </w:rPr>
            </w:pPr>
            <w:r w:rsidRPr="00A87E4C">
              <w:rPr>
                <w:sz w:val="28"/>
                <w:szCs w:val="28"/>
                <w:lang w:val="en-GB"/>
              </w:rPr>
              <w:t>Signature</w:t>
            </w:r>
          </w:p>
        </w:tc>
        <w:tc>
          <w:tcPr>
            <w:tcW w:w="3356" w:type="dxa"/>
          </w:tcPr>
          <w:p w14:paraId="47C30759" w14:textId="77777777" w:rsidR="00907334" w:rsidRDefault="00907334" w:rsidP="00522486">
            <w:pPr>
              <w:pStyle w:val="Default"/>
              <w:spacing w:line="360" w:lineRule="auto"/>
              <w:rPr>
                <w:sz w:val="28"/>
                <w:szCs w:val="28"/>
                <w:lang w:val="en-GB"/>
              </w:rPr>
            </w:pPr>
          </w:p>
          <w:p w14:paraId="7FDEC0AB" w14:textId="5063F6F8" w:rsidR="00907334" w:rsidRPr="0063111D" w:rsidRDefault="00907334" w:rsidP="00A87E4C">
            <w:pPr>
              <w:pStyle w:val="Default"/>
              <w:spacing w:line="360" w:lineRule="auto"/>
              <w:jc w:val="center"/>
              <w:rPr>
                <w:sz w:val="28"/>
                <w:szCs w:val="28"/>
                <w:lang w:val="en-GB"/>
              </w:rPr>
            </w:pPr>
            <w:r w:rsidRPr="00A87E4C">
              <w:rPr>
                <w:sz w:val="28"/>
                <w:szCs w:val="28"/>
                <w:lang w:val="en-GB"/>
              </w:rPr>
              <w:t>Signature</w:t>
            </w:r>
          </w:p>
        </w:tc>
        <w:tc>
          <w:tcPr>
            <w:tcW w:w="3356" w:type="dxa"/>
          </w:tcPr>
          <w:p w14:paraId="4D904FB6" w14:textId="30273B40" w:rsidR="00907334" w:rsidRDefault="00907334" w:rsidP="00A87E4C">
            <w:pPr>
              <w:pStyle w:val="Default"/>
              <w:spacing w:line="360" w:lineRule="auto"/>
              <w:jc w:val="center"/>
              <w:rPr>
                <w:sz w:val="28"/>
                <w:szCs w:val="28"/>
                <w:lang w:val="en-GB"/>
              </w:rPr>
            </w:pPr>
          </w:p>
        </w:tc>
      </w:tr>
    </w:tbl>
    <w:p w14:paraId="59CAAF76" w14:textId="77777777" w:rsidR="003A445E" w:rsidRDefault="00522486" w:rsidP="00522486">
      <w:pPr>
        <w:spacing w:after="0" w:line="240" w:lineRule="auto"/>
        <w:jc w:val="both"/>
        <w:rPr>
          <w:rFonts w:ascii="Times New Roman" w:eastAsia="Times New Roman" w:hAnsi="Times New Roman"/>
          <w:sz w:val="20"/>
          <w:szCs w:val="20"/>
          <w:lang w:val="en-US"/>
        </w:rPr>
      </w:pPr>
      <w:r w:rsidRPr="00522486">
        <w:rPr>
          <w:rFonts w:ascii="Times New Roman" w:eastAsia="Times New Roman" w:hAnsi="Times New Roman"/>
          <w:sz w:val="20"/>
          <w:szCs w:val="20"/>
          <w:lang w:val="en-US"/>
        </w:rPr>
        <w:t>N.Kulakova</w:t>
      </w:r>
      <w:r>
        <w:rPr>
          <w:rFonts w:ascii="Times New Roman" w:eastAsia="Times New Roman" w:hAnsi="Times New Roman"/>
          <w:sz w:val="20"/>
          <w:szCs w:val="20"/>
          <w:lang w:val="en-US"/>
        </w:rPr>
        <w:t xml:space="preserve">, </w:t>
      </w:r>
    </w:p>
    <w:p w14:paraId="4BB196E7" w14:textId="4FBA3016" w:rsidR="008D0E01" w:rsidRPr="002D0508" w:rsidRDefault="00522486" w:rsidP="00522486">
      <w:pPr>
        <w:spacing w:after="0" w:line="240" w:lineRule="auto"/>
        <w:jc w:val="both"/>
        <w:rPr>
          <w:rFonts w:ascii="Times New Roman" w:eastAsia="Times New Roman" w:hAnsi="Times New Roman"/>
          <w:sz w:val="20"/>
          <w:szCs w:val="20"/>
          <w:lang w:val="en-GB"/>
        </w:rPr>
      </w:pPr>
      <w:r w:rsidRPr="00522486">
        <w:rPr>
          <w:rFonts w:ascii="Times New Roman" w:eastAsia="Times New Roman" w:hAnsi="Times New Roman"/>
          <w:sz w:val="20"/>
          <w:szCs w:val="20"/>
          <w:lang w:val="en-US"/>
        </w:rPr>
        <w:t xml:space="preserve">67026481, </w:t>
      </w:r>
      <w:hyperlink r:id="rId8" w:history="1">
        <w:r w:rsidRPr="00522486">
          <w:rPr>
            <w:rFonts w:ascii="Times New Roman" w:eastAsia="Times New Roman" w:hAnsi="Times New Roman"/>
            <w:color w:val="0000FF"/>
            <w:sz w:val="20"/>
            <w:szCs w:val="20"/>
            <w:u w:val="single"/>
            <w:lang w:val="en-US"/>
          </w:rPr>
          <w:t>natalija.kulakova@varam.gov.lv</w:t>
        </w:r>
      </w:hyperlink>
    </w:p>
    <w:sectPr w:rsidR="008D0E01" w:rsidRPr="002D0508" w:rsidSect="00A87E4C">
      <w:headerReference w:type="default" r:id="rId9"/>
      <w:footerReference w:type="default" r:id="rId10"/>
      <w:foot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3D0EF" w14:textId="77777777" w:rsidR="00EA4B52" w:rsidRDefault="00EA4B52" w:rsidP="001F6BCD">
      <w:pPr>
        <w:spacing w:after="0" w:line="240" w:lineRule="auto"/>
      </w:pPr>
      <w:r>
        <w:separator/>
      </w:r>
    </w:p>
  </w:endnote>
  <w:endnote w:type="continuationSeparator" w:id="0">
    <w:p w14:paraId="5B013739" w14:textId="77777777" w:rsidR="00EA4B52" w:rsidRDefault="00EA4B52" w:rsidP="001F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049E" w14:textId="3D5D5FA9" w:rsidR="009D6419" w:rsidRPr="00522486" w:rsidRDefault="00A2361D">
    <w:pPr>
      <w:pStyle w:val="Footer"/>
      <w:rPr>
        <w:rFonts w:ascii="Times New Roman" w:hAnsi="Times New Roman"/>
        <w:sz w:val="24"/>
        <w:szCs w:val="24"/>
        <w:lang w:val="en-US"/>
      </w:rPr>
    </w:pPr>
    <w:r>
      <w:rPr>
        <w:rFonts w:ascii="Times New Roman" w:hAnsi="Times New Roman"/>
        <w:sz w:val="24"/>
        <w:szCs w:val="24"/>
        <w:lang w:val="en-US"/>
      </w:rPr>
      <w:t>VARAMP2_papild_vien_LV-RU_07</w:t>
    </w:r>
    <w:r w:rsidR="002D0508">
      <w:rPr>
        <w:rFonts w:ascii="Times New Roman" w:hAnsi="Times New Roman"/>
        <w:sz w:val="24"/>
        <w:szCs w:val="24"/>
        <w:lang w:val="en-US"/>
      </w:rPr>
      <w:t>11</w:t>
    </w:r>
    <w:r w:rsidR="00522486" w:rsidRPr="00522486">
      <w:rPr>
        <w:rFonts w:ascii="Times New Roman" w:hAnsi="Times New Roman"/>
        <w:sz w:val="24"/>
        <w:szCs w:val="24"/>
        <w:lang w:val="en-US"/>
      </w:rPr>
      <w:t>2017_en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5BF9" w14:textId="3DCDCF89" w:rsidR="00522486" w:rsidRPr="00522486" w:rsidRDefault="00A2361D">
    <w:pPr>
      <w:pStyle w:val="Footer"/>
      <w:rPr>
        <w:rFonts w:ascii="Times New Roman" w:hAnsi="Times New Roman"/>
        <w:sz w:val="24"/>
        <w:szCs w:val="24"/>
        <w:lang w:val="en-US"/>
      </w:rPr>
    </w:pPr>
    <w:r>
      <w:rPr>
        <w:rFonts w:ascii="Times New Roman" w:hAnsi="Times New Roman"/>
        <w:sz w:val="24"/>
        <w:szCs w:val="24"/>
        <w:lang w:val="en-US"/>
      </w:rPr>
      <w:t>VARAMP2_papild_vien_LV-RU_07</w:t>
    </w:r>
    <w:r w:rsidR="002D0508">
      <w:rPr>
        <w:rFonts w:ascii="Times New Roman" w:hAnsi="Times New Roman"/>
        <w:sz w:val="24"/>
        <w:szCs w:val="24"/>
        <w:lang w:val="en-US"/>
      </w:rPr>
      <w:t>11</w:t>
    </w:r>
    <w:r w:rsidR="00522486" w:rsidRPr="00522486">
      <w:rPr>
        <w:rFonts w:ascii="Times New Roman" w:hAnsi="Times New Roman"/>
        <w:sz w:val="24"/>
        <w:szCs w:val="24"/>
        <w:lang w:val="en-US"/>
      </w:rPr>
      <w:t>2017_en</w:t>
    </w:r>
  </w:p>
  <w:p w14:paraId="58198C75" w14:textId="77777777" w:rsidR="00522486" w:rsidRPr="00522486" w:rsidRDefault="0052248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708DC" w14:textId="77777777" w:rsidR="00EA4B52" w:rsidRDefault="00EA4B52" w:rsidP="001F6BCD">
      <w:pPr>
        <w:spacing w:after="0" w:line="240" w:lineRule="auto"/>
      </w:pPr>
      <w:r>
        <w:separator/>
      </w:r>
    </w:p>
  </w:footnote>
  <w:footnote w:type="continuationSeparator" w:id="0">
    <w:p w14:paraId="0F0D3664" w14:textId="77777777" w:rsidR="00EA4B52" w:rsidRDefault="00EA4B52" w:rsidP="001F6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356D6" w14:textId="77777777" w:rsidR="00F34862" w:rsidRPr="00B94D84" w:rsidRDefault="00F34862">
    <w:pPr>
      <w:pStyle w:val="Header"/>
      <w:jc w:val="center"/>
      <w:rPr>
        <w:rFonts w:ascii="Times New Roman" w:hAnsi="Times New Roman"/>
        <w:sz w:val="28"/>
        <w:szCs w:val="28"/>
      </w:rPr>
    </w:pPr>
    <w:r w:rsidRPr="00B94D84">
      <w:rPr>
        <w:rFonts w:ascii="Times New Roman" w:hAnsi="Times New Roman"/>
        <w:sz w:val="28"/>
        <w:szCs w:val="28"/>
      </w:rPr>
      <w:fldChar w:fldCharType="begin"/>
    </w:r>
    <w:r w:rsidRPr="00B94D84">
      <w:rPr>
        <w:rFonts w:ascii="Times New Roman" w:hAnsi="Times New Roman"/>
        <w:sz w:val="28"/>
        <w:szCs w:val="28"/>
      </w:rPr>
      <w:instrText>PAGE   \* MERGEFORMAT</w:instrText>
    </w:r>
    <w:r w:rsidRPr="00B94D84">
      <w:rPr>
        <w:rFonts w:ascii="Times New Roman" w:hAnsi="Times New Roman"/>
        <w:sz w:val="28"/>
        <w:szCs w:val="28"/>
      </w:rPr>
      <w:fldChar w:fldCharType="separate"/>
    </w:r>
    <w:r w:rsidR="00A2361D">
      <w:rPr>
        <w:rFonts w:ascii="Times New Roman" w:hAnsi="Times New Roman"/>
        <w:noProof/>
        <w:sz w:val="28"/>
        <w:szCs w:val="28"/>
      </w:rPr>
      <w:t>8</w:t>
    </w:r>
    <w:r w:rsidRPr="00B94D84">
      <w:rPr>
        <w:rFonts w:ascii="Times New Roman" w:hAnsi="Times New Roman"/>
        <w:sz w:val="28"/>
        <w:szCs w:val="28"/>
      </w:rPr>
      <w:fldChar w:fldCharType="end"/>
    </w:r>
  </w:p>
  <w:p w14:paraId="7AD6EEE9" w14:textId="77777777" w:rsidR="00625239" w:rsidRPr="00522486" w:rsidRDefault="00625239">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A4B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59816BB"/>
    <w:multiLevelType w:val="hybridMultilevel"/>
    <w:tmpl w:val="6FD8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44641"/>
    <w:rsid w:val="00001111"/>
    <w:rsid w:val="00004807"/>
    <w:rsid w:val="00006FBF"/>
    <w:rsid w:val="00016F83"/>
    <w:rsid w:val="00022567"/>
    <w:rsid w:val="000308CD"/>
    <w:rsid w:val="00031846"/>
    <w:rsid w:val="00032426"/>
    <w:rsid w:val="00033451"/>
    <w:rsid w:val="00042B06"/>
    <w:rsid w:val="00051674"/>
    <w:rsid w:val="00052B41"/>
    <w:rsid w:val="00052D3E"/>
    <w:rsid w:val="00055F06"/>
    <w:rsid w:val="00057F23"/>
    <w:rsid w:val="00057F76"/>
    <w:rsid w:val="00060C81"/>
    <w:rsid w:val="00061556"/>
    <w:rsid w:val="00063EA5"/>
    <w:rsid w:val="00063FD0"/>
    <w:rsid w:val="000640F2"/>
    <w:rsid w:val="00067B74"/>
    <w:rsid w:val="00080881"/>
    <w:rsid w:val="00084623"/>
    <w:rsid w:val="00086B90"/>
    <w:rsid w:val="00087A9E"/>
    <w:rsid w:val="000961BA"/>
    <w:rsid w:val="000976CB"/>
    <w:rsid w:val="000A1ABE"/>
    <w:rsid w:val="000A1E89"/>
    <w:rsid w:val="000A626E"/>
    <w:rsid w:val="000A62E8"/>
    <w:rsid w:val="000B1A36"/>
    <w:rsid w:val="000B226F"/>
    <w:rsid w:val="000B5036"/>
    <w:rsid w:val="000C3CA8"/>
    <w:rsid w:val="000C6715"/>
    <w:rsid w:val="000D40BE"/>
    <w:rsid w:val="000E35DA"/>
    <w:rsid w:val="000E5413"/>
    <w:rsid w:val="000F7A22"/>
    <w:rsid w:val="00103BE4"/>
    <w:rsid w:val="001064C8"/>
    <w:rsid w:val="00143B83"/>
    <w:rsid w:val="00154A71"/>
    <w:rsid w:val="00154C65"/>
    <w:rsid w:val="00163880"/>
    <w:rsid w:val="001878D7"/>
    <w:rsid w:val="0019114C"/>
    <w:rsid w:val="00193C39"/>
    <w:rsid w:val="001A2F31"/>
    <w:rsid w:val="001A4961"/>
    <w:rsid w:val="001A76B9"/>
    <w:rsid w:val="001B0435"/>
    <w:rsid w:val="001C6956"/>
    <w:rsid w:val="001D0D1C"/>
    <w:rsid w:val="001D2B08"/>
    <w:rsid w:val="001D2E4B"/>
    <w:rsid w:val="001D4973"/>
    <w:rsid w:val="001E1E13"/>
    <w:rsid w:val="001E4253"/>
    <w:rsid w:val="001E5983"/>
    <w:rsid w:val="001E5F90"/>
    <w:rsid w:val="001E6B5B"/>
    <w:rsid w:val="001E7B07"/>
    <w:rsid w:val="001F03AB"/>
    <w:rsid w:val="001F39CF"/>
    <w:rsid w:val="001F6BCD"/>
    <w:rsid w:val="00201F96"/>
    <w:rsid w:val="00206A17"/>
    <w:rsid w:val="00214811"/>
    <w:rsid w:val="0021576B"/>
    <w:rsid w:val="002162B4"/>
    <w:rsid w:val="00222583"/>
    <w:rsid w:val="00224BF4"/>
    <w:rsid w:val="00224C97"/>
    <w:rsid w:val="00227FEA"/>
    <w:rsid w:val="00233217"/>
    <w:rsid w:val="0024546F"/>
    <w:rsid w:val="002544BF"/>
    <w:rsid w:val="00262BE7"/>
    <w:rsid w:val="0026553C"/>
    <w:rsid w:val="00273F93"/>
    <w:rsid w:val="0027554D"/>
    <w:rsid w:val="00297F86"/>
    <w:rsid w:val="002C33C2"/>
    <w:rsid w:val="002C758E"/>
    <w:rsid w:val="002C76D1"/>
    <w:rsid w:val="002D0508"/>
    <w:rsid w:val="002D1362"/>
    <w:rsid w:val="002D35A4"/>
    <w:rsid w:val="002D4CC3"/>
    <w:rsid w:val="002D563E"/>
    <w:rsid w:val="002E1DAF"/>
    <w:rsid w:val="002E3D21"/>
    <w:rsid w:val="002E54FE"/>
    <w:rsid w:val="002E6770"/>
    <w:rsid w:val="002F1BAE"/>
    <w:rsid w:val="002F6E2B"/>
    <w:rsid w:val="0030451D"/>
    <w:rsid w:val="00304B68"/>
    <w:rsid w:val="0031032A"/>
    <w:rsid w:val="00313744"/>
    <w:rsid w:val="00316526"/>
    <w:rsid w:val="00320328"/>
    <w:rsid w:val="00320AD6"/>
    <w:rsid w:val="00323400"/>
    <w:rsid w:val="00325254"/>
    <w:rsid w:val="00340ECB"/>
    <w:rsid w:val="00341800"/>
    <w:rsid w:val="00342316"/>
    <w:rsid w:val="003441D0"/>
    <w:rsid w:val="00346F03"/>
    <w:rsid w:val="00351A86"/>
    <w:rsid w:val="00354953"/>
    <w:rsid w:val="00355B88"/>
    <w:rsid w:val="00372D04"/>
    <w:rsid w:val="00374ADC"/>
    <w:rsid w:val="00376162"/>
    <w:rsid w:val="00377C2B"/>
    <w:rsid w:val="00394F4A"/>
    <w:rsid w:val="003A3676"/>
    <w:rsid w:val="003A445E"/>
    <w:rsid w:val="003B2B8B"/>
    <w:rsid w:val="003D1F1A"/>
    <w:rsid w:val="003D47DB"/>
    <w:rsid w:val="003D748F"/>
    <w:rsid w:val="003E109A"/>
    <w:rsid w:val="003F474F"/>
    <w:rsid w:val="003F722F"/>
    <w:rsid w:val="003F7412"/>
    <w:rsid w:val="00410E60"/>
    <w:rsid w:val="0041373D"/>
    <w:rsid w:val="00415754"/>
    <w:rsid w:val="00415D48"/>
    <w:rsid w:val="004177F2"/>
    <w:rsid w:val="00422887"/>
    <w:rsid w:val="004330DE"/>
    <w:rsid w:val="00436583"/>
    <w:rsid w:val="00440567"/>
    <w:rsid w:val="00447FAE"/>
    <w:rsid w:val="004604AE"/>
    <w:rsid w:val="00462CFD"/>
    <w:rsid w:val="00471212"/>
    <w:rsid w:val="00484A5E"/>
    <w:rsid w:val="00486919"/>
    <w:rsid w:val="00491359"/>
    <w:rsid w:val="004913E1"/>
    <w:rsid w:val="004964D4"/>
    <w:rsid w:val="004A2A8B"/>
    <w:rsid w:val="004A39FA"/>
    <w:rsid w:val="004B1788"/>
    <w:rsid w:val="004B3537"/>
    <w:rsid w:val="004B4D76"/>
    <w:rsid w:val="004D2D5D"/>
    <w:rsid w:val="004E136F"/>
    <w:rsid w:val="004E4386"/>
    <w:rsid w:val="004F2428"/>
    <w:rsid w:val="00501ABF"/>
    <w:rsid w:val="005104EA"/>
    <w:rsid w:val="00514313"/>
    <w:rsid w:val="0051572D"/>
    <w:rsid w:val="00522486"/>
    <w:rsid w:val="00525F37"/>
    <w:rsid w:val="00531115"/>
    <w:rsid w:val="00531BE4"/>
    <w:rsid w:val="0053241E"/>
    <w:rsid w:val="00534976"/>
    <w:rsid w:val="005554C7"/>
    <w:rsid w:val="00573A06"/>
    <w:rsid w:val="00576C6B"/>
    <w:rsid w:val="005870E8"/>
    <w:rsid w:val="00591441"/>
    <w:rsid w:val="0059562A"/>
    <w:rsid w:val="005A111F"/>
    <w:rsid w:val="005A3EFD"/>
    <w:rsid w:val="005A6B70"/>
    <w:rsid w:val="005C581B"/>
    <w:rsid w:val="005C61D7"/>
    <w:rsid w:val="005D2259"/>
    <w:rsid w:val="005E2707"/>
    <w:rsid w:val="005F0D9A"/>
    <w:rsid w:val="005F68E5"/>
    <w:rsid w:val="00613160"/>
    <w:rsid w:val="006203BB"/>
    <w:rsid w:val="00625239"/>
    <w:rsid w:val="00625316"/>
    <w:rsid w:val="0063111D"/>
    <w:rsid w:val="00633528"/>
    <w:rsid w:val="00634DBC"/>
    <w:rsid w:val="006379F9"/>
    <w:rsid w:val="00642814"/>
    <w:rsid w:val="006434A1"/>
    <w:rsid w:val="00645AAA"/>
    <w:rsid w:val="00654069"/>
    <w:rsid w:val="006577C4"/>
    <w:rsid w:val="00657F57"/>
    <w:rsid w:val="00667AC6"/>
    <w:rsid w:val="006709C8"/>
    <w:rsid w:val="00682704"/>
    <w:rsid w:val="006829D4"/>
    <w:rsid w:val="006A2F22"/>
    <w:rsid w:val="006A2FB8"/>
    <w:rsid w:val="006A673D"/>
    <w:rsid w:val="006B1284"/>
    <w:rsid w:val="006B216C"/>
    <w:rsid w:val="006B7C71"/>
    <w:rsid w:val="006C2078"/>
    <w:rsid w:val="006C55E7"/>
    <w:rsid w:val="006C79A5"/>
    <w:rsid w:val="006D1F64"/>
    <w:rsid w:val="006E0BC0"/>
    <w:rsid w:val="006E5992"/>
    <w:rsid w:val="006E6C48"/>
    <w:rsid w:val="006F07A8"/>
    <w:rsid w:val="00700DB6"/>
    <w:rsid w:val="00701BF0"/>
    <w:rsid w:val="0070353F"/>
    <w:rsid w:val="00705950"/>
    <w:rsid w:val="00706A08"/>
    <w:rsid w:val="00707F11"/>
    <w:rsid w:val="00710AC8"/>
    <w:rsid w:val="00714140"/>
    <w:rsid w:val="0071659A"/>
    <w:rsid w:val="0072523E"/>
    <w:rsid w:val="00736B66"/>
    <w:rsid w:val="00741F45"/>
    <w:rsid w:val="0074366B"/>
    <w:rsid w:val="007437A8"/>
    <w:rsid w:val="0074557A"/>
    <w:rsid w:val="007547D3"/>
    <w:rsid w:val="00754E58"/>
    <w:rsid w:val="00756950"/>
    <w:rsid w:val="00760D9D"/>
    <w:rsid w:val="007667C1"/>
    <w:rsid w:val="00770C1C"/>
    <w:rsid w:val="007716B7"/>
    <w:rsid w:val="007750C9"/>
    <w:rsid w:val="00781BC9"/>
    <w:rsid w:val="0078413F"/>
    <w:rsid w:val="00786E1D"/>
    <w:rsid w:val="00787802"/>
    <w:rsid w:val="00793068"/>
    <w:rsid w:val="00797835"/>
    <w:rsid w:val="007B4855"/>
    <w:rsid w:val="007B7131"/>
    <w:rsid w:val="007C0B84"/>
    <w:rsid w:val="007C3F11"/>
    <w:rsid w:val="007C4C49"/>
    <w:rsid w:val="007F0032"/>
    <w:rsid w:val="007F7C0B"/>
    <w:rsid w:val="0080479B"/>
    <w:rsid w:val="00805922"/>
    <w:rsid w:val="008118D1"/>
    <w:rsid w:val="008126FC"/>
    <w:rsid w:val="00814FC9"/>
    <w:rsid w:val="00815199"/>
    <w:rsid w:val="0082006E"/>
    <w:rsid w:val="00835865"/>
    <w:rsid w:val="00836DA2"/>
    <w:rsid w:val="00841D6A"/>
    <w:rsid w:val="00845106"/>
    <w:rsid w:val="00853B2D"/>
    <w:rsid w:val="008613BD"/>
    <w:rsid w:val="00865E4D"/>
    <w:rsid w:val="008700B1"/>
    <w:rsid w:val="00870E07"/>
    <w:rsid w:val="008715D9"/>
    <w:rsid w:val="00873B0B"/>
    <w:rsid w:val="008800F0"/>
    <w:rsid w:val="00885B32"/>
    <w:rsid w:val="008878EC"/>
    <w:rsid w:val="00897360"/>
    <w:rsid w:val="008A0A94"/>
    <w:rsid w:val="008B1C2F"/>
    <w:rsid w:val="008B69B5"/>
    <w:rsid w:val="008C7DE2"/>
    <w:rsid w:val="008D0E01"/>
    <w:rsid w:val="008D61FA"/>
    <w:rsid w:val="008E2863"/>
    <w:rsid w:val="008E6EA4"/>
    <w:rsid w:val="008F5F89"/>
    <w:rsid w:val="008F6A4C"/>
    <w:rsid w:val="00900AF6"/>
    <w:rsid w:val="0090120F"/>
    <w:rsid w:val="00902E0F"/>
    <w:rsid w:val="00902FE3"/>
    <w:rsid w:val="00903B73"/>
    <w:rsid w:val="00905EE5"/>
    <w:rsid w:val="00907334"/>
    <w:rsid w:val="00907FD4"/>
    <w:rsid w:val="00917800"/>
    <w:rsid w:val="00920BCA"/>
    <w:rsid w:val="00920CF4"/>
    <w:rsid w:val="0092471D"/>
    <w:rsid w:val="00934C9A"/>
    <w:rsid w:val="00935BA6"/>
    <w:rsid w:val="0094287C"/>
    <w:rsid w:val="00944641"/>
    <w:rsid w:val="009466C6"/>
    <w:rsid w:val="00951D9E"/>
    <w:rsid w:val="009562EC"/>
    <w:rsid w:val="00962F9A"/>
    <w:rsid w:val="009656F6"/>
    <w:rsid w:val="009731EE"/>
    <w:rsid w:val="00977EE4"/>
    <w:rsid w:val="0098107B"/>
    <w:rsid w:val="00983BC1"/>
    <w:rsid w:val="00986586"/>
    <w:rsid w:val="00986CA3"/>
    <w:rsid w:val="009902C6"/>
    <w:rsid w:val="00996389"/>
    <w:rsid w:val="009A11C1"/>
    <w:rsid w:val="009A26C2"/>
    <w:rsid w:val="009D281A"/>
    <w:rsid w:val="009D3018"/>
    <w:rsid w:val="009D6419"/>
    <w:rsid w:val="009E12EA"/>
    <w:rsid w:val="009E2FB9"/>
    <w:rsid w:val="009F48C8"/>
    <w:rsid w:val="00A01BE7"/>
    <w:rsid w:val="00A159DC"/>
    <w:rsid w:val="00A226E0"/>
    <w:rsid w:val="00A2361D"/>
    <w:rsid w:val="00A2422F"/>
    <w:rsid w:val="00A274C4"/>
    <w:rsid w:val="00A3032F"/>
    <w:rsid w:val="00A37033"/>
    <w:rsid w:val="00A42D85"/>
    <w:rsid w:val="00A52529"/>
    <w:rsid w:val="00A5476B"/>
    <w:rsid w:val="00A55503"/>
    <w:rsid w:val="00A64616"/>
    <w:rsid w:val="00A67C2A"/>
    <w:rsid w:val="00A71CB9"/>
    <w:rsid w:val="00A84A0A"/>
    <w:rsid w:val="00A86329"/>
    <w:rsid w:val="00A87E4C"/>
    <w:rsid w:val="00A935A7"/>
    <w:rsid w:val="00A9577E"/>
    <w:rsid w:val="00AA2949"/>
    <w:rsid w:val="00AA5A81"/>
    <w:rsid w:val="00AC3472"/>
    <w:rsid w:val="00AC4D30"/>
    <w:rsid w:val="00AC735B"/>
    <w:rsid w:val="00AD317D"/>
    <w:rsid w:val="00AD58A2"/>
    <w:rsid w:val="00AD7330"/>
    <w:rsid w:val="00AE147F"/>
    <w:rsid w:val="00AE2046"/>
    <w:rsid w:val="00AE42E5"/>
    <w:rsid w:val="00AF08F6"/>
    <w:rsid w:val="00AF1BF0"/>
    <w:rsid w:val="00AF215A"/>
    <w:rsid w:val="00B01551"/>
    <w:rsid w:val="00B05268"/>
    <w:rsid w:val="00B07CB6"/>
    <w:rsid w:val="00B1182F"/>
    <w:rsid w:val="00B17295"/>
    <w:rsid w:val="00B324A9"/>
    <w:rsid w:val="00B3269C"/>
    <w:rsid w:val="00B36991"/>
    <w:rsid w:val="00B37666"/>
    <w:rsid w:val="00B40278"/>
    <w:rsid w:val="00B434A6"/>
    <w:rsid w:val="00B43FF7"/>
    <w:rsid w:val="00B4418B"/>
    <w:rsid w:val="00B555D4"/>
    <w:rsid w:val="00B56F09"/>
    <w:rsid w:val="00B571FF"/>
    <w:rsid w:val="00B62E43"/>
    <w:rsid w:val="00B630AC"/>
    <w:rsid w:val="00B635E0"/>
    <w:rsid w:val="00B63655"/>
    <w:rsid w:val="00B640D2"/>
    <w:rsid w:val="00B708D0"/>
    <w:rsid w:val="00B74BBB"/>
    <w:rsid w:val="00B8718A"/>
    <w:rsid w:val="00B91D78"/>
    <w:rsid w:val="00B92B03"/>
    <w:rsid w:val="00B94D84"/>
    <w:rsid w:val="00BC1F88"/>
    <w:rsid w:val="00BC6E9C"/>
    <w:rsid w:val="00BD1708"/>
    <w:rsid w:val="00BD1BC5"/>
    <w:rsid w:val="00BD46A8"/>
    <w:rsid w:val="00BD6519"/>
    <w:rsid w:val="00C0104B"/>
    <w:rsid w:val="00C16424"/>
    <w:rsid w:val="00C20B7B"/>
    <w:rsid w:val="00C24B49"/>
    <w:rsid w:val="00C3221B"/>
    <w:rsid w:val="00C42C35"/>
    <w:rsid w:val="00C52EB0"/>
    <w:rsid w:val="00C6093F"/>
    <w:rsid w:val="00C65899"/>
    <w:rsid w:val="00C6684E"/>
    <w:rsid w:val="00C6724D"/>
    <w:rsid w:val="00C713A2"/>
    <w:rsid w:val="00C770F8"/>
    <w:rsid w:val="00C8295D"/>
    <w:rsid w:val="00CA486D"/>
    <w:rsid w:val="00CB3FD2"/>
    <w:rsid w:val="00CB50DE"/>
    <w:rsid w:val="00CC2EEC"/>
    <w:rsid w:val="00CC3CE4"/>
    <w:rsid w:val="00CD0970"/>
    <w:rsid w:val="00CD3679"/>
    <w:rsid w:val="00CF7FB9"/>
    <w:rsid w:val="00D13F70"/>
    <w:rsid w:val="00D1611D"/>
    <w:rsid w:val="00D16E1D"/>
    <w:rsid w:val="00D24837"/>
    <w:rsid w:val="00D30185"/>
    <w:rsid w:val="00D31F43"/>
    <w:rsid w:val="00D35176"/>
    <w:rsid w:val="00D40D58"/>
    <w:rsid w:val="00D43503"/>
    <w:rsid w:val="00D43985"/>
    <w:rsid w:val="00D4674B"/>
    <w:rsid w:val="00D475C4"/>
    <w:rsid w:val="00D4788D"/>
    <w:rsid w:val="00D50EF5"/>
    <w:rsid w:val="00D52E42"/>
    <w:rsid w:val="00D63D15"/>
    <w:rsid w:val="00D6405A"/>
    <w:rsid w:val="00D67D8A"/>
    <w:rsid w:val="00D76B43"/>
    <w:rsid w:val="00D77F5A"/>
    <w:rsid w:val="00D81293"/>
    <w:rsid w:val="00D91024"/>
    <w:rsid w:val="00D919BD"/>
    <w:rsid w:val="00D91B90"/>
    <w:rsid w:val="00D97E13"/>
    <w:rsid w:val="00DA0CA0"/>
    <w:rsid w:val="00DB7146"/>
    <w:rsid w:val="00DE1ABC"/>
    <w:rsid w:val="00DE6328"/>
    <w:rsid w:val="00DF1AC5"/>
    <w:rsid w:val="00DF23DC"/>
    <w:rsid w:val="00DF5196"/>
    <w:rsid w:val="00E02127"/>
    <w:rsid w:val="00E061A4"/>
    <w:rsid w:val="00E10A1D"/>
    <w:rsid w:val="00E2651F"/>
    <w:rsid w:val="00E318A8"/>
    <w:rsid w:val="00E33657"/>
    <w:rsid w:val="00E432C0"/>
    <w:rsid w:val="00E45C8A"/>
    <w:rsid w:val="00E47407"/>
    <w:rsid w:val="00E503F6"/>
    <w:rsid w:val="00E51E9D"/>
    <w:rsid w:val="00E624BC"/>
    <w:rsid w:val="00E639D1"/>
    <w:rsid w:val="00E63FEC"/>
    <w:rsid w:val="00E64B05"/>
    <w:rsid w:val="00E64CCA"/>
    <w:rsid w:val="00E65FA6"/>
    <w:rsid w:val="00E702FD"/>
    <w:rsid w:val="00E71935"/>
    <w:rsid w:val="00E75530"/>
    <w:rsid w:val="00E806D8"/>
    <w:rsid w:val="00E87DBB"/>
    <w:rsid w:val="00E9245E"/>
    <w:rsid w:val="00E936F7"/>
    <w:rsid w:val="00EA4B52"/>
    <w:rsid w:val="00EA5D32"/>
    <w:rsid w:val="00EA5FBA"/>
    <w:rsid w:val="00EB092A"/>
    <w:rsid w:val="00EB64BA"/>
    <w:rsid w:val="00EB6EDB"/>
    <w:rsid w:val="00EC2D84"/>
    <w:rsid w:val="00ED4963"/>
    <w:rsid w:val="00EE60AC"/>
    <w:rsid w:val="00EE77F2"/>
    <w:rsid w:val="00EE7F2A"/>
    <w:rsid w:val="00F02304"/>
    <w:rsid w:val="00F05412"/>
    <w:rsid w:val="00F107AD"/>
    <w:rsid w:val="00F116A9"/>
    <w:rsid w:val="00F156A9"/>
    <w:rsid w:val="00F172F8"/>
    <w:rsid w:val="00F208E5"/>
    <w:rsid w:val="00F20A27"/>
    <w:rsid w:val="00F220AB"/>
    <w:rsid w:val="00F27914"/>
    <w:rsid w:val="00F32360"/>
    <w:rsid w:val="00F328CB"/>
    <w:rsid w:val="00F3391D"/>
    <w:rsid w:val="00F34862"/>
    <w:rsid w:val="00F35E56"/>
    <w:rsid w:val="00F50579"/>
    <w:rsid w:val="00F56CF7"/>
    <w:rsid w:val="00F5709E"/>
    <w:rsid w:val="00F7755F"/>
    <w:rsid w:val="00F849D1"/>
    <w:rsid w:val="00F92DF2"/>
    <w:rsid w:val="00FA0842"/>
    <w:rsid w:val="00FA39A1"/>
    <w:rsid w:val="00FA4890"/>
    <w:rsid w:val="00FA53DD"/>
    <w:rsid w:val="00FB7074"/>
    <w:rsid w:val="00FB7AF2"/>
    <w:rsid w:val="00FC19C9"/>
    <w:rsid w:val="00FC353B"/>
    <w:rsid w:val="00FD0D03"/>
    <w:rsid w:val="00FD721F"/>
    <w:rsid w:val="00FE207C"/>
    <w:rsid w:val="00FE2F3F"/>
    <w:rsid w:val="00FE44A4"/>
    <w:rsid w:val="00FF4B01"/>
    <w:rsid w:val="00FF55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0871CF7"/>
  <w15:docId w15:val="{78FEA754-2488-4F18-880C-542A9554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E01"/>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273F93"/>
    <w:rPr>
      <w:sz w:val="16"/>
      <w:szCs w:val="16"/>
    </w:rPr>
  </w:style>
  <w:style w:type="paragraph" w:styleId="CommentText">
    <w:name w:val="annotation text"/>
    <w:basedOn w:val="Normal"/>
    <w:link w:val="CommentTextChar"/>
    <w:uiPriority w:val="99"/>
    <w:unhideWhenUsed/>
    <w:rsid w:val="00273F93"/>
    <w:pPr>
      <w:spacing w:line="240" w:lineRule="auto"/>
    </w:pPr>
    <w:rPr>
      <w:sz w:val="20"/>
      <w:szCs w:val="20"/>
    </w:rPr>
  </w:style>
  <w:style w:type="character" w:customStyle="1" w:styleId="CommentTextChar">
    <w:name w:val="Comment Text Char"/>
    <w:link w:val="CommentText"/>
    <w:uiPriority w:val="99"/>
    <w:rsid w:val="00273F93"/>
    <w:rPr>
      <w:sz w:val="20"/>
      <w:szCs w:val="20"/>
    </w:rPr>
  </w:style>
  <w:style w:type="paragraph" w:styleId="CommentSubject">
    <w:name w:val="annotation subject"/>
    <w:basedOn w:val="CommentText"/>
    <w:next w:val="CommentText"/>
    <w:link w:val="CommentSubjectChar"/>
    <w:uiPriority w:val="99"/>
    <w:semiHidden/>
    <w:unhideWhenUsed/>
    <w:rsid w:val="00273F93"/>
    <w:rPr>
      <w:b/>
      <w:bCs/>
    </w:rPr>
  </w:style>
  <w:style w:type="character" w:customStyle="1" w:styleId="CommentSubjectChar">
    <w:name w:val="Comment Subject Char"/>
    <w:link w:val="CommentSubject"/>
    <w:uiPriority w:val="99"/>
    <w:semiHidden/>
    <w:rsid w:val="00273F93"/>
    <w:rPr>
      <w:b/>
      <w:bCs/>
      <w:sz w:val="20"/>
      <w:szCs w:val="20"/>
    </w:rPr>
  </w:style>
  <w:style w:type="paragraph" w:styleId="BalloonText">
    <w:name w:val="Balloon Text"/>
    <w:basedOn w:val="Normal"/>
    <w:link w:val="BalloonTextChar"/>
    <w:uiPriority w:val="99"/>
    <w:semiHidden/>
    <w:unhideWhenUsed/>
    <w:rsid w:val="0027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3F93"/>
    <w:rPr>
      <w:rFonts w:ascii="Tahoma" w:hAnsi="Tahoma" w:cs="Tahoma"/>
      <w:sz w:val="16"/>
      <w:szCs w:val="16"/>
    </w:rPr>
  </w:style>
  <w:style w:type="paragraph" w:styleId="Revision">
    <w:name w:val="Revision"/>
    <w:hidden/>
    <w:uiPriority w:val="99"/>
    <w:semiHidden/>
    <w:rsid w:val="006B1284"/>
    <w:rPr>
      <w:sz w:val="22"/>
      <w:szCs w:val="22"/>
      <w:lang w:eastAsia="en-US"/>
    </w:rPr>
  </w:style>
  <w:style w:type="paragraph" w:styleId="FootnoteText">
    <w:name w:val="footnote text"/>
    <w:basedOn w:val="Normal"/>
    <w:link w:val="FootnoteTextChar"/>
    <w:uiPriority w:val="99"/>
    <w:semiHidden/>
    <w:unhideWhenUsed/>
    <w:rsid w:val="001F6BCD"/>
    <w:pPr>
      <w:spacing w:after="0" w:line="240" w:lineRule="auto"/>
    </w:pPr>
    <w:rPr>
      <w:sz w:val="20"/>
      <w:szCs w:val="20"/>
    </w:rPr>
  </w:style>
  <w:style w:type="character" w:customStyle="1" w:styleId="FootnoteTextChar">
    <w:name w:val="Footnote Text Char"/>
    <w:link w:val="FootnoteText"/>
    <w:uiPriority w:val="99"/>
    <w:semiHidden/>
    <w:rsid w:val="001F6BCD"/>
    <w:rPr>
      <w:sz w:val="20"/>
      <w:szCs w:val="20"/>
    </w:rPr>
  </w:style>
  <w:style w:type="character" w:styleId="FootnoteReference">
    <w:name w:val="footnote reference"/>
    <w:uiPriority w:val="99"/>
    <w:semiHidden/>
    <w:unhideWhenUsed/>
    <w:rsid w:val="001F6BCD"/>
    <w:rPr>
      <w:vertAlign w:val="superscript"/>
    </w:rPr>
  </w:style>
  <w:style w:type="paragraph" w:styleId="Header">
    <w:name w:val="header"/>
    <w:basedOn w:val="Normal"/>
    <w:link w:val="HeaderChar"/>
    <w:uiPriority w:val="99"/>
    <w:unhideWhenUsed/>
    <w:rsid w:val="005104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04EA"/>
  </w:style>
  <w:style w:type="paragraph" w:styleId="Footer">
    <w:name w:val="footer"/>
    <w:basedOn w:val="Normal"/>
    <w:link w:val="FooterChar"/>
    <w:uiPriority w:val="99"/>
    <w:unhideWhenUsed/>
    <w:rsid w:val="005104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04EA"/>
  </w:style>
  <w:style w:type="paragraph" w:styleId="ListParagraph">
    <w:name w:val="List Paragraph"/>
    <w:basedOn w:val="Normal"/>
    <w:uiPriority w:val="34"/>
    <w:qFormat/>
    <w:rsid w:val="00793068"/>
    <w:pPr>
      <w:ind w:left="720"/>
      <w:contextualSpacing/>
    </w:pPr>
  </w:style>
  <w:style w:type="table" w:styleId="TableGrid">
    <w:name w:val="Table Grid"/>
    <w:basedOn w:val="TableNormal"/>
    <w:uiPriority w:val="59"/>
    <w:rsid w:val="0003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0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67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kulakov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8DDE-AE91-4247-8756-EB1E4D45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1611</Words>
  <Characters>8947</Characters>
  <Application>Microsoft Office Word</Application>
  <DocSecurity>0</DocSecurity>
  <Lines>263</Lines>
  <Paragraphs>133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2.pielikums Papildinājumam vienošanās par Latvijas-Krievijas pārrobežu sadarbības programmas 2014.-2020.gadam finansēšanu un īstenošanu angļu valodā </vt:lpstr>
      <vt:lpstr/>
    </vt:vector>
  </TitlesOfParts>
  <Company>VARAM</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Papildinājumam vienošanās par Latvijas-Krievijas pārrobežu sadarbības programmas 2014.-2020.gadam finansēšanu un īstenošanu angļu valodā </dc:title>
  <dc:creator/>
  <dc:description>Natālija Kulakova, 67026481</dc:description>
  <cp:lastModifiedBy>Natālija Kulakova</cp:lastModifiedBy>
  <cp:revision>17</cp:revision>
  <cp:lastPrinted>2016-12-19T06:16:00Z</cp:lastPrinted>
  <dcterms:created xsi:type="dcterms:W3CDTF">2017-06-28T13:27:00Z</dcterms:created>
  <dcterms:modified xsi:type="dcterms:W3CDTF">2017-11-06T15:44:00Z</dcterms:modified>
</cp:coreProperties>
</file>