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B161F" w14:textId="77777777" w:rsidR="00C611AC" w:rsidRPr="00C33947" w:rsidRDefault="00C258DC" w:rsidP="005516ED">
      <w:pPr>
        <w:spacing w:before="120" w:after="120"/>
        <w:jc w:val="center"/>
        <w:rPr>
          <w:b/>
        </w:rPr>
      </w:pPr>
      <w:r w:rsidRPr="00C33947">
        <w:rPr>
          <w:b/>
        </w:rPr>
        <w:t>Par Ministru kabineta rīkojuma “Grozījums</w:t>
      </w:r>
      <w:r w:rsidR="007464DA" w:rsidRPr="00C33947">
        <w:rPr>
          <w:b/>
        </w:rPr>
        <w:t xml:space="preserve"> </w:t>
      </w:r>
      <w:r w:rsidRPr="00C33947">
        <w:rPr>
          <w:b/>
        </w:rPr>
        <w:t>Ministru kabineta 2016.</w:t>
      </w:r>
      <w:r w:rsidR="001769ED">
        <w:rPr>
          <w:b/>
        </w:rPr>
        <w:t> </w:t>
      </w:r>
      <w:r w:rsidRPr="00C33947">
        <w:rPr>
          <w:b/>
        </w:rPr>
        <w:t>gada 29.</w:t>
      </w:r>
      <w:r w:rsidR="001769ED">
        <w:rPr>
          <w:b/>
        </w:rPr>
        <w:t> </w:t>
      </w:r>
      <w:r w:rsidRPr="00C33947">
        <w:rPr>
          <w:b/>
        </w:rPr>
        <w:t>marta rīkojumā Nr.</w:t>
      </w:r>
      <w:r w:rsidR="001769ED">
        <w:rPr>
          <w:b/>
        </w:rPr>
        <w:t> </w:t>
      </w:r>
      <w:r w:rsidRPr="00C33947">
        <w:rPr>
          <w:b/>
        </w:rPr>
        <w:t>232</w:t>
      </w:r>
      <w:r w:rsidR="008B3E51" w:rsidRPr="00C33947">
        <w:rPr>
          <w:b/>
        </w:rPr>
        <w:t xml:space="preserve"> “Par starptautisko militāro mācību norises nodrošināšanu Latvijas teritorijā”</w:t>
      </w:r>
      <w:r w:rsidR="007464DA" w:rsidRPr="00C33947">
        <w:rPr>
          <w:b/>
        </w:rPr>
        <w:t xml:space="preserve">” </w:t>
      </w:r>
      <w:r w:rsidR="008B3E51" w:rsidRPr="00C33947">
        <w:rPr>
          <w:b/>
        </w:rPr>
        <w:t>sākotnējās ietekmes novērtējuma ziņojums (anotācija)</w:t>
      </w:r>
    </w:p>
    <w:tbl>
      <w:tblPr>
        <w:tblpPr w:leftFromText="180" w:rightFromText="180" w:vertAnchor="text" w:horzAnchor="margin" w:tblpXSpec="center" w:tblpY="149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3250"/>
        <w:gridCol w:w="5817"/>
      </w:tblGrid>
      <w:tr w:rsidR="00852042" w:rsidRPr="00C33947" w14:paraId="1D678D09" w14:textId="77777777" w:rsidTr="002C472A">
        <w:trPr>
          <w:trHeight w:val="121"/>
        </w:trPr>
        <w:tc>
          <w:tcPr>
            <w:tcW w:w="9498" w:type="dxa"/>
            <w:gridSpan w:val="3"/>
            <w:vAlign w:val="center"/>
          </w:tcPr>
          <w:p w14:paraId="0D1C9AB3" w14:textId="77777777" w:rsidR="00852042" w:rsidRPr="00C33947" w:rsidRDefault="00852042" w:rsidP="005516ED">
            <w:pPr>
              <w:pStyle w:val="naisnod"/>
              <w:spacing w:before="120" w:after="120"/>
            </w:pPr>
            <w:r w:rsidRPr="00C33947">
              <w:t>I</w:t>
            </w:r>
            <w:r w:rsidR="000941C5" w:rsidRPr="00C33947">
              <w:t>.</w:t>
            </w:r>
            <w:r w:rsidRPr="00C33947">
              <w:t xml:space="preserve"> Tiesību akta </w:t>
            </w:r>
            <w:r w:rsidR="002E3FF4" w:rsidRPr="00C33947">
              <w:t xml:space="preserve">projekta </w:t>
            </w:r>
            <w:r w:rsidRPr="00C33947">
              <w:t>izstrādes nepieciešamība</w:t>
            </w:r>
          </w:p>
        </w:tc>
      </w:tr>
      <w:tr w:rsidR="00262E2B" w:rsidRPr="00C33947" w14:paraId="4011472A" w14:textId="77777777" w:rsidTr="002C472A">
        <w:trPr>
          <w:trHeight w:val="382"/>
        </w:trPr>
        <w:tc>
          <w:tcPr>
            <w:tcW w:w="431" w:type="dxa"/>
            <w:shd w:val="clear" w:color="auto" w:fill="auto"/>
          </w:tcPr>
          <w:p w14:paraId="289A5B1A" w14:textId="77777777" w:rsidR="00262E2B" w:rsidRPr="00C33947" w:rsidRDefault="00262E2B" w:rsidP="00C51B9B">
            <w:pPr>
              <w:pStyle w:val="naiskr"/>
              <w:spacing w:before="120" w:after="120"/>
              <w:ind w:left="113"/>
            </w:pPr>
            <w:r w:rsidRPr="00C33947">
              <w:t>1.</w:t>
            </w:r>
          </w:p>
        </w:tc>
        <w:tc>
          <w:tcPr>
            <w:tcW w:w="3250" w:type="dxa"/>
            <w:shd w:val="clear" w:color="auto" w:fill="auto"/>
          </w:tcPr>
          <w:p w14:paraId="44A5BD33" w14:textId="77777777" w:rsidR="00262E2B" w:rsidRPr="00C33947" w:rsidRDefault="002D7F54" w:rsidP="005516ED">
            <w:pPr>
              <w:pStyle w:val="naiskr"/>
              <w:spacing w:before="120" w:after="120"/>
              <w:ind w:left="129" w:hanging="10"/>
            </w:pPr>
            <w:r w:rsidRPr="00C33947">
              <w:t>Pamatojums</w:t>
            </w:r>
          </w:p>
        </w:tc>
        <w:tc>
          <w:tcPr>
            <w:tcW w:w="5817" w:type="dxa"/>
            <w:shd w:val="clear" w:color="auto" w:fill="auto"/>
          </w:tcPr>
          <w:p w14:paraId="255835AE" w14:textId="77777777" w:rsidR="00933AC7" w:rsidRDefault="00B01BE2" w:rsidP="00FB1A01">
            <w:pPr>
              <w:spacing w:before="120"/>
              <w:ind w:left="147" w:right="149"/>
              <w:jc w:val="both"/>
            </w:pPr>
            <w:r w:rsidRPr="00C33947">
              <w:t>Saskaņā ar 1951.</w:t>
            </w:r>
            <w:r w:rsidR="001769ED">
              <w:t> </w:t>
            </w:r>
            <w:r w:rsidRPr="00C33947">
              <w:t>gada 19.</w:t>
            </w:r>
            <w:r w:rsidR="001769ED">
              <w:t> </w:t>
            </w:r>
            <w:r w:rsidRPr="00C33947">
              <w:t>jūnija Ziemeļatlantijas līguma organizācijas dalībvalstu līgu</w:t>
            </w:r>
            <w:r w:rsidR="001769ED">
              <w:t xml:space="preserve">mu par to bruņoto spēku statusu NATO spēki, uzturoties citā </w:t>
            </w:r>
            <w:r w:rsidRPr="00C33947">
              <w:t xml:space="preserve">NATO dalībvalstī, ir atbrīvoti no akcīzes nodokļa un pievienotās vērtības nodokļa maksājumu veikšanas. </w:t>
            </w:r>
          </w:p>
          <w:p w14:paraId="44101A1E" w14:textId="77777777" w:rsidR="00FB1A01" w:rsidRDefault="008D46E8" w:rsidP="00933AC7">
            <w:pPr>
              <w:spacing w:before="60"/>
              <w:ind w:left="147" w:right="149"/>
              <w:jc w:val="both"/>
            </w:pPr>
            <w:r w:rsidRPr="00C33947">
              <w:t>2006.</w:t>
            </w:r>
            <w:r w:rsidR="001769ED">
              <w:t> </w:t>
            </w:r>
            <w:r w:rsidRPr="00C33947">
              <w:t>gada 12.</w:t>
            </w:r>
            <w:r w:rsidR="001769ED">
              <w:t> </w:t>
            </w:r>
            <w:r w:rsidRPr="00C33947">
              <w:t>oktobrī</w:t>
            </w:r>
            <w:r w:rsidR="002A2D43" w:rsidRPr="00C33947">
              <w:t xml:space="preserve"> </w:t>
            </w:r>
            <w:r w:rsidR="000D48B7" w:rsidRPr="00C33947">
              <w:t xml:space="preserve">Saeimā </w:t>
            </w:r>
            <w:r w:rsidR="001769ED">
              <w:t xml:space="preserve">tika </w:t>
            </w:r>
            <w:r w:rsidR="000D48B7" w:rsidRPr="00C33947">
              <w:t>apstiprināt</w:t>
            </w:r>
            <w:r w:rsidRPr="00C33947">
              <w:t xml:space="preserve">s </w:t>
            </w:r>
            <w:r w:rsidR="001769ED">
              <w:t>likums “</w:t>
            </w:r>
            <w:r w:rsidR="002A2D43" w:rsidRPr="00C33947">
              <w:t>Par Saprašanās memorandu starp Latvijas Republikas valdību un Sabiedroto spēku augstāko virspavēlniecību Eiropā un Sabiedroto spēku augstākās virspavēlniecības t</w:t>
            </w:r>
            <w:r w:rsidR="00B01BE2" w:rsidRPr="00C33947">
              <w:t xml:space="preserve">ransformācijas komandiera štābu </w:t>
            </w:r>
            <w:r w:rsidR="002A2D43" w:rsidRPr="00C33947">
              <w:t>par uzņemošās valsts atbalsta sniegšanu Ziemeļatlantijas līguma organizācijas operāciju/mācību īstenošanai”</w:t>
            </w:r>
            <w:r w:rsidR="000D48B7" w:rsidRPr="00C33947">
              <w:t xml:space="preserve">. </w:t>
            </w:r>
            <w:r w:rsidR="00B43370">
              <w:t>L</w:t>
            </w:r>
            <w:r w:rsidR="001769ED">
              <w:t>ai ievērotu likuma normas un nodrošinātu starptautisko militāro mācību norisi Latvijas teritorijā,</w:t>
            </w:r>
            <w:r w:rsidRPr="00C33947">
              <w:t xml:space="preserve"> tika </w:t>
            </w:r>
            <w:r w:rsidR="00B43370">
              <w:t>izdots Ministru kabineta 2016.</w:t>
            </w:r>
            <w:r w:rsidR="001769ED">
              <w:t> </w:t>
            </w:r>
            <w:r w:rsidR="00B43370">
              <w:t>gada 29.</w:t>
            </w:r>
            <w:r w:rsidR="001769ED">
              <w:t> </w:t>
            </w:r>
            <w:r w:rsidR="00B43370">
              <w:t>marta</w:t>
            </w:r>
            <w:r w:rsidRPr="00C33947">
              <w:t xml:space="preserve"> r</w:t>
            </w:r>
            <w:r w:rsidR="002A2D43" w:rsidRPr="00C33947">
              <w:t>īkojum</w:t>
            </w:r>
            <w:r w:rsidRPr="00C33947">
              <w:t>s</w:t>
            </w:r>
            <w:r w:rsidR="00DA5146">
              <w:t xml:space="preserve"> Nr.</w:t>
            </w:r>
            <w:r w:rsidR="001769ED">
              <w:t> </w:t>
            </w:r>
            <w:r w:rsidR="00DA5146">
              <w:t>232</w:t>
            </w:r>
            <w:r w:rsidR="002A2D43" w:rsidRPr="00C33947">
              <w:t xml:space="preserve"> </w:t>
            </w:r>
            <w:r w:rsidR="00555CEB" w:rsidRPr="00C33947">
              <w:t>“</w:t>
            </w:r>
            <w:r w:rsidR="00B22260" w:rsidRPr="00C33947">
              <w:t xml:space="preserve">Par starptautisko militāro mācību norises nodrošināšanu </w:t>
            </w:r>
            <w:r w:rsidR="00B22260" w:rsidRPr="00FB1A01">
              <w:t>Latvijas teritorijā</w:t>
            </w:r>
            <w:r w:rsidR="00555CEB" w:rsidRPr="00FB1A01">
              <w:t>”</w:t>
            </w:r>
            <w:r w:rsidR="000A329B">
              <w:t>.</w:t>
            </w:r>
          </w:p>
          <w:p w14:paraId="38C6DCCC" w14:textId="77777777" w:rsidR="0059523B" w:rsidRPr="00FB1A01" w:rsidRDefault="00FA7E91" w:rsidP="00DA5146">
            <w:pPr>
              <w:spacing w:before="60" w:after="120"/>
              <w:ind w:left="147" w:right="149"/>
              <w:jc w:val="both"/>
              <w:rPr>
                <w:bCs/>
              </w:rPr>
            </w:pPr>
            <w:r>
              <w:t>Ņemot vērā būtiski pieaugušo starptautisko</w:t>
            </w:r>
            <w:r w:rsidR="00DA5146">
              <w:t xml:space="preserve"> militāro</w:t>
            </w:r>
            <w:r>
              <w:t xml:space="preserve"> mācību apjomu Latvijas teritorijā, m</w:t>
            </w:r>
            <w:r w:rsidR="009B3173">
              <w:t>inēto</w:t>
            </w:r>
            <w:r w:rsidR="005516ED">
              <w:t xml:space="preserve"> rīkojumu</w:t>
            </w:r>
            <w:r w:rsidR="00933AC7" w:rsidRPr="00933AC7">
              <w:t xml:space="preserve"> </w:t>
            </w:r>
            <w:r w:rsidR="009B3173">
              <w:t>nepieciešams</w:t>
            </w:r>
            <w:r w:rsidR="00B43370">
              <w:t xml:space="preserve"> precizēt un</w:t>
            </w:r>
            <w:r w:rsidR="009B3173">
              <w:t xml:space="preserve"> </w:t>
            </w:r>
            <w:r w:rsidR="005516ED">
              <w:t>papildināt</w:t>
            </w:r>
            <w:r w:rsidR="002A2D43" w:rsidRPr="00C33947">
              <w:t xml:space="preserve"> </w:t>
            </w:r>
            <w:r w:rsidR="005516ED">
              <w:t>ar</w:t>
            </w:r>
            <w:r w:rsidR="002A2D43" w:rsidRPr="00C33947">
              <w:t xml:space="preserve"> punktu</w:t>
            </w:r>
            <w:r w:rsidR="001A6E67" w:rsidRPr="00C33947">
              <w:t xml:space="preserve"> par nodokļu </w:t>
            </w:r>
            <w:r>
              <w:t>piemērošanas kārtību</w:t>
            </w:r>
            <w:r w:rsidR="001A6E67" w:rsidRPr="00C33947">
              <w:t xml:space="preserve">, </w:t>
            </w:r>
            <w:r w:rsidR="009B4956">
              <w:t xml:space="preserve">lai </w:t>
            </w:r>
            <w:r w:rsidR="009B3173">
              <w:t>noteiktu</w:t>
            </w:r>
            <w:r w:rsidR="001769ED">
              <w:t xml:space="preserve"> akcīzes nodokļa un p</w:t>
            </w:r>
            <w:r w:rsidR="00555CEB" w:rsidRPr="00C33947">
              <w:t>ievienotās vērtības nodok</w:t>
            </w:r>
            <w:r w:rsidR="00D83F69" w:rsidRPr="00C33947">
              <w:t>ļa</w:t>
            </w:r>
            <w:r w:rsidR="007222D4" w:rsidRPr="00C33947">
              <w:t xml:space="preserve"> </w:t>
            </w:r>
            <w:r w:rsidR="008D46E8" w:rsidRPr="00C33947">
              <w:t>samaksas kārtību</w:t>
            </w:r>
            <w:r w:rsidR="007C28A7" w:rsidRPr="00C33947">
              <w:t>,</w:t>
            </w:r>
            <w:r w:rsidR="007222D4" w:rsidRPr="00C33947">
              <w:t xml:space="preserve"> </w:t>
            </w:r>
            <w:r>
              <w:t>starptautisko</w:t>
            </w:r>
            <w:r w:rsidR="00DA5146">
              <w:t xml:space="preserve"> militāro</w:t>
            </w:r>
            <w:r>
              <w:t xml:space="preserve"> </w:t>
            </w:r>
            <w:r w:rsidR="007C28A7" w:rsidRPr="00C33947">
              <w:t>m</w:t>
            </w:r>
            <w:r w:rsidR="007222D4" w:rsidRPr="00C33947">
              <w:t xml:space="preserve">ācību norises nodrošināšanai </w:t>
            </w:r>
            <w:r w:rsidR="00B43370">
              <w:t>vienādojot</w:t>
            </w:r>
            <w:r w:rsidR="00FB1680">
              <w:t xml:space="preserve"> pieeju </w:t>
            </w:r>
            <w:r w:rsidR="007222D4" w:rsidRPr="00C33947">
              <w:t xml:space="preserve">attiecībā </w:t>
            </w:r>
            <w:r w:rsidR="007C28A7" w:rsidRPr="00C33947">
              <w:t>uz nodokļu nomaksu</w:t>
            </w:r>
            <w:r w:rsidR="009B3173">
              <w:t xml:space="preserve">, </w:t>
            </w:r>
            <w:r w:rsidR="007C28A7" w:rsidRPr="00C33947">
              <w:t>kāds</w:t>
            </w:r>
            <w:r w:rsidR="007222D4" w:rsidRPr="00C33947">
              <w:t xml:space="preserve"> tiek piemērots </w:t>
            </w:r>
            <w:r>
              <w:t xml:space="preserve">NATO Kaujas grupas karavīriem </w:t>
            </w:r>
            <w:r w:rsidR="009B3173">
              <w:t>saska</w:t>
            </w:r>
            <w:r w:rsidR="00650251">
              <w:t>ņā</w:t>
            </w:r>
            <w:r w:rsidR="009B3173">
              <w:t xml:space="preserve"> ar </w:t>
            </w:r>
            <w:r w:rsidR="00DA5146">
              <w:t>2017.</w:t>
            </w:r>
            <w:r w:rsidR="001769ED">
              <w:t> </w:t>
            </w:r>
            <w:r w:rsidR="00DA5146">
              <w:t xml:space="preserve">gada </w:t>
            </w:r>
            <w:r w:rsidR="007222D4" w:rsidRPr="00C33947">
              <w:t>19.</w:t>
            </w:r>
            <w:r w:rsidR="001769ED">
              <w:t> </w:t>
            </w:r>
            <w:r w:rsidR="007222D4" w:rsidRPr="00C33947">
              <w:t>a</w:t>
            </w:r>
            <w:r w:rsidR="009B3173">
              <w:t>prīļa Ministru kabineta rīkojumu</w:t>
            </w:r>
            <w:r w:rsidR="007222D4" w:rsidRPr="00C33947">
              <w:t xml:space="preserve"> Nr.</w:t>
            </w:r>
            <w:r w:rsidR="001769ED">
              <w:t> </w:t>
            </w:r>
            <w:r w:rsidR="007222D4" w:rsidRPr="00C33947">
              <w:t>194 “Par atļauju Aizsardzības ministrijai uzņemties ilgtermiņa saistības un nodrošināt NATO Kaujas grupas klātbūtni Latvijas Republikā valsts drošības un aizsardzības s</w:t>
            </w:r>
            <w:r w:rsidR="005516ED">
              <w:t>pēju stiprināšanai miera laikā”.</w:t>
            </w:r>
          </w:p>
        </w:tc>
      </w:tr>
      <w:tr w:rsidR="00262E2B" w:rsidRPr="00C33947" w14:paraId="52C60C2F" w14:textId="77777777" w:rsidTr="002C472A">
        <w:trPr>
          <w:trHeight w:val="274"/>
        </w:trPr>
        <w:tc>
          <w:tcPr>
            <w:tcW w:w="431" w:type="dxa"/>
          </w:tcPr>
          <w:p w14:paraId="71E3F3EA" w14:textId="77777777" w:rsidR="00262E2B" w:rsidRPr="00C33947" w:rsidRDefault="00262E2B" w:rsidP="00C51B9B">
            <w:pPr>
              <w:pStyle w:val="naiskr"/>
              <w:spacing w:before="120" w:after="120"/>
              <w:ind w:left="113"/>
            </w:pPr>
            <w:r w:rsidRPr="00C33947">
              <w:t>2.</w:t>
            </w:r>
          </w:p>
        </w:tc>
        <w:tc>
          <w:tcPr>
            <w:tcW w:w="3250" w:type="dxa"/>
          </w:tcPr>
          <w:p w14:paraId="51115A28" w14:textId="77777777" w:rsidR="00262E2B" w:rsidRPr="00C33947" w:rsidRDefault="00262E2B" w:rsidP="005516ED">
            <w:pPr>
              <w:pStyle w:val="naiskr"/>
              <w:tabs>
                <w:tab w:val="left" w:pos="170"/>
              </w:tabs>
              <w:spacing w:before="120" w:after="120"/>
              <w:ind w:left="129"/>
            </w:pPr>
            <w:r w:rsidRPr="00C33947">
              <w:t>Pašreizējā situācija</w:t>
            </w:r>
            <w:r w:rsidR="001F5CD6" w:rsidRPr="00C33947">
              <w:t xml:space="preserve"> un problēmas</w:t>
            </w:r>
            <w:r w:rsidR="00554BE8" w:rsidRPr="00C33947">
              <w:t>, kuru risināšanai tiesību akta projekts izstrādāts, tiesiskā regulējuma mērķis un būtība</w:t>
            </w:r>
          </w:p>
        </w:tc>
        <w:tc>
          <w:tcPr>
            <w:tcW w:w="5817" w:type="dxa"/>
          </w:tcPr>
          <w:p w14:paraId="21BC9E01" w14:textId="77777777" w:rsidR="006A26BB" w:rsidRPr="00C33947" w:rsidRDefault="004E26E0" w:rsidP="005516ED">
            <w:pPr>
              <w:spacing w:before="120"/>
              <w:ind w:left="147" w:right="149"/>
              <w:jc w:val="both"/>
              <w:rPr>
                <w:color w:val="000000"/>
                <w:shd w:val="clear" w:color="auto" w:fill="FFFFFF" w:themeFill="background1"/>
              </w:rPr>
            </w:pPr>
            <w:r w:rsidRPr="00C33947">
              <w:t>Drošības</w:t>
            </w:r>
            <w:r w:rsidR="00046BC8" w:rsidRPr="00C33947">
              <w:t xml:space="preserve"> un ģe</w:t>
            </w:r>
            <w:r w:rsidR="005D3A25" w:rsidRPr="00C33947">
              <w:t>o</w:t>
            </w:r>
            <w:r w:rsidR="00046BC8" w:rsidRPr="00C33947">
              <w:t>politiskās</w:t>
            </w:r>
            <w:r w:rsidRPr="00C33947">
              <w:t xml:space="preserve"> situācijas izmaiņas Eiropā ir ietekmējušas aizsardzības politikas veidošanu Latvijā. </w:t>
            </w:r>
            <w:r w:rsidR="005D3A25" w:rsidRPr="00C33947">
              <w:t>Pieaug</w:t>
            </w:r>
            <w:r w:rsidR="007C3D06" w:rsidRPr="00C33947">
              <w:t>usi</w:t>
            </w:r>
            <w:r w:rsidR="005D3A25" w:rsidRPr="00C33947">
              <w:t xml:space="preserve"> nepieciešamība pēc </w:t>
            </w:r>
            <w:r w:rsidR="00502EA9" w:rsidRPr="00C33947">
              <w:t xml:space="preserve">reģionālām </w:t>
            </w:r>
            <w:r w:rsidR="001769ED">
              <w:t xml:space="preserve">NATO darbībām, tai skaitā </w:t>
            </w:r>
            <w:r w:rsidR="005D3A25" w:rsidRPr="00C33947">
              <w:rPr>
                <w:lang w:eastAsia="en-US" w:bidi="lo-LA"/>
              </w:rPr>
              <w:t xml:space="preserve">sabiedroto </w:t>
            </w:r>
            <w:r w:rsidR="005D3A25" w:rsidRPr="00C33947">
              <w:t xml:space="preserve">spēku izvietošanas </w:t>
            </w:r>
            <w:r w:rsidR="005D3A25" w:rsidRPr="00C33947">
              <w:rPr>
                <w:lang w:eastAsia="en-US" w:bidi="lo-LA"/>
              </w:rPr>
              <w:t>Alianses dalībvalstīs</w:t>
            </w:r>
            <w:r w:rsidR="005231DE" w:rsidRPr="00C33947">
              <w:rPr>
                <w:lang w:eastAsia="en-US" w:bidi="lo-LA"/>
              </w:rPr>
              <w:t xml:space="preserve"> un regulārām NATO līmeņa </w:t>
            </w:r>
            <w:r w:rsidR="00DA5146">
              <w:rPr>
                <w:lang w:eastAsia="en-US" w:bidi="lo-LA"/>
              </w:rPr>
              <w:t xml:space="preserve">militārajām </w:t>
            </w:r>
            <w:r w:rsidR="005231DE" w:rsidRPr="00C33947">
              <w:rPr>
                <w:lang w:eastAsia="en-US" w:bidi="lo-LA"/>
              </w:rPr>
              <w:t>mācībām visās dalībvalstīs</w:t>
            </w:r>
            <w:r w:rsidR="00F2782B" w:rsidRPr="00C33947">
              <w:rPr>
                <w:lang w:eastAsia="en-US" w:bidi="lo-LA"/>
              </w:rPr>
              <w:t>.</w:t>
            </w:r>
            <w:r w:rsidR="001769ED">
              <w:rPr>
                <w:lang w:eastAsia="en-US" w:bidi="lo-LA"/>
              </w:rPr>
              <w:t xml:space="preserve"> Tādējādi </w:t>
            </w:r>
            <w:r w:rsidR="0004116E" w:rsidRPr="00C33947">
              <w:rPr>
                <w:color w:val="000000"/>
                <w:shd w:val="clear" w:color="auto" w:fill="FFFFFF" w:themeFill="background1"/>
              </w:rPr>
              <w:t>šobrīd jautājums par uzņemošās valsts atbalsta sniegšanu un saņemšanu Latvijai ir kļuvis īpaši aktuāls</w:t>
            </w:r>
            <w:r w:rsidR="00FA7E91">
              <w:rPr>
                <w:color w:val="000000"/>
                <w:shd w:val="clear" w:color="auto" w:fill="FFFFFF" w:themeFill="background1"/>
              </w:rPr>
              <w:t>, jo</w:t>
            </w:r>
            <w:r w:rsidR="005D7527">
              <w:rPr>
                <w:color w:val="000000"/>
                <w:shd w:val="clear" w:color="auto" w:fill="FFFFFF" w:themeFill="background1"/>
              </w:rPr>
              <w:t xml:space="preserve"> starptautisko</w:t>
            </w:r>
            <w:r w:rsidR="00DA5146">
              <w:rPr>
                <w:color w:val="000000"/>
                <w:shd w:val="clear" w:color="auto" w:fill="FFFFFF" w:themeFill="background1"/>
              </w:rPr>
              <w:t xml:space="preserve"> militāro</w:t>
            </w:r>
            <w:r w:rsidR="005D7527">
              <w:rPr>
                <w:color w:val="000000"/>
                <w:shd w:val="clear" w:color="auto" w:fill="FFFFFF" w:themeFill="background1"/>
              </w:rPr>
              <w:t xml:space="preserve"> mācību intensitāte ir būtiski pieaugusi</w:t>
            </w:r>
            <w:r w:rsidR="0004116E" w:rsidRPr="00C33947">
              <w:rPr>
                <w:color w:val="000000"/>
                <w:shd w:val="clear" w:color="auto" w:fill="FFFFFF" w:themeFill="background1"/>
              </w:rPr>
              <w:t>.</w:t>
            </w:r>
          </w:p>
          <w:p w14:paraId="5C064E4C" w14:textId="77777777" w:rsidR="005D7527" w:rsidRDefault="00FE0199" w:rsidP="00736234">
            <w:pPr>
              <w:spacing w:before="60"/>
              <w:ind w:left="147" w:right="149"/>
              <w:jc w:val="both"/>
            </w:pPr>
            <w:r w:rsidRPr="00C33947">
              <w:t>Saskaņā ar 1951.</w:t>
            </w:r>
            <w:r w:rsidR="001769ED">
              <w:t> </w:t>
            </w:r>
            <w:r w:rsidRPr="00C33947">
              <w:t>gada 19.</w:t>
            </w:r>
            <w:r w:rsidR="001769ED">
              <w:t> </w:t>
            </w:r>
            <w:r w:rsidRPr="00C33947">
              <w:t>jūnija Ziemeļatlantijas līguma organizācijas dalībvalstu līgumu</w:t>
            </w:r>
            <w:r>
              <w:t xml:space="preserve">, citu dalībvalstu karavīri uzturoties Latvijā </w:t>
            </w:r>
            <w:r w:rsidR="00C37743">
              <w:t>ir atbrīvojam</w:t>
            </w:r>
            <w:r w:rsidR="001D149D">
              <w:t>i</w:t>
            </w:r>
            <w:r w:rsidR="00C37743">
              <w:t xml:space="preserve"> no netiešo </w:t>
            </w:r>
            <w:r w:rsidR="00C37743">
              <w:lastRenderedPageBreak/>
              <w:t>nodokļu maksāšanas. Attiecīgi a</w:t>
            </w:r>
            <w:r w:rsidR="005D7527" w:rsidRPr="005D7527">
              <w:t xml:space="preserve">r </w:t>
            </w:r>
            <w:r w:rsidR="005D7527">
              <w:t>2017.</w:t>
            </w:r>
            <w:r w:rsidR="001769ED">
              <w:t> </w:t>
            </w:r>
            <w:r w:rsidR="005D7527">
              <w:t xml:space="preserve">gada </w:t>
            </w:r>
            <w:r w:rsidR="001769ED">
              <w:t>19. </w:t>
            </w:r>
            <w:r w:rsidR="005D7527" w:rsidRPr="005D7527">
              <w:t>aprīļa</w:t>
            </w:r>
            <w:r w:rsidR="001769ED">
              <w:t xml:space="preserve"> Ministru kabineta rīkojumu Nr. </w:t>
            </w:r>
            <w:r w:rsidR="005D7527" w:rsidRPr="005D7527">
              <w:t xml:space="preserve">194 “Par atļauju Aizsardzības ministrijai uzņemties ilgtermiņa saistības un nodrošināt NATO Kaujas grupas klātbūtni Latvijas Republikā valsts drošības un aizsardzības spēju stiprināšanai miera laikā” </w:t>
            </w:r>
            <w:r w:rsidR="00C37743">
              <w:t>NATO Kaujas grupā iekļautie</w:t>
            </w:r>
            <w:r w:rsidR="005D7527" w:rsidRPr="005D7527">
              <w:t xml:space="preserve"> spēki ir atbrīvoti no akcīzes nodokļa un pievienotās vērtības nodokļa maksājumiem.</w:t>
            </w:r>
          </w:p>
          <w:p w14:paraId="78F6B3D0" w14:textId="77777777" w:rsidR="00736234" w:rsidRPr="00736234" w:rsidRDefault="00736234" w:rsidP="00736234">
            <w:pPr>
              <w:spacing w:before="60"/>
              <w:ind w:left="147" w:right="149"/>
              <w:jc w:val="both"/>
            </w:pPr>
            <w:r w:rsidRPr="00736234">
              <w:t xml:space="preserve">Lai </w:t>
            </w:r>
            <w:r w:rsidR="00B43370" w:rsidRPr="00B43370">
              <w:t>vienādot</w:t>
            </w:r>
            <w:r w:rsidR="00B43370">
              <w:t>u</w:t>
            </w:r>
            <w:r w:rsidR="00B43370" w:rsidRPr="00B43370">
              <w:t xml:space="preserve"> pieeju attiecībā uz nodokļu nomaksu</w:t>
            </w:r>
            <w:r w:rsidR="00B43370">
              <w:t xml:space="preserve"> sabiedroto karavīriem, </w:t>
            </w:r>
            <w:r w:rsidR="00B43370" w:rsidRPr="00736234">
              <w:t xml:space="preserve">kas uzturas </w:t>
            </w:r>
            <w:r w:rsidR="00B43370">
              <w:t>Latvijas teritorijā</w:t>
            </w:r>
            <w:r w:rsidR="00B43370" w:rsidRPr="00736234">
              <w:t xml:space="preserve"> </w:t>
            </w:r>
            <w:r w:rsidR="001769ED">
              <w:t>s</w:t>
            </w:r>
            <w:r w:rsidR="00B43370">
              <w:t xml:space="preserve">tarptautiskajās </w:t>
            </w:r>
            <w:r w:rsidR="00B43370" w:rsidRPr="00736234">
              <w:t>militārajās mācībās</w:t>
            </w:r>
            <w:r w:rsidR="00B43370">
              <w:t xml:space="preserve">, ir nepieciešams </w:t>
            </w:r>
            <w:r w:rsidR="001769ED">
              <w:t>izdarīt</w:t>
            </w:r>
            <w:r w:rsidR="00B43370" w:rsidRPr="005D121A">
              <w:t xml:space="preserve"> grozījumu </w:t>
            </w:r>
            <w:r w:rsidR="00B43370" w:rsidRPr="005D121A">
              <w:rPr>
                <w:bCs/>
              </w:rPr>
              <w:t>Ministru kabineta 20</w:t>
            </w:r>
            <w:r w:rsidR="001769ED">
              <w:rPr>
                <w:bCs/>
              </w:rPr>
              <w:t xml:space="preserve">16. gada 29. marta </w:t>
            </w:r>
            <w:r w:rsidR="00B43370" w:rsidRPr="005D121A">
              <w:rPr>
                <w:bCs/>
              </w:rPr>
              <w:t>rīkojum</w:t>
            </w:r>
            <w:r w:rsidR="00B43370">
              <w:rPr>
                <w:bCs/>
              </w:rPr>
              <w:t>ā</w:t>
            </w:r>
            <w:r w:rsidR="00B43370" w:rsidRPr="005D121A">
              <w:rPr>
                <w:bCs/>
              </w:rPr>
              <w:t xml:space="preserve"> Nr. 232 </w:t>
            </w:r>
            <w:r w:rsidR="00B43370" w:rsidRPr="005D121A">
              <w:t>“Par starptautisko militāro mācību norises nodrošināšanu Latvijas teritorijā”</w:t>
            </w:r>
            <w:r w:rsidR="001769ED">
              <w:t>, nodrošinot</w:t>
            </w:r>
            <w:r w:rsidR="00B43370">
              <w:t xml:space="preserve"> tādu pašu kārtību, kāda tiek piemērota</w:t>
            </w:r>
            <w:r w:rsidR="00C37743">
              <w:t xml:space="preserve"> </w:t>
            </w:r>
            <w:r w:rsidR="00B43370">
              <w:t>atbilstoši</w:t>
            </w:r>
            <w:r w:rsidR="00DA5146">
              <w:t xml:space="preserve"> 2017.</w:t>
            </w:r>
            <w:r w:rsidR="001769ED">
              <w:t> </w:t>
            </w:r>
            <w:r w:rsidR="00DA5146">
              <w:t>gada</w:t>
            </w:r>
            <w:r w:rsidR="00C37743">
              <w:t xml:space="preserve"> </w:t>
            </w:r>
            <w:r w:rsidR="00B43370" w:rsidRPr="00B43370">
              <w:t>19.</w:t>
            </w:r>
            <w:r w:rsidR="001769ED">
              <w:t> </w:t>
            </w:r>
            <w:r w:rsidR="00B43370" w:rsidRPr="00B43370">
              <w:t>aprīļa Ministru kabineta rīkojum</w:t>
            </w:r>
            <w:r w:rsidR="00B43370">
              <w:t>am</w:t>
            </w:r>
            <w:r w:rsidR="00B43370" w:rsidRPr="00B43370">
              <w:t xml:space="preserve"> Nr.</w:t>
            </w:r>
            <w:r w:rsidR="001769ED">
              <w:t> </w:t>
            </w:r>
            <w:r w:rsidR="00B43370" w:rsidRPr="00B43370">
              <w:t>194 “Par atļauju Aizsardzības ministrijai uzņemties ilgtermiņa saistības un nodrošināt NATO Kaujas grupas klātbūtni Latvijas Republikā valsts drošības un aizsardzības spēju stiprināšanai miera laikā”.</w:t>
            </w:r>
          </w:p>
          <w:p w14:paraId="2B5D3C95" w14:textId="77777777" w:rsidR="006B5F84" w:rsidRPr="00736234" w:rsidRDefault="001769ED" w:rsidP="002116B8">
            <w:pPr>
              <w:spacing w:before="60"/>
              <w:ind w:left="147" w:right="149"/>
              <w:jc w:val="both"/>
            </w:pPr>
            <w:r>
              <w:rPr>
                <w:bCs/>
              </w:rPr>
              <w:t xml:space="preserve">Ar šiem grozījumiem </w:t>
            </w:r>
            <w:r w:rsidR="00C06841" w:rsidRPr="00736234">
              <w:rPr>
                <w:bCs/>
              </w:rPr>
              <w:t>tiks nodrošināts, ka</w:t>
            </w:r>
            <w:r w:rsidR="006B5F84" w:rsidRPr="00736234">
              <w:rPr>
                <w:bCs/>
              </w:rPr>
              <w:t xml:space="preserve"> atbilstoši izstrādātajam</w:t>
            </w:r>
            <w:r w:rsidR="00E01D10">
              <w:rPr>
                <w:bCs/>
              </w:rPr>
              <w:t xml:space="preserve"> Ministru kabineta</w:t>
            </w:r>
            <w:r w:rsidR="006B5F84" w:rsidRPr="00736234">
              <w:rPr>
                <w:bCs/>
              </w:rPr>
              <w:t xml:space="preserve"> r</w:t>
            </w:r>
            <w:r w:rsidR="00473739" w:rsidRPr="00736234">
              <w:rPr>
                <w:bCs/>
              </w:rPr>
              <w:t xml:space="preserve">īkojumam </w:t>
            </w:r>
            <w:r w:rsidR="00473739" w:rsidRPr="00736234">
              <w:t>nepieciešamos</w:t>
            </w:r>
            <w:r w:rsidR="006B5F84" w:rsidRPr="00736234">
              <w:t xml:space="preserve"> </w:t>
            </w:r>
            <w:r w:rsidR="00473739" w:rsidRPr="00736234">
              <w:t>nodokļus</w:t>
            </w:r>
            <w:r w:rsidR="00E01D10">
              <w:t xml:space="preserve"> sabiedroto karavīriem, </w:t>
            </w:r>
            <w:r w:rsidR="00E01D10" w:rsidRPr="00736234">
              <w:t xml:space="preserve">kas uzturas </w:t>
            </w:r>
            <w:r w:rsidR="00E01D10">
              <w:t>Latvijas teritorijā</w:t>
            </w:r>
            <w:r w:rsidR="00E01D10" w:rsidRPr="00736234">
              <w:t xml:space="preserve"> </w:t>
            </w:r>
            <w:r>
              <w:t>s</w:t>
            </w:r>
            <w:r w:rsidR="00E01D10">
              <w:t xml:space="preserve">tarptautiskajās </w:t>
            </w:r>
            <w:r w:rsidR="00E01D10" w:rsidRPr="00736234">
              <w:t>militārajās mācībās</w:t>
            </w:r>
            <w:r>
              <w:t>,</w:t>
            </w:r>
            <w:r w:rsidR="00E01D10" w:rsidRPr="00736234">
              <w:t xml:space="preserve"> </w:t>
            </w:r>
            <w:r w:rsidR="00473739" w:rsidRPr="00736234">
              <w:t>Aizsardzības</w:t>
            </w:r>
            <w:r w:rsidR="006B5F84" w:rsidRPr="00736234">
              <w:t xml:space="preserve"> </w:t>
            </w:r>
            <w:r w:rsidR="00473739" w:rsidRPr="00736234">
              <w:t>ministrija sedz no</w:t>
            </w:r>
            <w:r>
              <w:t xml:space="preserve"> a</w:t>
            </w:r>
            <w:r w:rsidR="00E01D10">
              <w:t>izsardzības resoram</w:t>
            </w:r>
            <w:r w:rsidR="00473739" w:rsidRPr="00736234">
              <w:t xml:space="preserve"> piešķirtajiem valsts budžeta līdzekļiem.</w:t>
            </w:r>
            <w:r w:rsidR="006B5F84" w:rsidRPr="00736234">
              <w:t xml:space="preserve"> </w:t>
            </w:r>
          </w:p>
          <w:p w14:paraId="32E9EA16" w14:textId="77777777" w:rsidR="00797255" w:rsidRPr="00C33947" w:rsidRDefault="00CE0EB0" w:rsidP="005516ED">
            <w:pPr>
              <w:spacing w:before="60" w:after="120"/>
              <w:ind w:left="147" w:right="149"/>
              <w:jc w:val="both"/>
            </w:pPr>
            <w:r w:rsidRPr="00C33947">
              <w:t xml:space="preserve">Ar </w:t>
            </w:r>
            <w:r w:rsidR="0037726A" w:rsidRPr="00C33947">
              <w:t xml:space="preserve">MK </w:t>
            </w:r>
            <w:r w:rsidR="00826091" w:rsidRPr="00C33947">
              <w:t>rīkojumu</w:t>
            </w:r>
            <w:r w:rsidRPr="00C33947">
              <w:t xml:space="preserve"> Latvija neuzņemas jaunas saistības, bet nodrošina Ziemeļatlantijas līguma 3.</w:t>
            </w:r>
            <w:r w:rsidR="001769ED">
              <w:t> </w:t>
            </w:r>
            <w:r w:rsidRPr="00C33947">
              <w:t>pantā uzņemto saistību – pēc iespējas efektīvāk pildīt līguma mērķus ar pašu centieniem un savstarpējo palīdzību uzturēt un attīstīt savas individuālās un kolektīvās spējas – izpildi.</w:t>
            </w:r>
            <w:r w:rsidR="001A7FC0" w:rsidRPr="00C33947">
              <w:t xml:space="preserve"> Attiecīgi ši</w:t>
            </w:r>
            <w:r w:rsidR="004266AE" w:rsidRPr="00C33947">
              <w:t>s</w:t>
            </w:r>
            <w:r w:rsidR="001A7FC0" w:rsidRPr="00C33947">
              <w:t xml:space="preserve"> MK </w:t>
            </w:r>
            <w:r w:rsidR="009B3173">
              <w:t>rīkojuma projektā paredzētais ieguldījums dos</w:t>
            </w:r>
            <w:r w:rsidR="001A7FC0" w:rsidRPr="00C33947">
              <w:t xml:space="preserve"> iespēju efektīvāk organizēt Latvijas teritorijā notiekoš</w:t>
            </w:r>
            <w:r w:rsidR="006069A6" w:rsidRPr="00C33947">
              <w:t>o</w:t>
            </w:r>
            <w:r w:rsidR="001A7FC0" w:rsidRPr="00C33947">
              <w:t xml:space="preserve"> starptautisk</w:t>
            </w:r>
            <w:r w:rsidR="006069A6" w:rsidRPr="00C33947">
              <w:t>o</w:t>
            </w:r>
            <w:r w:rsidR="00DA5146">
              <w:t xml:space="preserve"> militāro</w:t>
            </w:r>
            <w:r w:rsidR="001A7FC0" w:rsidRPr="00C33947">
              <w:t xml:space="preserve"> mācīb</w:t>
            </w:r>
            <w:r w:rsidR="006069A6" w:rsidRPr="00C33947">
              <w:t>u finanšu resursu apriti, izlietojumu un kontroli</w:t>
            </w:r>
            <w:r w:rsidR="001A7FC0" w:rsidRPr="00C33947">
              <w:t>.</w:t>
            </w:r>
          </w:p>
        </w:tc>
      </w:tr>
      <w:tr w:rsidR="00262E2B" w:rsidRPr="00C33947" w14:paraId="3D6B176F" w14:textId="77777777" w:rsidTr="002C472A">
        <w:trPr>
          <w:trHeight w:val="453"/>
        </w:trPr>
        <w:tc>
          <w:tcPr>
            <w:tcW w:w="431" w:type="dxa"/>
          </w:tcPr>
          <w:p w14:paraId="12CE37C6" w14:textId="77777777" w:rsidR="00262E2B" w:rsidRPr="00C33947" w:rsidRDefault="00262E2B" w:rsidP="00C51B9B">
            <w:pPr>
              <w:pStyle w:val="naiskr"/>
              <w:spacing w:before="120" w:after="120"/>
              <w:ind w:left="113"/>
            </w:pPr>
            <w:r w:rsidRPr="00C33947">
              <w:lastRenderedPageBreak/>
              <w:t>3.</w:t>
            </w:r>
          </w:p>
        </w:tc>
        <w:tc>
          <w:tcPr>
            <w:tcW w:w="3250" w:type="dxa"/>
          </w:tcPr>
          <w:p w14:paraId="0C3E7276" w14:textId="77777777" w:rsidR="00262E2B" w:rsidRPr="00C33947" w:rsidRDefault="0062080D" w:rsidP="005516ED">
            <w:pPr>
              <w:pStyle w:val="naiskr"/>
              <w:spacing w:before="120" w:after="120"/>
              <w:ind w:left="129"/>
            </w:pPr>
            <w:r w:rsidRPr="00C33947">
              <w:t xml:space="preserve">Projekta izstrādē iesaistītas institūcijas </w:t>
            </w:r>
          </w:p>
        </w:tc>
        <w:tc>
          <w:tcPr>
            <w:tcW w:w="5817" w:type="dxa"/>
          </w:tcPr>
          <w:p w14:paraId="52B9CFF0" w14:textId="77777777" w:rsidR="00B352C3" w:rsidRPr="00C33947" w:rsidRDefault="0062080D" w:rsidP="005516ED">
            <w:pPr>
              <w:pStyle w:val="NormalWeb"/>
              <w:spacing w:before="120" w:beforeAutospacing="0" w:after="120" w:afterAutospacing="0"/>
              <w:ind w:left="74" w:right="19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C33947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Projektu izstrādāja Latvijas Republikas </w:t>
            </w:r>
            <w:r w:rsidR="004E26E0" w:rsidRPr="00C33947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Aizsardzības</w:t>
            </w:r>
            <w:r w:rsidRPr="00C33947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ministrija.</w:t>
            </w:r>
          </w:p>
        </w:tc>
      </w:tr>
      <w:tr w:rsidR="00D205B2" w:rsidRPr="00C33947" w14:paraId="502D84EF" w14:textId="77777777" w:rsidTr="002C472A">
        <w:trPr>
          <w:trHeight w:val="847"/>
        </w:trPr>
        <w:tc>
          <w:tcPr>
            <w:tcW w:w="431" w:type="dxa"/>
            <w:tcBorders>
              <w:bottom w:val="single" w:sz="4" w:space="0" w:color="auto"/>
            </w:tcBorders>
          </w:tcPr>
          <w:p w14:paraId="506ED0B8" w14:textId="77777777" w:rsidR="00D205B2" w:rsidRPr="00C33947" w:rsidRDefault="0062080D" w:rsidP="00C51B9B">
            <w:pPr>
              <w:pStyle w:val="naiskr"/>
              <w:spacing w:before="120" w:after="120"/>
              <w:ind w:left="113"/>
            </w:pPr>
            <w:r w:rsidRPr="00C33947">
              <w:t>4</w:t>
            </w:r>
            <w:r w:rsidR="00D205B2" w:rsidRPr="00C33947">
              <w:t>.</w:t>
            </w:r>
          </w:p>
        </w:tc>
        <w:tc>
          <w:tcPr>
            <w:tcW w:w="3250" w:type="dxa"/>
            <w:tcBorders>
              <w:bottom w:val="single" w:sz="4" w:space="0" w:color="auto"/>
            </w:tcBorders>
          </w:tcPr>
          <w:p w14:paraId="464A030D" w14:textId="77777777" w:rsidR="00D205B2" w:rsidRPr="00C33947" w:rsidRDefault="00D205B2" w:rsidP="005516ED">
            <w:pPr>
              <w:pStyle w:val="naiskr"/>
              <w:spacing w:before="120" w:after="120"/>
              <w:ind w:left="129"/>
            </w:pPr>
            <w:r w:rsidRPr="00C33947">
              <w:t>Cita informācija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shd w:val="clear" w:color="auto" w:fill="auto"/>
          </w:tcPr>
          <w:p w14:paraId="2063EC41" w14:textId="77777777" w:rsidR="00637346" w:rsidRPr="00C33947" w:rsidRDefault="005D6D61" w:rsidP="005516ED">
            <w:pPr>
              <w:pStyle w:val="tvhtmlmktable"/>
              <w:spacing w:before="120" w:beforeAutospacing="0" w:after="0" w:afterAutospacing="0"/>
              <w:ind w:left="74"/>
              <w:jc w:val="both"/>
            </w:pPr>
            <w:r w:rsidRPr="00C33947">
              <w:t>Jaunas</w:t>
            </w:r>
            <w:r w:rsidR="00637346" w:rsidRPr="00C33947">
              <w:t xml:space="preserve"> saistības Latvijas Republikai šis projekts </w:t>
            </w:r>
            <w:r w:rsidRPr="00C33947">
              <w:t>nerada</w:t>
            </w:r>
            <w:r w:rsidR="00637346" w:rsidRPr="00C33947">
              <w:t xml:space="preserve">. </w:t>
            </w:r>
          </w:p>
          <w:p w14:paraId="346B4DFC" w14:textId="77777777" w:rsidR="00B42A96" w:rsidRPr="00C33947" w:rsidRDefault="00046BC8" w:rsidP="00826091">
            <w:pPr>
              <w:ind w:left="74" w:right="283"/>
              <w:jc w:val="both"/>
            </w:pPr>
            <w:r w:rsidRPr="00C33947">
              <w:t xml:space="preserve">Saistību </w:t>
            </w:r>
            <w:r w:rsidR="006A26BB" w:rsidRPr="00C33947">
              <w:t>iz</w:t>
            </w:r>
            <w:r w:rsidRPr="00C33947">
              <w:t>pi</w:t>
            </w:r>
            <w:r w:rsidR="00CA7B9A" w:rsidRPr="00C33947">
              <w:t xml:space="preserve">ldi Aizsardzības ministrija </w:t>
            </w:r>
            <w:r w:rsidRPr="00C33947">
              <w:t xml:space="preserve">nodrošinās </w:t>
            </w:r>
            <w:r w:rsidR="00DA5146">
              <w:t>no</w:t>
            </w:r>
            <w:r w:rsidRPr="00C33947">
              <w:t xml:space="preserve"> piešķirtajiem budžeta līdzekļiem</w:t>
            </w:r>
            <w:r w:rsidR="001769ED">
              <w:t>, tādē</w:t>
            </w:r>
            <w:r w:rsidR="000841F7" w:rsidRPr="00C33947">
              <w:t>jādi nodrošinot efektīvu finanšu resursu kontroli un izlietojumu</w:t>
            </w:r>
            <w:r w:rsidRPr="00C33947">
              <w:t>.</w:t>
            </w:r>
            <w:r w:rsidR="00826091" w:rsidRPr="00C33947">
              <w:t xml:space="preserve"> </w:t>
            </w:r>
          </w:p>
          <w:p w14:paraId="139B8442" w14:textId="77777777" w:rsidR="00511032" w:rsidRPr="00C33947" w:rsidRDefault="007B62D8" w:rsidP="00DA5146">
            <w:pPr>
              <w:spacing w:before="60" w:after="120"/>
              <w:ind w:left="74" w:right="283"/>
              <w:jc w:val="both"/>
            </w:pPr>
            <w:r w:rsidRPr="00C33947">
              <w:t xml:space="preserve">Projekta izpildi Aizsardzības ministrija nodrošinās </w:t>
            </w:r>
            <w:r w:rsidR="00DA5146">
              <w:t>no</w:t>
            </w:r>
            <w:r w:rsidRPr="00C33947">
              <w:t xml:space="preserve"> piešķirtajiem valsts budžeta līdzekļiem budžeta </w:t>
            </w:r>
            <w:r w:rsidR="000765A5" w:rsidRPr="00C33947">
              <w:t>apakšprogrammas</w:t>
            </w:r>
            <w:r w:rsidRPr="00C33947">
              <w:t xml:space="preserve"> 22.</w:t>
            </w:r>
            <w:r w:rsidR="000765A5" w:rsidRPr="00C33947">
              <w:t>12.00 “Nacionālo bruņoto spēku uzturēšana</w:t>
            </w:r>
            <w:r w:rsidRPr="00C33947">
              <w:t>” ietvaros.</w:t>
            </w:r>
          </w:p>
        </w:tc>
      </w:tr>
    </w:tbl>
    <w:p w14:paraId="7D519E0F" w14:textId="77777777" w:rsidR="00EF2FAA" w:rsidRPr="00C33947" w:rsidRDefault="00EF2FAA" w:rsidP="005516ED">
      <w:pPr>
        <w:pStyle w:val="naiskr"/>
        <w:widowControl w:val="0"/>
        <w:tabs>
          <w:tab w:val="left" w:pos="2628"/>
        </w:tabs>
        <w:spacing w:before="0" w:after="120"/>
        <w:rPr>
          <w:highlight w:val="yellow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427"/>
        <w:gridCol w:w="5670"/>
      </w:tblGrid>
      <w:tr w:rsidR="002D6487" w:rsidRPr="00C33947" w14:paraId="3DB05360" w14:textId="77777777" w:rsidTr="001E2C86">
        <w:trPr>
          <w:jc w:val="center"/>
        </w:trPr>
        <w:tc>
          <w:tcPr>
            <w:tcW w:w="9493" w:type="dxa"/>
            <w:gridSpan w:val="3"/>
          </w:tcPr>
          <w:p w14:paraId="3F29B277" w14:textId="77777777" w:rsidR="002D6487" w:rsidRPr="00C33947" w:rsidRDefault="002D6487" w:rsidP="005516ED">
            <w:pPr>
              <w:pStyle w:val="naisnod"/>
              <w:widowControl w:val="0"/>
              <w:spacing w:before="120" w:after="120"/>
              <w:jc w:val="both"/>
            </w:pPr>
            <w:r w:rsidRPr="00C33947">
              <w:t>V. Tiesību akta projekta atbilstība Latvijas Republikas starptautiskajām saistībām</w:t>
            </w:r>
          </w:p>
        </w:tc>
      </w:tr>
      <w:tr w:rsidR="002D6487" w:rsidRPr="00C33947" w14:paraId="54A35459" w14:textId="77777777" w:rsidTr="001E2C86">
        <w:trPr>
          <w:trHeight w:val="309"/>
          <w:jc w:val="center"/>
        </w:trPr>
        <w:tc>
          <w:tcPr>
            <w:tcW w:w="396" w:type="dxa"/>
          </w:tcPr>
          <w:p w14:paraId="307B630A" w14:textId="77777777" w:rsidR="002D6487" w:rsidRPr="00C33947" w:rsidRDefault="002D6487" w:rsidP="00652F32">
            <w:pPr>
              <w:pStyle w:val="naiskr"/>
              <w:widowControl w:val="0"/>
              <w:tabs>
                <w:tab w:val="left" w:pos="2628"/>
              </w:tabs>
              <w:spacing w:before="60" w:after="60"/>
              <w:jc w:val="both"/>
              <w:rPr>
                <w:iCs/>
              </w:rPr>
            </w:pPr>
            <w:r w:rsidRPr="00C33947">
              <w:rPr>
                <w:iCs/>
              </w:rPr>
              <w:t>1.</w:t>
            </w:r>
          </w:p>
        </w:tc>
        <w:tc>
          <w:tcPr>
            <w:tcW w:w="3427" w:type="dxa"/>
          </w:tcPr>
          <w:p w14:paraId="08935652" w14:textId="77777777" w:rsidR="002D6487" w:rsidRPr="00C33947" w:rsidRDefault="002D6487" w:rsidP="005516ED">
            <w:pPr>
              <w:pStyle w:val="naiskr"/>
              <w:widowControl w:val="0"/>
              <w:tabs>
                <w:tab w:val="left" w:pos="2628"/>
              </w:tabs>
              <w:spacing w:before="120" w:after="120"/>
              <w:jc w:val="both"/>
              <w:rPr>
                <w:iCs/>
              </w:rPr>
            </w:pPr>
            <w:r w:rsidRPr="00C33947">
              <w:t>Saistības pret Eiropas Savienību</w:t>
            </w:r>
          </w:p>
        </w:tc>
        <w:tc>
          <w:tcPr>
            <w:tcW w:w="5670" w:type="dxa"/>
          </w:tcPr>
          <w:p w14:paraId="1763398B" w14:textId="77777777" w:rsidR="002D6487" w:rsidRPr="00C33947" w:rsidRDefault="002D6487" w:rsidP="005516ED">
            <w:pPr>
              <w:pStyle w:val="naiskr"/>
              <w:widowControl w:val="0"/>
              <w:tabs>
                <w:tab w:val="left" w:pos="2628"/>
              </w:tabs>
              <w:spacing w:before="120" w:after="120"/>
              <w:jc w:val="both"/>
              <w:rPr>
                <w:iCs/>
              </w:rPr>
            </w:pPr>
            <w:r w:rsidRPr="00C33947">
              <w:t xml:space="preserve">Nav. </w:t>
            </w:r>
          </w:p>
        </w:tc>
      </w:tr>
      <w:tr w:rsidR="002D6487" w:rsidRPr="00C33947" w14:paraId="6EC7C01B" w14:textId="77777777" w:rsidTr="001E2C86">
        <w:trPr>
          <w:trHeight w:val="698"/>
          <w:jc w:val="center"/>
        </w:trPr>
        <w:tc>
          <w:tcPr>
            <w:tcW w:w="396" w:type="dxa"/>
          </w:tcPr>
          <w:p w14:paraId="18E7C5C8" w14:textId="77777777" w:rsidR="002D6487" w:rsidRPr="00C33947" w:rsidRDefault="002D6487" w:rsidP="00C51B9B">
            <w:pPr>
              <w:pStyle w:val="naiskr"/>
              <w:widowControl w:val="0"/>
              <w:tabs>
                <w:tab w:val="left" w:pos="2628"/>
              </w:tabs>
              <w:spacing w:before="120" w:after="120"/>
              <w:jc w:val="both"/>
              <w:rPr>
                <w:iCs/>
              </w:rPr>
            </w:pPr>
            <w:r w:rsidRPr="00C33947">
              <w:rPr>
                <w:iCs/>
              </w:rPr>
              <w:t>2.</w:t>
            </w:r>
          </w:p>
        </w:tc>
        <w:tc>
          <w:tcPr>
            <w:tcW w:w="3427" w:type="dxa"/>
          </w:tcPr>
          <w:p w14:paraId="0E9B4F45" w14:textId="77777777" w:rsidR="002D6487" w:rsidRPr="00C33947" w:rsidRDefault="002D6487" w:rsidP="005516ED">
            <w:pPr>
              <w:pStyle w:val="naiskr"/>
              <w:widowControl w:val="0"/>
              <w:tabs>
                <w:tab w:val="left" w:pos="2628"/>
              </w:tabs>
              <w:spacing w:before="120" w:after="120"/>
              <w:jc w:val="both"/>
              <w:rPr>
                <w:iCs/>
              </w:rPr>
            </w:pPr>
            <w:r w:rsidRPr="00C33947">
              <w:t>Citas starptautiskās saistības</w:t>
            </w:r>
          </w:p>
        </w:tc>
        <w:tc>
          <w:tcPr>
            <w:tcW w:w="5670" w:type="dxa"/>
          </w:tcPr>
          <w:p w14:paraId="773CB3B9" w14:textId="77777777" w:rsidR="002D6487" w:rsidRPr="00C33947" w:rsidRDefault="005D6D61" w:rsidP="005516ED">
            <w:pPr>
              <w:spacing w:before="120" w:after="120"/>
              <w:jc w:val="both"/>
              <w:rPr>
                <w:i/>
                <w:color w:val="000000"/>
              </w:rPr>
            </w:pPr>
            <w:r w:rsidRPr="00C33947">
              <w:rPr>
                <w:iCs/>
              </w:rPr>
              <w:t xml:space="preserve">Tiks izpildītas </w:t>
            </w:r>
            <w:r w:rsidRPr="00C33947">
              <w:t xml:space="preserve">Ziemeļatlantijas līgumā un saistošajos NATO dokumentos, tai skaitā, </w:t>
            </w:r>
            <w:r w:rsidR="001769ED">
              <w:rPr>
                <w:color w:val="000000"/>
              </w:rPr>
              <w:t>Saprašanās m</w:t>
            </w:r>
            <w:r w:rsidRPr="00C33947">
              <w:rPr>
                <w:color w:val="000000"/>
              </w:rPr>
              <w:t xml:space="preserve">emorandā </w:t>
            </w:r>
            <w:r w:rsidRPr="00C33947">
              <w:t>noteiktās saistības.</w:t>
            </w:r>
            <w:r w:rsidRPr="00C33947">
              <w:rPr>
                <w:i/>
                <w:color w:val="000000"/>
              </w:rPr>
              <w:t xml:space="preserve"> </w:t>
            </w:r>
          </w:p>
        </w:tc>
      </w:tr>
      <w:tr w:rsidR="002D6487" w:rsidRPr="00C33947" w14:paraId="60820E6C" w14:textId="77777777" w:rsidTr="001E2C86">
        <w:trPr>
          <w:trHeight w:val="357"/>
          <w:jc w:val="center"/>
        </w:trPr>
        <w:tc>
          <w:tcPr>
            <w:tcW w:w="396" w:type="dxa"/>
          </w:tcPr>
          <w:p w14:paraId="0021CE6A" w14:textId="77777777" w:rsidR="002D6487" w:rsidRPr="00C33947" w:rsidRDefault="002D6487" w:rsidP="00C51B9B">
            <w:pPr>
              <w:pStyle w:val="naiskr"/>
              <w:widowControl w:val="0"/>
              <w:tabs>
                <w:tab w:val="left" w:pos="2628"/>
              </w:tabs>
              <w:spacing w:before="120" w:after="120"/>
              <w:jc w:val="both"/>
              <w:rPr>
                <w:iCs/>
              </w:rPr>
            </w:pPr>
            <w:r w:rsidRPr="00C33947">
              <w:rPr>
                <w:iCs/>
              </w:rPr>
              <w:t>3.</w:t>
            </w:r>
          </w:p>
        </w:tc>
        <w:tc>
          <w:tcPr>
            <w:tcW w:w="3427" w:type="dxa"/>
          </w:tcPr>
          <w:p w14:paraId="2BF85CB3" w14:textId="77777777" w:rsidR="002D6487" w:rsidRPr="00C33947" w:rsidRDefault="002D6487" w:rsidP="005516ED">
            <w:pPr>
              <w:pStyle w:val="naiskr"/>
              <w:widowControl w:val="0"/>
              <w:tabs>
                <w:tab w:val="left" w:pos="2628"/>
              </w:tabs>
              <w:spacing w:before="120" w:after="120"/>
              <w:jc w:val="both"/>
            </w:pPr>
            <w:r w:rsidRPr="00C33947">
              <w:t>Cita informācija</w:t>
            </w:r>
          </w:p>
        </w:tc>
        <w:tc>
          <w:tcPr>
            <w:tcW w:w="5670" w:type="dxa"/>
          </w:tcPr>
          <w:p w14:paraId="72090E9A" w14:textId="77777777" w:rsidR="002D6487" w:rsidRPr="00C33947" w:rsidRDefault="002D6487" w:rsidP="005516ED">
            <w:pPr>
              <w:pStyle w:val="naiskr"/>
              <w:widowControl w:val="0"/>
              <w:tabs>
                <w:tab w:val="left" w:pos="2628"/>
              </w:tabs>
              <w:spacing w:before="120" w:after="120"/>
              <w:jc w:val="both"/>
              <w:rPr>
                <w:iCs/>
              </w:rPr>
            </w:pPr>
            <w:r w:rsidRPr="00C33947">
              <w:rPr>
                <w:iCs/>
              </w:rPr>
              <w:t>Nav.</w:t>
            </w:r>
          </w:p>
        </w:tc>
      </w:tr>
    </w:tbl>
    <w:p w14:paraId="78703566" w14:textId="77777777" w:rsidR="002D6487" w:rsidRPr="00C33947" w:rsidRDefault="002D6487" w:rsidP="005516ED">
      <w:pPr>
        <w:widowControl w:val="0"/>
        <w:spacing w:after="120"/>
        <w:rPr>
          <w:highlight w:val="yellow"/>
        </w:rPr>
      </w:pPr>
    </w:p>
    <w:tbl>
      <w:tblPr>
        <w:tblStyle w:val="TableGrid"/>
        <w:tblW w:w="9527" w:type="dxa"/>
        <w:tblInd w:w="-176" w:type="dxa"/>
        <w:tblLook w:val="04A0" w:firstRow="1" w:lastRow="0" w:firstColumn="1" w:lastColumn="0" w:noHBand="0" w:noVBand="1"/>
      </w:tblPr>
      <w:tblGrid>
        <w:gridCol w:w="396"/>
        <w:gridCol w:w="3496"/>
        <w:gridCol w:w="5635"/>
      </w:tblGrid>
      <w:tr w:rsidR="00271778" w:rsidRPr="00C33947" w14:paraId="18F23D36" w14:textId="77777777" w:rsidTr="00C51B9B">
        <w:tc>
          <w:tcPr>
            <w:tcW w:w="9527" w:type="dxa"/>
            <w:gridSpan w:val="3"/>
          </w:tcPr>
          <w:p w14:paraId="03BD870A" w14:textId="77777777" w:rsidR="00271778" w:rsidRPr="00C33947" w:rsidRDefault="00271778" w:rsidP="005516ED">
            <w:pPr>
              <w:spacing w:before="120" w:after="120"/>
              <w:jc w:val="center"/>
              <w:rPr>
                <w:b/>
                <w:bCs/>
              </w:rPr>
            </w:pPr>
            <w:r w:rsidRPr="00C33947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271778" w:rsidRPr="00C33947" w14:paraId="170C2F22" w14:textId="77777777" w:rsidTr="00C51B9B">
        <w:tc>
          <w:tcPr>
            <w:tcW w:w="396" w:type="dxa"/>
          </w:tcPr>
          <w:p w14:paraId="20230B66" w14:textId="77777777" w:rsidR="00271778" w:rsidRPr="00C33947" w:rsidRDefault="00271778" w:rsidP="00C51B9B">
            <w:pPr>
              <w:pStyle w:val="tvhtmlmktable"/>
              <w:spacing w:before="120" w:beforeAutospacing="0" w:after="120" w:afterAutospacing="0"/>
            </w:pPr>
            <w:r w:rsidRPr="00C33947">
              <w:t>1.</w:t>
            </w:r>
          </w:p>
        </w:tc>
        <w:tc>
          <w:tcPr>
            <w:tcW w:w="3496" w:type="dxa"/>
          </w:tcPr>
          <w:p w14:paraId="7B79062B" w14:textId="77777777" w:rsidR="00271778" w:rsidRPr="00C33947" w:rsidRDefault="00271778" w:rsidP="005516ED">
            <w:pPr>
              <w:pStyle w:val="tvhtmlmktable"/>
              <w:spacing w:before="120" w:beforeAutospacing="0" w:after="60" w:afterAutospacing="0"/>
            </w:pPr>
            <w:r w:rsidRPr="00C33947">
              <w:t>Projekta izpildē iesaistītās institūcijas</w:t>
            </w:r>
          </w:p>
        </w:tc>
        <w:tc>
          <w:tcPr>
            <w:tcW w:w="5635" w:type="dxa"/>
          </w:tcPr>
          <w:p w14:paraId="6CEE8FB6" w14:textId="77777777" w:rsidR="00271778" w:rsidRPr="00C33947" w:rsidRDefault="00271778" w:rsidP="005516ED">
            <w:pPr>
              <w:pStyle w:val="tvhtmlmktable"/>
              <w:spacing w:before="120" w:beforeAutospacing="0" w:after="120" w:afterAutospacing="0"/>
              <w:jc w:val="both"/>
            </w:pPr>
            <w:r w:rsidRPr="00C33947">
              <w:t xml:space="preserve">Projekta izpildi nodrošinās </w:t>
            </w:r>
            <w:r w:rsidR="00046BC8" w:rsidRPr="00C33947">
              <w:t>Aizsardzības ministrija</w:t>
            </w:r>
            <w:r w:rsidR="00FB4515" w:rsidRPr="00C33947">
              <w:t>.</w:t>
            </w:r>
          </w:p>
        </w:tc>
      </w:tr>
      <w:tr w:rsidR="00271778" w:rsidRPr="00C33947" w14:paraId="05CE8A04" w14:textId="77777777" w:rsidTr="00C51B9B">
        <w:tc>
          <w:tcPr>
            <w:tcW w:w="396" w:type="dxa"/>
          </w:tcPr>
          <w:p w14:paraId="4978E220" w14:textId="77777777" w:rsidR="00271778" w:rsidRPr="00C33947" w:rsidRDefault="00271778" w:rsidP="00C51B9B">
            <w:pPr>
              <w:pStyle w:val="tvhtmlmktable"/>
              <w:spacing w:before="120" w:beforeAutospacing="0" w:after="120" w:afterAutospacing="0"/>
            </w:pPr>
            <w:r w:rsidRPr="00C33947">
              <w:t>2.</w:t>
            </w:r>
          </w:p>
        </w:tc>
        <w:tc>
          <w:tcPr>
            <w:tcW w:w="3496" w:type="dxa"/>
          </w:tcPr>
          <w:p w14:paraId="3D87B6FF" w14:textId="77777777" w:rsidR="00271778" w:rsidRPr="00C33947" w:rsidRDefault="00271778" w:rsidP="005516ED">
            <w:pPr>
              <w:pStyle w:val="tvhtmlmktable"/>
              <w:spacing w:before="120" w:beforeAutospacing="0" w:after="0" w:afterAutospacing="0"/>
            </w:pPr>
            <w:r w:rsidRPr="00C33947">
              <w:t>Projekta izpildes ietekme uz pārvaldes funkcijām</w:t>
            </w:r>
            <w:r w:rsidR="0062080D" w:rsidRPr="00C33947">
              <w:t xml:space="preserve"> un institucionālo struktūru.</w:t>
            </w:r>
          </w:p>
          <w:p w14:paraId="1A843885" w14:textId="77777777" w:rsidR="0062080D" w:rsidRPr="00C33947" w:rsidRDefault="0062080D" w:rsidP="005516ED">
            <w:pPr>
              <w:pStyle w:val="tvhtmlmktable"/>
              <w:spacing w:before="60" w:beforeAutospacing="0" w:after="120" w:afterAutospacing="0"/>
            </w:pPr>
            <w:r w:rsidRPr="00C33947">
              <w:t>Jaunu institūciju izveide, esošu institūciju likvidācija vai reorganizācija, to ietekme uz institūcijas cilvēkresursiem</w:t>
            </w:r>
          </w:p>
        </w:tc>
        <w:tc>
          <w:tcPr>
            <w:tcW w:w="5635" w:type="dxa"/>
          </w:tcPr>
          <w:p w14:paraId="5D78FEA9" w14:textId="77777777" w:rsidR="00271778" w:rsidRPr="00C33947" w:rsidRDefault="001F5B1C" w:rsidP="00652F32">
            <w:pPr>
              <w:pStyle w:val="tvhtmlmktable"/>
              <w:spacing w:before="60" w:beforeAutospacing="0" w:after="0" w:afterAutospacing="0"/>
              <w:jc w:val="both"/>
            </w:pPr>
            <w:r w:rsidRPr="00C33947">
              <w:rPr>
                <w:bCs/>
              </w:rPr>
              <w:t>Projekts šo jomu neskar.</w:t>
            </w:r>
          </w:p>
        </w:tc>
      </w:tr>
      <w:tr w:rsidR="00271778" w:rsidRPr="00C33947" w14:paraId="72BD46DB" w14:textId="77777777" w:rsidTr="00C51B9B">
        <w:tc>
          <w:tcPr>
            <w:tcW w:w="396" w:type="dxa"/>
          </w:tcPr>
          <w:p w14:paraId="5F916F27" w14:textId="77777777" w:rsidR="00271778" w:rsidRPr="00C33947" w:rsidRDefault="0062080D" w:rsidP="00C51B9B">
            <w:pPr>
              <w:pStyle w:val="tvhtmlmktable"/>
              <w:spacing w:before="120" w:beforeAutospacing="0" w:after="120" w:afterAutospacing="0"/>
            </w:pPr>
            <w:r w:rsidRPr="00C33947">
              <w:t>3</w:t>
            </w:r>
            <w:r w:rsidR="00271778" w:rsidRPr="00C33947">
              <w:t>.</w:t>
            </w:r>
          </w:p>
        </w:tc>
        <w:tc>
          <w:tcPr>
            <w:tcW w:w="3496" w:type="dxa"/>
          </w:tcPr>
          <w:p w14:paraId="696211BE" w14:textId="77777777" w:rsidR="00271778" w:rsidRPr="00C33947" w:rsidRDefault="00271778" w:rsidP="005516ED">
            <w:pPr>
              <w:pStyle w:val="tvhtmlmktable"/>
              <w:spacing w:before="120" w:beforeAutospacing="0" w:after="120" w:afterAutospacing="0"/>
            </w:pPr>
            <w:r w:rsidRPr="00C33947">
              <w:t>Cita informācija</w:t>
            </w:r>
          </w:p>
        </w:tc>
        <w:tc>
          <w:tcPr>
            <w:tcW w:w="5635" w:type="dxa"/>
          </w:tcPr>
          <w:p w14:paraId="724F9969" w14:textId="77777777" w:rsidR="00271778" w:rsidRPr="00C33947" w:rsidRDefault="00271778" w:rsidP="005516ED">
            <w:pPr>
              <w:pStyle w:val="tvhtmlmktable"/>
              <w:spacing w:before="120" w:beforeAutospacing="0" w:after="120" w:afterAutospacing="0"/>
            </w:pPr>
            <w:r w:rsidRPr="00C33947">
              <w:t xml:space="preserve">Nav. </w:t>
            </w:r>
          </w:p>
        </w:tc>
      </w:tr>
    </w:tbl>
    <w:p w14:paraId="6254272F" w14:textId="77777777" w:rsidR="00637346" w:rsidRPr="00C33947" w:rsidRDefault="00637346" w:rsidP="00652F32">
      <w:pPr>
        <w:pStyle w:val="naisf"/>
        <w:spacing w:before="0" w:after="0"/>
        <w:ind w:firstLine="0"/>
      </w:pPr>
    </w:p>
    <w:p w14:paraId="51701801" w14:textId="77777777" w:rsidR="00652F32" w:rsidRPr="00C33947" w:rsidRDefault="001F5B1C" w:rsidP="009D0CCB">
      <w:pPr>
        <w:pStyle w:val="naisf"/>
        <w:widowControl w:val="0"/>
        <w:spacing w:before="60" w:after="60"/>
        <w:ind w:firstLine="0"/>
        <w:jc w:val="left"/>
      </w:pPr>
      <w:r w:rsidRPr="00C33947">
        <w:t>Anotācijas II,</w:t>
      </w:r>
      <w:r w:rsidR="00511032" w:rsidRPr="00C33947">
        <w:t xml:space="preserve"> III,</w:t>
      </w:r>
      <w:r w:rsidRPr="00C33947">
        <w:t xml:space="preserve"> IV</w:t>
      </w:r>
      <w:r w:rsidR="005D6D61" w:rsidRPr="00C33947">
        <w:t xml:space="preserve"> </w:t>
      </w:r>
      <w:r w:rsidRPr="00C33947">
        <w:t>un VI sadaļa – nav attiecināms.</w:t>
      </w:r>
    </w:p>
    <w:p w14:paraId="5455C7B6" w14:textId="77777777" w:rsidR="009D0CCB" w:rsidRPr="00C33947" w:rsidRDefault="009D0CCB" w:rsidP="009D0CCB">
      <w:pPr>
        <w:pStyle w:val="naisf"/>
        <w:widowControl w:val="0"/>
        <w:spacing w:before="60" w:after="60"/>
        <w:ind w:firstLine="0"/>
        <w:jc w:val="left"/>
      </w:pPr>
    </w:p>
    <w:p w14:paraId="79DB79CA" w14:textId="77777777" w:rsidR="004C17FD" w:rsidRPr="00C33947" w:rsidRDefault="00BA02C1" w:rsidP="009D0CCB">
      <w:pPr>
        <w:spacing w:before="60" w:after="60"/>
      </w:pPr>
      <w:r w:rsidRPr="00C33947">
        <w:t>Aizsardzības ministrs</w:t>
      </w:r>
      <w:r w:rsidR="00652F32" w:rsidRPr="00C33947">
        <w:tab/>
      </w:r>
      <w:r w:rsidR="00652F32" w:rsidRPr="00C33947">
        <w:tab/>
      </w:r>
      <w:r w:rsidR="001769ED">
        <w:tab/>
      </w:r>
      <w:r w:rsidR="001769ED">
        <w:tab/>
      </w:r>
      <w:r w:rsidR="001769ED">
        <w:tab/>
      </w:r>
      <w:r w:rsidR="001769ED">
        <w:tab/>
      </w:r>
      <w:r w:rsidR="001769ED">
        <w:tab/>
      </w:r>
      <w:r w:rsidR="001769ED">
        <w:tab/>
      </w:r>
      <w:r w:rsidRPr="00C33947">
        <w:t>R.</w:t>
      </w:r>
      <w:r w:rsidR="001769ED">
        <w:t> </w:t>
      </w:r>
      <w:r w:rsidR="001A7FC0" w:rsidRPr="00C33947">
        <w:t>Bergmanis</w:t>
      </w:r>
    </w:p>
    <w:p w14:paraId="73DC3111" w14:textId="77777777" w:rsidR="007222D4" w:rsidRPr="00C33947" w:rsidRDefault="007222D4" w:rsidP="004C17FD">
      <w:pPr>
        <w:jc w:val="both"/>
      </w:pPr>
    </w:p>
    <w:p w14:paraId="61534E96" w14:textId="77777777" w:rsidR="00060A37" w:rsidRDefault="00F47118" w:rsidP="009D0CCB">
      <w:pPr>
        <w:spacing w:before="60"/>
        <w:jc w:val="both"/>
      </w:pPr>
      <w:r w:rsidRPr="00C33947">
        <w:t>Valsts sekretār</w:t>
      </w:r>
      <w:r w:rsidR="001769ED">
        <w:t>s</w:t>
      </w:r>
      <w:r w:rsidR="001769ED">
        <w:tab/>
      </w:r>
      <w:r w:rsidR="001769ED">
        <w:tab/>
      </w:r>
      <w:r w:rsidR="001769ED">
        <w:tab/>
      </w:r>
      <w:r w:rsidR="001769ED">
        <w:tab/>
      </w:r>
      <w:r w:rsidR="001769ED">
        <w:tab/>
      </w:r>
      <w:r w:rsidR="001769ED">
        <w:tab/>
      </w:r>
      <w:r w:rsidR="001769ED">
        <w:tab/>
      </w:r>
      <w:r w:rsidR="001769ED">
        <w:tab/>
      </w:r>
      <w:r w:rsidR="001F5B1C" w:rsidRPr="00C33947">
        <w:t>J.</w:t>
      </w:r>
      <w:r w:rsidR="001769ED">
        <w:t> </w:t>
      </w:r>
      <w:r w:rsidR="001A7FC0" w:rsidRPr="00C33947">
        <w:t>Garisons</w:t>
      </w:r>
      <w:r w:rsidR="001F5B1C" w:rsidRPr="00C33947">
        <w:t xml:space="preserve"> </w:t>
      </w:r>
    </w:p>
    <w:p w14:paraId="53FAC29B" w14:textId="77777777" w:rsidR="00E01D10" w:rsidRDefault="00E01D10" w:rsidP="009D0CCB">
      <w:pPr>
        <w:spacing w:before="60"/>
        <w:jc w:val="both"/>
      </w:pPr>
    </w:p>
    <w:p w14:paraId="5608A6A6" w14:textId="77777777" w:rsidR="00E01D10" w:rsidRPr="00C33947" w:rsidRDefault="00E01D10" w:rsidP="009D0CCB">
      <w:pPr>
        <w:spacing w:before="60"/>
        <w:jc w:val="both"/>
      </w:pPr>
    </w:p>
    <w:p w14:paraId="24EE0F30" w14:textId="77777777" w:rsidR="00E01D10" w:rsidRDefault="00E01D10" w:rsidP="00E01D10">
      <w:pPr>
        <w:jc w:val="both"/>
        <w:rPr>
          <w:rFonts w:cs="Arial Unicode MS"/>
          <w:sz w:val="20"/>
          <w:szCs w:val="20"/>
          <w:lang w:val="en-AU" w:eastAsia="en-US" w:bidi="lo-LA"/>
        </w:rPr>
      </w:pPr>
      <w:r>
        <w:rPr>
          <w:rFonts w:cs="Arial Unicode MS"/>
          <w:sz w:val="20"/>
          <w:szCs w:val="20"/>
          <w:lang w:val="en-AU" w:eastAsia="en-US" w:bidi="lo-LA"/>
        </w:rPr>
        <w:fldChar w:fldCharType="begin"/>
      </w:r>
      <w:r>
        <w:rPr>
          <w:rFonts w:cs="Arial Unicode MS"/>
          <w:sz w:val="20"/>
          <w:szCs w:val="20"/>
          <w:lang w:eastAsia="en-US" w:bidi="lo-LA"/>
        </w:rPr>
        <w:instrText xml:space="preserve"> TIME \@ "dd.MM.yyyy H:mm" </w:instrText>
      </w:r>
      <w:r>
        <w:rPr>
          <w:rFonts w:cs="Arial Unicode MS"/>
          <w:sz w:val="20"/>
          <w:szCs w:val="20"/>
          <w:lang w:val="en-AU" w:eastAsia="en-US" w:bidi="lo-LA"/>
        </w:rPr>
        <w:fldChar w:fldCharType="separate"/>
      </w:r>
      <w:r w:rsidR="00106B95">
        <w:rPr>
          <w:rFonts w:cs="Arial Unicode MS"/>
          <w:noProof/>
          <w:sz w:val="20"/>
          <w:szCs w:val="20"/>
          <w:lang w:eastAsia="en-US" w:bidi="lo-LA"/>
        </w:rPr>
        <w:t>30.11.2017 14:50</w:t>
      </w:r>
      <w:r>
        <w:rPr>
          <w:rFonts w:cs="Arial Unicode MS"/>
          <w:sz w:val="20"/>
          <w:szCs w:val="20"/>
          <w:lang w:val="en-AU" w:eastAsia="en-US" w:bidi="lo-LA"/>
        </w:rPr>
        <w:fldChar w:fldCharType="end"/>
      </w:r>
    </w:p>
    <w:p w14:paraId="5BC978F5" w14:textId="1D1A9B13" w:rsidR="00E01D10" w:rsidRDefault="00106B95" w:rsidP="00E01D10">
      <w:pPr>
        <w:jc w:val="both"/>
        <w:rPr>
          <w:rFonts w:cs="Arial Unicode MS"/>
          <w:sz w:val="20"/>
          <w:szCs w:val="20"/>
          <w:lang w:val="en-AU" w:eastAsia="en-US" w:bidi="lo-LA"/>
        </w:rPr>
      </w:pPr>
      <w:r>
        <w:rPr>
          <w:rFonts w:cs="Arial Unicode MS"/>
          <w:sz w:val="20"/>
          <w:szCs w:val="20"/>
          <w:lang w:val="en-AU" w:eastAsia="en-US" w:bidi="lo-LA"/>
        </w:rPr>
        <w:t>702</w:t>
      </w:r>
    </w:p>
    <w:p w14:paraId="5B3224A5" w14:textId="77777777" w:rsidR="00E01D10" w:rsidRPr="00E01D10" w:rsidRDefault="00BE195C" w:rsidP="00E01D10">
      <w:pPr>
        <w:jc w:val="both"/>
        <w:rPr>
          <w:rFonts w:cs="Arial Unicode MS"/>
          <w:sz w:val="20"/>
          <w:szCs w:val="20"/>
          <w:lang w:val="en-AU" w:eastAsia="en-US" w:bidi="lo-LA"/>
        </w:rPr>
      </w:pPr>
      <w:r>
        <w:rPr>
          <w:rFonts w:cs="Arial Unicode MS"/>
          <w:sz w:val="20"/>
          <w:szCs w:val="20"/>
          <w:lang w:val="en-AU" w:eastAsia="en-US" w:bidi="lo-LA"/>
        </w:rPr>
        <w:t xml:space="preserve">Signe </w:t>
      </w:r>
      <w:proofErr w:type="spellStart"/>
      <w:r>
        <w:rPr>
          <w:rFonts w:cs="Arial Unicode MS"/>
          <w:sz w:val="20"/>
          <w:szCs w:val="20"/>
          <w:lang w:val="en-AU" w:eastAsia="en-US" w:bidi="lo-LA"/>
        </w:rPr>
        <w:t>Kanaviņa</w:t>
      </w:r>
      <w:proofErr w:type="spellEnd"/>
    </w:p>
    <w:p w14:paraId="2DB4BF62" w14:textId="77777777" w:rsidR="00E01D10" w:rsidRDefault="00BE195C" w:rsidP="00E01D10">
      <w:pPr>
        <w:pStyle w:val="naisf"/>
        <w:spacing w:before="0" w:after="0"/>
        <w:ind w:firstLine="0"/>
        <w:rPr>
          <w:sz w:val="20"/>
        </w:rPr>
      </w:pPr>
      <w:r>
        <w:rPr>
          <w:sz w:val="20"/>
        </w:rPr>
        <w:t>67335294</w:t>
      </w:r>
    </w:p>
    <w:p w14:paraId="0A1EEC98" w14:textId="77777777" w:rsidR="00E01D10" w:rsidRDefault="00BE195C" w:rsidP="00E01D10">
      <w:pPr>
        <w:pStyle w:val="naisf"/>
        <w:spacing w:before="0" w:after="0"/>
        <w:ind w:firstLine="0"/>
        <w:rPr>
          <w:sz w:val="20"/>
        </w:rPr>
      </w:pPr>
      <w:r>
        <w:rPr>
          <w:sz w:val="20"/>
        </w:rPr>
        <w:t>Signe.kanavina</w:t>
      </w:r>
      <w:r w:rsidR="00E01D10">
        <w:rPr>
          <w:sz w:val="20"/>
        </w:rPr>
        <w:t>@mod.gov.lv</w:t>
      </w:r>
      <w:r w:rsidR="00E01D10" w:rsidRPr="00F43010">
        <w:rPr>
          <w:sz w:val="20"/>
        </w:rPr>
        <w:t xml:space="preserve"> </w:t>
      </w:r>
    </w:p>
    <w:p w14:paraId="5F673C76" w14:textId="77777777" w:rsidR="00F07423" w:rsidRPr="00F43010" w:rsidRDefault="00F07423" w:rsidP="00E01D10">
      <w:pPr>
        <w:pStyle w:val="naisf"/>
        <w:spacing w:before="0" w:after="0"/>
        <w:ind w:firstLine="0"/>
        <w:rPr>
          <w:sz w:val="20"/>
        </w:rPr>
      </w:pPr>
      <w:bookmarkStart w:id="0" w:name="_GoBack"/>
      <w:bookmarkEnd w:id="0"/>
    </w:p>
    <w:sectPr w:rsidR="00F07423" w:rsidRPr="00F43010" w:rsidSect="001A7F25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709" w:right="1134" w:bottom="851" w:left="1701" w:header="703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FCB86" w14:textId="77777777" w:rsidR="008063C6" w:rsidRDefault="008063C6">
      <w:r>
        <w:separator/>
      </w:r>
    </w:p>
  </w:endnote>
  <w:endnote w:type="continuationSeparator" w:id="0">
    <w:p w14:paraId="69ED78CD" w14:textId="77777777" w:rsidR="008063C6" w:rsidRDefault="0080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25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62D3F" w14:textId="77777777" w:rsidR="008B3E51" w:rsidRDefault="008B3E51" w:rsidP="008B3E51">
        <w:pPr>
          <w:pStyle w:val="Footer"/>
          <w:jc w:val="both"/>
          <w:rPr>
            <w:sz w:val="20"/>
            <w:szCs w:val="20"/>
          </w:rPr>
        </w:pPr>
        <w:r w:rsidRPr="008B3E51">
          <w:rPr>
            <w:sz w:val="20"/>
            <w:szCs w:val="20"/>
          </w:rPr>
          <w:t>AIMAnot_</w:t>
        </w:r>
        <w:r w:rsidR="00BE195C">
          <w:rPr>
            <w:sz w:val="20"/>
            <w:szCs w:val="20"/>
          </w:rPr>
          <w:t>30</w:t>
        </w:r>
        <w:r w:rsidR="00B12156">
          <w:rPr>
            <w:sz w:val="20"/>
            <w:szCs w:val="20"/>
          </w:rPr>
          <w:t>1117</w:t>
        </w:r>
        <w:r w:rsidRPr="008B3E51">
          <w:rPr>
            <w:sz w:val="20"/>
            <w:szCs w:val="20"/>
          </w:rPr>
          <w:t xml:space="preserve">.docx; </w:t>
        </w:r>
        <w:r w:rsidR="001D6969" w:rsidRPr="001D6969">
          <w:rPr>
            <w:sz w:val="20"/>
            <w:szCs w:val="20"/>
          </w:rPr>
          <w:t>Par Ministru kabineta rīkojuma</w:t>
        </w:r>
        <w:r w:rsidR="001D6969">
          <w:rPr>
            <w:b/>
          </w:rPr>
          <w:t xml:space="preserve"> </w:t>
        </w:r>
        <w:r w:rsidR="001D6969" w:rsidRPr="001D6969">
          <w:rPr>
            <w:sz w:val="20"/>
            <w:szCs w:val="20"/>
          </w:rPr>
          <w:t>“Grozījums Ministru kabineta 2016.gada 29.marta rīkojumā Nr.232</w:t>
        </w:r>
        <w:r w:rsidR="001D6969" w:rsidRPr="008B3E51">
          <w:rPr>
            <w:sz w:val="20"/>
            <w:szCs w:val="20"/>
          </w:rPr>
          <w:t xml:space="preserve"> </w:t>
        </w:r>
        <w:r w:rsidRPr="008B3E51">
          <w:rPr>
            <w:sz w:val="20"/>
            <w:szCs w:val="20"/>
          </w:rPr>
          <w:t>“Par starptautisko militāro mācību norises nodrošināšanu Latvijas teritorijā” sākotnējās ietekmes novērtējuma ziņojums (anotācija)</w:t>
        </w:r>
      </w:p>
      <w:p w14:paraId="1352BA0F" w14:textId="6A051559" w:rsidR="001A7FC0" w:rsidRDefault="001A7FC0" w:rsidP="008B3E5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B95">
          <w:rPr>
            <w:noProof/>
          </w:rPr>
          <w:t>3</w:t>
        </w:r>
        <w:r>
          <w:fldChar w:fldCharType="end"/>
        </w:r>
      </w:p>
      <w:p w14:paraId="67B881B3" w14:textId="77777777" w:rsidR="008B3E51" w:rsidRPr="00765158" w:rsidRDefault="008B3E51" w:rsidP="001A7FC0">
        <w:pPr>
          <w:pStyle w:val="Footer"/>
          <w:jc w:val="center"/>
          <w:rPr>
            <w:sz w:val="28"/>
            <w:szCs w:val="32"/>
          </w:rPr>
        </w:pPr>
      </w:p>
      <w:p w14:paraId="2C54AF55" w14:textId="77777777" w:rsidR="00EF2FAA" w:rsidRDefault="00106B95">
        <w:pPr>
          <w:pStyle w:val="Footer"/>
          <w:jc w:val="right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178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68383" w14:textId="77777777" w:rsidR="006F7AAB" w:rsidRPr="006F7AAB" w:rsidRDefault="00B12156" w:rsidP="006F7AAB">
        <w:pPr>
          <w:pStyle w:val="Footer"/>
          <w:jc w:val="both"/>
          <w:rPr>
            <w:sz w:val="20"/>
            <w:szCs w:val="20"/>
          </w:rPr>
        </w:pPr>
        <w:r w:rsidRPr="008B3E51">
          <w:rPr>
            <w:sz w:val="20"/>
            <w:szCs w:val="20"/>
          </w:rPr>
          <w:t>AIMAnot_</w:t>
        </w:r>
        <w:r w:rsidR="00BE195C">
          <w:rPr>
            <w:sz w:val="20"/>
            <w:szCs w:val="20"/>
          </w:rPr>
          <w:t>30</w:t>
        </w:r>
        <w:r>
          <w:rPr>
            <w:sz w:val="20"/>
            <w:szCs w:val="20"/>
          </w:rPr>
          <w:t>1117</w:t>
        </w:r>
        <w:r w:rsidR="006F7AAB" w:rsidRPr="006F7AAB">
          <w:rPr>
            <w:sz w:val="20"/>
            <w:szCs w:val="20"/>
          </w:rPr>
          <w:t>.docx; Par Ministru kabineta rīkojuma</w:t>
        </w:r>
        <w:r w:rsidR="006F7AAB" w:rsidRPr="006F7AAB">
          <w:rPr>
            <w:b/>
          </w:rPr>
          <w:t xml:space="preserve"> </w:t>
        </w:r>
        <w:r w:rsidR="006F7AAB" w:rsidRPr="006F7AAB">
          <w:rPr>
            <w:sz w:val="20"/>
            <w:szCs w:val="20"/>
          </w:rPr>
          <w:t>“Grozījums Ministru kabineta 2016.gada 29.marta rīkojumā Nr.232 “Par starptautisko militāro mācību norises nodrošināšanu Latvijas teritorijā” sākotnējās ietekmes novērtējuma ziņojums (anotācija)</w:t>
        </w:r>
      </w:p>
      <w:p w14:paraId="3A900252" w14:textId="77777777" w:rsidR="001A7FC0" w:rsidRDefault="001A7FC0" w:rsidP="006F7AAB">
        <w:pPr>
          <w:pStyle w:val="Footer"/>
          <w:jc w:val="both"/>
        </w:pPr>
      </w:p>
      <w:p w14:paraId="41B5D370" w14:textId="77777777" w:rsidR="00EF2FAA" w:rsidRDefault="00106B95">
        <w:pPr>
          <w:pStyle w:val="Footer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BC236" w14:textId="77777777" w:rsidR="008063C6" w:rsidRDefault="008063C6">
      <w:r>
        <w:separator/>
      </w:r>
    </w:p>
  </w:footnote>
  <w:footnote w:type="continuationSeparator" w:id="0">
    <w:p w14:paraId="683A5B6E" w14:textId="77777777" w:rsidR="008063C6" w:rsidRDefault="00806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57550" w14:textId="77777777" w:rsidR="00DE1C13" w:rsidRDefault="00915B45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E1C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728681" w14:textId="77777777" w:rsidR="00DE1C13" w:rsidRDefault="00DE1C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2441C" w14:textId="77777777" w:rsidR="00DE1C13" w:rsidRDefault="00DE1C13">
    <w:pPr>
      <w:pStyle w:val="Header"/>
    </w:pPr>
  </w:p>
  <w:p w14:paraId="4B2BB320" w14:textId="77777777" w:rsidR="007B1AB1" w:rsidRDefault="007B1A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B47"/>
    <w:multiLevelType w:val="hybridMultilevel"/>
    <w:tmpl w:val="4C688CD0"/>
    <w:lvl w:ilvl="0" w:tplc="B058B2EE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10F85"/>
    <w:multiLevelType w:val="multilevel"/>
    <w:tmpl w:val="21A8AD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0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2">
    <w:nsid w:val="07CC4293"/>
    <w:multiLevelType w:val="hybridMultilevel"/>
    <w:tmpl w:val="81BA59F0"/>
    <w:lvl w:ilvl="0" w:tplc="0426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3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0405D6"/>
    <w:multiLevelType w:val="hybridMultilevel"/>
    <w:tmpl w:val="33B888EA"/>
    <w:lvl w:ilvl="0" w:tplc="0426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5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B1D3450"/>
    <w:multiLevelType w:val="hybridMultilevel"/>
    <w:tmpl w:val="4D8A2620"/>
    <w:lvl w:ilvl="0" w:tplc="0426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326330FD"/>
    <w:multiLevelType w:val="multilevel"/>
    <w:tmpl w:val="8DB60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1">
    <w:nsid w:val="3FF7297D"/>
    <w:multiLevelType w:val="hybridMultilevel"/>
    <w:tmpl w:val="B046E338"/>
    <w:lvl w:ilvl="0" w:tplc="0426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12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48E3E89"/>
    <w:multiLevelType w:val="hybridMultilevel"/>
    <w:tmpl w:val="B762A4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5"/>
  </w:num>
  <w:num w:numId="5">
    <w:abstractNumId w:val="3"/>
  </w:num>
  <w:num w:numId="6">
    <w:abstractNumId w:val="15"/>
  </w:num>
  <w:num w:numId="7">
    <w:abstractNumId w:val="19"/>
  </w:num>
  <w:num w:numId="8">
    <w:abstractNumId w:val="12"/>
  </w:num>
  <w:num w:numId="9">
    <w:abstractNumId w:val="6"/>
  </w:num>
  <w:num w:numId="10">
    <w:abstractNumId w:val="13"/>
  </w:num>
  <w:num w:numId="11">
    <w:abstractNumId w:val="14"/>
  </w:num>
  <w:num w:numId="12">
    <w:abstractNumId w:val="16"/>
  </w:num>
  <w:num w:numId="13">
    <w:abstractNumId w:val="17"/>
  </w:num>
  <w:num w:numId="14">
    <w:abstractNumId w:val="0"/>
  </w:num>
  <w:num w:numId="15">
    <w:abstractNumId w:val="2"/>
  </w:num>
  <w:num w:numId="16">
    <w:abstractNumId w:val="4"/>
  </w:num>
  <w:num w:numId="17">
    <w:abstractNumId w:val="10"/>
  </w:num>
  <w:num w:numId="18">
    <w:abstractNumId w:val="1"/>
  </w:num>
  <w:num w:numId="19">
    <w:abstractNumId w:val="11"/>
  </w:num>
  <w:num w:numId="20">
    <w:abstractNumId w:val="8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49"/>
    <w:rsid w:val="00002C15"/>
    <w:rsid w:val="00010DAC"/>
    <w:rsid w:val="00011D24"/>
    <w:rsid w:val="00013FF4"/>
    <w:rsid w:val="00015CFE"/>
    <w:rsid w:val="00020FE1"/>
    <w:rsid w:val="00022E13"/>
    <w:rsid w:val="00023733"/>
    <w:rsid w:val="00032388"/>
    <w:rsid w:val="00035CE2"/>
    <w:rsid w:val="0004116E"/>
    <w:rsid w:val="00046BC8"/>
    <w:rsid w:val="0005553B"/>
    <w:rsid w:val="000604D2"/>
    <w:rsid w:val="00060A37"/>
    <w:rsid w:val="00064258"/>
    <w:rsid w:val="000765A5"/>
    <w:rsid w:val="00081DF8"/>
    <w:rsid w:val="000841F7"/>
    <w:rsid w:val="000862EB"/>
    <w:rsid w:val="0009005E"/>
    <w:rsid w:val="000926E8"/>
    <w:rsid w:val="000941C5"/>
    <w:rsid w:val="00095D43"/>
    <w:rsid w:val="000A00F8"/>
    <w:rsid w:val="000A28E3"/>
    <w:rsid w:val="000A329B"/>
    <w:rsid w:val="000A6451"/>
    <w:rsid w:val="000A6CD0"/>
    <w:rsid w:val="000B064E"/>
    <w:rsid w:val="000B3C3C"/>
    <w:rsid w:val="000B44AC"/>
    <w:rsid w:val="000B6823"/>
    <w:rsid w:val="000B69CF"/>
    <w:rsid w:val="000B76B9"/>
    <w:rsid w:val="000C07BF"/>
    <w:rsid w:val="000C0C60"/>
    <w:rsid w:val="000C790C"/>
    <w:rsid w:val="000D2078"/>
    <w:rsid w:val="000D48B7"/>
    <w:rsid w:val="000E1C12"/>
    <w:rsid w:val="000E56CC"/>
    <w:rsid w:val="000F061D"/>
    <w:rsid w:val="000F064A"/>
    <w:rsid w:val="000F3463"/>
    <w:rsid w:val="000F3C98"/>
    <w:rsid w:val="000F4794"/>
    <w:rsid w:val="00106237"/>
    <w:rsid w:val="00106B95"/>
    <w:rsid w:val="00124F12"/>
    <w:rsid w:val="00144E3A"/>
    <w:rsid w:val="0015060C"/>
    <w:rsid w:val="00151650"/>
    <w:rsid w:val="00154385"/>
    <w:rsid w:val="0016018A"/>
    <w:rsid w:val="00161F0E"/>
    <w:rsid w:val="00163751"/>
    <w:rsid w:val="00165145"/>
    <w:rsid w:val="00165EEF"/>
    <w:rsid w:val="00170E2A"/>
    <w:rsid w:val="001743AA"/>
    <w:rsid w:val="001769ED"/>
    <w:rsid w:val="00177394"/>
    <w:rsid w:val="00182C18"/>
    <w:rsid w:val="00183CC2"/>
    <w:rsid w:val="001870D6"/>
    <w:rsid w:val="00187E41"/>
    <w:rsid w:val="001900E4"/>
    <w:rsid w:val="00190F88"/>
    <w:rsid w:val="00191B7C"/>
    <w:rsid w:val="00196242"/>
    <w:rsid w:val="001A4066"/>
    <w:rsid w:val="001A4317"/>
    <w:rsid w:val="001A6AE4"/>
    <w:rsid w:val="001A6E67"/>
    <w:rsid w:val="001A7F25"/>
    <w:rsid w:val="001A7FC0"/>
    <w:rsid w:val="001B01FD"/>
    <w:rsid w:val="001B4A71"/>
    <w:rsid w:val="001D149D"/>
    <w:rsid w:val="001D5B54"/>
    <w:rsid w:val="001D6969"/>
    <w:rsid w:val="001D7D5D"/>
    <w:rsid w:val="001E1DBF"/>
    <w:rsid w:val="001E2C86"/>
    <w:rsid w:val="001E4639"/>
    <w:rsid w:val="001E4A7D"/>
    <w:rsid w:val="001E687D"/>
    <w:rsid w:val="001F43A8"/>
    <w:rsid w:val="001F5B1C"/>
    <w:rsid w:val="001F5CD6"/>
    <w:rsid w:val="00203E4A"/>
    <w:rsid w:val="002116B8"/>
    <w:rsid w:val="0021263D"/>
    <w:rsid w:val="00213F0C"/>
    <w:rsid w:val="00214094"/>
    <w:rsid w:val="0021592D"/>
    <w:rsid w:val="00220DD7"/>
    <w:rsid w:val="00222D76"/>
    <w:rsid w:val="00223EB1"/>
    <w:rsid w:val="00231344"/>
    <w:rsid w:val="0023136C"/>
    <w:rsid w:val="0023436E"/>
    <w:rsid w:val="002347C0"/>
    <w:rsid w:val="0024099E"/>
    <w:rsid w:val="00241A6C"/>
    <w:rsid w:val="0024217D"/>
    <w:rsid w:val="00242D2B"/>
    <w:rsid w:val="00262E2B"/>
    <w:rsid w:val="00263AEA"/>
    <w:rsid w:val="002703F9"/>
    <w:rsid w:val="00270429"/>
    <w:rsid w:val="00271778"/>
    <w:rsid w:val="00271DBC"/>
    <w:rsid w:val="002721C5"/>
    <w:rsid w:val="00272213"/>
    <w:rsid w:val="002723E9"/>
    <w:rsid w:val="00277929"/>
    <w:rsid w:val="00283B82"/>
    <w:rsid w:val="002846E9"/>
    <w:rsid w:val="00284C34"/>
    <w:rsid w:val="00287907"/>
    <w:rsid w:val="0029066C"/>
    <w:rsid w:val="002930A3"/>
    <w:rsid w:val="002936F0"/>
    <w:rsid w:val="00296117"/>
    <w:rsid w:val="00296540"/>
    <w:rsid w:val="00297AF5"/>
    <w:rsid w:val="002A26A5"/>
    <w:rsid w:val="002A2D43"/>
    <w:rsid w:val="002A5FAF"/>
    <w:rsid w:val="002B50DB"/>
    <w:rsid w:val="002B65FC"/>
    <w:rsid w:val="002C0EBD"/>
    <w:rsid w:val="002C12AB"/>
    <w:rsid w:val="002C472A"/>
    <w:rsid w:val="002C5590"/>
    <w:rsid w:val="002C6999"/>
    <w:rsid w:val="002C7CAC"/>
    <w:rsid w:val="002D3306"/>
    <w:rsid w:val="002D48AA"/>
    <w:rsid w:val="002D6487"/>
    <w:rsid w:val="002D6530"/>
    <w:rsid w:val="002D7BAA"/>
    <w:rsid w:val="002D7F54"/>
    <w:rsid w:val="002E32E5"/>
    <w:rsid w:val="002E3FF4"/>
    <w:rsid w:val="002F0998"/>
    <w:rsid w:val="002F78C8"/>
    <w:rsid w:val="00301CF3"/>
    <w:rsid w:val="003212AC"/>
    <w:rsid w:val="0032715C"/>
    <w:rsid w:val="00337CA5"/>
    <w:rsid w:val="003511A5"/>
    <w:rsid w:val="00362478"/>
    <w:rsid w:val="003641E6"/>
    <w:rsid w:val="00373B17"/>
    <w:rsid w:val="00375B25"/>
    <w:rsid w:val="0037607D"/>
    <w:rsid w:val="0037726A"/>
    <w:rsid w:val="003850F5"/>
    <w:rsid w:val="00392914"/>
    <w:rsid w:val="00395F6E"/>
    <w:rsid w:val="00396542"/>
    <w:rsid w:val="0039685B"/>
    <w:rsid w:val="003A1148"/>
    <w:rsid w:val="003A2B7D"/>
    <w:rsid w:val="003A31A6"/>
    <w:rsid w:val="003A7F0C"/>
    <w:rsid w:val="003A7F79"/>
    <w:rsid w:val="003B0B87"/>
    <w:rsid w:val="003B6404"/>
    <w:rsid w:val="003C449B"/>
    <w:rsid w:val="003D1E7F"/>
    <w:rsid w:val="003D21FF"/>
    <w:rsid w:val="003D78DF"/>
    <w:rsid w:val="003E308D"/>
    <w:rsid w:val="003E46A0"/>
    <w:rsid w:val="003F0112"/>
    <w:rsid w:val="003F071A"/>
    <w:rsid w:val="003F160B"/>
    <w:rsid w:val="003F6D16"/>
    <w:rsid w:val="00400032"/>
    <w:rsid w:val="00400B5B"/>
    <w:rsid w:val="004029AD"/>
    <w:rsid w:val="00405A00"/>
    <w:rsid w:val="00410034"/>
    <w:rsid w:val="00420870"/>
    <w:rsid w:val="00423F76"/>
    <w:rsid w:val="004266AE"/>
    <w:rsid w:val="00427088"/>
    <w:rsid w:val="004353BE"/>
    <w:rsid w:val="0043791B"/>
    <w:rsid w:val="00441483"/>
    <w:rsid w:val="00441BCB"/>
    <w:rsid w:val="004432BE"/>
    <w:rsid w:val="004473A7"/>
    <w:rsid w:val="0045176A"/>
    <w:rsid w:val="00456332"/>
    <w:rsid w:val="00461826"/>
    <w:rsid w:val="00473739"/>
    <w:rsid w:val="00476A68"/>
    <w:rsid w:val="004800F9"/>
    <w:rsid w:val="00481043"/>
    <w:rsid w:val="00482512"/>
    <w:rsid w:val="00485ADA"/>
    <w:rsid w:val="0049134A"/>
    <w:rsid w:val="004A58CB"/>
    <w:rsid w:val="004B1795"/>
    <w:rsid w:val="004B36D3"/>
    <w:rsid w:val="004B56DD"/>
    <w:rsid w:val="004C020F"/>
    <w:rsid w:val="004C17FD"/>
    <w:rsid w:val="004C1AFD"/>
    <w:rsid w:val="004C558B"/>
    <w:rsid w:val="004C77DD"/>
    <w:rsid w:val="004D20AC"/>
    <w:rsid w:val="004E263D"/>
    <w:rsid w:val="004E26E0"/>
    <w:rsid w:val="004E3034"/>
    <w:rsid w:val="004E36AB"/>
    <w:rsid w:val="004F1F88"/>
    <w:rsid w:val="004F5F1B"/>
    <w:rsid w:val="004F6BD7"/>
    <w:rsid w:val="00502374"/>
    <w:rsid w:val="00502EA9"/>
    <w:rsid w:val="005060A1"/>
    <w:rsid w:val="0050624A"/>
    <w:rsid w:val="00511032"/>
    <w:rsid w:val="00516072"/>
    <w:rsid w:val="005231DE"/>
    <w:rsid w:val="00525812"/>
    <w:rsid w:val="005308BC"/>
    <w:rsid w:val="005332EC"/>
    <w:rsid w:val="00534418"/>
    <w:rsid w:val="005353AB"/>
    <w:rsid w:val="005440C2"/>
    <w:rsid w:val="005516ED"/>
    <w:rsid w:val="00554BE8"/>
    <w:rsid w:val="00555CEB"/>
    <w:rsid w:val="005560BC"/>
    <w:rsid w:val="005573BE"/>
    <w:rsid w:val="00563E9D"/>
    <w:rsid w:val="00564EAB"/>
    <w:rsid w:val="0056573F"/>
    <w:rsid w:val="00567F36"/>
    <w:rsid w:val="00572700"/>
    <w:rsid w:val="005742FF"/>
    <w:rsid w:val="00580468"/>
    <w:rsid w:val="00583ADE"/>
    <w:rsid w:val="00584109"/>
    <w:rsid w:val="0058603B"/>
    <w:rsid w:val="005873BD"/>
    <w:rsid w:val="0059431B"/>
    <w:rsid w:val="00594EE4"/>
    <w:rsid w:val="0059523B"/>
    <w:rsid w:val="005A1776"/>
    <w:rsid w:val="005A39CC"/>
    <w:rsid w:val="005A3E7D"/>
    <w:rsid w:val="005B4730"/>
    <w:rsid w:val="005C25AD"/>
    <w:rsid w:val="005C3805"/>
    <w:rsid w:val="005C3904"/>
    <w:rsid w:val="005C6FE9"/>
    <w:rsid w:val="005D10BA"/>
    <w:rsid w:val="005D121A"/>
    <w:rsid w:val="005D3A25"/>
    <w:rsid w:val="005D6D61"/>
    <w:rsid w:val="005D7527"/>
    <w:rsid w:val="005E05D7"/>
    <w:rsid w:val="005E41E7"/>
    <w:rsid w:val="005E450F"/>
    <w:rsid w:val="006069A6"/>
    <w:rsid w:val="00615C71"/>
    <w:rsid w:val="00617009"/>
    <w:rsid w:val="0062080D"/>
    <w:rsid w:val="0062298A"/>
    <w:rsid w:val="00626514"/>
    <w:rsid w:val="00626589"/>
    <w:rsid w:val="006339A0"/>
    <w:rsid w:val="006349BC"/>
    <w:rsid w:val="00637346"/>
    <w:rsid w:val="006413A8"/>
    <w:rsid w:val="00642E56"/>
    <w:rsid w:val="00650251"/>
    <w:rsid w:val="00650D36"/>
    <w:rsid w:val="00651E00"/>
    <w:rsid w:val="00652F32"/>
    <w:rsid w:val="00655335"/>
    <w:rsid w:val="0065545A"/>
    <w:rsid w:val="006557B0"/>
    <w:rsid w:val="00663F2C"/>
    <w:rsid w:val="006643C9"/>
    <w:rsid w:val="00665E3B"/>
    <w:rsid w:val="0067371B"/>
    <w:rsid w:val="00674572"/>
    <w:rsid w:val="006770E2"/>
    <w:rsid w:val="00687763"/>
    <w:rsid w:val="0069010E"/>
    <w:rsid w:val="00690E92"/>
    <w:rsid w:val="00692B0D"/>
    <w:rsid w:val="00692EB9"/>
    <w:rsid w:val="00693E0E"/>
    <w:rsid w:val="00694EA8"/>
    <w:rsid w:val="00695EA9"/>
    <w:rsid w:val="006A1AE3"/>
    <w:rsid w:val="006A26BB"/>
    <w:rsid w:val="006A34DB"/>
    <w:rsid w:val="006B5F84"/>
    <w:rsid w:val="006C0ECD"/>
    <w:rsid w:val="006C30E1"/>
    <w:rsid w:val="006C4607"/>
    <w:rsid w:val="006C4FCB"/>
    <w:rsid w:val="006D48F1"/>
    <w:rsid w:val="006D56B6"/>
    <w:rsid w:val="006F45BE"/>
    <w:rsid w:val="006F7953"/>
    <w:rsid w:val="006F7AAB"/>
    <w:rsid w:val="007004FC"/>
    <w:rsid w:val="007020B0"/>
    <w:rsid w:val="00705412"/>
    <w:rsid w:val="007058FA"/>
    <w:rsid w:val="00706670"/>
    <w:rsid w:val="00713469"/>
    <w:rsid w:val="0071661C"/>
    <w:rsid w:val="00720ABF"/>
    <w:rsid w:val="007222D4"/>
    <w:rsid w:val="00723C41"/>
    <w:rsid w:val="0072417C"/>
    <w:rsid w:val="00734450"/>
    <w:rsid w:val="00736234"/>
    <w:rsid w:val="00745F67"/>
    <w:rsid w:val="007464DA"/>
    <w:rsid w:val="00747839"/>
    <w:rsid w:val="0075039E"/>
    <w:rsid w:val="00752D9D"/>
    <w:rsid w:val="007538FF"/>
    <w:rsid w:val="00753FAB"/>
    <w:rsid w:val="00754784"/>
    <w:rsid w:val="007558C4"/>
    <w:rsid w:val="007570A0"/>
    <w:rsid w:val="00757C6E"/>
    <w:rsid w:val="0076153F"/>
    <w:rsid w:val="007626AF"/>
    <w:rsid w:val="00762BDA"/>
    <w:rsid w:val="00767169"/>
    <w:rsid w:val="00770F40"/>
    <w:rsid w:val="007805FD"/>
    <w:rsid w:val="00781D10"/>
    <w:rsid w:val="00781FA8"/>
    <w:rsid w:val="00784422"/>
    <w:rsid w:val="007913F8"/>
    <w:rsid w:val="00797255"/>
    <w:rsid w:val="007B1AB1"/>
    <w:rsid w:val="007B3889"/>
    <w:rsid w:val="007B3B54"/>
    <w:rsid w:val="007B3FA0"/>
    <w:rsid w:val="007B5C8A"/>
    <w:rsid w:val="007B62D8"/>
    <w:rsid w:val="007C0F2C"/>
    <w:rsid w:val="007C28A7"/>
    <w:rsid w:val="007C2BCC"/>
    <w:rsid w:val="007C2D77"/>
    <w:rsid w:val="007C378E"/>
    <w:rsid w:val="007C3D06"/>
    <w:rsid w:val="007C4D29"/>
    <w:rsid w:val="007C4EF0"/>
    <w:rsid w:val="007C6711"/>
    <w:rsid w:val="007C7DD6"/>
    <w:rsid w:val="007D099D"/>
    <w:rsid w:val="007D35E2"/>
    <w:rsid w:val="007E2664"/>
    <w:rsid w:val="007E3ABF"/>
    <w:rsid w:val="007E5BFA"/>
    <w:rsid w:val="007E6689"/>
    <w:rsid w:val="007E731C"/>
    <w:rsid w:val="007F0A03"/>
    <w:rsid w:val="007F3149"/>
    <w:rsid w:val="007F79B1"/>
    <w:rsid w:val="0080130D"/>
    <w:rsid w:val="008041E1"/>
    <w:rsid w:val="008063C6"/>
    <w:rsid w:val="00810040"/>
    <w:rsid w:val="008104A8"/>
    <w:rsid w:val="00816F6A"/>
    <w:rsid w:val="0082023A"/>
    <w:rsid w:val="00821A7A"/>
    <w:rsid w:val="008253F8"/>
    <w:rsid w:val="00826091"/>
    <w:rsid w:val="008325E4"/>
    <w:rsid w:val="00832A2B"/>
    <w:rsid w:val="00845811"/>
    <w:rsid w:val="00846994"/>
    <w:rsid w:val="00847089"/>
    <w:rsid w:val="00850451"/>
    <w:rsid w:val="00852042"/>
    <w:rsid w:val="008534C9"/>
    <w:rsid w:val="0085599D"/>
    <w:rsid w:val="0085703D"/>
    <w:rsid w:val="0086050D"/>
    <w:rsid w:val="00862291"/>
    <w:rsid w:val="00864B5A"/>
    <w:rsid w:val="0087510C"/>
    <w:rsid w:val="00876C52"/>
    <w:rsid w:val="00882170"/>
    <w:rsid w:val="0089738E"/>
    <w:rsid w:val="00897585"/>
    <w:rsid w:val="008A6BA0"/>
    <w:rsid w:val="008B3E51"/>
    <w:rsid w:val="008B5FDB"/>
    <w:rsid w:val="008B60FF"/>
    <w:rsid w:val="008C50F4"/>
    <w:rsid w:val="008C5649"/>
    <w:rsid w:val="008C6808"/>
    <w:rsid w:val="008D0F70"/>
    <w:rsid w:val="008D24A9"/>
    <w:rsid w:val="008D46E8"/>
    <w:rsid w:val="008E44A2"/>
    <w:rsid w:val="008E697D"/>
    <w:rsid w:val="008F2EEC"/>
    <w:rsid w:val="00903263"/>
    <w:rsid w:val="00906A21"/>
    <w:rsid w:val="009079C3"/>
    <w:rsid w:val="00910462"/>
    <w:rsid w:val="009111C8"/>
    <w:rsid w:val="009128EC"/>
    <w:rsid w:val="00915652"/>
    <w:rsid w:val="00915AB1"/>
    <w:rsid w:val="00915B45"/>
    <w:rsid w:val="00917532"/>
    <w:rsid w:val="009235BA"/>
    <w:rsid w:val="00924023"/>
    <w:rsid w:val="00924CE2"/>
    <w:rsid w:val="00925B9F"/>
    <w:rsid w:val="00931AED"/>
    <w:rsid w:val="00933AC7"/>
    <w:rsid w:val="0094348B"/>
    <w:rsid w:val="00944205"/>
    <w:rsid w:val="009476A3"/>
    <w:rsid w:val="00951DD9"/>
    <w:rsid w:val="0095334F"/>
    <w:rsid w:val="00955835"/>
    <w:rsid w:val="00957D65"/>
    <w:rsid w:val="00962F0D"/>
    <w:rsid w:val="0096399A"/>
    <w:rsid w:val="00965897"/>
    <w:rsid w:val="00965C20"/>
    <w:rsid w:val="0096765C"/>
    <w:rsid w:val="00971D5B"/>
    <w:rsid w:val="009727E4"/>
    <w:rsid w:val="009755DE"/>
    <w:rsid w:val="00985ADC"/>
    <w:rsid w:val="00985FF9"/>
    <w:rsid w:val="009934C5"/>
    <w:rsid w:val="00994C0F"/>
    <w:rsid w:val="00997343"/>
    <w:rsid w:val="009A447E"/>
    <w:rsid w:val="009A46AD"/>
    <w:rsid w:val="009B22D7"/>
    <w:rsid w:val="009B3173"/>
    <w:rsid w:val="009B4956"/>
    <w:rsid w:val="009B72ED"/>
    <w:rsid w:val="009C06B1"/>
    <w:rsid w:val="009C3D89"/>
    <w:rsid w:val="009C6CE7"/>
    <w:rsid w:val="009C6DEB"/>
    <w:rsid w:val="009D0CCB"/>
    <w:rsid w:val="009D3789"/>
    <w:rsid w:val="009D384B"/>
    <w:rsid w:val="009D472D"/>
    <w:rsid w:val="009D6504"/>
    <w:rsid w:val="009E12D7"/>
    <w:rsid w:val="009E30FD"/>
    <w:rsid w:val="009E661A"/>
    <w:rsid w:val="009E7807"/>
    <w:rsid w:val="009F1B56"/>
    <w:rsid w:val="009F48CD"/>
    <w:rsid w:val="00A06781"/>
    <w:rsid w:val="00A068FD"/>
    <w:rsid w:val="00A074C3"/>
    <w:rsid w:val="00A11364"/>
    <w:rsid w:val="00A14D11"/>
    <w:rsid w:val="00A1509C"/>
    <w:rsid w:val="00A17020"/>
    <w:rsid w:val="00A209F9"/>
    <w:rsid w:val="00A20A19"/>
    <w:rsid w:val="00A21BAC"/>
    <w:rsid w:val="00A23D3E"/>
    <w:rsid w:val="00A24E03"/>
    <w:rsid w:val="00A26653"/>
    <w:rsid w:val="00A31529"/>
    <w:rsid w:val="00A34260"/>
    <w:rsid w:val="00A3615C"/>
    <w:rsid w:val="00A53ED0"/>
    <w:rsid w:val="00A5595B"/>
    <w:rsid w:val="00A61F80"/>
    <w:rsid w:val="00A649C6"/>
    <w:rsid w:val="00A67A4C"/>
    <w:rsid w:val="00A70CFD"/>
    <w:rsid w:val="00A72A0B"/>
    <w:rsid w:val="00A77A7D"/>
    <w:rsid w:val="00A81E42"/>
    <w:rsid w:val="00A850DB"/>
    <w:rsid w:val="00A864FE"/>
    <w:rsid w:val="00A86F41"/>
    <w:rsid w:val="00A87D04"/>
    <w:rsid w:val="00A950C5"/>
    <w:rsid w:val="00A97FB2"/>
    <w:rsid w:val="00AA1459"/>
    <w:rsid w:val="00AA1D25"/>
    <w:rsid w:val="00AA5C67"/>
    <w:rsid w:val="00AB2B1A"/>
    <w:rsid w:val="00AB397F"/>
    <w:rsid w:val="00AB5832"/>
    <w:rsid w:val="00AB5EB9"/>
    <w:rsid w:val="00AB66B7"/>
    <w:rsid w:val="00AC51F2"/>
    <w:rsid w:val="00AD45DE"/>
    <w:rsid w:val="00AE5066"/>
    <w:rsid w:val="00AE5E24"/>
    <w:rsid w:val="00AE61B7"/>
    <w:rsid w:val="00AE6CBA"/>
    <w:rsid w:val="00AE79AD"/>
    <w:rsid w:val="00AF35E4"/>
    <w:rsid w:val="00AF5CDE"/>
    <w:rsid w:val="00B01BE2"/>
    <w:rsid w:val="00B026A3"/>
    <w:rsid w:val="00B11A57"/>
    <w:rsid w:val="00B12156"/>
    <w:rsid w:val="00B17A19"/>
    <w:rsid w:val="00B211C3"/>
    <w:rsid w:val="00B22260"/>
    <w:rsid w:val="00B22DC8"/>
    <w:rsid w:val="00B25597"/>
    <w:rsid w:val="00B267B9"/>
    <w:rsid w:val="00B33E09"/>
    <w:rsid w:val="00B352C3"/>
    <w:rsid w:val="00B416C2"/>
    <w:rsid w:val="00B42A96"/>
    <w:rsid w:val="00B43370"/>
    <w:rsid w:val="00B50708"/>
    <w:rsid w:val="00B50C68"/>
    <w:rsid w:val="00B51293"/>
    <w:rsid w:val="00B51B37"/>
    <w:rsid w:val="00B52B1E"/>
    <w:rsid w:val="00B53998"/>
    <w:rsid w:val="00B55481"/>
    <w:rsid w:val="00B56C32"/>
    <w:rsid w:val="00B57ACF"/>
    <w:rsid w:val="00B64BB1"/>
    <w:rsid w:val="00B73166"/>
    <w:rsid w:val="00B8426C"/>
    <w:rsid w:val="00B85A9F"/>
    <w:rsid w:val="00B87606"/>
    <w:rsid w:val="00B87A2B"/>
    <w:rsid w:val="00B91B8D"/>
    <w:rsid w:val="00B94E90"/>
    <w:rsid w:val="00B96A96"/>
    <w:rsid w:val="00BA02C1"/>
    <w:rsid w:val="00BA1CD1"/>
    <w:rsid w:val="00BA34DA"/>
    <w:rsid w:val="00BA3920"/>
    <w:rsid w:val="00BA6984"/>
    <w:rsid w:val="00BB0A82"/>
    <w:rsid w:val="00BB53B6"/>
    <w:rsid w:val="00BB7C94"/>
    <w:rsid w:val="00BC0A9D"/>
    <w:rsid w:val="00BC1C03"/>
    <w:rsid w:val="00BC270E"/>
    <w:rsid w:val="00BC2D00"/>
    <w:rsid w:val="00BD06FC"/>
    <w:rsid w:val="00BD2BD8"/>
    <w:rsid w:val="00BD334F"/>
    <w:rsid w:val="00BD35D6"/>
    <w:rsid w:val="00BE195C"/>
    <w:rsid w:val="00BF39B3"/>
    <w:rsid w:val="00BF40ED"/>
    <w:rsid w:val="00BF5BC2"/>
    <w:rsid w:val="00C022CD"/>
    <w:rsid w:val="00C06841"/>
    <w:rsid w:val="00C06B72"/>
    <w:rsid w:val="00C1133D"/>
    <w:rsid w:val="00C23BE9"/>
    <w:rsid w:val="00C25648"/>
    <w:rsid w:val="00C258DC"/>
    <w:rsid w:val="00C27A08"/>
    <w:rsid w:val="00C31312"/>
    <w:rsid w:val="00C316E4"/>
    <w:rsid w:val="00C326C6"/>
    <w:rsid w:val="00C33947"/>
    <w:rsid w:val="00C3480D"/>
    <w:rsid w:val="00C35295"/>
    <w:rsid w:val="00C35311"/>
    <w:rsid w:val="00C35573"/>
    <w:rsid w:val="00C36ADD"/>
    <w:rsid w:val="00C36E74"/>
    <w:rsid w:val="00C37743"/>
    <w:rsid w:val="00C40595"/>
    <w:rsid w:val="00C41621"/>
    <w:rsid w:val="00C449FA"/>
    <w:rsid w:val="00C47C25"/>
    <w:rsid w:val="00C50068"/>
    <w:rsid w:val="00C51B9B"/>
    <w:rsid w:val="00C5384F"/>
    <w:rsid w:val="00C56964"/>
    <w:rsid w:val="00C611AC"/>
    <w:rsid w:val="00C62AD4"/>
    <w:rsid w:val="00C62D9F"/>
    <w:rsid w:val="00C656D5"/>
    <w:rsid w:val="00C669BB"/>
    <w:rsid w:val="00C67103"/>
    <w:rsid w:val="00C71BB9"/>
    <w:rsid w:val="00C74C90"/>
    <w:rsid w:val="00C7548C"/>
    <w:rsid w:val="00C8081A"/>
    <w:rsid w:val="00C85706"/>
    <w:rsid w:val="00C879C6"/>
    <w:rsid w:val="00C94974"/>
    <w:rsid w:val="00C94C28"/>
    <w:rsid w:val="00CA3D85"/>
    <w:rsid w:val="00CA54FE"/>
    <w:rsid w:val="00CA7B9A"/>
    <w:rsid w:val="00CB0247"/>
    <w:rsid w:val="00CB3440"/>
    <w:rsid w:val="00CB49BD"/>
    <w:rsid w:val="00CB63CC"/>
    <w:rsid w:val="00CC1692"/>
    <w:rsid w:val="00CC4921"/>
    <w:rsid w:val="00CC5D63"/>
    <w:rsid w:val="00CD138B"/>
    <w:rsid w:val="00CD28F3"/>
    <w:rsid w:val="00CD3E31"/>
    <w:rsid w:val="00CD74A3"/>
    <w:rsid w:val="00CE0527"/>
    <w:rsid w:val="00CE0EB0"/>
    <w:rsid w:val="00CE27D4"/>
    <w:rsid w:val="00CE5B23"/>
    <w:rsid w:val="00CE6972"/>
    <w:rsid w:val="00CF70AD"/>
    <w:rsid w:val="00CF7729"/>
    <w:rsid w:val="00D00059"/>
    <w:rsid w:val="00D107FA"/>
    <w:rsid w:val="00D12275"/>
    <w:rsid w:val="00D12766"/>
    <w:rsid w:val="00D16905"/>
    <w:rsid w:val="00D175C6"/>
    <w:rsid w:val="00D205B2"/>
    <w:rsid w:val="00D20FF4"/>
    <w:rsid w:val="00D21DDE"/>
    <w:rsid w:val="00D24D2C"/>
    <w:rsid w:val="00D25BE4"/>
    <w:rsid w:val="00D30D8E"/>
    <w:rsid w:val="00D325F4"/>
    <w:rsid w:val="00D34D6F"/>
    <w:rsid w:val="00D35881"/>
    <w:rsid w:val="00D428D6"/>
    <w:rsid w:val="00D46490"/>
    <w:rsid w:val="00D55A65"/>
    <w:rsid w:val="00D67403"/>
    <w:rsid w:val="00D75E54"/>
    <w:rsid w:val="00D80F94"/>
    <w:rsid w:val="00D83F69"/>
    <w:rsid w:val="00D94DAD"/>
    <w:rsid w:val="00DA5146"/>
    <w:rsid w:val="00DA7DA5"/>
    <w:rsid w:val="00DB073B"/>
    <w:rsid w:val="00DB4CE6"/>
    <w:rsid w:val="00DB4F3D"/>
    <w:rsid w:val="00DB78F0"/>
    <w:rsid w:val="00DC2E43"/>
    <w:rsid w:val="00DC3759"/>
    <w:rsid w:val="00DC38F1"/>
    <w:rsid w:val="00DC7BB0"/>
    <w:rsid w:val="00DD095C"/>
    <w:rsid w:val="00DD1020"/>
    <w:rsid w:val="00DD1330"/>
    <w:rsid w:val="00DE0B83"/>
    <w:rsid w:val="00DE0F22"/>
    <w:rsid w:val="00DE1A81"/>
    <w:rsid w:val="00DE1C13"/>
    <w:rsid w:val="00DE4E10"/>
    <w:rsid w:val="00E00BE8"/>
    <w:rsid w:val="00E01D10"/>
    <w:rsid w:val="00E02ABF"/>
    <w:rsid w:val="00E040FA"/>
    <w:rsid w:val="00E0518E"/>
    <w:rsid w:val="00E14995"/>
    <w:rsid w:val="00E179CD"/>
    <w:rsid w:val="00E22835"/>
    <w:rsid w:val="00E23E8D"/>
    <w:rsid w:val="00E37F98"/>
    <w:rsid w:val="00E41B73"/>
    <w:rsid w:val="00E43A87"/>
    <w:rsid w:val="00E462ED"/>
    <w:rsid w:val="00E46559"/>
    <w:rsid w:val="00E51FE3"/>
    <w:rsid w:val="00E54E83"/>
    <w:rsid w:val="00E646ED"/>
    <w:rsid w:val="00E6670C"/>
    <w:rsid w:val="00E66AC8"/>
    <w:rsid w:val="00E70682"/>
    <w:rsid w:val="00E70D51"/>
    <w:rsid w:val="00E739CF"/>
    <w:rsid w:val="00E73A46"/>
    <w:rsid w:val="00E74790"/>
    <w:rsid w:val="00E775E0"/>
    <w:rsid w:val="00E776E8"/>
    <w:rsid w:val="00E77FBA"/>
    <w:rsid w:val="00E92C1F"/>
    <w:rsid w:val="00E95D4B"/>
    <w:rsid w:val="00E969A9"/>
    <w:rsid w:val="00EA015D"/>
    <w:rsid w:val="00EA38C6"/>
    <w:rsid w:val="00EB15F2"/>
    <w:rsid w:val="00EB199F"/>
    <w:rsid w:val="00EB2A2F"/>
    <w:rsid w:val="00EC23F7"/>
    <w:rsid w:val="00EC2D05"/>
    <w:rsid w:val="00EC4BD8"/>
    <w:rsid w:val="00EC63EB"/>
    <w:rsid w:val="00ED412F"/>
    <w:rsid w:val="00EE2614"/>
    <w:rsid w:val="00EE57BC"/>
    <w:rsid w:val="00EF2AE2"/>
    <w:rsid w:val="00EF2FAA"/>
    <w:rsid w:val="00EF36B2"/>
    <w:rsid w:val="00EF5F67"/>
    <w:rsid w:val="00F0006E"/>
    <w:rsid w:val="00F07423"/>
    <w:rsid w:val="00F201EC"/>
    <w:rsid w:val="00F208A9"/>
    <w:rsid w:val="00F2130B"/>
    <w:rsid w:val="00F267BA"/>
    <w:rsid w:val="00F2782B"/>
    <w:rsid w:val="00F35FBB"/>
    <w:rsid w:val="00F371B2"/>
    <w:rsid w:val="00F41D75"/>
    <w:rsid w:val="00F43010"/>
    <w:rsid w:val="00F47118"/>
    <w:rsid w:val="00F5139D"/>
    <w:rsid w:val="00F531D7"/>
    <w:rsid w:val="00F55CF9"/>
    <w:rsid w:val="00F608D9"/>
    <w:rsid w:val="00F63DAC"/>
    <w:rsid w:val="00F7379A"/>
    <w:rsid w:val="00F7454F"/>
    <w:rsid w:val="00F74D0E"/>
    <w:rsid w:val="00F77988"/>
    <w:rsid w:val="00F77F48"/>
    <w:rsid w:val="00F93FA0"/>
    <w:rsid w:val="00F9543F"/>
    <w:rsid w:val="00F95F85"/>
    <w:rsid w:val="00FA0D67"/>
    <w:rsid w:val="00FA3AD0"/>
    <w:rsid w:val="00FA7E91"/>
    <w:rsid w:val="00FB1680"/>
    <w:rsid w:val="00FB1A01"/>
    <w:rsid w:val="00FB30F1"/>
    <w:rsid w:val="00FB4515"/>
    <w:rsid w:val="00FB53E7"/>
    <w:rsid w:val="00FC7284"/>
    <w:rsid w:val="00FD4AA0"/>
    <w:rsid w:val="00FE0199"/>
    <w:rsid w:val="00FE124D"/>
    <w:rsid w:val="00FE6B00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092A7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aliases w:val="sākums"/>
    <w:basedOn w:val="Normal"/>
    <w:uiPriority w:val="99"/>
    <w:rsid w:val="0067371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67371B"/>
    <w:pPr>
      <w:spacing w:after="120" w:line="276" w:lineRule="auto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67371B"/>
    <w:rPr>
      <w:rFonts w:eastAsia="Calibr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rsid w:val="0067371B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7371B"/>
  </w:style>
  <w:style w:type="character" w:customStyle="1" w:styleId="HeaderChar">
    <w:name w:val="Header Char"/>
    <w:basedOn w:val="DefaultParagraphFont"/>
    <w:link w:val="Header"/>
    <w:uiPriority w:val="99"/>
    <w:rsid w:val="0067371B"/>
    <w:rPr>
      <w:sz w:val="24"/>
      <w:szCs w:val="24"/>
    </w:rPr>
  </w:style>
  <w:style w:type="paragraph" w:styleId="EnvelopeReturn">
    <w:name w:val="envelope return"/>
    <w:basedOn w:val="Normal"/>
    <w:unhideWhenUsed/>
    <w:rsid w:val="0067371B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ignature">
    <w:name w:val="Signature"/>
    <w:basedOn w:val="Normal"/>
    <w:next w:val="EnvelopeReturn"/>
    <w:link w:val="SignatureChar"/>
    <w:unhideWhenUsed/>
    <w:rsid w:val="0067371B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67371B"/>
    <w:rPr>
      <w:sz w:val="26"/>
      <w:lang w:val="en-AU" w:eastAsia="en-US"/>
    </w:rPr>
  </w:style>
  <w:style w:type="paragraph" w:styleId="Title">
    <w:name w:val="Title"/>
    <w:basedOn w:val="Normal"/>
    <w:link w:val="TitleChar"/>
    <w:qFormat/>
    <w:rsid w:val="00B352C3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rsid w:val="00B352C3"/>
    <w:rPr>
      <w:b/>
      <w:bCs/>
      <w:noProof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F5F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5F6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7F3149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7F3149"/>
    <w:rPr>
      <w:b/>
      <w:sz w:val="26"/>
      <w:lang w:val="en-AU" w:eastAsia="en-US"/>
    </w:rPr>
  </w:style>
  <w:style w:type="paragraph" w:customStyle="1" w:styleId="Default">
    <w:name w:val="Default"/>
    <w:rsid w:val="00263A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79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htmlmktable">
    <w:name w:val="tv_html mk_table"/>
    <w:basedOn w:val="Normal"/>
    <w:rsid w:val="006373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C56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649"/>
  </w:style>
  <w:style w:type="paragraph" w:customStyle="1" w:styleId="naisf">
    <w:name w:val="naisf"/>
    <w:basedOn w:val="Normal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8C5649"/>
    <w:pPr>
      <w:spacing w:before="75" w:after="75"/>
      <w:jc w:val="right"/>
    </w:pPr>
  </w:style>
  <w:style w:type="paragraph" w:customStyle="1" w:styleId="naiskr">
    <w:name w:val="naiskr"/>
    <w:basedOn w:val="Normal"/>
    <w:rsid w:val="008C5649"/>
    <w:pPr>
      <w:spacing w:before="75" w:after="75"/>
    </w:pPr>
  </w:style>
  <w:style w:type="paragraph" w:customStyle="1" w:styleId="naisc">
    <w:name w:val="naisc"/>
    <w:basedOn w:val="Normal"/>
    <w:rsid w:val="008C5649"/>
    <w:pPr>
      <w:spacing w:before="75" w:after="75"/>
      <w:jc w:val="center"/>
    </w:pPr>
  </w:style>
  <w:style w:type="character" w:customStyle="1" w:styleId="th1">
    <w:name w:val="th1"/>
    <w:basedOn w:val="DefaultParagraphFont"/>
    <w:rsid w:val="008C5649"/>
    <w:rPr>
      <w:b/>
      <w:bCs/>
      <w:color w:val="333333"/>
    </w:rPr>
  </w:style>
  <w:style w:type="character" w:styleId="CommentReference">
    <w:name w:val="annotation reference"/>
    <w:basedOn w:val="DefaultParagraphFont"/>
    <w:semiHidden/>
    <w:rsid w:val="008C56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C5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5649"/>
    <w:rPr>
      <w:lang w:val="lv-LV" w:eastAsia="lv-LV" w:bidi="ar-SA"/>
    </w:rPr>
  </w:style>
  <w:style w:type="paragraph" w:styleId="BalloonText">
    <w:name w:val="Balloon Text"/>
    <w:basedOn w:val="Normal"/>
    <w:semiHidden/>
    <w:rsid w:val="008C56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C5649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C5649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262E2B"/>
    <w:rPr>
      <w:b/>
      <w:bCs/>
    </w:rPr>
  </w:style>
  <w:style w:type="paragraph" w:styleId="Footer">
    <w:name w:val="footer"/>
    <w:basedOn w:val="Normal"/>
    <w:link w:val="FooterChar"/>
    <w:uiPriority w:val="99"/>
    <w:rsid w:val="00262E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344"/>
    <w:rPr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uiPriority w:val="99"/>
    <w:rsid w:val="007004FC"/>
    <w:rPr>
      <w:color w:val="0000FF"/>
      <w:u w:val="single"/>
    </w:rPr>
  </w:style>
  <w:style w:type="paragraph" w:styleId="DocumentMap">
    <w:name w:val="Document Map"/>
    <w:basedOn w:val="Normal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aliases w:val="sākums"/>
    <w:basedOn w:val="Normal"/>
    <w:uiPriority w:val="99"/>
    <w:rsid w:val="0067371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67371B"/>
    <w:pPr>
      <w:spacing w:after="120" w:line="276" w:lineRule="auto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67371B"/>
    <w:rPr>
      <w:rFonts w:eastAsia="Calibri"/>
      <w:sz w:val="24"/>
      <w:szCs w:val="22"/>
      <w:lang w:eastAsia="en-US"/>
    </w:rPr>
  </w:style>
  <w:style w:type="paragraph" w:styleId="BodyText2">
    <w:name w:val="Body Text 2"/>
    <w:basedOn w:val="Normal"/>
    <w:link w:val="BodyText2Char"/>
    <w:rsid w:val="0067371B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7371B"/>
  </w:style>
  <w:style w:type="character" w:customStyle="1" w:styleId="HeaderChar">
    <w:name w:val="Header Char"/>
    <w:basedOn w:val="DefaultParagraphFont"/>
    <w:link w:val="Header"/>
    <w:uiPriority w:val="99"/>
    <w:rsid w:val="0067371B"/>
    <w:rPr>
      <w:sz w:val="24"/>
      <w:szCs w:val="24"/>
    </w:rPr>
  </w:style>
  <w:style w:type="paragraph" w:styleId="EnvelopeReturn">
    <w:name w:val="envelope return"/>
    <w:basedOn w:val="Normal"/>
    <w:unhideWhenUsed/>
    <w:rsid w:val="0067371B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ignature">
    <w:name w:val="Signature"/>
    <w:basedOn w:val="Normal"/>
    <w:next w:val="EnvelopeReturn"/>
    <w:link w:val="SignatureChar"/>
    <w:unhideWhenUsed/>
    <w:rsid w:val="0067371B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67371B"/>
    <w:rPr>
      <w:sz w:val="26"/>
      <w:lang w:val="en-AU" w:eastAsia="en-US"/>
    </w:rPr>
  </w:style>
  <w:style w:type="paragraph" w:styleId="Title">
    <w:name w:val="Title"/>
    <w:basedOn w:val="Normal"/>
    <w:link w:val="TitleChar"/>
    <w:qFormat/>
    <w:rsid w:val="00B352C3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rsid w:val="00B352C3"/>
    <w:rPr>
      <w:b/>
      <w:bCs/>
      <w:noProof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EF5F6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F5F67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7F3149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7F3149"/>
    <w:rPr>
      <w:b/>
      <w:sz w:val="26"/>
      <w:lang w:val="en-AU" w:eastAsia="en-US"/>
    </w:rPr>
  </w:style>
  <w:style w:type="paragraph" w:customStyle="1" w:styleId="Default">
    <w:name w:val="Default"/>
    <w:rsid w:val="00263AE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79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vhtmlmktable">
    <w:name w:val="tv_html mk_table"/>
    <w:basedOn w:val="Normal"/>
    <w:rsid w:val="006373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D6BD-5C37-4CD5-AC69-F4E288C3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702</Words>
  <Characters>5219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 “Grozījums Ministru kabineta 2016.gada 29.marta rīkojumā Nr.232 „Par starptautisko militāro mācību norises nodrošināšanu Latvijas teritorijā””</vt:lpstr>
      <vt:lpstr>Par līgumu par sadarbību izglītības, zinātnes un jaunatnes jomā</vt:lpstr>
    </vt:vector>
  </TitlesOfParts>
  <Manager>JD;Resursu_planosanas_dep@amglobal.local</Manager>
  <Company>AiM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“Grozījums Ministru kabineta 2016.gada 29.marta rīkojumā Nr.232 „Par starptautisko militāro mācību norises nodrošināšanu Latvijas teritorijā””</dc:title>
  <dc:subject>MK rīkojuma projekta “Grozījums Ministru kabineta 2016.gada 29.marta rīkojumā Nr.232 „Par starptautisko militāro mācību norises nodrošināšanu Latvijas teritorijā”” anotācija</dc:subject>
  <dc:creator>Sigita Atvara;Ilze.Galvina@mod.gov.lv</dc:creator>
  <dc:description>67335183 
ilze.galvina@mod.gov.lv</dc:description>
  <cp:lastModifiedBy>Irēna Kalna</cp:lastModifiedBy>
  <cp:revision>9</cp:revision>
  <cp:lastPrinted>2017-11-16T14:47:00Z</cp:lastPrinted>
  <dcterms:created xsi:type="dcterms:W3CDTF">2017-11-17T10:27:00Z</dcterms:created>
  <dcterms:modified xsi:type="dcterms:W3CDTF">2017-11-30T12:53:00Z</dcterms:modified>
</cp:coreProperties>
</file>