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9929" w14:textId="77777777" w:rsidR="00237F8E" w:rsidRPr="00F4368B" w:rsidRDefault="00237F8E" w:rsidP="00F4368B">
      <w:pPr>
        <w:jc w:val="center"/>
        <w:rPr>
          <w:b/>
        </w:rPr>
      </w:pPr>
      <w:bookmarkStart w:id="0" w:name="OLE_LINK3"/>
      <w:bookmarkStart w:id="1" w:name="OLE_LINK4"/>
      <w:bookmarkStart w:id="2" w:name="OLE_LINK5"/>
      <w:bookmarkStart w:id="3" w:name="OLE_LINK1"/>
      <w:bookmarkStart w:id="4" w:name="OLE_LINK2"/>
      <w:r w:rsidRPr="00F4368B">
        <w:rPr>
          <w:b/>
        </w:rPr>
        <w:t>Ministru kabine</w:t>
      </w:r>
      <w:r w:rsidR="00755BD4" w:rsidRPr="00F4368B">
        <w:rPr>
          <w:b/>
        </w:rPr>
        <w:t>ta noteikumu projekta „</w:t>
      </w:r>
      <w:r w:rsidR="003C4679" w:rsidRPr="003C4679">
        <w:rPr>
          <w:b/>
        </w:rPr>
        <w:t>Grozījumi Ministru kabineta 2011. gada 28. jūnija noteikumos Nr. 500 „Noteikumi par transportējamām spiedieniekārtām”</w:t>
      </w:r>
      <w:r w:rsidR="003C4679">
        <w:rPr>
          <w:b/>
        </w:rPr>
        <w:t>”</w:t>
      </w:r>
      <w:r w:rsidRPr="00F4368B">
        <w:rPr>
          <w:b/>
        </w:rPr>
        <w:t xml:space="preserve"> sākotnējās ietekmes novērtējuma ziņojums (anotācija)</w:t>
      </w:r>
    </w:p>
    <w:bookmarkEnd w:id="0"/>
    <w:bookmarkEnd w:id="1"/>
    <w:bookmarkEnd w:id="2"/>
    <w:bookmarkEnd w:id="3"/>
    <w:bookmarkEnd w:id="4"/>
    <w:p w14:paraId="6194862B" w14:textId="77777777" w:rsidR="00237F8E" w:rsidRPr="00F4368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2"/>
      </w:tblGrid>
      <w:tr w:rsidR="00193E45" w:rsidRPr="00F4368B" w14:paraId="12097947" w14:textId="77777777" w:rsidTr="00C3416B">
        <w:tc>
          <w:tcPr>
            <w:tcW w:w="9061" w:type="dxa"/>
            <w:gridSpan w:val="3"/>
            <w:vAlign w:val="center"/>
          </w:tcPr>
          <w:p w14:paraId="19EC1C61" w14:textId="77777777" w:rsidR="00193E45" w:rsidRPr="00F4368B" w:rsidRDefault="00193E45" w:rsidP="00F4368B">
            <w:pPr>
              <w:jc w:val="center"/>
            </w:pPr>
            <w:r w:rsidRPr="00F4368B">
              <w:rPr>
                <w:b/>
              </w:rPr>
              <w:t>I. Tiesību akta projekta izstrādes nepieciešamība</w:t>
            </w:r>
          </w:p>
        </w:tc>
      </w:tr>
      <w:tr w:rsidR="00193E45" w:rsidRPr="00F4368B" w14:paraId="765E59A5" w14:textId="77777777" w:rsidTr="00C3416B">
        <w:trPr>
          <w:trHeight w:val="439"/>
        </w:trPr>
        <w:tc>
          <w:tcPr>
            <w:tcW w:w="524" w:type="dxa"/>
          </w:tcPr>
          <w:p w14:paraId="107E4993" w14:textId="77777777" w:rsidR="00193E45" w:rsidRPr="00F4368B" w:rsidRDefault="00193E45" w:rsidP="00F4368B">
            <w:r w:rsidRPr="00F4368B">
              <w:t> 1.</w:t>
            </w:r>
          </w:p>
        </w:tc>
        <w:tc>
          <w:tcPr>
            <w:tcW w:w="2575" w:type="dxa"/>
          </w:tcPr>
          <w:p w14:paraId="57D94965" w14:textId="77777777" w:rsidR="00193E45" w:rsidRPr="00F4368B" w:rsidRDefault="00193E45" w:rsidP="00F4368B">
            <w:r w:rsidRPr="00F4368B">
              <w:t>Pamatojums</w:t>
            </w:r>
          </w:p>
        </w:tc>
        <w:tc>
          <w:tcPr>
            <w:tcW w:w="5962" w:type="dxa"/>
          </w:tcPr>
          <w:p w14:paraId="45E17BFC" w14:textId="77777777" w:rsidR="00193E45" w:rsidRPr="00F4368B" w:rsidRDefault="00C44C6D" w:rsidP="00C44C6D">
            <w:pPr>
              <w:jc w:val="both"/>
            </w:pPr>
            <w:r>
              <w:rPr>
                <w:rFonts w:eastAsia="SimSun"/>
                <w:lang w:eastAsia="zh-CN"/>
              </w:rPr>
              <w:t>L</w:t>
            </w:r>
            <w:r w:rsidRPr="00C44C6D">
              <w:rPr>
                <w:rFonts w:eastAsia="SimSun"/>
                <w:lang w:eastAsia="zh-CN"/>
              </w:rPr>
              <w:t>ikuma „Par a</w:t>
            </w:r>
            <w:r>
              <w:rPr>
                <w:rFonts w:eastAsia="SimSun"/>
                <w:lang w:eastAsia="zh-CN"/>
              </w:rPr>
              <w:t>tbilstības novērtēšanu” 7. pants</w:t>
            </w:r>
            <w:r w:rsidRPr="00C44C6D">
              <w:rPr>
                <w:rFonts w:eastAsia="SimSun"/>
                <w:lang w:eastAsia="zh-CN"/>
              </w:rPr>
              <w:t xml:space="preserve"> un likuma „Par bīstamo iekārtu tehnisko uzraudzību” 3. panta  otr</w:t>
            </w:r>
            <w:r>
              <w:rPr>
                <w:rFonts w:eastAsia="SimSun"/>
                <w:lang w:eastAsia="zh-CN"/>
              </w:rPr>
              <w:t>ā</w:t>
            </w:r>
            <w:r w:rsidRPr="00C44C6D">
              <w:rPr>
                <w:rFonts w:eastAsia="SimSun"/>
                <w:lang w:eastAsia="zh-CN"/>
              </w:rPr>
              <w:t xml:space="preserve"> daļ</w:t>
            </w:r>
            <w:r>
              <w:rPr>
                <w:rFonts w:eastAsia="SimSun"/>
                <w:lang w:eastAsia="zh-CN"/>
              </w:rPr>
              <w:t>a</w:t>
            </w:r>
          </w:p>
        </w:tc>
      </w:tr>
      <w:tr w:rsidR="00236B45" w:rsidRPr="00F4368B" w14:paraId="1DE44C4B" w14:textId="77777777" w:rsidTr="00C3416B">
        <w:trPr>
          <w:trHeight w:val="705"/>
        </w:trPr>
        <w:tc>
          <w:tcPr>
            <w:tcW w:w="524" w:type="dxa"/>
          </w:tcPr>
          <w:p w14:paraId="1CA20CC0" w14:textId="77777777" w:rsidR="00193E45" w:rsidRPr="00F4368B" w:rsidRDefault="00193E45" w:rsidP="00F4368B">
            <w:r w:rsidRPr="00F4368B">
              <w:t> 2.</w:t>
            </w:r>
          </w:p>
        </w:tc>
        <w:tc>
          <w:tcPr>
            <w:tcW w:w="2575" w:type="dxa"/>
          </w:tcPr>
          <w:p w14:paraId="0FCFD454" w14:textId="77777777" w:rsidR="00193E45" w:rsidRPr="00F4368B" w:rsidRDefault="00193E45" w:rsidP="00F4368B">
            <w:r w:rsidRPr="00F4368B">
              <w:t>Pašreizējā situācija un problēmas, kuru risināšanai tiesību akta projekts izstrādāts, tiesiskā regulējuma mērķis un būtība</w:t>
            </w:r>
          </w:p>
        </w:tc>
        <w:tc>
          <w:tcPr>
            <w:tcW w:w="5962" w:type="dxa"/>
          </w:tcPr>
          <w:p w14:paraId="3311654C" w14:textId="77777777" w:rsidR="00087354" w:rsidRDefault="00955A58" w:rsidP="00955A58">
            <w:pPr>
              <w:pStyle w:val="naiskr"/>
              <w:spacing w:after="0"/>
              <w:ind w:left="57" w:right="57"/>
              <w:jc w:val="both"/>
            </w:pPr>
            <w:r w:rsidRPr="00303749">
              <w:t>Prasības attiecībā uz transportējamām spiedieniekārtām, to atbilstības novērtēšanu, piedāvāšanu tirgū, lietošanu, lietošanas laikā veicamajām pā</w:t>
            </w:r>
            <w:r w:rsidR="00153CB2">
              <w:t xml:space="preserve">rbaudēm </w:t>
            </w:r>
            <w:r w:rsidRPr="00303749">
              <w:t>nosaka Ministru kabineta 2011.gada 28.jūnija noteikumi Nr.500 „Noteikumi par transportējamām spiedieniekārtām” (turpmāk – Noteikumi).</w:t>
            </w:r>
          </w:p>
          <w:p w14:paraId="3D67D2BA" w14:textId="77777777" w:rsidR="00153CB2" w:rsidRDefault="005B5738" w:rsidP="00290C88">
            <w:pPr>
              <w:pStyle w:val="naiskr"/>
              <w:spacing w:before="0" w:after="0"/>
              <w:ind w:left="57" w:right="57"/>
              <w:jc w:val="both"/>
            </w:pPr>
            <w:r w:rsidRPr="00303749">
              <w:t>Noteikumu 6.</w:t>
            </w:r>
            <w:r w:rsidR="0086720B" w:rsidRPr="0086720B">
              <w:rPr>
                <w:vertAlign w:val="superscript"/>
              </w:rPr>
              <w:t>1</w:t>
            </w:r>
            <w:r w:rsidRPr="00303749">
              <w:t xml:space="preserve"> punkts nosaka, </w:t>
            </w:r>
            <w:r w:rsidR="0086720B">
              <w:t>ka s</w:t>
            </w:r>
            <w:r w:rsidR="0086720B" w:rsidRPr="0086720B">
              <w:t>ašķidrinātās naftas gāzes balonu</w:t>
            </w:r>
            <w:r w:rsidR="002A3B7C">
              <w:t xml:space="preserve"> (turpmāk – Gāzes baloni)</w:t>
            </w:r>
            <w:r w:rsidR="0086720B" w:rsidRPr="0086720B">
              <w:t xml:space="preserve">, kuram nav veikta atbilstības novērtēšana vai atkārtota atbilstības novērtēšana un kas nav marķēts ar "Pī" zīmi, var tirgot un lietot, ja ir apliecinājums, ka </w:t>
            </w:r>
            <w:r w:rsidR="00534A20" w:rsidRPr="00534A20">
              <w:t xml:space="preserve">sašķidrinātās naftas </w:t>
            </w:r>
            <w:r w:rsidR="0086720B" w:rsidRPr="0086720B">
              <w:t>gāzes balonam ir veikta tehniskā pārbaude, kurā noteikts, ka tas atbilst noteiktajām prasībām un neapdraud cilvēku dzīvību, veselību, īpašumu un vidi.</w:t>
            </w:r>
            <w:r w:rsidR="00730531">
              <w:t xml:space="preserve"> Savukārt Noteikumu </w:t>
            </w:r>
            <w:r w:rsidR="007F108D" w:rsidRPr="007F108D">
              <w:t>117.</w:t>
            </w:r>
            <w:r w:rsidR="007F108D" w:rsidRPr="007F108D">
              <w:rPr>
                <w:vertAlign w:val="superscript"/>
              </w:rPr>
              <w:t>6</w:t>
            </w:r>
            <w:r w:rsidR="007F108D">
              <w:t xml:space="preserve"> punkts paredz, ka N</w:t>
            </w:r>
            <w:r w:rsidR="007F108D" w:rsidRPr="007F108D">
              <w:t>oteikumu 6.</w:t>
            </w:r>
            <w:r w:rsidR="007F108D" w:rsidRPr="007F108D">
              <w:rPr>
                <w:vertAlign w:val="superscript"/>
              </w:rPr>
              <w:t>1</w:t>
            </w:r>
            <w:r w:rsidR="007F108D" w:rsidRPr="007F108D">
              <w:t xml:space="preserve"> p</w:t>
            </w:r>
            <w:r w:rsidR="00153CB2">
              <w:t>unkts ir piemērojams līdz 2017.gada 31.</w:t>
            </w:r>
            <w:r w:rsidR="007F108D" w:rsidRPr="007F108D">
              <w:t>decembrim.</w:t>
            </w:r>
            <w:r w:rsidR="0013341B">
              <w:t xml:space="preserve"> </w:t>
            </w:r>
            <w:r w:rsidR="00153CB2">
              <w:t xml:space="preserve">Tādējādi spēkā esošais regulējums paredz, ka </w:t>
            </w:r>
            <w:r w:rsidR="001E151C">
              <w:t>Gāzes baloni, kas tika laisti tirgū un nodoti lietošanā līdz brīdim, kad Latvijas teritorijā kļuva saistošas uz gāzes baloniem attiecināmās Eiropas Savienības tiesību normas (turpmāk – GOST baloni) var atrasties apritē līdz šī gada beigām pie nosacījuma, ja tiem ir veikta nacionālā tehniskā pārbaude atbilstoši Noteikumos noteiktajai kārtībai un tās rezultātā tiek atzīts, ka GOST balons atbilst izvirzītajām prasībām.</w:t>
            </w:r>
          </w:p>
          <w:p w14:paraId="530BF34D" w14:textId="77777777" w:rsidR="00C3416B" w:rsidRDefault="001E151C" w:rsidP="0002101B">
            <w:pPr>
              <w:pStyle w:val="naiskr"/>
              <w:spacing w:before="0" w:after="0"/>
              <w:ind w:left="57" w:right="57"/>
              <w:jc w:val="both"/>
            </w:pPr>
            <w:r>
              <w:t xml:space="preserve">Lai pārliecinātos par GOST balonu drošuma līmeni un noskaidrotu, vai spēkā esošās tehniskās pārbaudes kārtība ir pietiekošs līdzeklis, lai mazinātu līdz minimumam draudu riskus, kas saistīti ar GOST balonu turpmāku lietošanu, tirgus uzraudzības iestāde – Patērētāju tiesību aizsardzības centrs (turpmāk – PTAC) 2017.gada pirmajā pusē veica tirgus uzraudzības pasākumus. To ietvaros PTAC konstatēja: 1) </w:t>
            </w:r>
            <w:r w:rsidR="00476BB9" w:rsidRPr="00476BB9">
              <w:t>no visiem tirgū piedāvātiem gāzes baloniem 80% ir GOST baloni</w:t>
            </w:r>
            <w:r w:rsidR="00384473">
              <w:t>; 2)</w:t>
            </w:r>
            <w:r>
              <w:t xml:space="preserve"> </w:t>
            </w:r>
            <w:r w:rsidR="00476BB9" w:rsidRPr="00476BB9">
              <w:t>gāzes balonu uzpildes stacijas, kas veic GOST bal</w:t>
            </w:r>
            <w:r w:rsidR="00384473">
              <w:t>onu tehniskās pārbaudes kopumā 2015.un 2016.gadā</w:t>
            </w:r>
            <w:r w:rsidR="00476BB9" w:rsidRPr="00476BB9">
              <w:t xml:space="preserve"> ir pārbaudījušas 593930 gāzes balonus</w:t>
            </w:r>
            <w:r>
              <w:t>,</w:t>
            </w:r>
            <w:r w:rsidR="00476BB9" w:rsidRPr="00476BB9">
              <w:t xml:space="preserve"> no kuriem 4051 GOST baloni (0.7%) tika atzīts par nederīgiem turpmākai lietošanai</w:t>
            </w:r>
            <w:r w:rsidR="00476BB9">
              <w:t xml:space="preserve">; </w:t>
            </w:r>
            <w:r w:rsidR="00384473">
              <w:t xml:space="preserve">3) </w:t>
            </w:r>
            <w:r w:rsidR="00476BB9" w:rsidRPr="00476BB9">
              <w:t>neatbilstības gāzes balonu uzpildes staciju darbībā, kas veic GOST balonu tehniskās pārbaudes, netika konstatētas</w:t>
            </w:r>
            <w:r w:rsidR="00476BB9">
              <w:t>.</w:t>
            </w:r>
            <w:r w:rsidR="00384473">
              <w:t xml:space="preserve"> </w:t>
            </w:r>
            <w:r w:rsidR="0002101B">
              <w:t xml:space="preserve">Minētie uzraudzības rezultāti dod pamatu secinājumiem, ka gāzes balonu tirgū joprojām lielu īpatsvaru kopējā gāzes balonu skaitā ieņem GOST baloni. Turklāt tehnisko pārbaužu  rezultāti liecina, ka </w:t>
            </w:r>
            <w:r w:rsidR="00C3416B">
              <w:t>normālos un paredzamos lietošanas apstākļos nav pamata uzskatīt, ka GOST balonu turpmākā lietošanas radītu apdraudējumu GOST balonu lietotājiem.</w:t>
            </w:r>
          </w:p>
          <w:p w14:paraId="0C81A0A0" w14:textId="77777777" w:rsidR="0018732D" w:rsidRDefault="00B047FC" w:rsidP="00290C88">
            <w:pPr>
              <w:pStyle w:val="naiskr"/>
              <w:spacing w:before="0" w:after="0"/>
              <w:ind w:left="57" w:right="57"/>
              <w:jc w:val="both"/>
            </w:pPr>
            <w:r>
              <w:lastRenderedPageBreak/>
              <w:t>Vienlaikus</w:t>
            </w:r>
            <w:r w:rsidR="0002101B">
              <w:t xml:space="preserve">, lai </w:t>
            </w:r>
            <w:r w:rsidR="00C3416B">
              <w:t xml:space="preserve">izvērtētu GOST balonu konstrukcijas atbilstību šī brīža spēkā esošajām Eiropas Savienības tehniskajām prasībām attiecībā uz gāzes baloniem, tirgus uzraudzības </w:t>
            </w:r>
            <w:r w:rsidR="004106EE">
              <w:t xml:space="preserve">pasākumu ietvaros tika veikta </w:t>
            </w:r>
            <w:r w:rsidR="00FF2147">
              <w:t xml:space="preserve">arī </w:t>
            </w:r>
            <w:r w:rsidR="004106EE">
              <w:t>padziļinātā GOST balonu testēšana</w:t>
            </w:r>
            <w:r w:rsidR="00C3416B">
              <w:t>, veicot gan sagraujošos, gan arī nesagraujošos testus.</w:t>
            </w:r>
            <w:r w:rsidR="0018732D">
              <w:t xml:space="preserve"> Veikto testu rezultāti apliecina faktu, ka  spēkā esošās Eiropas Savienības tehniskās prasības attiecībā uz gāzes baloniem ir augstākas un nodrošina augstāku drošības līmeni nekā tas bija brīdī, kad tika ražoti GOST baloni. Līdz ar to testēšanas rezultāti liecina, ka GOST balonu konstrukcija nav atbilstoša šobrīd spēkā esošajām Eiropas Savienības tehniskajām prasībām attiecībā uz gāzes baloniem. </w:t>
            </w:r>
          </w:p>
          <w:p w14:paraId="63FBD0D2" w14:textId="77777777" w:rsidR="00267832" w:rsidRDefault="003211B2" w:rsidP="00290C88">
            <w:pPr>
              <w:pStyle w:val="naiskr"/>
              <w:spacing w:before="0" w:after="0"/>
              <w:ind w:left="57" w:right="57"/>
              <w:jc w:val="both"/>
            </w:pPr>
            <w:r>
              <w:t>Taču</w:t>
            </w:r>
            <w:r w:rsidR="00571E9F">
              <w:t>,</w:t>
            </w:r>
            <w:r>
              <w:t xml:space="preserve"> </w:t>
            </w:r>
            <w:r w:rsidR="00571E9F">
              <w:t xml:space="preserve">veicot testēšanas rezultātu detalizētu analīzi, </w:t>
            </w:r>
            <w:r>
              <w:t>nav rodams pamatojums tam, ka GOST balonu turpmākā lietošana</w:t>
            </w:r>
            <w:r w:rsidR="00B41862">
              <w:t xml:space="preserve"> atbilstoši paredzētajam lietošanas nosacījumiem un mērķim</w:t>
            </w:r>
            <w:r>
              <w:t>, veicot to tehniskās pārbaudes</w:t>
            </w:r>
            <w:r w:rsidR="002E5489">
              <w:t xml:space="preserve"> līdzšinējā apmērā un kārtībā</w:t>
            </w:r>
            <w:r>
              <w:t>, apdraudētu GOST balonu lietotājus</w:t>
            </w:r>
            <w:r w:rsidR="00571E9F">
              <w:t xml:space="preserve">, neskatoties uz to, ka GOST balonu konstrukcija nenodrošina analogu drošuma līmeni salīdzinājuma ar gāzes baloniem, kas ražoti pēc Eiropas Savienības tehniskajām prasībām. Turklāt svarīgs ir apstāklis, ka liela daļa no konstatētajām GOST balonu neatbilstībām ticamākais ir radusies nevis to lietošanas laikā, bet gan jau ražošanas brīdī. Tas liecina, ka </w:t>
            </w:r>
            <w:r w:rsidR="00F26380">
              <w:t>GOST baloni visu to lietošanas laiku, kas dažos gadījumos ir vairāki gadu desmiti, ir lietoti, neskatoties uz neatbilstībā</w:t>
            </w:r>
            <w:r w:rsidR="00267832">
              <w:t>m, un nav radījuši tiešus draudus GOST balonu lietotājiem.</w:t>
            </w:r>
            <w:r w:rsidR="00F26380">
              <w:t xml:space="preserve"> </w:t>
            </w:r>
            <w:r w:rsidR="00C4543E">
              <w:t xml:space="preserve">Nav saskatāms saprātīgs pamatojums faktam, ka šīs neatbilstības, neskatoties uz to, ka jau eksistē ilgu laiku, tieši šobrīd radīs </w:t>
            </w:r>
            <w:r w:rsidR="00B41862">
              <w:t xml:space="preserve">vislielākos </w:t>
            </w:r>
            <w:r w:rsidR="00267832">
              <w:t>draudus GOST balonu lietotājiem un tāpēc ir izņemami no tirgus līdz šī gada nogalei. GOST balonu strauja izņemšana no tirgus būtu nesamērīga un radītu pārlieku lielu gan administratīvo, gan arī finansiālo slogu vispirms uz gāzes balonu tirgotājiem un uzpildītājiem, kā arī sekojoši uz gāzes balonu lietotājiem, kuri būs tie, kas tiešā vai netiešā veidā kompensēs gāzes balonu tirgotājiem un uzpildītājiem radītos izdevumus saistībā ar gāzes balonu parka nomaiņu.</w:t>
            </w:r>
          </w:p>
          <w:p w14:paraId="0FF25FF1" w14:textId="4A5BEBCF" w:rsidR="00774465" w:rsidRPr="00C94E16" w:rsidRDefault="00B41862" w:rsidP="00290C88">
            <w:pPr>
              <w:pStyle w:val="naiskr"/>
              <w:spacing w:before="0" w:after="0"/>
              <w:ind w:left="57" w:right="57"/>
              <w:jc w:val="both"/>
            </w:pPr>
            <w:r>
              <w:t>Arī gāzes balonu tirgus nozare ir paudusi</w:t>
            </w:r>
            <w:r w:rsidR="004D42A2">
              <w:t xml:space="preserve"> viedokli, ka Noteikumos noteiktās tehniskās pārbaudes ļauj identificēt nedrošos GOST balonus</w:t>
            </w:r>
            <w:r w:rsidR="00774465">
              <w:t xml:space="preserve"> un</w:t>
            </w:r>
            <w:r w:rsidR="004D42A2">
              <w:t xml:space="preserve"> norādīja, ka lielākos riskus GOST balonu lietotājiem var radīt nevis pats GOST balons, bet gan tieši neatbilstošs vai bojāts GOST balona ventilis.</w:t>
            </w:r>
            <w:r w:rsidR="00C94E16">
              <w:t xml:space="preserve"> </w:t>
            </w:r>
            <w:r w:rsidR="00C94E16" w:rsidRPr="001064E7">
              <w:t>Vienlaikus norādīja, ka</w:t>
            </w:r>
            <w:r w:rsidR="00774465" w:rsidRPr="001064E7">
              <w:t xml:space="preserve"> </w:t>
            </w:r>
            <w:r w:rsidR="00C94E16" w:rsidRPr="001064E7">
              <w:t>atbilstoši Noteikumu prasībām (71.</w:t>
            </w:r>
            <w:r w:rsidR="00C94E16" w:rsidRPr="001064E7">
              <w:rPr>
                <w:vertAlign w:val="superscript"/>
              </w:rPr>
              <w:t>9</w:t>
            </w:r>
            <w:r w:rsidR="00C94E16" w:rsidRPr="001064E7">
              <w:t xml:space="preserve">punkts) šobrīd </w:t>
            </w:r>
            <w:r w:rsidR="00774465" w:rsidRPr="001064E7">
              <w:t>utilizējami arī baloni, kuru tehniskajā pasē nav vietas kur uzlikt tehniskās pārbaudes marķējumu, kaut arī tehnisko pārbaužu rezultātā tie tiek atzīti par atbilstošiem turpmākai lietošanai.</w:t>
            </w:r>
          </w:p>
          <w:p w14:paraId="2B0D7617" w14:textId="77777777" w:rsidR="004D42A2" w:rsidRDefault="004B0D6E" w:rsidP="00290C88">
            <w:pPr>
              <w:pStyle w:val="naiskr"/>
              <w:spacing w:before="0" w:after="0"/>
              <w:ind w:left="57" w:right="57"/>
              <w:jc w:val="both"/>
            </w:pPr>
            <w:r>
              <w:t xml:space="preserve">Tāpēc, apkopojot minētos faktus, ir veicināma </w:t>
            </w:r>
            <w:r w:rsidR="004D42A2">
              <w:t xml:space="preserve">nevis nekavējoša GOST balonu izņemšana no tirgus, bet gan pakāpeniska gāzes balonu parka nomaiņa. Tāpēc Noteikumos  tiek veikti grozījumi, kas atceļ normu, ka GOST baloni ir jāizņem no tirgus līdz šī gada nogalei. Taču Noteikumi tiek </w:t>
            </w:r>
            <w:r w:rsidR="004D42A2">
              <w:lastRenderedPageBreak/>
              <w:t xml:space="preserve">papildināti ar normu, ka papildus tiem GOST baloniem, kuri nav izturējuši tehnisko pārbaudi, no tirgus tiks izņemti arī GOST baloni, kuri ir sasnieguši ievērojamu vecumu, proti, 40 gadu slieksni kopš to ražošanas brīža. Minētā kārtība ļautu izņemt no tirgus visvecākos GOST balonus, par kuru drošības līmeni ir vislielākās bažas, taču atļautu turpināt </w:t>
            </w:r>
            <w:r w:rsidR="00B41862">
              <w:t xml:space="preserve">lietot </w:t>
            </w:r>
            <w:r w:rsidR="004D42A2">
              <w:t>jaunākos  GOST balonus. Tādējādi tiktu nodrošināta pakāpeniska gāzes balonu parka nomaiņa uz Eiropas Savienības prasībām atbilstošiem gāzes baloniem.</w:t>
            </w:r>
          </w:p>
          <w:p w14:paraId="1D0F45CD" w14:textId="47C8F733" w:rsidR="00B047FC" w:rsidRPr="001064E7" w:rsidRDefault="00C321EF" w:rsidP="0002101B">
            <w:pPr>
              <w:pStyle w:val="naiskr"/>
              <w:spacing w:before="0" w:after="0"/>
              <w:ind w:left="57" w:right="57"/>
              <w:jc w:val="both"/>
            </w:pPr>
            <w:r w:rsidRPr="001064E7">
              <w:t>L</w:t>
            </w:r>
            <w:r w:rsidR="004D42A2" w:rsidRPr="001064E7">
              <w:t xml:space="preserve">ai risinātu problēmu, kas saistīta ar GOST balonu neatbilstošajiem </w:t>
            </w:r>
            <w:r w:rsidR="00B41862" w:rsidRPr="001064E7">
              <w:t>ventiļiem</w:t>
            </w:r>
            <w:r w:rsidR="00206D4A" w:rsidRPr="001064E7">
              <w:t xml:space="preserve"> un tehnisko pārbaužu marķējumu</w:t>
            </w:r>
            <w:r w:rsidR="00B41862" w:rsidRPr="001064E7">
              <w:t>, Noteikumos ir paredzēts iestrādāt normu, kas</w:t>
            </w:r>
            <w:r w:rsidR="004D42A2" w:rsidRPr="001064E7">
              <w:t xml:space="preserve"> paredz, ka visiem GOST baloniem pēc tehniskās pārbaudes ir jābūt aprīkotiem ar ventili, kas atbilst Eiropas Savienības prasībām un attiecīgi ir marķēts “Pī” zīmi</w:t>
            </w:r>
            <w:r w:rsidR="004F2D97" w:rsidRPr="001064E7">
              <w:t xml:space="preserve"> (atbilst Noteikumu 4.punkta prasībām)</w:t>
            </w:r>
            <w:r w:rsidR="00206D4A" w:rsidRPr="001064E7">
              <w:t xml:space="preserve"> kā arī tiek veikti grozījumi esošajās normās GOST balonu marķēšanas kārtībā ar tehnisko pārbaužu marķējumu.</w:t>
            </w:r>
          </w:p>
          <w:p w14:paraId="560FAC65" w14:textId="77777777" w:rsidR="00C321EF" w:rsidRPr="001064E7" w:rsidRDefault="00C321EF" w:rsidP="0002101B">
            <w:pPr>
              <w:pStyle w:val="naiskr"/>
              <w:spacing w:before="0" w:after="0"/>
              <w:ind w:left="57" w:right="57"/>
              <w:jc w:val="both"/>
            </w:pPr>
            <w:r w:rsidRPr="001064E7">
              <w:t>Vienlaikus Noteikumos ir veikti tehniski labojumi:</w:t>
            </w:r>
          </w:p>
          <w:p w14:paraId="3ADFE368" w14:textId="77777777" w:rsidR="00C321EF" w:rsidRPr="001064E7" w:rsidRDefault="00C321EF" w:rsidP="00A5023C">
            <w:pPr>
              <w:pStyle w:val="naiskr"/>
              <w:numPr>
                <w:ilvl w:val="0"/>
                <w:numId w:val="22"/>
              </w:numPr>
              <w:spacing w:before="0" w:after="0"/>
              <w:ind w:right="57"/>
              <w:jc w:val="both"/>
            </w:pPr>
            <w:r w:rsidRPr="001064E7">
              <w:t>SIA “Standartizācijas, akreditācijas un metroloģijas centrs” aizstāts ar</w:t>
            </w:r>
            <w:r w:rsidR="00A5023C" w:rsidRPr="001064E7">
              <w:t xml:space="preserve"> plašāku formulējumu</w:t>
            </w:r>
            <w:r w:rsidRPr="001064E7">
              <w:t xml:space="preserve"> “Nacionālā standartizācijas institūcija”</w:t>
            </w:r>
            <w:r w:rsidR="00A5023C" w:rsidRPr="001064E7">
              <w:t>, lai izvairītos no situācijas, ka nacionālās standartizācijas institūcijas maiņas gadījumā, ir nepieciešams veikt apjomīgus grozījumus normatīvajos aktos. Nacionālā standartizācijas institūcija vienlaikus noteikta Standartizācijas likuma 7.panta pirmajā punktā.</w:t>
            </w:r>
          </w:p>
          <w:p w14:paraId="3E780854" w14:textId="1741F6DD" w:rsidR="00A5023C" w:rsidRPr="00303749" w:rsidRDefault="0048570F" w:rsidP="0048570F">
            <w:pPr>
              <w:pStyle w:val="naiskr"/>
              <w:numPr>
                <w:ilvl w:val="0"/>
                <w:numId w:val="22"/>
              </w:numPr>
              <w:spacing w:before="0" w:after="0"/>
              <w:ind w:right="57"/>
              <w:jc w:val="both"/>
            </w:pPr>
            <w:r w:rsidRPr="001064E7">
              <w:t>"Standartizācijas, akreditācijas un metroloģijas centrs" Latvijas Nacionālais akreditācijas birojs aizstāts ar plašāku formulējumu “Nacio</w:t>
            </w:r>
            <w:r w:rsidR="00342D24" w:rsidRPr="001064E7">
              <w:t>nālā akreditācijas institūcija</w:t>
            </w:r>
            <w:r w:rsidRPr="001064E7">
              <w:t xml:space="preserve">” iepriekšminēto iemeslu dēļ. Nacionālā akreditācijas institūcija vienlaikus noteikta likuma “Par atbilstības novērtēšanu” 6.panta otrajā un trešajā </w:t>
            </w:r>
            <w:r w:rsidR="009E3AA4">
              <w:t>daļā</w:t>
            </w:r>
            <w:bookmarkStart w:id="5" w:name="_GoBack"/>
            <w:bookmarkEnd w:id="5"/>
            <w:r w:rsidRPr="001064E7">
              <w:t>.</w:t>
            </w:r>
          </w:p>
        </w:tc>
      </w:tr>
      <w:tr w:rsidR="00193E45" w:rsidRPr="00F4368B" w14:paraId="7D059B94" w14:textId="77777777" w:rsidTr="00C3416B">
        <w:trPr>
          <w:trHeight w:val="706"/>
        </w:trPr>
        <w:tc>
          <w:tcPr>
            <w:tcW w:w="524" w:type="dxa"/>
          </w:tcPr>
          <w:p w14:paraId="5A4FA18D" w14:textId="77777777" w:rsidR="00193E45" w:rsidRPr="00F4368B" w:rsidRDefault="00193E45" w:rsidP="00F4368B">
            <w:r w:rsidRPr="00F4368B">
              <w:lastRenderedPageBreak/>
              <w:t> 3.</w:t>
            </w:r>
          </w:p>
        </w:tc>
        <w:tc>
          <w:tcPr>
            <w:tcW w:w="2575" w:type="dxa"/>
          </w:tcPr>
          <w:p w14:paraId="3BF582ED" w14:textId="77777777" w:rsidR="00193E45" w:rsidRPr="00F4368B" w:rsidRDefault="00193E45" w:rsidP="00F4368B">
            <w:r w:rsidRPr="00F4368B">
              <w:t>Projekta izstrādē iesaistītās institūcijas</w:t>
            </w:r>
          </w:p>
        </w:tc>
        <w:tc>
          <w:tcPr>
            <w:tcW w:w="5962" w:type="dxa"/>
          </w:tcPr>
          <w:p w14:paraId="54AC9CBB" w14:textId="77777777" w:rsidR="00193E45" w:rsidRPr="00F4368B" w:rsidRDefault="004106EE" w:rsidP="004106EE">
            <w:pPr>
              <w:jc w:val="both"/>
            </w:pPr>
            <w:r>
              <w:t xml:space="preserve">Ekonomikas ministrija, </w:t>
            </w:r>
            <w:r w:rsidR="00BF57A2">
              <w:t>P</w:t>
            </w:r>
            <w:r w:rsidR="00B41862">
              <w:t>TAC</w:t>
            </w:r>
          </w:p>
        </w:tc>
      </w:tr>
      <w:tr w:rsidR="00193E45" w:rsidRPr="00F4368B" w14:paraId="3DB00218" w14:textId="77777777" w:rsidTr="00C3416B">
        <w:trPr>
          <w:trHeight w:val="384"/>
        </w:trPr>
        <w:tc>
          <w:tcPr>
            <w:tcW w:w="524" w:type="dxa"/>
          </w:tcPr>
          <w:p w14:paraId="5B2E8150" w14:textId="77777777" w:rsidR="00193E45" w:rsidRPr="00F4368B" w:rsidRDefault="00193E45" w:rsidP="00F4368B">
            <w:r w:rsidRPr="00F4368B">
              <w:t> 4.</w:t>
            </w:r>
          </w:p>
        </w:tc>
        <w:tc>
          <w:tcPr>
            <w:tcW w:w="2575" w:type="dxa"/>
          </w:tcPr>
          <w:p w14:paraId="2223C057" w14:textId="77777777" w:rsidR="00193E45" w:rsidRPr="00F4368B" w:rsidRDefault="00193E45" w:rsidP="00F4368B">
            <w:r w:rsidRPr="00F4368B">
              <w:t>Cita informācija</w:t>
            </w:r>
          </w:p>
        </w:tc>
        <w:tc>
          <w:tcPr>
            <w:tcW w:w="5962" w:type="dxa"/>
          </w:tcPr>
          <w:p w14:paraId="5096A11F" w14:textId="77777777" w:rsidR="00193E45" w:rsidRPr="00F4368B" w:rsidRDefault="005A6F3D" w:rsidP="00F4368B">
            <w:pPr>
              <w:pStyle w:val="naiskr"/>
              <w:spacing w:before="0" w:after="0"/>
              <w:jc w:val="both"/>
            </w:pPr>
            <w:r w:rsidRPr="00F4368B">
              <w:t xml:space="preserve"> </w:t>
            </w:r>
            <w:r w:rsidR="00193E45" w:rsidRPr="00F4368B">
              <w:t>Nav</w:t>
            </w:r>
          </w:p>
        </w:tc>
      </w:tr>
    </w:tbl>
    <w:p w14:paraId="244D38C6" w14:textId="77777777" w:rsidR="00193E45" w:rsidRPr="00F4368B"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F4368B" w14:paraId="10D88855"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4187C68B" w14:textId="77777777" w:rsidR="00193E45" w:rsidRPr="00F4368B" w:rsidRDefault="00193E45" w:rsidP="00F4368B">
            <w:pPr>
              <w:jc w:val="center"/>
              <w:rPr>
                <w:b/>
              </w:rPr>
            </w:pPr>
            <w:r w:rsidRPr="00F4368B">
              <w:rPr>
                <w:b/>
              </w:rPr>
              <w:t>II. Tiesību akta projekta ietekme uz sabiedrību tautsaimniecības attīstību un administratīvo slogu</w:t>
            </w:r>
          </w:p>
        </w:tc>
      </w:tr>
      <w:tr w:rsidR="00193E45" w:rsidRPr="00F4368B" w14:paraId="6411EB63" w14:textId="77777777" w:rsidTr="00C57A4A">
        <w:trPr>
          <w:trHeight w:val="467"/>
        </w:trPr>
        <w:tc>
          <w:tcPr>
            <w:tcW w:w="523" w:type="dxa"/>
            <w:tcBorders>
              <w:top w:val="single" w:sz="4" w:space="0" w:color="auto"/>
              <w:left w:val="single" w:sz="4" w:space="0" w:color="auto"/>
              <w:bottom w:val="single" w:sz="4" w:space="0" w:color="auto"/>
              <w:right w:val="single" w:sz="4" w:space="0" w:color="auto"/>
            </w:tcBorders>
            <w:hideMark/>
          </w:tcPr>
          <w:p w14:paraId="5DF2E371" w14:textId="77777777" w:rsidR="00193E45" w:rsidRPr="00F4368B" w:rsidRDefault="00193E45" w:rsidP="00F4368B">
            <w:r w:rsidRPr="00F4368B">
              <w:t> 1.</w:t>
            </w:r>
          </w:p>
        </w:tc>
        <w:tc>
          <w:tcPr>
            <w:tcW w:w="2576" w:type="dxa"/>
            <w:tcBorders>
              <w:top w:val="single" w:sz="4" w:space="0" w:color="auto"/>
              <w:left w:val="single" w:sz="4" w:space="0" w:color="auto"/>
              <w:bottom w:val="single" w:sz="4" w:space="0" w:color="auto"/>
              <w:right w:val="single" w:sz="4" w:space="0" w:color="auto"/>
            </w:tcBorders>
            <w:hideMark/>
          </w:tcPr>
          <w:p w14:paraId="4A0C5997" w14:textId="77777777" w:rsidR="00193E45" w:rsidRPr="00F4368B" w:rsidRDefault="00193E45" w:rsidP="00F4368B">
            <w:r w:rsidRPr="00F4368B">
              <w:t xml:space="preserve">Sabiedrības </w:t>
            </w:r>
            <w:proofErr w:type="spellStart"/>
            <w:r w:rsidRPr="00F4368B">
              <w:t>mērķgrupas</w:t>
            </w:r>
            <w:proofErr w:type="spellEnd"/>
            <w:r w:rsidRPr="00F4368B">
              <w:t>,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hideMark/>
          </w:tcPr>
          <w:p w14:paraId="56D5D324" w14:textId="77777777" w:rsidR="00193E45" w:rsidRPr="00C57A4A" w:rsidRDefault="00B41862" w:rsidP="00B41862">
            <w:pPr>
              <w:ind w:left="57" w:right="57"/>
              <w:jc w:val="both"/>
              <w:rPr>
                <w:iCs/>
              </w:rPr>
            </w:pPr>
            <w:r>
              <w:rPr>
                <w:iCs/>
              </w:rPr>
              <w:t>Gāzes balonu tirgus dalībnieki, tehniskās pārbaudes veicēji un GOST balonu lietotāji.</w:t>
            </w:r>
          </w:p>
        </w:tc>
      </w:tr>
      <w:tr w:rsidR="00193E45" w:rsidRPr="008103A3" w14:paraId="4C633778" w14:textId="77777777" w:rsidTr="00C57A4A">
        <w:trPr>
          <w:trHeight w:val="523"/>
        </w:trPr>
        <w:tc>
          <w:tcPr>
            <w:tcW w:w="523" w:type="dxa"/>
            <w:tcBorders>
              <w:top w:val="single" w:sz="4" w:space="0" w:color="auto"/>
              <w:left w:val="single" w:sz="4" w:space="0" w:color="auto"/>
              <w:bottom w:val="single" w:sz="4" w:space="0" w:color="auto"/>
              <w:right w:val="single" w:sz="4" w:space="0" w:color="auto"/>
            </w:tcBorders>
            <w:hideMark/>
          </w:tcPr>
          <w:p w14:paraId="1E80109B" w14:textId="77777777" w:rsidR="00193E45" w:rsidRPr="005E3878" w:rsidRDefault="00193E45" w:rsidP="00F4368B">
            <w:r w:rsidRPr="005E3878">
              <w:t> 2.</w:t>
            </w:r>
          </w:p>
        </w:tc>
        <w:tc>
          <w:tcPr>
            <w:tcW w:w="2576" w:type="dxa"/>
            <w:tcBorders>
              <w:top w:val="single" w:sz="4" w:space="0" w:color="auto"/>
              <w:left w:val="single" w:sz="4" w:space="0" w:color="auto"/>
              <w:bottom w:val="single" w:sz="4" w:space="0" w:color="auto"/>
              <w:right w:val="single" w:sz="4" w:space="0" w:color="auto"/>
            </w:tcBorders>
            <w:hideMark/>
          </w:tcPr>
          <w:p w14:paraId="3209C368" w14:textId="77777777" w:rsidR="00193E45" w:rsidRPr="005E3878" w:rsidRDefault="00193E45" w:rsidP="00F4368B">
            <w:r w:rsidRPr="005E3878">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hideMark/>
          </w:tcPr>
          <w:p w14:paraId="3B9A2FFE" w14:textId="77777777" w:rsidR="004378D7" w:rsidRPr="005E3878" w:rsidRDefault="00FD37C2" w:rsidP="00FD37C2">
            <w:pPr>
              <w:ind w:left="57" w:right="57"/>
              <w:jc w:val="both"/>
              <w:rPr>
                <w:iCs/>
              </w:rPr>
            </w:pPr>
            <w:r w:rsidRPr="005E3878">
              <w:rPr>
                <w:iCs/>
              </w:rPr>
              <w:t>Ar noteikumu projektu tiek</w:t>
            </w:r>
            <w:r w:rsidR="00A72DBB" w:rsidRPr="005E3878">
              <w:rPr>
                <w:iCs/>
              </w:rPr>
              <w:t xml:space="preserve"> atcelts </w:t>
            </w:r>
            <w:r w:rsidR="00B30A5D" w:rsidRPr="005E3878">
              <w:rPr>
                <w:iCs/>
              </w:rPr>
              <w:t xml:space="preserve">GOST balonu </w:t>
            </w:r>
            <w:r w:rsidRPr="005E3878">
              <w:rPr>
                <w:iCs/>
              </w:rPr>
              <w:t>izņemšanas no tirgus termiņš</w:t>
            </w:r>
            <w:r w:rsidR="00A72DBB" w:rsidRPr="005E3878">
              <w:rPr>
                <w:iCs/>
              </w:rPr>
              <w:t xml:space="preserve"> tādējādi mazinot finansiālo slogu visām sabiedrības </w:t>
            </w:r>
            <w:proofErr w:type="spellStart"/>
            <w:r w:rsidR="00A72DBB" w:rsidRPr="005E3878">
              <w:rPr>
                <w:iCs/>
              </w:rPr>
              <w:t>mērķgrupām</w:t>
            </w:r>
            <w:proofErr w:type="spellEnd"/>
            <w:r w:rsidR="00A72DBB" w:rsidRPr="005E3878">
              <w:rPr>
                <w:iCs/>
              </w:rPr>
              <w:t>.</w:t>
            </w:r>
          </w:p>
          <w:p w14:paraId="252FFA7E" w14:textId="77777777" w:rsidR="00A72DBB" w:rsidRPr="005E3878" w:rsidRDefault="00A72DBB" w:rsidP="00345DB3">
            <w:pPr>
              <w:ind w:left="57" w:right="57"/>
              <w:jc w:val="both"/>
              <w:rPr>
                <w:iCs/>
              </w:rPr>
            </w:pPr>
            <w:r w:rsidRPr="005E3878">
              <w:rPr>
                <w:iCs/>
              </w:rPr>
              <w:t>Savukārt l</w:t>
            </w:r>
            <w:r w:rsidR="0050205F" w:rsidRPr="005E3878">
              <w:rPr>
                <w:iCs/>
              </w:rPr>
              <w:t xml:space="preserve">ai </w:t>
            </w:r>
            <w:r w:rsidRPr="005E3878">
              <w:rPr>
                <w:iCs/>
              </w:rPr>
              <w:t>risinātu problēmu, kas saistīta ar GOST balonu neatbilstošajiem ventiļiem</w:t>
            </w:r>
            <w:r w:rsidR="00B30A5D" w:rsidRPr="005E3878">
              <w:rPr>
                <w:iCs/>
              </w:rPr>
              <w:t>, ar proj</w:t>
            </w:r>
            <w:r w:rsidR="0050205F" w:rsidRPr="005E3878">
              <w:rPr>
                <w:iCs/>
              </w:rPr>
              <w:t>e</w:t>
            </w:r>
            <w:r w:rsidR="00345DB3" w:rsidRPr="005E3878">
              <w:rPr>
                <w:iCs/>
              </w:rPr>
              <w:t>k</w:t>
            </w:r>
            <w:r w:rsidRPr="005E3878">
              <w:rPr>
                <w:iCs/>
              </w:rPr>
              <w:t>tu tiek noteikts, ka GOST baloni</w:t>
            </w:r>
            <w:r w:rsidR="0050205F" w:rsidRPr="005E3878">
              <w:rPr>
                <w:iCs/>
              </w:rPr>
              <w:t xml:space="preserve"> </w:t>
            </w:r>
            <w:r w:rsidRPr="005E3878">
              <w:rPr>
                <w:iCs/>
              </w:rPr>
              <w:t>pēc</w:t>
            </w:r>
            <w:r w:rsidR="0050205F" w:rsidRPr="005E3878">
              <w:rPr>
                <w:iCs/>
              </w:rPr>
              <w:t xml:space="preserve"> tehniskās pārbaudes tiek aprīkoti </w:t>
            </w:r>
            <w:r w:rsidRPr="005E3878">
              <w:rPr>
                <w:iCs/>
              </w:rPr>
              <w:t xml:space="preserve">ar ventili, kas atbilst Eiropas Savienības prasībām un attiecīgi ir marķēts ar “Pī” zīmi. Ņemot vērā, ka jau šobrīd GOST baloni vairumā gadījumu tiek aprīkoti ar Eiropas Savienības </w:t>
            </w:r>
            <w:r w:rsidRPr="005E3878">
              <w:rPr>
                <w:iCs/>
              </w:rPr>
              <w:lastRenderedPageBreak/>
              <w:t>prasībām atbilstošiem ventiļiem, GOST balonu skaits, kam būs jāveic ventiļa nomaiņa paredzams neliels.</w:t>
            </w:r>
          </w:p>
          <w:p w14:paraId="3CA977BC" w14:textId="77777777" w:rsidR="00FD37C2" w:rsidRPr="005E3878" w:rsidRDefault="00A72DBB" w:rsidP="00345DB3">
            <w:pPr>
              <w:ind w:left="57" w:right="57"/>
              <w:jc w:val="both"/>
              <w:rPr>
                <w:iCs/>
              </w:rPr>
            </w:pPr>
            <w:r w:rsidRPr="005E3878">
              <w:rPr>
                <w:iCs/>
              </w:rPr>
              <w:t xml:space="preserve">Vienlaikus </w:t>
            </w:r>
            <w:r w:rsidR="005E3878" w:rsidRPr="005E3878">
              <w:rPr>
                <w:iCs/>
              </w:rPr>
              <w:t>lai nodrošinātu atbilstošu drošuma līmeni GOST balonu lietotājiem, ar projektu tiek paredzēta tādu GOST balonu izņemšana</w:t>
            </w:r>
            <w:r w:rsidR="00115876">
              <w:rPr>
                <w:iCs/>
              </w:rPr>
              <w:t xml:space="preserve"> no tirgus,</w:t>
            </w:r>
            <w:r w:rsidR="005E3878" w:rsidRPr="005E3878">
              <w:rPr>
                <w:iCs/>
              </w:rPr>
              <w:t xml:space="preserve"> kuri ir sasnieguši ievērojamu vecumu, proti, 40</w:t>
            </w:r>
            <w:r w:rsidR="005E3878" w:rsidRPr="005E3878">
              <w:t xml:space="preserve"> </w:t>
            </w:r>
            <w:r w:rsidR="005E3878" w:rsidRPr="005E3878">
              <w:rPr>
                <w:iCs/>
              </w:rPr>
              <w:t>gadu slieksni kopš to ražošanas brīža. Minētā kārtība</w:t>
            </w:r>
            <w:r w:rsidR="00115876">
              <w:rPr>
                <w:iCs/>
              </w:rPr>
              <w:t xml:space="preserve"> neietekmē sabiedrības </w:t>
            </w:r>
            <w:proofErr w:type="spellStart"/>
            <w:r w:rsidR="00115876">
              <w:rPr>
                <w:iCs/>
              </w:rPr>
              <w:t>mērķgrupu</w:t>
            </w:r>
            <w:proofErr w:type="spellEnd"/>
            <w:r w:rsidR="00115876">
              <w:rPr>
                <w:iCs/>
              </w:rPr>
              <w:t xml:space="preserve"> finansiālo slogu, jo tādā veidā tiek atļauts lietot jaunākos GOST balonus savukārt GOST balonu īpatsvars, kas vecāki par 40 gadiem, ir salīdzinoši mazs no kopējā GOST balonu skaita tirgū. </w:t>
            </w:r>
          </w:p>
        </w:tc>
      </w:tr>
      <w:tr w:rsidR="00193E45" w:rsidRPr="008103A3" w14:paraId="13650AAD"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1553DE13" w14:textId="77777777" w:rsidR="00193E45" w:rsidRPr="00115876" w:rsidRDefault="00193E45" w:rsidP="00F4368B">
            <w:r w:rsidRPr="00115876">
              <w:lastRenderedPageBreak/>
              <w:t> 3.</w:t>
            </w:r>
          </w:p>
        </w:tc>
        <w:tc>
          <w:tcPr>
            <w:tcW w:w="2576" w:type="dxa"/>
            <w:tcBorders>
              <w:top w:val="single" w:sz="4" w:space="0" w:color="auto"/>
              <w:left w:val="single" w:sz="4" w:space="0" w:color="auto"/>
              <w:bottom w:val="single" w:sz="4" w:space="0" w:color="auto"/>
              <w:right w:val="single" w:sz="4" w:space="0" w:color="auto"/>
            </w:tcBorders>
            <w:hideMark/>
          </w:tcPr>
          <w:p w14:paraId="4D7B2C75" w14:textId="77777777" w:rsidR="00193E45" w:rsidRPr="00115876" w:rsidRDefault="00193E45" w:rsidP="00F4368B">
            <w:r w:rsidRPr="00115876">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09656F21" w14:textId="4B526806" w:rsidR="00DB639D" w:rsidRPr="00115876" w:rsidRDefault="00115876" w:rsidP="00F4368B">
            <w:pPr>
              <w:jc w:val="both"/>
            </w:pPr>
            <w:r w:rsidRPr="00115876">
              <w:t>Projekta normas nerada izmaksas saistībā ar informācijas pieņemšanas, apstrādes vai uzglabāšanas pienākumiem.</w:t>
            </w:r>
          </w:p>
        </w:tc>
      </w:tr>
      <w:tr w:rsidR="00193E45" w:rsidRPr="00F4368B" w14:paraId="52C77797"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26573F7A" w14:textId="77777777" w:rsidR="00193E45" w:rsidRPr="00115876" w:rsidRDefault="00193E45" w:rsidP="00F4368B">
            <w:r w:rsidRPr="00115876">
              <w:t> 4.</w:t>
            </w:r>
          </w:p>
        </w:tc>
        <w:tc>
          <w:tcPr>
            <w:tcW w:w="2576" w:type="dxa"/>
            <w:tcBorders>
              <w:top w:val="single" w:sz="4" w:space="0" w:color="auto"/>
              <w:left w:val="single" w:sz="4" w:space="0" w:color="auto"/>
              <w:bottom w:val="single" w:sz="4" w:space="0" w:color="auto"/>
              <w:right w:val="single" w:sz="4" w:space="0" w:color="auto"/>
            </w:tcBorders>
            <w:hideMark/>
          </w:tcPr>
          <w:p w14:paraId="7C2B00BC" w14:textId="77777777" w:rsidR="00193E45" w:rsidRPr="00115876" w:rsidRDefault="00193E45" w:rsidP="00F4368B">
            <w:r w:rsidRPr="00115876">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18C82F33" w14:textId="77777777" w:rsidR="00193E45" w:rsidRPr="00115876" w:rsidRDefault="005A6F3D" w:rsidP="00F4368B">
            <w:pPr>
              <w:jc w:val="both"/>
            </w:pPr>
            <w:r w:rsidRPr="00115876">
              <w:t xml:space="preserve"> </w:t>
            </w:r>
            <w:r w:rsidR="00193E45" w:rsidRPr="00115876">
              <w:t>Nav</w:t>
            </w:r>
          </w:p>
        </w:tc>
      </w:tr>
    </w:tbl>
    <w:p w14:paraId="7158A936" w14:textId="540E3302" w:rsidR="00115876" w:rsidRDefault="00115876" w:rsidP="00F4368B"/>
    <w:tbl>
      <w:tblPr>
        <w:tblStyle w:val="TableGrid"/>
        <w:tblW w:w="9067" w:type="dxa"/>
        <w:tblLook w:val="04A0" w:firstRow="1" w:lastRow="0" w:firstColumn="1" w:lastColumn="0" w:noHBand="0" w:noVBand="1"/>
      </w:tblPr>
      <w:tblGrid>
        <w:gridCol w:w="9067"/>
      </w:tblGrid>
      <w:tr w:rsidR="00DE24B6" w:rsidRPr="00F4368B" w14:paraId="6906B350" w14:textId="77777777" w:rsidTr="00B07D1F">
        <w:trPr>
          <w:trHeight w:val="273"/>
        </w:trPr>
        <w:tc>
          <w:tcPr>
            <w:tcW w:w="9067" w:type="dxa"/>
          </w:tcPr>
          <w:p w14:paraId="127336B7" w14:textId="6D5D13C8" w:rsidR="00DE24B6" w:rsidRPr="00F4368B" w:rsidRDefault="00DE24B6" w:rsidP="00B07D1F">
            <w:pPr>
              <w:jc w:val="center"/>
              <w:rPr>
                <w:b/>
              </w:rPr>
            </w:pPr>
            <w:r w:rsidRPr="00DE24B6">
              <w:rPr>
                <w:b/>
              </w:rPr>
              <w:t>III. Tiesību akta projekta ietekme uz valsts budžetu un pašvaldību budžetiem</w:t>
            </w:r>
          </w:p>
        </w:tc>
      </w:tr>
      <w:tr w:rsidR="00DE24B6" w:rsidRPr="00F4368B" w14:paraId="67ADF75C" w14:textId="77777777" w:rsidTr="00B07D1F">
        <w:trPr>
          <w:trHeight w:val="273"/>
        </w:trPr>
        <w:tc>
          <w:tcPr>
            <w:tcW w:w="9067" w:type="dxa"/>
          </w:tcPr>
          <w:p w14:paraId="2E78B469" w14:textId="33BE7793" w:rsidR="00DE24B6" w:rsidRPr="00DE24B6" w:rsidRDefault="00DE24B6" w:rsidP="00B07D1F">
            <w:pPr>
              <w:jc w:val="center"/>
            </w:pPr>
            <w:r w:rsidRPr="00DE24B6">
              <w:t>Projekts šo jomu neskar</w:t>
            </w:r>
          </w:p>
        </w:tc>
      </w:tr>
    </w:tbl>
    <w:p w14:paraId="3FC7C17F" w14:textId="77777777" w:rsidR="00DE24B6" w:rsidRDefault="00DE24B6" w:rsidP="00F4368B"/>
    <w:tbl>
      <w:tblPr>
        <w:tblStyle w:val="TableGrid"/>
        <w:tblW w:w="9067" w:type="dxa"/>
        <w:tblLook w:val="04A0" w:firstRow="1" w:lastRow="0" w:firstColumn="1" w:lastColumn="0" w:noHBand="0" w:noVBand="1"/>
      </w:tblPr>
      <w:tblGrid>
        <w:gridCol w:w="9067"/>
      </w:tblGrid>
      <w:tr w:rsidR="00DE24B6" w:rsidRPr="00F4368B" w14:paraId="48E6AFED" w14:textId="77777777" w:rsidTr="00B07D1F">
        <w:trPr>
          <w:trHeight w:val="273"/>
        </w:trPr>
        <w:tc>
          <w:tcPr>
            <w:tcW w:w="9067" w:type="dxa"/>
          </w:tcPr>
          <w:p w14:paraId="42DA39C2" w14:textId="261C2A3B" w:rsidR="00DE24B6" w:rsidRPr="00F4368B" w:rsidRDefault="00DE24B6" w:rsidP="00B07D1F">
            <w:pPr>
              <w:jc w:val="center"/>
              <w:rPr>
                <w:b/>
              </w:rPr>
            </w:pPr>
            <w:r w:rsidRPr="00DE24B6">
              <w:rPr>
                <w:b/>
              </w:rPr>
              <w:t>IV. Tiesību akta projekta ietekme uz spēkā esošo tiesību normu sistēmu</w:t>
            </w:r>
          </w:p>
        </w:tc>
      </w:tr>
      <w:tr w:rsidR="00DE24B6" w:rsidRPr="00DE24B6" w14:paraId="4813AB27" w14:textId="77777777" w:rsidTr="00B07D1F">
        <w:trPr>
          <w:trHeight w:val="273"/>
        </w:trPr>
        <w:tc>
          <w:tcPr>
            <w:tcW w:w="9067" w:type="dxa"/>
          </w:tcPr>
          <w:p w14:paraId="54F7F8E1" w14:textId="77777777" w:rsidR="00DE24B6" w:rsidRPr="00DE24B6" w:rsidRDefault="00DE24B6" w:rsidP="00B07D1F">
            <w:pPr>
              <w:jc w:val="center"/>
            </w:pPr>
            <w:r w:rsidRPr="00DE24B6">
              <w:t>Projekts šo jomu neskar</w:t>
            </w:r>
          </w:p>
        </w:tc>
      </w:tr>
    </w:tbl>
    <w:p w14:paraId="7160654A" w14:textId="105DE43C" w:rsidR="00115876" w:rsidRDefault="00115876" w:rsidP="00F4368B"/>
    <w:tbl>
      <w:tblPr>
        <w:tblStyle w:val="TableGrid"/>
        <w:tblW w:w="9067" w:type="dxa"/>
        <w:tblLook w:val="04A0" w:firstRow="1" w:lastRow="0" w:firstColumn="1" w:lastColumn="0" w:noHBand="0" w:noVBand="1"/>
      </w:tblPr>
      <w:tblGrid>
        <w:gridCol w:w="9067"/>
      </w:tblGrid>
      <w:tr w:rsidR="00DE24B6" w:rsidRPr="00F4368B" w14:paraId="2D9F8558" w14:textId="77777777" w:rsidTr="00B07D1F">
        <w:trPr>
          <w:trHeight w:val="273"/>
        </w:trPr>
        <w:tc>
          <w:tcPr>
            <w:tcW w:w="9067" w:type="dxa"/>
          </w:tcPr>
          <w:p w14:paraId="459CDB8D" w14:textId="2417A47D" w:rsidR="00DE24B6" w:rsidRPr="00F4368B" w:rsidRDefault="00DE24B6" w:rsidP="00B07D1F">
            <w:pPr>
              <w:jc w:val="center"/>
              <w:rPr>
                <w:b/>
              </w:rPr>
            </w:pPr>
            <w:r w:rsidRPr="00DE24B6">
              <w:rPr>
                <w:b/>
              </w:rPr>
              <w:t>V. Tiesību akta projekta atbilstība Latvijas Republikas starptautiskajām saistībām</w:t>
            </w:r>
          </w:p>
        </w:tc>
      </w:tr>
      <w:tr w:rsidR="00DE24B6" w:rsidRPr="00DE24B6" w14:paraId="1FA1B454" w14:textId="77777777" w:rsidTr="00B07D1F">
        <w:trPr>
          <w:trHeight w:val="273"/>
        </w:trPr>
        <w:tc>
          <w:tcPr>
            <w:tcW w:w="9067" w:type="dxa"/>
          </w:tcPr>
          <w:p w14:paraId="5BCB41A1" w14:textId="77777777" w:rsidR="00DE24B6" w:rsidRPr="00DE24B6" w:rsidRDefault="00DE24B6" w:rsidP="00B07D1F">
            <w:pPr>
              <w:jc w:val="center"/>
            </w:pPr>
            <w:r w:rsidRPr="00DE24B6">
              <w:t>Projekts šo jomu neskar</w:t>
            </w:r>
          </w:p>
        </w:tc>
      </w:tr>
    </w:tbl>
    <w:p w14:paraId="7D098E30" w14:textId="5D1478E4" w:rsidR="00DE24B6" w:rsidRDefault="00DE24B6" w:rsidP="00F4368B"/>
    <w:tbl>
      <w:tblPr>
        <w:tblStyle w:val="TableGrid"/>
        <w:tblW w:w="9067" w:type="dxa"/>
        <w:tblLook w:val="04A0" w:firstRow="1" w:lastRow="0" w:firstColumn="1" w:lastColumn="0" w:noHBand="0" w:noVBand="1"/>
      </w:tblPr>
      <w:tblGrid>
        <w:gridCol w:w="411"/>
        <w:gridCol w:w="2703"/>
        <w:gridCol w:w="5953"/>
      </w:tblGrid>
      <w:tr w:rsidR="002775AF" w:rsidRPr="00F4368B" w14:paraId="0F10960A" w14:textId="77777777" w:rsidTr="002775AF">
        <w:trPr>
          <w:trHeight w:val="273"/>
        </w:trPr>
        <w:tc>
          <w:tcPr>
            <w:tcW w:w="9067" w:type="dxa"/>
            <w:gridSpan w:val="3"/>
          </w:tcPr>
          <w:p w14:paraId="1A1ABEA6" w14:textId="77777777" w:rsidR="002775AF" w:rsidRPr="00F4368B" w:rsidRDefault="002775AF" w:rsidP="00CF5005">
            <w:pPr>
              <w:jc w:val="center"/>
              <w:rPr>
                <w:b/>
              </w:rPr>
            </w:pPr>
            <w:r w:rsidRPr="00F4368B">
              <w:rPr>
                <w:b/>
              </w:rPr>
              <w:t xml:space="preserve">VI. </w:t>
            </w:r>
            <w:r w:rsidRPr="00CF5005">
              <w:rPr>
                <w:b/>
              </w:rPr>
              <w:t>Sabiedrības līdzdalība un komunikācijas aktivitātes</w:t>
            </w:r>
          </w:p>
        </w:tc>
      </w:tr>
      <w:tr w:rsidR="002775AF" w:rsidRPr="008103A3" w14:paraId="2AA021D7" w14:textId="77777777" w:rsidTr="00B701D2">
        <w:trPr>
          <w:cantSplit/>
          <w:trHeight w:val="1265"/>
        </w:trPr>
        <w:tc>
          <w:tcPr>
            <w:tcW w:w="411" w:type="dxa"/>
          </w:tcPr>
          <w:p w14:paraId="0A58A5CC" w14:textId="77777777" w:rsidR="002775AF" w:rsidRPr="003216AD" w:rsidRDefault="002775AF" w:rsidP="00F4368B">
            <w:pPr>
              <w:pStyle w:val="NoSpacing"/>
              <w:jc w:val="both"/>
            </w:pPr>
            <w:r w:rsidRPr="003216AD">
              <w:t>1.</w:t>
            </w:r>
          </w:p>
        </w:tc>
        <w:tc>
          <w:tcPr>
            <w:tcW w:w="2703" w:type="dxa"/>
          </w:tcPr>
          <w:p w14:paraId="05DD4460" w14:textId="77777777" w:rsidR="00FD37C2" w:rsidRPr="003216AD" w:rsidRDefault="002775AF" w:rsidP="00F4368B">
            <w:pPr>
              <w:pStyle w:val="NoSpacing"/>
              <w:jc w:val="both"/>
            </w:pPr>
            <w:r w:rsidRPr="003216AD">
              <w:t>Plānotās sabiedrības līdzdalības un komunikācijas aktivitātes saistībā ar projektu</w:t>
            </w:r>
          </w:p>
          <w:p w14:paraId="1494D25F" w14:textId="77777777" w:rsidR="002775AF" w:rsidRPr="003216AD" w:rsidRDefault="002775AF" w:rsidP="00FD37C2">
            <w:pPr>
              <w:jc w:val="right"/>
            </w:pPr>
          </w:p>
        </w:tc>
        <w:tc>
          <w:tcPr>
            <w:tcW w:w="5953" w:type="dxa"/>
          </w:tcPr>
          <w:p w14:paraId="2C574288" w14:textId="77777777" w:rsidR="002775AF" w:rsidRPr="003216AD" w:rsidRDefault="00FD37C2" w:rsidP="00F4368B">
            <w:pPr>
              <w:pStyle w:val="NoSpacing"/>
              <w:jc w:val="both"/>
            </w:pPr>
            <w:r w:rsidRPr="003216AD">
              <w:t>Gāzes balonu tirgū iesaistīto komersantu asociācijas</w:t>
            </w:r>
            <w:r w:rsidR="000877F5">
              <w:t>, kuru biedrus šie noteikumi tiešā veidā skars,</w:t>
            </w:r>
            <w:r w:rsidRPr="003216AD">
              <w:t xml:space="preserve"> ir informētas par noteikumu projekta izstrādi un ir piedalījušās tā izstrādes gaitā</w:t>
            </w:r>
            <w:r w:rsidR="00771E72" w:rsidRPr="003216AD">
              <w:t>, proti, asociāciju pārstāvji piedalījās rīkotājās sanāksmēs un diskusijās par noteikumu projektu un izteica savu viedokli</w:t>
            </w:r>
          </w:p>
        </w:tc>
      </w:tr>
      <w:tr w:rsidR="002775AF" w:rsidRPr="008103A3" w14:paraId="5D323BA3" w14:textId="77777777" w:rsidTr="004106EE">
        <w:trPr>
          <w:cantSplit/>
          <w:trHeight w:val="946"/>
        </w:trPr>
        <w:tc>
          <w:tcPr>
            <w:tcW w:w="411" w:type="dxa"/>
          </w:tcPr>
          <w:p w14:paraId="5C3F050D" w14:textId="77777777" w:rsidR="002775AF" w:rsidRPr="003216AD" w:rsidRDefault="002775AF" w:rsidP="00F4368B">
            <w:pPr>
              <w:pStyle w:val="NoSpacing"/>
              <w:jc w:val="both"/>
            </w:pPr>
            <w:r w:rsidRPr="003216AD">
              <w:t>2.</w:t>
            </w:r>
          </w:p>
        </w:tc>
        <w:tc>
          <w:tcPr>
            <w:tcW w:w="2703" w:type="dxa"/>
          </w:tcPr>
          <w:p w14:paraId="78B1BCA7" w14:textId="77777777" w:rsidR="002775AF" w:rsidRPr="003216AD" w:rsidRDefault="002775AF" w:rsidP="00F4368B">
            <w:pPr>
              <w:pStyle w:val="NoSpacing"/>
              <w:jc w:val="both"/>
            </w:pPr>
            <w:r w:rsidRPr="003216AD">
              <w:t>Sabiedrības līdzdalība projekta izstrādē</w:t>
            </w:r>
          </w:p>
        </w:tc>
        <w:tc>
          <w:tcPr>
            <w:tcW w:w="5953" w:type="dxa"/>
          </w:tcPr>
          <w:p w14:paraId="559F5950" w14:textId="77777777" w:rsidR="002775AF" w:rsidRPr="003216AD" w:rsidRDefault="003C4679" w:rsidP="004106EE">
            <w:pPr>
              <w:pStyle w:val="NoSpacing"/>
              <w:jc w:val="both"/>
            </w:pPr>
            <w:r w:rsidRPr="003216AD">
              <w:t>Noteikumu projekta izstrādē tika iesaistīta Sašķidrinātās naftas gāzes asociācija, Latvijas gāzes asociācija, Latvijas Degvielas tirgotāju asociācija</w:t>
            </w:r>
            <w:r w:rsidR="00771E72" w:rsidRPr="003216AD">
              <w:t xml:space="preserve">. Notika 2 sanāksmes – </w:t>
            </w:r>
            <w:r w:rsidR="00115876" w:rsidRPr="003216AD">
              <w:t>2017.gada 3</w:t>
            </w:r>
            <w:r w:rsidR="00771E72" w:rsidRPr="003216AD">
              <w:t xml:space="preserve">.augustā un </w:t>
            </w:r>
            <w:r w:rsidR="00115876" w:rsidRPr="003216AD">
              <w:t>5</w:t>
            </w:r>
            <w:r w:rsidR="00771E72" w:rsidRPr="003216AD">
              <w:t xml:space="preserve">.septembrī, kurās piedalījās minēto asociāciju pārstāvji un  pauda </w:t>
            </w:r>
            <w:r w:rsidR="000877F5">
              <w:t xml:space="preserve">konceptuālu </w:t>
            </w:r>
            <w:r w:rsidR="00771E72" w:rsidRPr="003216AD">
              <w:t>atbalstu noteikumu projektam</w:t>
            </w:r>
          </w:p>
        </w:tc>
      </w:tr>
      <w:tr w:rsidR="002775AF" w:rsidRPr="008103A3" w14:paraId="6E47A2A5" w14:textId="77777777" w:rsidTr="00B701D2">
        <w:trPr>
          <w:cantSplit/>
          <w:trHeight w:val="453"/>
        </w:trPr>
        <w:tc>
          <w:tcPr>
            <w:tcW w:w="411" w:type="dxa"/>
          </w:tcPr>
          <w:p w14:paraId="6B26B36E" w14:textId="77777777" w:rsidR="002775AF" w:rsidRPr="003216AD" w:rsidRDefault="002775AF" w:rsidP="00F4368B">
            <w:pPr>
              <w:pStyle w:val="NoSpacing"/>
              <w:jc w:val="both"/>
            </w:pPr>
            <w:r w:rsidRPr="003216AD">
              <w:t>3.</w:t>
            </w:r>
          </w:p>
        </w:tc>
        <w:tc>
          <w:tcPr>
            <w:tcW w:w="2703" w:type="dxa"/>
          </w:tcPr>
          <w:p w14:paraId="46BE6D49" w14:textId="77777777" w:rsidR="002775AF" w:rsidRPr="003216AD" w:rsidRDefault="002775AF" w:rsidP="00F4368B">
            <w:pPr>
              <w:pStyle w:val="NoSpacing"/>
              <w:jc w:val="both"/>
            </w:pPr>
            <w:r w:rsidRPr="003216AD">
              <w:t>Sabiedrības līdzdalības rezultāti</w:t>
            </w:r>
          </w:p>
        </w:tc>
        <w:tc>
          <w:tcPr>
            <w:tcW w:w="5953" w:type="dxa"/>
          </w:tcPr>
          <w:p w14:paraId="127359C5" w14:textId="77777777" w:rsidR="008543FB" w:rsidRPr="003216AD" w:rsidRDefault="00771E72" w:rsidP="00771E72">
            <w:pPr>
              <w:pStyle w:val="NoSpacing"/>
              <w:jc w:val="both"/>
            </w:pPr>
            <w:r w:rsidRPr="003216AD">
              <w:t xml:space="preserve">Noteikumu projekta izstrādē iesaistītās personas atbalsta noteikumu projektu. </w:t>
            </w:r>
          </w:p>
        </w:tc>
      </w:tr>
      <w:tr w:rsidR="002775AF" w:rsidRPr="00F4368B" w14:paraId="4ED3770B" w14:textId="77777777" w:rsidTr="00B701D2">
        <w:trPr>
          <w:cantSplit/>
          <w:trHeight w:val="453"/>
        </w:trPr>
        <w:tc>
          <w:tcPr>
            <w:tcW w:w="411" w:type="dxa"/>
          </w:tcPr>
          <w:p w14:paraId="4D378A1A" w14:textId="77777777" w:rsidR="002775AF" w:rsidRPr="003216AD" w:rsidRDefault="002775AF" w:rsidP="00F4368B">
            <w:pPr>
              <w:pStyle w:val="NoSpacing"/>
              <w:jc w:val="both"/>
            </w:pPr>
            <w:r w:rsidRPr="003216AD">
              <w:t>4.</w:t>
            </w:r>
          </w:p>
        </w:tc>
        <w:tc>
          <w:tcPr>
            <w:tcW w:w="2703" w:type="dxa"/>
          </w:tcPr>
          <w:p w14:paraId="66B9F284" w14:textId="77777777" w:rsidR="002775AF" w:rsidRPr="003216AD" w:rsidRDefault="002775AF" w:rsidP="00F4368B">
            <w:pPr>
              <w:pStyle w:val="NoSpacing"/>
              <w:jc w:val="both"/>
            </w:pPr>
            <w:r w:rsidRPr="003216AD">
              <w:t>Cita informācija</w:t>
            </w:r>
          </w:p>
        </w:tc>
        <w:tc>
          <w:tcPr>
            <w:tcW w:w="5953" w:type="dxa"/>
          </w:tcPr>
          <w:p w14:paraId="0699A173" w14:textId="77777777" w:rsidR="002775AF" w:rsidRPr="003216AD" w:rsidRDefault="0096417A" w:rsidP="00F4368B">
            <w:pPr>
              <w:pStyle w:val="NoSpacing"/>
              <w:jc w:val="both"/>
            </w:pPr>
            <w:r w:rsidRPr="003216AD">
              <w:t>Nav</w:t>
            </w:r>
          </w:p>
        </w:tc>
      </w:tr>
    </w:tbl>
    <w:p w14:paraId="218AB8AA" w14:textId="77777777" w:rsidR="00193E45" w:rsidRPr="00F4368B" w:rsidRDefault="00193E45" w:rsidP="00F4368B">
      <w:pPr>
        <w:rPr>
          <w:color w:val="FF0000"/>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2872"/>
        <w:gridCol w:w="5686"/>
      </w:tblGrid>
      <w:tr w:rsidR="00193E45" w:rsidRPr="00F4368B" w14:paraId="2D613E12" w14:textId="77777777" w:rsidTr="00FD76CC">
        <w:trPr>
          <w:trHeight w:val="65"/>
        </w:trPr>
        <w:tc>
          <w:tcPr>
            <w:tcW w:w="9065" w:type="dxa"/>
            <w:gridSpan w:val="3"/>
          </w:tcPr>
          <w:p w14:paraId="61DB192A" w14:textId="77777777" w:rsidR="00193E45" w:rsidRPr="00F4368B" w:rsidRDefault="00193E45" w:rsidP="00F4368B">
            <w:pPr>
              <w:jc w:val="center"/>
            </w:pPr>
            <w:r w:rsidRPr="00F4368B">
              <w:rPr>
                <w:b/>
              </w:rPr>
              <w:t>VII. Tiesību akta projekta izpildes nodrošināšana un tās ietekme uz institūcijām</w:t>
            </w:r>
          </w:p>
        </w:tc>
      </w:tr>
      <w:tr w:rsidR="00193E45" w:rsidRPr="00F4368B" w14:paraId="520162AA" w14:textId="77777777" w:rsidTr="002775AF">
        <w:trPr>
          <w:trHeight w:val="427"/>
        </w:trPr>
        <w:tc>
          <w:tcPr>
            <w:tcW w:w="507" w:type="dxa"/>
          </w:tcPr>
          <w:p w14:paraId="0696FBE7" w14:textId="77777777" w:rsidR="00193E45" w:rsidRPr="00F4368B" w:rsidRDefault="00193E45" w:rsidP="00F4368B">
            <w:r w:rsidRPr="00F4368B">
              <w:t> 1.</w:t>
            </w:r>
          </w:p>
        </w:tc>
        <w:tc>
          <w:tcPr>
            <w:tcW w:w="2872" w:type="dxa"/>
          </w:tcPr>
          <w:p w14:paraId="694A8BB5" w14:textId="77777777" w:rsidR="00193E45" w:rsidRPr="004A0946" w:rsidRDefault="00193E45" w:rsidP="00F4368B">
            <w:r w:rsidRPr="004A0946">
              <w:t>Projekta izpildē iesaistītās institūcijas</w:t>
            </w:r>
          </w:p>
        </w:tc>
        <w:tc>
          <w:tcPr>
            <w:tcW w:w="5686" w:type="dxa"/>
          </w:tcPr>
          <w:p w14:paraId="6BDE80D5" w14:textId="77777777" w:rsidR="00193E45" w:rsidRPr="004A0946" w:rsidRDefault="0012781B" w:rsidP="004106EE">
            <w:pPr>
              <w:pStyle w:val="naisnod"/>
              <w:spacing w:before="0" w:after="0"/>
              <w:jc w:val="both"/>
              <w:rPr>
                <w:b w:val="0"/>
              </w:rPr>
            </w:pPr>
            <w:r>
              <w:rPr>
                <w:b w:val="0"/>
                <w:iCs/>
              </w:rPr>
              <w:t xml:space="preserve">PTAC </w:t>
            </w:r>
            <w:r w:rsidR="003C4679" w:rsidRPr="003C4679">
              <w:rPr>
                <w:b w:val="0"/>
                <w:iCs/>
              </w:rPr>
              <w:t>un citas valsts uzraudzības un kontroles institūcijas atbilstoši kompetencei.</w:t>
            </w:r>
          </w:p>
        </w:tc>
      </w:tr>
      <w:tr w:rsidR="00193E45" w:rsidRPr="00F4368B" w14:paraId="4621F96F" w14:textId="77777777" w:rsidTr="002775AF">
        <w:trPr>
          <w:trHeight w:val="463"/>
        </w:trPr>
        <w:tc>
          <w:tcPr>
            <w:tcW w:w="507" w:type="dxa"/>
          </w:tcPr>
          <w:p w14:paraId="1A32F431" w14:textId="77777777" w:rsidR="00193E45" w:rsidRPr="00F4368B" w:rsidRDefault="00193E45" w:rsidP="00F4368B">
            <w:r w:rsidRPr="00F4368B">
              <w:t> 2.</w:t>
            </w:r>
          </w:p>
        </w:tc>
        <w:tc>
          <w:tcPr>
            <w:tcW w:w="2872" w:type="dxa"/>
          </w:tcPr>
          <w:p w14:paraId="2FCECCE0" w14:textId="77777777" w:rsidR="00193E45" w:rsidRPr="00F4368B" w:rsidRDefault="00193E45" w:rsidP="00F4368B">
            <w:r w:rsidRPr="00F4368B">
              <w:t> Projekta izpildes ietekme uz pārvaldes funkcijām un institucionālo struktūru. Jaunu institūciju izveide, esošu institūciju likvidācija vai reorganizācija, to ietekme uz institūcijas cilvēkresursiem</w:t>
            </w:r>
          </w:p>
        </w:tc>
        <w:tc>
          <w:tcPr>
            <w:tcW w:w="5686" w:type="dxa"/>
          </w:tcPr>
          <w:p w14:paraId="2B967562" w14:textId="77777777" w:rsidR="00193E45" w:rsidRPr="00F4368B" w:rsidRDefault="002775AF" w:rsidP="00F4368B">
            <w:pPr>
              <w:pStyle w:val="naisnod"/>
              <w:spacing w:before="0" w:after="0"/>
              <w:jc w:val="both"/>
              <w:rPr>
                <w:b w:val="0"/>
              </w:rPr>
            </w:pPr>
            <w:r w:rsidRPr="00F4368B">
              <w:rPr>
                <w:b w:val="0"/>
              </w:rPr>
              <w:t>Projekts šo jomu neskar</w:t>
            </w:r>
          </w:p>
        </w:tc>
      </w:tr>
      <w:tr w:rsidR="00193E45" w:rsidRPr="00F4368B" w14:paraId="52535330" w14:textId="77777777" w:rsidTr="002775AF">
        <w:trPr>
          <w:trHeight w:val="476"/>
        </w:trPr>
        <w:tc>
          <w:tcPr>
            <w:tcW w:w="507" w:type="dxa"/>
          </w:tcPr>
          <w:p w14:paraId="206AE015" w14:textId="77777777" w:rsidR="00193E45" w:rsidRPr="00F4368B" w:rsidRDefault="00193E45" w:rsidP="00F4368B">
            <w:r w:rsidRPr="00F4368B">
              <w:lastRenderedPageBreak/>
              <w:t> 3.</w:t>
            </w:r>
          </w:p>
        </w:tc>
        <w:tc>
          <w:tcPr>
            <w:tcW w:w="2872" w:type="dxa"/>
          </w:tcPr>
          <w:p w14:paraId="3F23476B" w14:textId="77777777" w:rsidR="00193E45" w:rsidRPr="00F4368B" w:rsidRDefault="00193E45" w:rsidP="00F4368B">
            <w:r w:rsidRPr="00F4368B">
              <w:t> Cita informācija</w:t>
            </w:r>
          </w:p>
        </w:tc>
        <w:tc>
          <w:tcPr>
            <w:tcW w:w="5686" w:type="dxa"/>
          </w:tcPr>
          <w:p w14:paraId="477799C7" w14:textId="77777777" w:rsidR="00193E45" w:rsidRPr="00F4368B" w:rsidRDefault="00193E45" w:rsidP="00F4368B">
            <w:pPr>
              <w:jc w:val="both"/>
            </w:pPr>
            <w:r w:rsidRPr="00F4368B">
              <w:t>Nav</w:t>
            </w:r>
          </w:p>
        </w:tc>
      </w:tr>
    </w:tbl>
    <w:p w14:paraId="61AB47DB" w14:textId="2C757AA0" w:rsidR="00193E45" w:rsidRPr="00F4368B" w:rsidRDefault="00193E45" w:rsidP="00DE24B6">
      <w:pPr>
        <w:pStyle w:val="naisf"/>
        <w:tabs>
          <w:tab w:val="left" w:pos="6710"/>
        </w:tabs>
        <w:spacing w:before="0" w:after="0"/>
        <w:ind w:firstLine="0"/>
        <w:rPr>
          <w:i/>
        </w:rPr>
      </w:pPr>
    </w:p>
    <w:p w14:paraId="02F07A39" w14:textId="77777777" w:rsidR="00F4368B" w:rsidRDefault="00F4368B" w:rsidP="00F4368B">
      <w:pPr>
        <w:rPr>
          <w:sz w:val="28"/>
          <w:szCs w:val="28"/>
        </w:rPr>
      </w:pPr>
    </w:p>
    <w:p w14:paraId="5E8D9221" w14:textId="77777777" w:rsidR="00F4368B" w:rsidRDefault="00F4368B" w:rsidP="00F4368B">
      <w:pPr>
        <w:rPr>
          <w:sz w:val="28"/>
          <w:szCs w:val="28"/>
        </w:rPr>
      </w:pPr>
    </w:p>
    <w:p w14:paraId="782BE962" w14:textId="77777777" w:rsidR="00F4368B" w:rsidRDefault="00F4368B" w:rsidP="00F4368B">
      <w:pPr>
        <w:rPr>
          <w:sz w:val="28"/>
          <w:szCs w:val="28"/>
        </w:rPr>
      </w:pPr>
      <w:r>
        <w:rPr>
          <w:sz w:val="28"/>
          <w:szCs w:val="28"/>
        </w:rPr>
        <w:t>Ministru prezidenta biedrs,</w:t>
      </w:r>
    </w:p>
    <w:p w14:paraId="47A54CF0" w14:textId="77777777" w:rsidR="00F4368B" w:rsidRDefault="00F4368B" w:rsidP="00F4368B">
      <w:pPr>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A.Ašeradens</w:t>
      </w:r>
      <w:proofErr w:type="spellEnd"/>
      <w:r w:rsidRPr="00706CA2" w:rsidDel="0053758B">
        <w:rPr>
          <w:sz w:val="28"/>
          <w:szCs w:val="28"/>
        </w:rPr>
        <w:t xml:space="preserve"> </w:t>
      </w:r>
    </w:p>
    <w:p w14:paraId="2B85623D" w14:textId="77777777" w:rsidR="00F4368B" w:rsidRDefault="00F4368B" w:rsidP="00F4368B">
      <w:pPr>
        <w:rPr>
          <w:sz w:val="28"/>
          <w:szCs w:val="28"/>
        </w:rPr>
      </w:pPr>
    </w:p>
    <w:p w14:paraId="371689D7" w14:textId="77777777" w:rsidR="00CF5005" w:rsidRDefault="00CF5005" w:rsidP="00F4368B">
      <w:pPr>
        <w:rPr>
          <w:sz w:val="28"/>
          <w:szCs w:val="28"/>
        </w:rPr>
      </w:pPr>
    </w:p>
    <w:p w14:paraId="76B2C21D" w14:textId="77777777" w:rsidR="00BB41B8" w:rsidRDefault="00F4368B" w:rsidP="00F4368B">
      <w:pPr>
        <w:jc w:val="both"/>
        <w:rPr>
          <w:sz w:val="28"/>
        </w:rPr>
      </w:pPr>
      <w:r>
        <w:rPr>
          <w:sz w:val="28"/>
        </w:rPr>
        <w:t>Valsts sekretārs</w:t>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J</w:t>
      </w:r>
      <w:r w:rsidRPr="00713F98">
        <w:rPr>
          <w:sz w:val="28"/>
        </w:rPr>
        <w:t>.</w:t>
      </w:r>
      <w:r>
        <w:rPr>
          <w:sz w:val="28"/>
        </w:rPr>
        <w:t>Stinka</w:t>
      </w:r>
      <w:proofErr w:type="spellEnd"/>
    </w:p>
    <w:p w14:paraId="42CDB78A" w14:textId="77777777" w:rsidR="00F4368B" w:rsidRDefault="00F4368B" w:rsidP="00F4368B">
      <w:pPr>
        <w:jc w:val="both"/>
        <w:rPr>
          <w:sz w:val="28"/>
        </w:rPr>
      </w:pPr>
    </w:p>
    <w:p w14:paraId="6906FD46" w14:textId="77777777" w:rsidR="00F4368B" w:rsidRDefault="00F4368B" w:rsidP="00F4368B">
      <w:pPr>
        <w:jc w:val="both"/>
        <w:rPr>
          <w:sz w:val="28"/>
        </w:rPr>
      </w:pPr>
    </w:p>
    <w:p w14:paraId="516747B0" w14:textId="2CBC35F4" w:rsidR="00F4368B" w:rsidRPr="003C4679" w:rsidRDefault="00F4368B" w:rsidP="00F4368B">
      <w:pPr>
        <w:rPr>
          <w:sz w:val="20"/>
          <w:szCs w:val="20"/>
        </w:rPr>
      </w:pPr>
    </w:p>
    <w:p w14:paraId="0236030F" w14:textId="4C747398" w:rsidR="00F4368B" w:rsidRPr="003C4679" w:rsidRDefault="003C4679" w:rsidP="00F4368B">
      <w:pPr>
        <w:rPr>
          <w:sz w:val="20"/>
          <w:szCs w:val="20"/>
        </w:rPr>
      </w:pPr>
      <w:r w:rsidRPr="003C4679">
        <w:rPr>
          <w:sz w:val="20"/>
          <w:szCs w:val="20"/>
        </w:rPr>
        <w:t>Lipskis</w:t>
      </w:r>
      <w:r w:rsidR="00A84D83">
        <w:rPr>
          <w:sz w:val="20"/>
          <w:szCs w:val="20"/>
        </w:rPr>
        <w:t xml:space="preserve">, </w:t>
      </w:r>
      <w:r w:rsidR="00A84D83" w:rsidRPr="003C4679">
        <w:rPr>
          <w:sz w:val="20"/>
          <w:szCs w:val="20"/>
        </w:rPr>
        <w:t>67013292</w:t>
      </w:r>
    </w:p>
    <w:p w14:paraId="6D1FFAF0" w14:textId="70653778" w:rsidR="00F4368B" w:rsidRDefault="003C4679" w:rsidP="00F4368B">
      <w:r w:rsidRPr="003C4679">
        <w:rPr>
          <w:rFonts w:eastAsiaTheme="majorEastAsia"/>
          <w:sz w:val="20"/>
          <w:szCs w:val="20"/>
        </w:rPr>
        <w:t>Valdis.Lipskis</w:t>
      </w:r>
      <w:r w:rsidR="00F4368B" w:rsidRPr="003C4679">
        <w:rPr>
          <w:rFonts w:eastAsiaTheme="majorEastAsia"/>
          <w:sz w:val="20"/>
          <w:szCs w:val="20"/>
        </w:rPr>
        <w:t>@em.gov.lv</w:t>
      </w:r>
    </w:p>
    <w:sectPr w:rsidR="00F4368B"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0EB6" w14:textId="77777777" w:rsidR="00BF4457" w:rsidRDefault="00BF4457">
      <w:r>
        <w:separator/>
      </w:r>
    </w:p>
  </w:endnote>
  <w:endnote w:type="continuationSeparator" w:id="0">
    <w:p w14:paraId="530AE8B7" w14:textId="77777777" w:rsidR="00BF4457" w:rsidRDefault="00B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4DDA" w14:textId="3C54CAA7" w:rsidR="004D42A2" w:rsidRPr="00BB41B8" w:rsidRDefault="004D42A2" w:rsidP="00155690">
    <w:pPr>
      <w:tabs>
        <w:tab w:val="center" w:pos="4513"/>
        <w:tab w:val="right" w:pos="9026"/>
      </w:tabs>
      <w:jc w:val="both"/>
      <w:rPr>
        <w:bCs/>
        <w:sz w:val="20"/>
        <w:szCs w:val="20"/>
      </w:rPr>
    </w:pPr>
    <w:r w:rsidRPr="00FD37C2">
      <w:rPr>
        <w:sz w:val="20"/>
        <w:szCs w:val="20"/>
      </w:rPr>
      <w:t>EMAnot_</w:t>
    </w:r>
    <w:r w:rsidR="001064E7">
      <w:rPr>
        <w:sz w:val="20"/>
        <w:szCs w:val="20"/>
      </w:rPr>
      <w:t>31</w:t>
    </w:r>
    <w:r w:rsidR="0048570F">
      <w:rPr>
        <w:sz w:val="20"/>
        <w:szCs w:val="20"/>
      </w:rPr>
      <w:t>10</w:t>
    </w:r>
    <w:r w:rsidR="00DE24B6">
      <w:rPr>
        <w:sz w:val="20"/>
        <w:szCs w:val="20"/>
      </w:rPr>
      <w:t>17</w:t>
    </w:r>
    <w:r w:rsidRPr="00FD37C2">
      <w:rPr>
        <w:sz w:val="20"/>
        <w:szCs w:val="20"/>
      </w:rPr>
      <w:t>_MK500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1B5D" w14:textId="7A4905A6" w:rsidR="004D42A2" w:rsidRPr="00BB41B8" w:rsidRDefault="004D42A2" w:rsidP="00155690">
    <w:pPr>
      <w:tabs>
        <w:tab w:val="center" w:pos="4513"/>
        <w:tab w:val="right" w:pos="9026"/>
      </w:tabs>
      <w:jc w:val="both"/>
      <w:rPr>
        <w:bCs/>
        <w:sz w:val="20"/>
        <w:szCs w:val="20"/>
      </w:rPr>
    </w:pPr>
    <w:r w:rsidRPr="00FD37C2">
      <w:rPr>
        <w:sz w:val="20"/>
        <w:szCs w:val="20"/>
      </w:rPr>
      <w:t>EMAnot_</w:t>
    </w:r>
    <w:r w:rsidR="001064E7">
      <w:rPr>
        <w:sz w:val="20"/>
        <w:szCs w:val="20"/>
      </w:rPr>
      <w:t>31</w:t>
    </w:r>
    <w:r w:rsidR="0048570F">
      <w:rPr>
        <w:sz w:val="20"/>
        <w:szCs w:val="20"/>
      </w:rPr>
      <w:t>10</w:t>
    </w:r>
    <w:r w:rsidR="00DE24B6">
      <w:rPr>
        <w:sz w:val="20"/>
        <w:szCs w:val="20"/>
      </w:rPr>
      <w:t>17</w:t>
    </w:r>
    <w:r w:rsidRPr="00FD37C2">
      <w:rPr>
        <w:sz w:val="20"/>
        <w:szCs w:val="20"/>
      </w:rPr>
      <w:t>_MK500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3391" w14:textId="77777777" w:rsidR="00BF4457" w:rsidRDefault="00BF4457">
      <w:r>
        <w:separator/>
      </w:r>
    </w:p>
  </w:footnote>
  <w:footnote w:type="continuationSeparator" w:id="0">
    <w:p w14:paraId="335CADE4" w14:textId="77777777" w:rsidR="00BF4457" w:rsidRDefault="00BF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F178" w14:textId="77777777" w:rsidR="004D42A2" w:rsidRDefault="004D42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B96A60" w14:textId="77777777" w:rsidR="004D42A2" w:rsidRDefault="004D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A170" w14:textId="2E454B48" w:rsidR="004D42A2" w:rsidRDefault="004D42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AA4">
      <w:rPr>
        <w:rStyle w:val="PageNumber"/>
        <w:noProof/>
      </w:rPr>
      <w:t>5</w:t>
    </w:r>
    <w:r>
      <w:rPr>
        <w:rStyle w:val="PageNumber"/>
      </w:rPr>
      <w:fldChar w:fldCharType="end"/>
    </w:r>
  </w:p>
  <w:p w14:paraId="2EC91543" w14:textId="77777777" w:rsidR="004D42A2" w:rsidRDefault="004D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95E2F71"/>
    <w:multiLevelType w:val="hybridMultilevel"/>
    <w:tmpl w:val="167E2340"/>
    <w:lvl w:ilvl="0" w:tplc="818402B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4"/>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5"/>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01B"/>
    <w:rsid w:val="00021BDE"/>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7B8A"/>
    <w:rsid w:val="000704C8"/>
    <w:rsid w:val="0008123B"/>
    <w:rsid w:val="00087354"/>
    <w:rsid w:val="0008764A"/>
    <w:rsid w:val="000877F5"/>
    <w:rsid w:val="0009005E"/>
    <w:rsid w:val="000906BD"/>
    <w:rsid w:val="000941C5"/>
    <w:rsid w:val="00096A3E"/>
    <w:rsid w:val="000A237D"/>
    <w:rsid w:val="000A2CD9"/>
    <w:rsid w:val="000A3FA7"/>
    <w:rsid w:val="000A5505"/>
    <w:rsid w:val="000A6451"/>
    <w:rsid w:val="000B064E"/>
    <w:rsid w:val="000B0DBC"/>
    <w:rsid w:val="000B0E33"/>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064E7"/>
    <w:rsid w:val="0011244A"/>
    <w:rsid w:val="00113F3B"/>
    <w:rsid w:val="0011461E"/>
    <w:rsid w:val="001152DB"/>
    <w:rsid w:val="00115876"/>
    <w:rsid w:val="00115B50"/>
    <w:rsid w:val="0012006B"/>
    <w:rsid w:val="001203A1"/>
    <w:rsid w:val="00120766"/>
    <w:rsid w:val="00124541"/>
    <w:rsid w:val="0012459D"/>
    <w:rsid w:val="00124F12"/>
    <w:rsid w:val="001261F5"/>
    <w:rsid w:val="0012781B"/>
    <w:rsid w:val="00127E94"/>
    <w:rsid w:val="00131209"/>
    <w:rsid w:val="0013160C"/>
    <w:rsid w:val="00132C7C"/>
    <w:rsid w:val="0013341B"/>
    <w:rsid w:val="001334C0"/>
    <w:rsid w:val="00137D89"/>
    <w:rsid w:val="00140F47"/>
    <w:rsid w:val="00141136"/>
    <w:rsid w:val="00142CB5"/>
    <w:rsid w:val="00144E3A"/>
    <w:rsid w:val="00146E24"/>
    <w:rsid w:val="001472CB"/>
    <w:rsid w:val="0015060C"/>
    <w:rsid w:val="00153C37"/>
    <w:rsid w:val="00153CB2"/>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8732D"/>
    <w:rsid w:val="001900E4"/>
    <w:rsid w:val="001902A7"/>
    <w:rsid w:val="00190F88"/>
    <w:rsid w:val="00193E45"/>
    <w:rsid w:val="001A3662"/>
    <w:rsid w:val="001A4066"/>
    <w:rsid w:val="001A4B82"/>
    <w:rsid w:val="001A6AE4"/>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51C"/>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06D4A"/>
    <w:rsid w:val="0021263D"/>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67832"/>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0C88"/>
    <w:rsid w:val="00291645"/>
    <w:rsid w:val="00297520"/>
    <w:rsid w:val="002A1535"/>
    <w:rsid w:val="002A3B7C"/>
    <w:rsid w:val="002B003D"/>
    <w:rsid w:val="002B078D"/>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E5489"/>
    <w:rsid w:val="002F3BB7"/>
    <w:rsid w:val="002F57C3"/>
    <w:rsid w:val="002F63B8"/>
    <w:rsid w:val="002F6B1E"/>
    <w:rsid w:val="002F7008"/>
    <w:rsid w:val="002F717D"/>
    <w:rsid w:val="002F78C8"/>
    <w:rsid w:val="00301CF3"/>
    <w:rsid w:val="00301D2B"/>
    <w:rsid w:val="00303749"/>
    <w:rsid w:val="003044CA"/>
    <w:rsid w:val="0030759E"/>
    <w:rsid w:val="003101A7"/>
    <w:rsid w:val="00312F59"/>
    <w:rsid w:val="00313560"/>
    <w:rsid w:val="00313AD1"/>
    <w:rsid w:val="00314C96"/>
    <w:rsid w:val="003211B2"/>
    <w:rsid w:val="0032139E"/>
    <w:rsid w:val="003216AD"/>
    <w:rsid w:val="0032226E"/>
    <w:rsid w:val="00323B00"/>
    <w:rsid w:val="003260A8"/>
    <w:rsid w:val="0032711D"/>
    <w:rsid w:val="0032715C"/>
    <w:rsid w:val="00331E2B"/>
    <w:rsid w:val="003326DE"/>
    <w:rsid w:val="003335CC"/>
    <w:rsid w:val="00333AF2"/>
    <w:rsid w:val="00335CF7"/>
    <w:rsid w:val="00336A20"/>
    <w:rsid w:val="00337CA5"/>
    <w:rsid w:val="00337CF8"/>
    <w:rsid w:val="00340E50"/>
    <w:rsid w:val="003416C7"/>
    <w:rsid w:val="00342D24"/>
    <w:rsid w:val="00343716"/>
    <w:rsid w:val="003439D8"/>
    <w:rsid w:val="003444D1"/>
    <w:rsid w:val="0034495D"/>
    <w:rsid w:val="00345DB3"/>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473"/>
    <w:rsid w:val="00384BFF"/>
    <w:rsid w:val="003872A1"/>
    <w:rsid w:val="00387C43"/>
    <w:rsid w:val="00387E82"/>
    <w:rsid w:val="003904F9"/>
    <w:rsid w:val="00393387"/>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447F"/>
    <w:rsid w:val="003B466E"/>
    <w:rsid w:val="003B487C"/>
    <w:rsid w:val="003B6404"/>
    <w:rsid w:val="003B6ED2"/>
    <w:rsid w:val="003C0BD6"/>
    <w:rsid w:val="003C13C5"/>
    <w:rsid w:val="003C3BAB"/>
    <w:rsid w:val="003C3FD6"/>
    <w:rsid w:val="003C449B"/>
    <w:rsid w:val="003C4679"/>
    <w:rsid w:val="003C4A15"/>
    <w:rsid w:val="003C52F2"/>
    <w:rsid w:val="003D21FF"/>
    <w:rsid w:val="003D2DF6"/>
    <w:rsid w:val="003D3A82"/>
    <w:rsid w:val="003D3C43"/>
    <w:rsid w:val="003E28E5"/>
    <w:rsid w:val="003E3C4B"/>
    <w:rsid w:val="003F0112"/>
    <w:rsid w:val="003F071A"/>
    <w:rsid w:val="003F160B"/>
    <w:rsid w:val="003F230C"/>
    <w:rsid w:val="003F2BE4"/>
    <w:rsid w:val="003F2D9D"/>
    <w:rsid w:val="003F5747"/>
    <w:rsid w:val="00400032"/>
    <w:rsid w:val="004009B5"/>
    <w:rsid w:val="00400B5B"/>
    <w:rsid w:val="004038CC"/>
    <w:rsid w:val="00404828"/>
    <w:rsid w:val="00404F48"/>
    <w:rsid w:val="00405A00"/>
    <w:rsid w:val="00407529"/>
    <w:rsid w:val="004104DB"/>
    <w:rsid w:val="004106EE"/>
    <w:rsid w:val="004131DA"/>
    <w:rsid w:val="004140EE"/>
    <w:rsid w:val="00414DB2"/>
    <w:rsid w:val="00414E6A"/>
    <w:rsid w:val="00420870"/>
    <w:rsid w:val="00426880"/>
    <w:rsid w:val="004367EE"/>
    <w:rsid w:val="00437385"/>
    <w:rsid w:val="004378D7"/>
    <w:rsid w:val="0043791B"/>
    <w:rsid w:val="00440A7D"/>
    <w:rsid w:val="00441483"/>
    <w:rsid w:val="00441BCB"/>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6BB9"/>
    <w:rsid w:val="004772F7"/>
    <w:rsid w:val="004800F9"/>
    <w:rsid w:val="0048570F"/>
    <w:rsid w:val="00485BB5"/>
    <w:rsid w:val="00487B0A"/>
    <w:rsid w:val="0049134A"/>
    <w:rsid w:val="00491A89"/>
    <w:rsid w:val="00493E74"/>
    <w:rsid w:val="004940BA"/>
    <w:rsid w:val="004942F6"/>
    <w:rsid w:val="004A0946"/>
    <w:rsid w:val="004A1B92"/>
    <w:rsid w:val="004A46A9"/>
    <w:rsid w:val="004A58CB"/>
    <w:rsid w:val="004B0D6E"/>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42A2"/>
    <w:rsid w:val="004D618C"/>
    <w:rsid w:val="004D7A1E"/>
    <w:rsid w:val="004E05AE"/>
    <w:rsid w:val="004E3748"/>
    <w:rsid w:val="004E46CE"/>
    <w:rsid w:val="004E574D"/>
    <w:rsid w:val="004F0108"/>
    <w:rsid w:val="004F1F88"/>
    <w:rsid w:val="004F2D97"/>
    <w:rsid w:val="004F3328"/>
    <w:rsid w:val="004F37A1"/>
    <w:rsid w:val="004F3966"/>
    <w:rsid w:val="004F4F0A"/>
    <w:rsid w:val="004F4FD1"/>
    <w:rsid w:val="004F5F1B"/>
    <w:rsid w:val="0050205F"/>
    <w:rsid w:val="00502374"/>
    <w:rsid w:val="005060A1"/>
    <w:rsid w:val="005148BB"/>
    <w:rsid w:val="00516072"/>
    <w:rsid w:val="00516697"/>
    <w:rsid w:val="00521535"/>
    <w:rsid w:val="00523DD0"/>
    <w:rsid w:val="00523F66"/>
    <w:rsid w:val="00530639"/>
    <w:rsid w:val="0053284D"/>
    <w:rsid w:val="005331BA"/>
    <w:rsid w:val="005332EC"/>
    <w:rsid w:val="00534418"/>
    <w:rsid w:val="00534A20"/>
    <w:rsid w:val="005353AB"/>
    <w:rsid w:val="00537C51"/>
    <w:rsid w:val="0054236A"/>
    <w:rsid w:val="005424A3"/>
    <w:rsid w:val="0054499D"/>
    <w:rsid w:val="00544CC2"/>
    <w:rsid w:val="00545500"/>
    <w:rsid w:val="00545943"/>
    <w:rsid w:val="005477F7"/>
    <w:rsid w:val="00550853"/>
    <w:rsid w:val="00551541"/>
    <w:rsid w:val="00551924"/>
    <w:rsid w:val="00552CF9"/>
    <w:rsid w:val="00552DDA"/>
    <w:rsid w:val="005560BC"/>
    <w:rsid w:val="005573BE"/>
    <w:rsid w:val="00560E2F"/>
    <w:rsid w:val="005610E2"/>
    <w:rsid w:val="00561A37"/>
    <w:rsid w:val="00562A2C"/>
    <w:rsid w:val="005641E4"/>
    <w:rsid w:val="00567A16"/>
    <w:rsid w:val="00567E42"/>
    <w:rsid w:val="00570AA6"/>
    <w:rsid w:val="00571E9F"/>
    <w:rsid w:val="00572700"/>
    <w:rsid w:val="00572A7A"/>
    <w:rsid w:val="00573E98"/>
    <w:rsid w:val="00576BD3"/>
    <w:rsid w:val="00580468"/>
    <w:rsid w:val="00580FB7"/>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5738"/>
    <w:rsid w:val="005B7DD7"/>
    <w:rsid w:val="005C3005"/>
    <w:rsid w:val="005C40AC"/>
    <w:rsid w:val="005D3950"/>
    <w:rsid w:val="005D6D4C"/>
    <w:rsid w:val="005D7D30"/>
    <w:rsid w:val="005E0222"/>
    <w:rsid w:val="005E05D7"/>
    <w:rsid w:val="005E0E6E"/>
    <w:rsid w:val="005E2498"/>
    <w:rsid w:val="005E3878"/>
    <w:rsid w:val="005E41E7"/>
    <w:rsid w:val="005E450F"/>
    <w:rsid w:val="005E5ABB"/>
    <w:rsid w:val="005E64E8"/>
    <w:rsid w:val="005E7D3F"/>
    <w:rsid w:val="005F20A7"/>
    <w:rsid w:val="005F283D"/>
    <w:rsid w:val="005F5773"/>
    <w:rsid w:val="005F5D61"/>
    <w:rsid w:val="00601B5E"/>
    <w:rsid w:val="00604AA4"/>
    <w:rsid w:val="00605E8E"/>
    <w:rsid w:val="006106A5"/>
    <w:rsid w:val="00612F7F"/>
    <w:rsid w:val="0061589B"/>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70D6"/>
    <w:rsid w:val="0066200B"/>
    <w:rsid w:val="006648BB"/>
    <w:rsid w:val="00665356"/>
    <w:rsid w:val="00666AC0"/>
    <w:rsid w:val="00666B88"/>
    <w:rsid w:val="00667EEE"/>
    <w:rsid w:val="006728D4"/>
    <w:rsid w:val="00674572"/>
    <w:rsid w:val="00674F6D"/>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FF9"/>
    <w:rsid w:val="006D48F1"/>
    <w:rsid w:val="006D5702"/>
    <w:rsid w:val="006E1380"/>
    <w:rsid w:val="006E1AB6"/>
    <w:rsid w:val="006E25D2"/>
    <w:rsid w:val="006E2CA1"/>
    <w:rsid w:val="006E3FB0"/>
    <w:rsid w:val="006E7EB7"/>
    <w:rsid w:val="006F05D4"/>
    <w:rsid w:val="006F09C7"/>
    <w:rsid w:val="006F0ACE"/>
    <w:rsid w:val="006F2B80"/>
    <w:rsid w:val="006F3D17"/>
    <w:rsid w:val="006F45BE"/>
    <w:rsid w:val="006F5782"/>
    <w:rsid w:val="006F58FE"/>
    <w:rsid w:val="006F69C6"/>
    <w:rsid w:val="007004FC"/>
    <w:rsid w:val="007005F0"/>
    <w:rsid w:val="00704877"/>
    <w:rsid w:val="00705374"/>
    <w:rsid w:val="00706670"/>
    <w:rsid w:val="00706F20"/>
    <w:rsid w:val="00711B9D"/>
    <w:rsid w:val="00717E74"/>
    <w:rsid w:val="007206BB"/>
    <w:rsid w:val="0072170E"/>
    <w:rsid w:val="007225F5"/>
    <w:rsid w:val="0072417C"/>
    <w:rsid w:val="00726B33"/>
    <w:rsid w:val="00730531"/>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1E72"/>
    <w:rsid w:val="00774465"/>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4B0E"/>
    <w:rsid w:val="00796293"/>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ABF"/>
    <w:rsid w:val="007E4EC4"/>
    <w:rsid w:val="007E5BFA"/>
    <w:rsid w:val="007E6689"/>
    <w:rsid w:val="007E731C"/>
    <w:rsid w:val="007E7409"/>
    <w:rsid w:val="007E7A7A"/>
    <w:rsid w:val="007F0A03"/>
    <w:rsid w:val="007F108D"/>
    <w:rsid w:val="007F2BAB"/>
    <w:rsid w:val="007F5E40"/>
    <w:rsid w:val="007F6D9C"/>
    <w:rsid w:val="007F7551"/>
    <w:rsid w:val="007F75DA"/>
    <w:rsid w:val="008004A5"/>
    <w:rsid w:val="00800656"/>
    <w:rsid w:val="00804310"/>
    <w:rsid w:val="008059CB"/>
    <w:rsid w:val="00810040"/>
    <w:rsid w:val="008103A3"/>
    <w:rsid w:val="008104E0"/>
    <w:rsid w:val="008134A7"/>
    <w:rsid w:val="00816A82"/>
    <w:rsid w:val="008176C5"/>
    <w:rsid w:val="0082023A"/>
    <w:rsid w:val="00821A7A"/>
    <w:rsid w:val="00823357"/>
    <w:rsid w:val="008253F8"/>
    <w:rsid w:val="00827E9F"/>
    <w:rsid w:val="008318FE"/>
    <w:rsid w:val="00831902"/>
    <w:rsid w:val="008325E4"/>
    <w:rsid w:val="00832A2B"/>
    <w:rsid w:val="00832FA8"/>
    <w:rsid w:val="00834BED"/>
    <w:rsid w:val="00834F23"/>
    <w:rsid w:val="00836927"/>
    <w:rsid w:val="00836CA6"/>
    <w:rsid w:val="0083727C"/>
    <w:rsid w:val="00837655"/>
    <w:rsid w:val="00842733"/>
    <w:rsid w:val="00844B60"/>
    <w:rsid w:val="00845811"/>
    <w:rsid w:val="00846994"/>
    <w:rsid w:val="00850451"/>
    <w:rsid w:val="0085101A"/>
    <w:rsid w:val="00852042"/>
    <w:rsid w:val="008525D6"/>
    <w:rsid w:val="008534C9"/>
    <w:rsid w:val="008542BA"/>
    <w:rsid w:val="008543FB"/>
    <w:rsid w:val="008550FB"/>
    <w:rsid w:val="0085599D"/>
    <w:rsid w:val="0085721E"/>
    <w:rsid w:val="008632DE"/>
    <w:rsid w:val="00864EFA"/>
    <w:rsid w:val="00867026"/>
    <w:rsid w:val="0086720B"/>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4CC4"/>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518"/>
    <w:rsid w:val="008F1EFC"/>
    <w:rsid w:val="008F272B"/>
    <w:rsid w:val="008F2E7A"/>
    <w:rsid w:val="008F372B"/>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5A58"/>
    <w:rsid w:val="00956C73"/>
    <w:rsid w:val="00962175"/>
    <w:rsid w:val="009624BE"/>
    <w:rsid w:val="0096417A"/>
    <w:rsid w:val="00965897"/>
    <w:rsid w:val="00966AE6"/>
    <w:rsid w:val="0096765C"/>
    <w:rsid w:val="009727E4"/>
    <w:rsid w:val="00980B2E"/>
    <w:rsid w:val="009835BD"/>
    <w:rsid w:val="00983EF7"/>
    <w:rsid w:val="00987819"/>
    <w:rsid w:val="009934C5"/>
    <w:rsid w:val="00994C0F"/>
    <w:rsid w:val="009964C8"/>
    <w:rsid w:val="009A5C53"/>
    <w:rsid w:val="009B0D27"/>
    <w:rsid w:val="009B22D7"/>
    <w:rsid w:val="009B554C"/>
    <w:rsid w:val="009B72ED"/>
    <w:rsid w:val="009C08B3"/>
    <w:rsid w:val="009C3283"/>
    <w:rsid w:val="009C32F1"/>
    <w:rsid w:val="009C4885"/>
    <w:rsid w:val="009C4D2E"/>
    <w:rsid w:val="009C694B"/>
    <w:rsid w:val="009C6DEB"/>
    <w:rsid w:val="009D17A5"/>
    <w:rsid w:val="009D3DB0"/>
    <w:rsid w:val="009D6504"/>
    <w:rsid w:val="009D7946"/>
    <w:rsid w:val="009E12D7"/>
    <w:rsid w:val="009E3892"/>
    <w:rsid w:val="009E3AA4"/>
    <w:rsid w:val="009E559A"/>
    <w:rsid w:val="009E5925"/>
    <w:rsid w:val="009E661A"/>
    <w:rsid w:val="009F1CD4"/>
    <w:rsid w:val="009F3195"/>
    <w:rsid w:val="009F5582"/>
    <w:rsid w:val="009F71AB"/>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89F"/>
    <w:rsid w:val="00A34260"/>
    <w:rsid w:val="00A36AC7"/>
    <w:rsid w:val="00A37E39"/>
    <w:rsid w:val="00A4360F"/>
    <w:rsid w:val="00A43A02"/>
    <w:rsid w:val="00A442FD"/>
    <w:rsid w:val="00A44547"/>
    <w:rsid w:val="00A46101"/>
    <w:rsid w:val="00A5023C"/>
    <w:rsid w:val="00A50597"/>
    <w:rsid w:val="00A524DE"/>
    <w:rsid w:val="00A52FFD"/>
    <w:rsid w:val="00A5375D"/>
    <w:rsid w:val="00A545C1"/>
    <w:rsid w:val="00A60D88"/>
    <w:rsid w:val="00A622A9"/>
    <w:rsid w:val="00A639E5"/>
    <w:rsid w:val="00A64ACE"/>
    <w:rsid w:val="00A70CFD"/>
    <w:rsid w:val="00A72A0B"/>
    <w:rsid w:val="00A72DBB"/>
    <w:rsid w:val="00A735A2"/>
    <w:rsid w:val="00A7399A"/>
    <w:rsid w:val="00A77BC5"/>
    <w:rsid w:val="00A81E42"/>
    <w:rsid w:val="00A8435C"/>
    <w:rsid w:val="00A84D83"/>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646E"/>
    <w:rsid w:val="00AD7C24"/>
    <w:rsid w:val="00AD7C3B"/>
    <w:rsid w:val="00AE201F"/>
    <w:rsid w:val="00AE5066"/>
    <w:rsid w:val="00AE5E24"/>
    <w:rsid w:val="00AE61B7"/>
    <w:rsid w:val="00AE6B1E"/>
    <w:rsid w:val="00AE6CBA"/>
    <w:rsid w:val="00AE79AD"/>
    <w:rsid w:val="00AF058B"/>
    <w:rsid w:val="00AF2793"/>
    <w:rsid w:val="00AF27EE"/>
    <w:rsid w:val="00AF35E4"/>
    <w:rsid w:val="00AF5CDE"/>
    <w:rsid w:val="00B047FC"/>
    <w:rsid w:val="00B051B0"/>
    <w:rsid w:val="00B05BA6"/>
    <w:rsid w:val="00B06A91"/>
    <w:rsid w:val="00B11738"/>
    <w:rsid w:val="00B11A57"/>
    <w:rsid w:val="00B12A9E"/>
    <w:rsid w:val="00B143FC"/>
    <w:rsid w:val="00B15D55"/>
    <w:rsid w:val="00B17767"/>
    <w:rsid w:val="00B2005E"/>
    <w:rsid w:val="00B211C3"/>
    <w:rsid w:val="00B221D3"/>
    <w:rsid w:val="00B25597"/>
    <w:rsid w:val="00B25D6A"/>
    <w:rsid w:val="00B267B9"/>
    <w:rsid w:val="00B3060A"/>
    <w:rsid w:val="00B30A5D"/>
    <w:rsid w:val="00B321E3"/>
    <w:rsid w:val="00B33E09"/>
    <w:rsid w:val="00B34B28"/>
    <w:rsid w:val="00B363F2"/>
    <w:rsid w:val="00B407CC"/>
    <w:rsid w:val="00B41862"/>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6FD"/>
    <w:rsid w:val="00BB0A82"/>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F05EB"/>
    <w:rsid w:val="00BF256E"/>
    <w:rsid w:val="00BF40ED"/>
    <w:rsid w:val="00BF4457"/>
    <w:rsid w:val="00BF57A2"/>
    <w:rsid w:val="00BF5BC2"/>
    <w:rsid w:val="00BF7637"/>
    <w:rsid w:val="00C06E4E"/>
    <w:rsid w:val="00C1133D"/>
    <w:rsid w:val="00C11761"/>
    <w:rsid w:val="00C13494"/>
    <w:rsid w:val="00C144B7"/>
    <w:rsid w:val="00C175ED"/>
    <w:rsid w:val="00C176FA"/>
    <w:rsid w:val="00C20823"/>
    <w:rsid w:val="00C243F6"/>
    <w:rsid w:val="00C27A08"/>
    <w:rsid w:val="00C31312"/>
    <w:rsid w:val="00C321EF"/>
    <w:rsid w:val="00C326C6"/>
    <w:rsid w:val="00C33BD5"/>
    <w:rsid w:val="00C3416B"/>
    <w:rsid w:val="00C35295"/>
    <w:rsid w:val="00C36326"/>
    <w:rsid w:val="00C36ADD"/>
    <w:rsid w:val="00C36E74"/>
    <w:rsid w:val="00C40595"/>
    <w:rsid w:val="00C41621"/>
    <w:rsid w:val="00C449FA"/>
    <w:rsid w:val="00C44C6D"/>
    <w:rsid w:val="00C4543E"/>
    <w:rsid w:val="00C50AF5"/>
    <w:rsid w:val="00C53750"/>
    <w:rsid w:val="00C5384F"/>
    <w:rsid w:val="00C54211"/>
    <w:rsid w:val="00C56964"/>
    <w:rsid w:val="00C57A4A"/>
    <w:rsid w:val="00C65021"/>
    <w:rsid w:val="00C656D5"/>
    <w:rsid w:val="00C67103"/>
    <w:rsid w:val="00C71BB9"/>
    <w:rsid w:val="00C72E81"/>
    <w:rsid w:val="00C74061"/>
    <w:rsid w:val="00C762A5"/>
    <w:rsid w:val="00C81088"/>
    <w:rsid w:val="00C844DC"/>
    <w:rsid w:val="00C90200"/>
    <w:rsid w:val="00C9139F"/>
    <w:rsid w:val="00C91B20"/>
    <w:rsid w:val="00C92EF0"/>
    <w:rsid w:val="00C92FE4"/>
    <w:rsid w:val="00C94C28"/>
    <w:rsid w:val="00C94E16"/>
    <w:rsid w:val="00C95145"/>
    <w:rsid w:val="00CA3B3A"/>
    <w:rsid w:val="00CA412B"/>
    <w:rsid w:val="00CA4EB9"/>
    <w:rsid w:val="00CA5D2D"/>
    <w:rsid w:val="00CB0247"/>
    <w:rsid w:val="00CB28C5"/>
    <w:rsid w:val="00CB3440"/>
    <w:rsid w:val="00CB6531"/>
    <w:rsid w:val="00CC045A"/>
    <w:rsid w:val="00CC14FD"/>
    <w:rsid w:val="00CC1692"/>
    <w:rsid w:val="00CC22FC"/>
    <w:rsid w:val="00CC2701"/>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B23"/>
    <w:rsid w:val="00CE5C01"/>
    <w:rsid w:val="00CF5005"/>
    <w:rsid w:val="00CF70AD"/>
    <w:rsid w:val="00CF7729"/>
    <w:rsid w:val="00D00059"/>
    <w:rsid w:val="00D0113A"/>
    <w:rsid w:val="00D0181A"/>
    <w:rsid w:val="00D06410"/>
    <w:rsid w:val="00D07D9B"/>
    <w:rsid w:val="00D107FA"/>
    <w:rsid w:val="00D11F3B"/>
    <w:rsid w:val="00D12275"/>
    <w:rsid w:val="00D12766"/>
    <w:rsid w:val="00D13936"/>
    <w:rsid w:val="00D15F0D"/>
    <w:rsid w:val="00D15F3B"/>
    <w:rsid w:val="00D16159"/>
    <w:rsid w:val="00D178D9"/>
    <w:rsid w:val="00D20FF4"/>
    <w:rsid w:val="00D24D2C"/>
    <w:rsid w:val="00D27CEF"/>
    <w:rsid w:val="00D33AF2"/>
    <w:rsid w:val="00D35881"/>
    <w:rsid w:val="00D40C36"/>
    <w:rsid w:val="00D420FC"/>
    <w:rsid w:val="00D4313E"/>
    <w:rsid w:val="00D44F56"/>
    <w:rsid w:val="00D45045"/>
    <w:rsid w:val="00D458FC"/>
    <w:rsid w:val="00D45F07"/>
    <w:rsid w:val="00D51604"/>
    <w:rsid w:val="00D52F90"/>
    <w:rsid w:val="00D572E6"/>
    <w:rsid w:val="00D630AF"/>
    <w:rsid w:val="00D6325D"/>
    <w:rsid w:val="00D636D6"/>
    <w:rsid w:val="00D64B78"/>
    <w:rsid w:val="00D6514E"/>
    <w:rsid w:val="00D660A5"/>
    <w:rsid w:val="00D679FD"/>
    <w:rsid w:val="00D7399A"/>
    <w:rsid w:val="00D76406"/>
    <w:rsid w:val="00D76C44"/>
    <w:rsid w:val="00D7725F"/>
    <w:rsid w:val="00D84409"/>
    <w:rsid w:val="00D85642"/>
    <w:rsid w:val="00D856A1"/>
    <w:rsid w:val="00D87A72"/>
    <w:rsid w:val="00D9307E"/>
    <w:rsid w:val="00D93C45"/>
    <w:rsid w:val="00D945D9"/>
    <w:rsid w:val="00D94A16"/>
    <w:rsid w:val="00D97223"/>
    <w:rsid w:val="00DA32F8"/>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4B6"/>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55510"/>
    <w:rsid w:val="00E56083"/>
    <w:rsid w:val="00E5723E"/>
    <w:rsid w:val="00E6239C"/>
    <w:rsid w:val="00E63C27"/>
    <w:rsid w:val="00E6670C"/>
    <w:rsid w:val="00E70DDC"/>
    <w:rsid w:val="00E71802"/>
    <w:rsid w:val="00E7374E"/>
    <w:rsid w:val="00E758BA"/>
    <w:rsid w:val="00E7656A"/>
    <w:rsid w:val="00E776E8"/>
    <w:rsid w:val="00E777D8"/>
    <w:rsid w:val="00E82EF6"/>
    <w:rsid w:val="00E82F42"/>
    <w:rsid w:val="00E84871"/>
    <w:rsid w:val="00E84E03"/>
    <w:rsid w:val="00E8539B"/>
    <w:rsid w:val="00E86560"/>
    <w:rsid w:val="00E8668F"/>
    <w:rsid w:val="00E92C1F"/>
    <w:rsid w:val="00E94EC2"/>
    <w:rsid w:val="00E95311"/>
    <w:rsid w:val="00E95480"/>
    <w:rsid w:val="00E95D4B"/>
    <w:rsid w:val="00E95EBA"/>
    <w:rsid w:val="00EA0679"/>
    <w:rsid w:val="00EA0B61"/>
    <w:rsid w:val="00EA1DBC"/>
    <w:rsid w:val="00EA6A8E"/>
    <w:rsid w:val="00EA7EEC"/>
    <w:rsid w:val="00EB0FD8"/>
    <w:rsid w:val="00EB199F"/>
    <w:rsid w:val="00EB2AA1"/>
    <w:rsid w:val="00EB3569"/>
    <w:rsid w:val="00EB4831"/>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F1386"/>
    <w:rsid w:val="00EF1DF6"/>
    <w:rsid w:val="00EF1F0C"/>
    <w:rsid w:val="00EF36B2"/>
    <w:rsid w:val="00EF4D83"/>
    <w:rsid w:val="00EF6EAB"/>
    <w:rsid w:val="00F02963"/>
    <w:rsid w:val="00F115B5"/>
    <w:rsid w:val="00F1273D"/>
    <w:rsid w:val="00F14ABD"/>
    <w:rsid w:val="00F14FB1"/>
    <w:rsid w:val="00F16BE2"/>
    <w:rsid w:val="00F1723D"/>
    <w:rsid w:val="00F173B0"/>
    <w:rsid w:val="00F201EC"/>
    <w:rsid w:val="00F208A1"/>
    <w:rsid w:val="00F208A9"/>
    <w:rsid w:val="00F21293"/>
    <w:rsid w:val="00F215C2"/>
    <w:rsid w:val="00F2548C"/>
    <w:rsid w:val="00F25693"/>
    <w:rsid w:val="00F26380"/>
    <w:rsid w:val="00F313BB"/>
    <w:rsid w:val="00F31E83"/>
    <w:rsid w:val="00F33C58"/>
    <w:rsid w:val="00F41D75"/>
    <w:rsid w:val="00F4368B"/>
    <w:rsid w:val="00F451F6"/>
    <w:rsid w:val="00F466EE"/>
    <w:rsid w:val="00F467EF"/>
    <w:rsid w:val="00F46A5B"/>
    <w:rsid w:val="00F47250"/>
    <w:rsid w:val="00F50C02"/>
    <w:rsid w:val="00F51250"/>
    <w:rsid w:val="00F5139D"/>
    <w:rsid w:val="00F52175"/>
    <w:rsid w:val="00F567F3"/>
    <w:rsid w:val="00F56F2D"/>
    <w:rsid w:val="00F63074"/>
    <w:rsid w:val="00F63DAC"/>
    <w:rsid w:val="00F64C8B"/>
    <w:rsid w:val="00F64EF2"/>
    <w:rsid w:val="00F65B25"/>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4A2F"/>
    <w:rsid w:val="00FA60A5"/>
    <w:rsid w:val="00FA63D3"/>
    <w:rsid w:val="00FA6C30"/>
    <w:rsid w:val="00FB2207"/>
    <w:rsid w:val="00FB30F1"/>
    <w:rsid w:val="00FB5286"/>
    <w:rsid w:val="00FB53E7"/>
    <w:rsid w:val="00FB5A1E"/>
    <w:rsid w:val="00FC264D"/>
    <w:rsid w:val="00FC2F83"/>
    <w:rsid w:val="00FC554D"/>
    <w:rsid w:val="00FD1A00"/>
    <w:rsid w:val="00FD2F0E"/>
    <w:rsid w:val="00FD37C2"/>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147"/>
    <w:rsid w:val="00FF227D"/>
    <w:rsid w:val="00FF459A"/>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F2266E"/>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2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D629-949E-4338-ADD5-7C0EBC0C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9754</Characters>
  <Application>Microsoft Office Word</Application>
  <DocSecurity>0</DocSecurity>
  <Lines>573</Lines>
  <Paragraphs>172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Valdis Lipskis</cp:lastModifiedBy>
  <cp:revision>3</cp:revision>
  <cp:lastPrinted>2017-09-05T06:53:00Z</cp:lastPrinted>
  <dcterms:created xsi:type="dcterms:W3CDTF">2017-10-31T10:52:00Z</dcterms:created>
  <dcterms:modified xsi:type="dcterms:W3CDTF">2017-10-31T10:58:00Z</dcterms:modified>
</cp:coreProperties>
</file>