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6160A" w14:textId="77777777" w:rsidR="00873999" w:rsidRPr="00603100" w:rsidRDefault="00873999" w:rsidP="00873999">
      <w:pPr>
        <w:spacing w:after="0" w:line="240" w:lineRule="auto"/>
        <w:jc w:val="center"/>
        <w:rPr>
          <w:rFonts w:ascii="Times New Roman" w:eastAsia="Calibri" w:hAnsi="Times New Roman" w:cs="Times New Roman"/>
          <w:b/>
          <w:bCs/>
          <w:iCs/>
          <w:sz w:val="26"/>
          <w:szCs w:val="26"/>
        </w:rPr>
      </w:pPr>
      <w:bookmarkStart w:id="0" w:name="OLE_LINK6"/>
      <w:bookmarkStart w:id="1" w:name="OLE_LINK7"/>
      <w:bookmarkStart w:id="2" w:name="OLE_LINK12"/>
      <w:bookmarkStart w:id="3" w:name="OLE_LINK13"/>
      <w:bookmarkStart w:id="4" w:name="OLE_LINK14"/>
      <w:bookmarkStart w:id="5" w:name="OLE_LINK15"/>
      <w:bookmarkStart w:id="6" w:name="OLE_LINK5"/>
      <w:bookmarkStart w:id="7" w:name="OLE_LINK4"/>
      <w:bookmarkStart w:id="8" w:name="OLE_LINK8"/>
      <w:bookmarkStart w:id="9" w:name="OLE_LINK3"/>
      <w:bookmarkStart w:id="10" w:name="OLE_LINK2"/>
      <w:bookmarkStart w:id="11" w:name="OLE_LINK1"/>
      <w:r w:rsidRPr="00603100">
        <w:rPr>
          <w:rFonts w:ascii="Times New Roman" w:eastAsia="Calibri" w:hAnsi="Times New Roman" w:cs="Times New Roman"/>
          <w:b/>
          <w:bCs/>
          <w:sz w:val="26"/>
          <w:szCs w:val="26"/>
        </w:rPr>
        <w:t>Ministru kabineta noteikumu projekta “Grozījumi Ministru kabineta 2015.gada 1.decembra noteikumos Nr.678 “Darbības programmas „Izaugsme un nodarbinātība” 3.2.1.specifiskā atbalsta mērķa „Palielināt augstas pievienotās vērtības produktu un pakalpojumu eksporta proporciju” 3.2.1.2.pasākuma „Starptautiskās konkurētspējas veicināšana” īstenošanas noteikumi”</w:t>
      </w:r>
    </w:p>
    <w:p w14:paraId="11D86616" w14:textId="77777777" w:rsidR="00873999" w:rsidRPr="00603100" w:rsidRDefault="00873999" w:rsidP="00873999">
      <w:pPr>
        <w:spacing w:after="0" w:line="240" w:lineRule="auto"/>
        <w:jc w:val="center"/>
        <w:rPr>
          <w:rFonts w:ascii="Times New Roman" w:eastAsia="Calibri" w:hAnsi="Times New Roman" w:cs="Times New Roman"/>
          <w:b/>
          <w:sz w:val="26"/>
          <w:szCs w:val="26"/>
        </w:rPr>
      </w:pPr>
      <w:r w:rsidRPr="00603100">
        <w:rPr>
          <w:rFonts w:ascii="Times New Roman" w:eastAsia="Calibri" w:hAnsi="Times New Roman" w:cs="Times New Roman"/>
          <w:b/>
          <w:bCs/>
          <w:sz w:val="26"/>
          <w:szCs w:val="26"/>
        </w:rPr>
        <w:t xml:space="preserve"> </w:t>
      </w:r>
      <w:r w:rsidRPr="00603100">
        <w:rPr>
          <w:rFonts w:ascii="Times New Roman" w:eastAsia="Calibri" w:hAnsi="Times New Roman" w:cs="Times New Roman"/>
          <w:b/>
          <w:sz w:val="26"/>
          <w:szCs w:val="26"/>
        </w:rPr>
        <w:t>sākotnējās ietekmes novērtējuma ziņojums (anotācija)</w:t>
      </w:r>
      <w:bookmarkEnd w:id="0"/>
      <w:bookmarkEnd w:id="1"/>
      <w:bookmarkEnd w:id="2"/>
      <w:bookmarkEnd w:id="3"/>
      <w:bookmarkEnd w:id="4"/>
      <w:bookmarkEnd w:id="5"/>
      <w:bookmarkEnd w:id="6"/>
      <w:bookmarkEnd w:id="7"/>
      <w:bookmarkEnd w:id="8"/>
      <w:bookmarkEnd w:id="9"/>
      <w:bookmarkEnd w:id="10"/>
      <w:bookmarkEnd w:id="11"/>
    </w:p>
    <w:p w14:paraId="010A0E81" w14:textId="3879F76C" w:rsidR="00526AFD" w:rsidRPr="00526AFD" w:rsidRDefault="00526AFD" w:rsidP="00EC4749">
      <w:pPr>
        <w:spacing w:after="120" w:line="240" w:lineRule="auto"/>
        <w:rPr>
          <w:rFonts w:ascii="Times New Roman" w:eastAsia="Calibri" w:hAnsi="Times New Roman" w:cs="Times New Roman"/>
          <w:sz w:val="24"/>
          <w:szCs w:val="24"/>
          <w:lang w:eastAsia="lv-LV"/>
        </w:rPr>
      </w:pPr>
    </w:p>
    <w:tbl>
      <w:tblPr>
        <w:tblpPr w:leftFromText="180" w:rightFromText="180" w:vertAnchor="text" w:tblpXSpec="right" w:tblpY="1"/>
        <w:tblOverlap w:val="neve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1980"/>
        <w:gridCol w:w="6804"/>
      </w:tblGrid>
      <w:tr w:rsidR="00526AFD" w:rsidRPr="00526AFD" w14:paraId="66D71963" w14:textId="77777777" w:rsidTr="00D41C8F">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79DB22E8" w14:textId="77777777" w:rsidR="00526AFD" w:rsidRPr="00526AFD" w:rsidRDefault="00526AFD" w:rsidP="00526AFD">
            <w:pPr>
              <w:tabs>
                <w:tab w:val="left" w:pos="2268"/>
                <w:tab w:val="left" w:pos="2410"/>
              </w:tabs>
              <w:spacing w:after="0" w:line="240" w:lineRule="auto"/>
              <w:ind w:left="1080"/>
              <w:contextualSpacing/>
              <w:jc w:val="center"/>
              <w:rPr>
                <w:rFonts w:ascii="Times New Roman" w:eastAsia="Times New Roman" w:hAnsi="Times New Roman" w:cs="Times New Roman"/>
                <w:b/>
                <w:sz w:val="24"/>
                <w:szCs w:val="24"/>
              </w:rPr>
            </w:pPr>
            <w:r w:rsidRPr="00526AFD">
              <w:rPr>
                <w:rFonts w:ascii="Times New Roman" w:eastAsia="Times New Roman" w:hAnsi="Times New Roman" w:cs="Times New Roman"/>
                <w:b/>
                <w:bCs/>
                <w:sz w:val="24"/>
                <w:szCs w:val="24"/>
                <w:lang w:eastAsia="lv-LV"/>
              </w:rPr>
              <w:t>I. Tiesību akta projekta izstrādes nepieciešamība</w:t>
            </w:r>
          </w:p>
        </w:tc>
      </w:tr>
      <w:tr w:rsidR="00526AFD" w:rsidRPr="00526AFD" w14:paraId="0D337046" w14:textId="77777777" w:rsidTr="00D41C8F">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64F5E120" w14:textId="77777777" w:rsidR="00526AFD" w:rsidRPr="00526AFD" w:rsidRDefault="00526AFD" w:rsidP="00526AFD">
            <w:pPr>
              <w:spacing w:after="0" w:line="240" w:lineRule="auto"/>
              <w:jc w:val="center"/>
              <w:rPr>
                <w:rFonts w:ascii="Times New Roman" w:eastAsia="Calibri" w:hAnsi="Times New Roman" w:cs="Times New Roman"/>
                <w:sz w:val="24"/>
                <w:szCs w:val="24"/>
              </w:rPr>
            </w:pPr>
            <w:r w:rsidRPr="00526AFD">
              <w:rPr>
                <w:rFonts w:ascii="Times New Roman" w:eastAsia="Calibri" w:hAnsi="Times New Roman" w:cs="Times New Roman"/>
                <w:sz w:val="24"/>
                <w:szCs w:val="24"/>
                <w:lang w:eastAsia="lv-LV"/>
              </w:rPr>
              <w:t>1.</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47CA739F" w14:textId="77777777" w:rsidR="00526AFD" w:rsidRPr="00526AFD" w:rsidRDefault="00526AFD" w:rsidP="00526AFD">
            <w:pPr>
              <w:tabs>
                <w:tab w:val="left" w:pos="1904"/>
              </w:tabs>
              <w:spacing w:after="0" w:line="240" w:lineRule="auto"/>
              <w:rPr>
                <w:rFonts w:ascii="Times New Roman" w:eastAsia="Calibri" w:hAnsi="Times New Roman" w:cs="Times New Roman"/>
                <w:sz w:val="24"/>
                <w:szCs w:val="24"/>
              </w:rPr>
            </w:pPr>
            <w:r w:rsidRPr="00526AFD">
              <w:rPr>
                <w:rFonts w:ascii="Times New Roman" w:eastAsia="Calibri" w:hAnsi="Times New Roman" w:cs="Times New Roman"/>
                <w:sz w:val="24"/>
                <w:szCs w:val="24"/>
                <w:lang w:eastAsia="lv-LV"/>
              </w:rPr>
              <w:t>Pamatojums</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2834A" w14:textId="707715FA" w:rsidR="00526AFD" w:rsidRPr="00526AFD" w:rsidRDefault="00526AFD" w:rsidP="00442202">
            <w:pPr>
              <w:autoSpaceDE w:val="0"/>
              <w:autoSpaceDN w:val="0"/>
              <w:adjustRightInd w:val="0"/>
              <w:spacing w:after="0" w:line="240" w:lineRule="auto"/>
              <w:jc w:val="both"/>
              <w:rPr>
                <w:rFonts w:ascii="Times New Roman" w:eastAsia="Calibri" w:hAnsi="Times New Roman" w:cs="Times New Roman"/>
                <w:color w:val="000000"/>
                <w:sz w:val="24"/>
                <w:szCs w:val="24"/>
                <w:lang w:eastAsia="lv-LV"/>
              </w:rPr>
            </w:pPr>
            <w:r w:rsidRPr="00526AFD">
              <w:rPr>
                <w:rFonts w:ascii="Times New Roman" w:eastAsia="Calibri" w:hAnsi="Times New Roman" w:cs="Times New Roman"/>
                <w:bCs/>
                <w:iCs/>
                <w:sz w:val="24"/>
                <w:szCs w:val="24"/>
                <w:lang w:eastAsia="lv-LV"/>
              </w:rPr>
              <w:t>Eiropas Savienības struktūrfondu un Kohēzijas fonda 2014.-2020.gada plānošanas perioda vadības likuma 20.panta 13.punkts.</w:t>
            </w:r>
          </w:p>
        </w:tc>
      </w:tr>
      <w:tr w:rsidR="00526AFD" w:rsidRPr="00EC4749" w14:paraId="04B06132" w14:textId="77777777" w:rsidTr="00D41C8F">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0966DE5D" w14:textId="77777777" w:rsidR="00526AFD" w:rsidRPr="00526AFD" w:rsidRDefault="00526AFD" w:rsidP="00526AFD">
            <w:pPr>
              <w:spacing w:after="0" w:line="240" w:lineRule="auto"/>
              <w:jc w:val="center"/>
              <w:rPr>
                <w:rFonts w:ascii="Times New Roman" w:eastAsia="Calibri" w:hAnsi="Times New Roman" w:cs="Times New Roman"/>
                <w:sz w:val="24"/>
                <w:szCs w:val="24"/>
              </w:rPr>
            </w:pPr>
            <w:r w:rsidRPr="00526AFD">
              <w:rPr>
                <w:rFonts w:ascii="Times New Roman" w:eastAsia="Calibri" w:hAnsi="Times New Roman" w:cs="Times New Roman"/>
                <w:sz w:val="24"/>
                <w:szCs w:val="24"/>
                <w:lang w:eastAsia="lv-LV"/>
              </w:rPr>
              <w:t>2.</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4A6D3A5A" w14:textId="77777777" w:rsidR="00526AFD" w:rsidRPr="00526AFD" w:rsidRDefault="00526AFD" w:rsidP="00526AFD">
            <w:pPr>
              <w:spacing w:after="0" w:line="240" w:lineRule="auto"/>
              <w:jc w:val="both"/>
              <w:rPr>
                <w:rFonts w:ascii="Times New Roman" w:eastAsia="Calibri" w:hAnsi="Times New Roman" w:cs="Times New Roman"/>
                <w:sz w:val="24"/>
                <w:szCs w:val="24"/>
              </w:rPr>
            </w:pPr>
            <w:r w:rsidRPr="00526AFD">
              <w:rPr>
                <w:rFonts w:ascii="Times New Roman" w:eastAsia="Calibri" w:hAnsi="Times New Roman" w:cs="Times New Roman"/>
                <w:sz w:val="24"/>
                <w:szCs w:val="24"/>
                <w:lang w:eastAsia="lv-LV"/>
              </w:rPr>
              <w:t>Pašreizējā situācija un problēmas, kuru risināšanai tiesību akta projekts izstrādāts, tiesiskā regulējuma mērķis un būtība</w:t>
            </w:r>
          </w:p>
          <w:p w14:paraId="5B645ABF" w14:textId="77777777" w:rsidR="00526AFD" w:rsidRPr="00526AFD" w:rsidRDefault="00526AFD" w:rsidP="00526AFD">
            <w:pPr>
              <w:spacing w:after="0" w:line="240" w:lineRule="auto"/>
              <w:rPr>
                <w:rFonts w:ascii="Times New Roman" w:eastAsia="Calibri" w:hAnsi="Times New Roman" w:cs="Times New Roman"/>
                <w:sz w:val="24"/>
                <w:szCs w:val="24"/>
              </w:rPr>
            </w:pPr>
          </w:p>
          <w:p w14:paraId="33FA393D" w14:textId="77777777" w:rsidR="00526AFD" w:rsidRPr="00526AFD" w:rsidRDefault="00526AFD" w:rsidP="00526AFD">
            <w:pPr>
              <w:spacing w:after="0" w:line="240" w:lineRule="auto"/>
              <w:rPr>
                <w:rFonts w:ascii="Times New Roman" w:eastAsia="Calibri" w:hAnsi="Times New Roman" w:cs="Times New Roman"/>
                <w:sz w:val="24"/>
                <w:szCs w:val="24"/>
              </w:rPr>
            </w:pPr>
          </w:p>
          <w:p w14:paraId="2172A98F" w14:textId="77777777" w:rsidR="00526AFD" w:rsidRPr="00526AFD" w:rsidRDefault="00526AFD" w:rsidP="00526AFD">
            <w:pPr>
              <w:spacing w:after="0" w:line="240" w:lineRule="auto"/>
              <w:rPr>
                <w:rFonts w:ascii="Times New Roman" w:eastAsia="Calibri" w:hAnsi="Times New Roman" w:cs="Times New Roman"/>
                <w:sz w:val="24"/>
                <w:szCs w:val="24"/>
              </w:rPr>
            </w:pPr>
          </w:p>
          <w:p w14:paraId="46DFA8F8" w14:textId="77777777" w:rsidR="00526AFD" w:rsidRPr="00526AFD" w:rsidRDefault="00526AFD" w:rsidP="00526AFD">
            <w:pPr>
              <w:spacing w:after="0" w:line="240" w:lineRule="auto"/>
              <w:rPr>
                <w:rFonts w:ascii="Times New Roman" w:eastAsia="Calibri" w:hAnsi="Times New Roman" w:cs="Times New Roman"/>
                <w:sz w:val="24"/>
                <w:szCs w:val="24"/>
              </w:rPr>
            </w:pPr>
          </w:p>
          <w:p w14:paraId="0D61F9A7" w14:textId="77777777" w:rsidR="00526AFD" w:rsidRPr="00526AFD" w:rsidRDefault="00526AFD" w:rsidP="00526AFD">
            <w:pPr>
              <w:spacing w:after="0" w:line="240" w:lineRule="auto"/>
              <w:rPr>
                <w:rFonts w:ascii="Times New Roman" w:eastAsia="Calibri" w:hAnsi="Times New Roman" w:cs="Times New Roman"/>
                <w:sz w:val="24"/>
                <w:szCs w:val="24"/>
              </w:rPr>
            </w:pPr>
          </w:p>
          <w:p w14:paraId="02B3410E" w14:textId="77777777" w:rsidR="00526AFD" w:rsidRPr="00526AFD" w:rsidRDefault="00526AFD" w:rsidP="00526AFD">
            <w:pPr>
              <w:spacing w:after="0" w:line="240" w:lineRule="auto"/>
              <w:rPr>
                <w:rFonts w:ascii="Times New Roman" w:eastAsia="Calibri" w:hAnsi="Times New Roman" w:cs="Times New Roman"/>
                <w:sz w:val="24"/>
                <w:szCs w:val="24"/>
              </w:rPr>
            </w:pPr>
          </w:p>
          <w:p w14:paraId="31D37135" w14:textId="77777777" w:rsidR="00526AFD" w:rsidRPr="00526AFD" w:rsidRDefault="00526AFD" w:rsidP="00526AFD">
            <w:pPr>
              <w:spacing w:after="0" w:line="240" w:lineRule="auto"/>
              <w:rPr>
                <w:rFonts w:ascii="Times New Roman" w:eastAsia="Calibri" w:hAnsi="Times New Roman" w:cs="Times New Roman"/>
                <w:sz w:val="24"/>
                <w:szCs w:val="24"/>
              </w:rPr>
            </w:pPr>
          </w:p>
          <w:p w14:paraId="17AABDCC" w14:textId="77777777" w:rsidR="00526AFD" w:rsidRPr="00526AFD" w:rsidRDefault="00526AFD" w:rsidP="00526AFD">
            <w:pPr>
              <w:spacing w:after="0" w:line="240" w:lineRule="auto"/>
              <w:rPr>
                <w:rFonts w:ascii="Times New Roman" w:eastAsia="Calibri" w:hAnsi="Times New Roman" w:cs="Times New Roman"/>
                <w:sz w:val="24"/>
                <w:szCs w:val="24"/>
              </w:rPr>
            </w:pPr>
          </w:p>
          <w:p w14:paraId="0C4006CA" w14:textId="77777777" w:rsidR="00526AFD" w:rsidRPr="00526AFD" w:rsidRDefault="00526AFD" w:rsidP="00526AFD">
            <w:pPr>
              <w:spacing w:after="0" w:line="240" w:lineRule="auto"/>
              <w:rPr>
                <w:rFonts w:ascii="Times New Roman" w:eastAsia="Calibri" w:hAnsi="Times New Roman" w:cs="Times New Roman"/>
                <w:sz w:val="24"/>
                <w:szCs w:val="24"/>
              </w:rPr>
            </w:pPr>
          </w:p>
          <w:p w14:paraId="0F513865" w14:textId="77777777" w:rsidR="00526AFD" w:rsidRPr="00526AFD" w:rsidRDefault="00526AFD" w:rsidP="00526AFD">
            <w:pPr>
              <w:spacing w:after="0" w:line="240" w:lineRule="auto"/>
              <w:rPr>
                <w:rFonts w:ascii="Times New Roman" w:eastAsia="Calibri" w:hAnsi="Times New Roman" w:cs="Times New Roman"/>
                <w:sz w:val="24"/>
                <w:szCs w:val="24"/>
              </w:rPr>
            </w:pPr>
          </w:p>
          <w:p w14:paraId="39ED3955" w14:textId="77777777" w:rsidR="00526AFD" w:rsidRPr="00526AFD" w:rsidRDefault="00526AFD" w:rsidP="00526AFD">
            <w:pPr>
              <w:spacing w:after="0" w:line="240" w:lineRule="auto"/>
              <w:rPr>
                <w:rFonts w:ascii="Times New Roman" w:eastAsia="Calibri" w:hAnsi="Times New Roman" w:cs="Times New Roman"/>
                <w:sz w:val="24"/>
                <w:szCs w:val="24"/>
              </w:rPr>
            </w:pPr>
          </w:p>
          <w:p w14:paraId="5CBD4606" w14:textId="77777777" w:rsidR="00526AFD" w:rsidRPr="00526AFD" w:rsidRDefault="00526AFD" w:rsidP="00526AFD">
            <w:pPr>
              <w:spacing w:after="0" w:line="240" w:lineRule="auto"/>
              <w:rPr>
                <w:rFonts w:ascii="Times New Roman" w:eastAsia="Calibri" w:hAnsi="Times New Roman" w:cs="Times New Roman"/>
                <w:sz w:val="24"/>
                <w:szCs w:val="24"/>
              </w:rPr>
            </w:pPr>
          </w:p>
          <w:p w14:paraId="64342D58" w14:textId="77777777" w:rsidR="00526AFD" w:rsidRPr="00526AFD" w:rsidRDefault="00526AFD" w:rsidP="00526AFD">
            <w:pPr>
              <w:spacing w:after="0" w:line="240" w:lineRule="auto"/>
              <w:rPr>
                <w:rFonts w:ascii="Times New Roman" w:eastAsia="Calibri" w:hAnsi="Times New Roman" w:cs="Times New Roman"/>
                <w:sz w:val="24"/>
                <w:szCs w:val="24"/>
              </w:rPr>
            </w:pPr>
          </w:p>
          <w:p w14:paraId="40BC68A7" w14:textId="77777777" w:rsidR="00526AFD" w:rsidRPr="00526AFD" w:rsidRDefault="00526AFD" w:rsidP="00526AFD">
            <w:pPr>
              <w:spacing w:after="0" w:line="240" w:lineRule="auto"/>
              <w:rPr>
                <w:rFonts w:ascii="Times New Roman" w:eastAsia="Calibri" w:hAnsi="Times New Roman" w:cs="Times New Roman"/>
                <w:sz w:val="24"/>
                <w:szCs w:val="24"/>
              </w:rPr>
            </w:pPr>
          </w:p>
          <w:p w14:paraId="1707A6C9" w14:textId="77777777" w:rsidR="00526AFD" w:rsidRPr="00526AFD" w:rsidRDefault="00526AFD" w:rsidP="00526AFD">
            <w:pPr>
              <w:spacing w:after="0" w:line="240" w:lineRule="auto"/>
              <w:rPr>
                <w:rFonts w:ascii="Times New Roman" w:eastAsia="Calibri" w:hAnsi="Times New Roman" w:cs="Times New Roman"/>
                <w:sz w:val="24"/>
                <w:szCs w:val="24"/>
              </w:rPr>
            </w:pPr>
          </w:p>
          <w:p w14:paraId="1B9637E0" w14:textId="77777777" w:rsidR="00526AFD" w:rsidRPr="00526AFD" w:rsidRDefault="00526AFD" w:rsidP="00526AFD">
            <w:pPr>
              <w:spacing w:after="0" w:line="240" w:lineRule="auto"/>
              <w:rPr>
                <w:rFonts w:ascii="Times New Roman" w:eastAsia="Calibri" w:hAnsi="Times New Roman" w:cs="Times New Roman"/>
                <w:sz w:val="24"/>
                <w:szCs w:val="24"/>
              </w:rPr>
            </w:pPr>
          </w:p>
          <w:p w14:paraId="6CEA5175" w14:textId="77777777" w:rsidR="00526AFD" w:rsidRPr="00526AFD" w:rsidRDefault="00526AFD" w:rsidP="00526AFD">
            <w:pPr>
              <w:spacing w:after="0" w:line="240" w:lineRule="auto"/>
              <w:rPr>
                <w:rFonts w:ascii="Times New Roman" w:eastAsia="Calibri" w:hAnsi="Times New Roman" w:cs="Times New Roman"/>
                <w:sz w:val="24"/>
                <w:szCs w:val="24"/>
              </w:rPr>
            </w:pPr>
          </w:p>
          <w:p w14:paraId="7443E179" w14:textId="77777777" w:rsidR="00526AFD" w:rsidRPr="00526AFD" w:rsidRDefault="00526AFD" w:rsidP="00526AFD">
            <w:pPr>
              <w:spacing w:after="0" w:line="240" w:lineRule="auto"/>
              <w:rPr>
                <w:rFonts w:ascii="Times New Roman" w:eastAsia="Calibri" w:hAnsi="Times New Roman" w:cs="Times New Roman"/>
                <w:sz w:val="24"/>
                <w:szCs w:val="24"/>
              </w:rPr>
            </w:pPr>
          </w:p>
          <w:p w14:paraId="6B2DD56B" w14:textId="77777777" w:rsidR="00526AFD" w:rsidRPr="00526AFD" w:rsidRDefault="00526AFD" w:rsidP="00526AFD">
            <w:pPr>
              <w:spacing w:after="0" w:line="240" w:lineRule="auto"/>
              <w:rPr>
                <w:rFonts w:ascii="Times New Roman" w:eastAsia="Calibri" w:hAnsi="Times New Roman" w:cs="Times New Roman"/>
                <w:sz w:val="24"/>
                <w:szCs w:val="24"/>
              </w:rPr>
            </w:pPr>
          </w:p>
          <w:p w14:paraId="58614A74" w14:textId="77777777" w:rsidR="00526AFD" w:rsidRPr="00526AFD" w:rsidRDefault="00526AFD" w:rsidP="00526AFD">
            <w:pPr>
              <w:spacing w:after="0" w:line="240" w:lineRule="auto"/>
              <w:rPr>
                <w:rFonts w:ascii="Times New Roman" w:eastAsia="Calibri" w:hAnsi="Times New Roman" w:cs="Times New Roman"/>
                <w:sz w:val="24"/>
                <w:szCs w:val="24"/>
              </w:rPr>
            </w:pPr>
          </w:p>
          <w:p w14:paraId="2772233A" w14:textId="77777777" w:rsidR="00526AFD" w:rsidRPr="00526AFD" w:rsidRDefault="00526AFD" w:rsidP="00526AFD">
            <w:pPr>
              <w:spacing w:after="0" w:line="240" w:lineRule="auto"/>
              <w:rPr>
                <w:rFonts w:ascii="Times New Roman" w:eastAsia="Calibri" w:hAnsi="Times New Roman" w:cs="Times New Roman"/>
                <w:sz w:val="24"/>
                <w:szCs w:val="24"/>
              </w:rPr>
            </w:pPr>
          </w:p>
          <w:p w14:paraId="60BE2ECD" w14:textId="77777777" w:rsidR="00526AFD" w:rsidRPr="00526AFD" w:rsidRDefault="00526AFD" w:rsidP="00526AFD">
            <w:pPr>
              <w:spacing w:after="0" w:line="240" w:lineRule="auto"/>
              <w:rPr>
                <w:rFonts w:ascii="Times New Roman" w:eastAsia="Calibri" w:hAnsi="Times New Roman" w:cs="Times New Roman"/>
                <w:sz w:val="24"/>
                <w:szCs w:val="24"/>
              </w:rPr>
            </w:pPr>
          </w:p>
          <w:p w14:paraId="7B165A4B" w14:textId="77777777" w:rsidR="00526AFD" w:rsidRPr="00526AFD" w:rsidRDefault="00526AFD" w:rsidP="00526AFD">
            <w:pPr>
              <w:spacing w:after="0" w:line="240" w:lineRule="auto"/>
              <w:ind w:firstLine="720"/>
              <w:rPr>
                <w:rFonts w:ascii="Times New Roman" w:eastAsia="Calibri" w:hAnsi="Times New Roman"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14:paraId="6D228F5B" w14:textId="77777777" w:rsidR="00526AFD" w:rsidRPr="00EC4749" w:rsidRDefault="00526AFD" w:rsidP="00526AFD">
            <w:pPr>
              <w:spacing w:before="60" w:after="60" w:line="240" w:lineRule="auto"/>
              <w:ind w:firstLine="649"/>
              <w:jc w:val="both"/>
              <w:rPr>
                <w:rFonts w:ascii="Times New Roman" w:eastAsia="Calibri" w:hAnsi="Times New Roman" w:cs="Times New Roman"/>
                <w:bCs/>
                <w:sz w:val="24"/>
                <w:szCs w:val="24"/>
                <w:lang w:eastAsia="lv-LV"/>
              </w:rPr>
            </w:pPr>
            <w:r w:rsidRPr="00EC4749">
              <w:rPr>
                <w:rFonts w:ascii="Times New Roman" w:eastAsia="Calibri" w:hAnsi="Times New Roman" w:cs="Times New Roman"/>
                <w:bCs/>
                <w:sz w:val="24"/>
                <w:szCs w:val="24"/>
                <w:lang w:eastAsia="lv-LV"/>
              </w:rPr>
              <w:t xml:space="preserve">Ministru kabineta 2015.gada 1.decembra noteikumu Nr.678 “Darbības programmas „Izaugsme un nodarbinātība” 3.2.1.specifiskā atbalsta mērķa „Palielināt augstas pievienotās vērtības produktu un pakalpojumu eksporta proporciju” 3.2.1.2.pasākuma „Starptautiskās konkurētspējas veicināšana” (turpmāk - 3.2.1.2.pasākums) īstenošanas noteikumi” (turpmāk – MK noteikumi Nr.678) 14. un 18.punktā ir noteiktas finansējuma saņēmēja - Latvijas Investīciju un attīstības aģentūras (turpmāk – LIAA) atbalstāmās darbības.  </w:t>
            </w:r>
            <w:r w:rsidRPr="00EC4749">
              <w:rPr>
                <w:rFonts w:ascii="Times New Roman" w:eastAsia="Calibri" w:hAnsi="Times New Roman" w:cs="Times New Roman"/>
                <w:b/>
                <w:bCs/>
                <w:sz w:val="24"/>
                <w:szCs w:val="24"/>
                <w:lang w:eastAsia="lv-LV"/>
              </w:rPr>
              <w:t>MK noteikumu Nr.678 14.punktā</w:t>
            </w:r>
            <w:r w:rsidRPr="00EC4749">
              <w:rPr>
                <w:rFonts w:ascii="Times New Roman" w:eastAsia="Calibri" w:hAnsi="Times New Roman" w:cs="Times New Roman"/>
                <w:bCs/>
                <w:sz w:val="24"/>
                <w:szCs w:val="24"/>
                <w:lang w:eastAsia="lv-LV"/>
              </w:rPr>
              <w:t xml:space="preserve"> ir ietvertas atbalstāmās darbības, kuras tiek īstenotas </w:t>
            </w:r>
            <w:r w:rsidRPr="00EC4749">
              <w:rPr>
                <w:rFonts w:ascii="Times New Roman" w:eastAsia="Calibri" w:hAnsi="Times New Roman" w:cs="Times New Roman"/>
                <w:b/>
                <w:bCs/>
                <w:sz w:val="24"/>
                <w:szCs w:val="24"/>
                <w:lang w:eastAsia="lv-LV"/>
              </w:rPr>
              <w:t>projekta Nr.3.2.1.2/16/l/001 "Starptautiskās konkurētspējas veicināšana"</w:t>
            </w:r>
            <w:r w:rsidRPr="00EC4749">
              <w:rPr>
                <w:rFonts w:ascii="Times New Roman" w:eastAsia="Calibri" w:hAnsi="Times New Roman" w:cs="Times New Roman"/>
                <w:bCs/>
                <w:sz w:val="24"/>
                <w:szCs w:val="24"/>
                <w:lang w:eastAsia="lv-LV"/>
              </w:rPr>
              <w:t xml:space="preserve"> (turpmāk – projekts Nr.3.2.1.2/16/l/001) ietvaros, lai veicinātu nozaru starptautisko konkurētspēju, atbalstot uzņēmējdarbību un ieiešanu ārvalstu tirgos, nodrošinot Latvijas ārvalstu ekonomisko pārstāvniecību darbību, un </w:t>
            </w:r>
            <w:r w:rsidRPr="00EC4749">
              <w:rPr>
                <w:rFonts w:ascii="Times New Roman" w:eastAsia="Calibri" w:hAnsi="Times New Roman" w:cs="Times New Roman"/>
                <w:b/>
                <w:bCs/>
                <w:sz w:val="24"/>
                <w:szCs w:val="24"/>
                <w:lang w:eastAsia="lv-LV"/>
              </w:rPr>
              <w:t>18.punktā</w:t>
            </w:r>
            <w:r w:rsidRPr="00EC4749">
              <w:rPr>
                <w:rFonts w:ascii="Times New Roman" w:eastAsia="Calibri" w:hAnsi="Times New Roman" w:cs="Times New Roman"/>
                <w:bCs/>
                <w:sz w:val="24"/>
                <w:szCs w:val="24"/>
                <w:lang w:eastAsia="lv-LV"/>
              </w:rPr>
              <w:t xml:space="preserve"> ir ietvertas finansējuma saņēmēja atbalstāmās darbības, kuras tiek īstenotas projekta </w:t>
            </w:r>
            <w:r w:rsidRPr="00EC4749">
              <w:rPr>
                <w:rFonts w:ascii="Times New Roman" w:eastAsia="Calibri" w:hAnsi="Times New Roman" w:cs="Times New Roman"/>
                <w:b/>
                <w:bCs/>
                <w:sz w:val="24"/>
                <w:szCs w:val="24"/>
                <w:lang w:eastAsia="lv-LV"/>
              </w:rPr>
              <w:t>Nr.3.2.1.2/16/l/002 "Latvijas starptautiskās konkurētspējas veicināšana tūrismā"</w:t>
            </w:r>
            <w:r w:rsidRPr="00EC4749">
              <w:rPr>
                <w:rFonts w:ascii="Times New Roman" w:eastAsia="Calibri" w:hAnsi="Times New Roman" w:cs="Times New Roman"/>
                <w:bCs/>
                <w:sz w:val="24"/>
                <w:szCs w:val="24"/>
                <w:lang w:eastAsia="lv-LV"/>
              </w:rPr>
              <w:t xml:space="preserve">  (turpmāk – projekts Nr.3.2.1.2/16/l/002) ietvaros,  lai veicinātu Latvijas kā tūrisma galamērķa starptautisko konkurētspēju prioritārajos tūrisma sektoros (darījumu un pasākumu tūrisms, labsajūtas tūrisms). </w:t>
            </w:r>
          </w:p>
          <w:p w14:paraId="61E27FC8" w14:textId="77777777" w:rsidR="00526AFD" w:rsidRPr="00EC4749" w:rsidRDefault="00526AFD" w:rsidP="00526AFD">
            <w:pPr>
              <w:spacing w:before="60" w:after="60" w:line="240" w:lineRule="auto"/>
              <w:ind w:firstLine="649"/>
              <w:jc w:val="both"/>
              <w:rPr>
                <w:rFonts w:ascii="Times New Roman" w:eastAsia="Calibri" w:hAnsi="Times New Roman" w:cs="Times New Roman"/>
                <w:bCs/>
                <w:sz w:val="24"/>
                <w:szCs w:val="24"/>
                <w:lang w:eastAsia="lv-LV"/>
              </w:rPr>
            </w:pPr>
            <w:r w:rsidRPr="00EC4749">
              <w:rPr>
                <w:rFonts w:ascii="Times New Roman" w:eastAsia="Calibri" w:hAnsi="Times New Roman" w:cs="Times New Roman"/>
                <w:bCs/>
                <w:sz w:val="24"/>
                <w:szCs w:val="24"/>
                <w:lang w:eastAsia="lv-LV"/>
              </w:rPr>
              <w:t xml:space="preserve">MK noteikumu Nr.678 14.3.apakšpunkts nosaka, ka 3.2.1.2.pasākuma ietvaros ir atbalstāma finansējuma saņēmēja darbība - atbalsta nodrošināšana pasākuma mērķa grupai dalībai starptautiskās izstādēs ar individuālo stendu ārvalstīs un dalībai ar uzņēmējdarbību saistītās individuāli izvēlētās konferencēs un semināros ārvalstīs. </w:t>
            </w:r>
          </w:p>
          <w:p w14:paraId="494D00E2" w14:textId="77777777" w:rsidR="00526AFD" w:rsidRPr="00EC4749" w:rsidRDefault="00526AFD" w:rsidP="00526AFD">
            <w:pPr>
              <w:spacing w:before="60" w:after="60" w:line="240" w:lineRule="auto"/>
              <w:ind w:firstLine="649"/>
              <w:jc w:val="both"/>
              <w:rPr>
                <w:rFonts w:ascii="Times New Roman" w:eastAsia="Calibri" w:hAnsi="Times New Roman" w:cs="Times New Roman"/>
                <w:bCs/>
                <w:sz w:val="24"/>
                <w:szCs w:val="24"/>
                <w:lang w:eastAsia="lv-LV"/>
              </w:rPr>
            </w:pPr>
            <w:r w:rsidRPr="00EC4749">
              <w:rPr>
                <w:rFonts w:ascii="Times New Roman" w:eastAsia="Calibri" w:hAnsi="Times New Roman" w:cs="Times New Roman"/>
                <w:bCs/>
                <w:sz w:val="24"/>
                <w:szCs w:val="24"/>
                <w:lang w:eastAsia="lv-LV"/>
              </w:rPr>
              <w:t xml:space="preserve">Saskaņā ar MK noteikumu Nr.678 20.punktā ietvertajiem nosacījumiem finansējuma saņēmējs atbalstāmo darbību ietvaros atbilstošajiem mērķa grupas subjektiem piešķirot atbalstu un aprēķinot piešķirto finansējumu kompensē 80 procentu apmērā attiecināmās izmaksas par jau notikušajām darbībām to ražotņu un produktu  atbilstības novērtēšanai, dalībai ārvalstu izstādēs ar individuālo stendu, dalībai konferencēs un semināros ārvalstīs, Latvijas augstu valsts amatpersonu vizīšu dalības izmaksas, tirdzniecības misijas dalības izmaksas un ceļa (transporta) izmaksas. Savukārt 100 procentu apmērā kompensē LIAA  organizēto nacionālo stendu dalības izmaksas, LIAA un tās Latvijas ārvalstu </w:t>
            </w:r>
            <w:r w:rsidRPr="00EC4749">
              <w:rPr>
                <w:rFonts w:ascii="Times New Roman" w:eastAsia="Calibri" w:hAnsi="Times New Roman" w:cs="Times New Roman"/>
                <w:bCs/>
                <w:sz w:val="24"/>
                <w:szCs w:val="24"/>
                <w:lang w:eastAsia="lv-LV"/>
              </w:rPr>
              <w:lastRenderedPageBreak/>
              <w:t>ekonomisko pārstāvniecību konsultāciju izmaksas, kas tiek aprēķinātas  atbilstoši LIAA apstiprinātajam cenrādim.</w:t>
            </w:r>
          </w:p>
          <w:p w14:paraId="66E1FC2B" w14:textId="77777777" w:rsidR="00526AFD" w:rsidRPr="00EC4749" w:rsidRDefault="00526AFD" w:rsidP="00526AFD">
            <w:pPr>
              <w:spacing w:before="60" w:after="60" w:line="240" w:lineRule="auto"/>
              <w:ind w:firstLine="649"/>
              <w:jc w:val="both"/>
              <w:rPr>
                <w:rFonts w:ascii="Times New Roman" w:eastAsia="Calibri" w:hAnsi="Times New Roman" w:cs="Times New Roman"/>
                <w:bCs/>
                <w:iCs/>
                <w:sz w:val="24"/>
                <w:szCs w:val="24"/>
                <w:lang w:eastAsia="lv-LV"/>
              </w:rPr>
            </w:pPr>
            <w:r w:rsidRPr="00EC4749">
              <w:rPr>
                <w:rFonts w:ascii="Times New Roman" w:eastAsia="Calibri" w:hAnsi="Times New Roman" w:cs="Times New Roman"/>
                <w:bCs/>
                <w:sz w:val="24"/>
                <w:szCs w:val="24"/>
                <w:lang w:eastAsia="lv-LV"/>
              </w:rPr>
              <w:t xml:space="preserve">Kopš 2016.gada marta ir uzsākta atbalsta sniegšana 3.2.1.2.pasākuma mērķa grupai un gala labuma guvējiem - </w:t>
            </w:r>
            <w:r w:rsidRPr="00EC4749">
              <w:rPr>
                <w:rFonts w:ascii="Times New Roman" w:eastAsia="Calibri" w:hAnsi="Times New Roman" w:cs="Times New Roman"/>
                <w:bCs/>
                <w:iCs/>
                <w:sz w:val="24"/>
                <w:szCs w:val="24"/>
                <w:lang w:eastAsia="lv-LV"/>
              </w:rPr>
              <w:t xml:space="preserve">komersantiem, kooperatīvajām sabiedrībām (tai skaitā lauksaimniecības pakalpojumu kooperatīvajām sabiedrība vai atbilstīgām lauksaimniecības pakalpojumu kooperatīvajām sabiedrībām), zemnieku vai zvejnieku saimniecībām, individuāliem uzņēmumiem, biedrībām, nodibinājumiem, kuri atbilst sīko (mikro), mazo un vidējo saimnieciskās darbības subjektu (komercsabiedrību) statusam, saskaņā ar Komisijas 2014.gada 17.jūnija Regulas (ES) Nr.651/2014, ar ko noteiktas atbalsta kategorijas atzīst par saderīgām ar iekšējo tirgu, piemērojot Līguma 107. un 108.pantu, 1.pielikumu (Eiropas Savienības Oficiālais Vēstnesis, 2014. gada 26. jūnijs, Nr. L 187) (turpmāk - Regula Nr.651/2014) un ostu pārvaldēm, pašvaldībām, plānošanas reģioniem (projektos, kas neietver saimnieciskas darbības). </w:t>
            </w:r>
          </w:p>
          <w:p w14:paraId="0693DF55" w14:textId="77777777" w:rsidR="00526AFD" w:rsidRPr="00EC4749" w:rsidRDefault="00526AFD" w:rsidP="00526AFD">
            <w:pPr>
              <w:spacing w:before="60" w:after="60" w:line="240" w:lineRule="auto"/>
              <w:ind w:firstLine="649"/>
              <w:jc w:val="both"/>
              <w:rPr>
                <w:rFonts w:ascii="Times New Roman" w:eastAsia="Calibri" w:hAnsi="Times New Roman" w:cs="Times New Roman"/>
                <w:bCs/>
                <w:sz w:val="24"/>
                <w:szCs w:val="24"/>
                <w:lang w:eastAsia="lv-LV"/>
              </w:rPr>
            </w:pPr>
            <w:r w:rsidRPr="00EC4749">
              <w:rPr>
                <w:rFonts w:ascii="Times New Roman" w:eastAsia="Calibri" w:hAnsi="Times New Roman" w:cs="Times New Roman"/>
                <w:bCs/>
                <w:sz w:val="24"/>
                <w:szCs w:val="24"/>
                <w:lang w:eastAsia="lv-LV"/>
              </w:rPr>
              <w:t xml:space="preserve">Saskaņā ar LIAA sniegtajiem datiem </w:t>
            </w:r>
            <w:r w:rsidRPr="00EC4749">
              <w:rPr>
                <w:rFonts w:ascii="Times New Roman" w:eastAsia="Calibri" w:hAnsi="Times New Roman" w:cs="Times New Roman"/>
                <w:b/>
                <w:bCs/>
                <w:sz w:val="24"/>
                <w:szCs w:val="24"/>
                <w:lang w:eastAsia="lv-LV"/>
              </w:rPr>
              <w:t>projektā</w:t>
            </w:r>
            <w:r w:rsidRPr="00EC4749">
              <w:rPr>
                <w:rFonts w:ascii="Times New Roman" w:eastAsia="Calibri" w:hAnsi="Times New Roman" w:cs="Times New Roman"/>
                <w:bCs/>
                <w:sz w:val="24"/>
                <w:szCs w:val="24"/>
                <w:lang w:eastAsia="lv-LV"/>
              </w:rPr>
              <w:t xml:space="preserve"> </w:t>
            </w:r>
            <w:r w:rsidRPr="00EC4749">
              <w:rPr>
                <w:rFonts w:ascii="Times New Roman" w:eastAsia="Calibri" w:hAnsi="Times New Roman" w:cs="Times New Roman"/>
                <w:b/>
                <w:bCs/>
                <w:sz w:val="24"/>
                <w:szCs w:val="24"/>
                <w:lang w:eastAsia="lv-LV"/>
              </w:rPr>
              <w:t>Nr.3.2.1.2/16/l/001</w:t>
            </w:r>
            <w:r w:rsidRPr="00EC4749">
              <w:rPr>
                <w:rFonts w:ascii="Times New Roman" w:eastAsia="Calibri" w:hAnsi="Times New Roman" w:cs="Times New Roman"/>
                <w:bCs/>
                <w:sz w:val="24"/>
                <w:szCs w:val="24"/>
                <w:lang w:eastAsia="lv-LV"/>
              </w:rPr>
              <w:t xml:space="preserve">  līdz 13.10.2017. ar pasākuma mērķa grupas subjektiem ir noslēgti 1510 līgumi par atbalsta saņemšanu, atbalsts sniegts par LIAA iesniegtiem 2138 maksājuma pieprasījumiem par kopējo atbalsta summu           9 210 315 </w:t>
            </w:r>
            <w:r w:rsidRPr="00EC4749">
              <w:rPr>
                <w:rFonts w:ascii="Times New Roman" w:eastAsia="Calibri" w:hAnsi="Times New Roman" w:cs="Times New Roman"/>
                <w:bCs/>
                <w:i/>
                <w:sz w:val="24"/>
                <w:szCs w:val="24"/>
                <w:lang w:eastAsia="lv-LV"/>
              </w:rPr>
              <w:t>euro</w:t>
            </w:r>
            <w:r w:rsidRPr="00EC4749">
              <w:rPr>
                <w:rFonts w:ascii="Times New Roman" w:eastAsia="Calibri" w:hAnsi="Times New Roman" w:cs="Times New Roman"/>
                <w:bCs/>
                <w:sz w:val="24"/>
                <w:szCs w:val="24"/>
                <w:lang w:eastAsia="lv-LV"/>
              </w:rPr>
              <w:t>, kas liecina par mērķa grupas ieinteresētību un komersantu augsto aktivitāti atbalstāmo darbību ietvaros, lai paaugstinātu savu eksportspēju un veicinātu ieiešanu ārvalstu tirgos, kas pilnībā atbilst un sekmē 3.2.1.2.pasākuma mērķa veiksmīgu īstenošanu.</w:t>
            </w:r>
          </w:p>
          <w:p w14:paraId="71EB6DF5" w14:textId="77777777" w:rsidR="00526AFD" w:rsidRPr="00EC4749" w:rsidRDefault="00526AFD" w:rsidP="00526AFD">
            <w:pPr>
              <w:spacing w:before="60" w:after="60" w:line="240" w:lineRule="auto"/>
              <w:ind w:firstLine="649"/>
              <w:jc w:val="both"/>
              <w:rPr>
                <w:rFonts w:ascii="Times New Roman" w:eastAsia="Calibri" w:hAnsi="Times New Roman" w:cs="Times New Roman"/>
                <w:bCs/>
                <w:iCs/>
                <w:sz w:val="24"/>
                <w:szCs w:val="24"/>
                <w:lang w:eastAsia="lv-LV"/>
              </w:rPr>
            </w:pPr>
            <w:r w:rsidRPr="00EC4749">
              <w:rPr>
                <w:rFonts w:ascii="Times New Roman" w:eastAsia="Calibri" w:hAnsi="Times New Roman" w:cs="Times New Roman"/>
                <w:bCs/>
                <w:iCs/>
                <w:sz w:val="24"/>
                <w:szCs w:val="24"/>
                <w:lang w:eastAsia="lv-LV"/>
              </w:rPr>
              <w:t xml:space="preserve">Par izstādēm, konferencēm, semināriem (tai skaitā ceļa izdevumi) mērķa grupas subjekti ir iesnieguši 1351 maksājuma pieprasījumu un ir izmaksāts atbalsta finansējums 6 899 177,66 </w:t>
            </w:r>
            <w:r w:rsidRPr="00EC4749">
              <w:rPr>
                <w:rFonts w:ascii="Times New Roman" w:eastAsia="Calibri" w:hAnsi="Times New Roman" w:cs="Times New Roman"/>
                <w:bCs/>
                <w:i/>
                <w:iCs/>
                <w:sz w:val="24"/>
                <w:szCs w:val="24"/>
                <w:lang w:eastAsia="lv-LV"/>
              </w:rPr>
              <w:t>euro</w:t>
            </w:r>
            <w:r w:rsidRPr="00EC4749">
              <w:rPr>
                <w:rFonts w:ascii="Times New Roman" w:eastAsia="Calibri" w:hAnsi="Times New Roman" w:cs="Times New Roman"/>
                <w:bCs/>
                <w:iCs/>
                <w:sz w:val="24"/>
                <w:szCs w:val="24"/>
                <w:lang w:eastAsia="lv-LV"/>
              </w:rPr>
              <w:t xml:space="preserve"> apmērā, par tirdzniecības misijām un Latvijas augstu valsts amatpersonu vizītēm ārvalstīs - 718 maksājuma pieprasījumi un izmaksāti 2 007 454, 42</w:t>
            </w:r>
            <w:r w:rsidRPr="00EC4749">
              <w:rPr>
                <w:rFonts w:ascii="Times New Roman" w:eastAsia="Calibri" w:hAnsi="Times New Roman" w:cs="Times New Roman"/>
                <w:bCs/>
                <w:i/>
                <w:iCs/>
                <w:sz w:val="24"/>
                <w:szCs w:val="24"/>
                <w:lang w:eastAsia="lv-LV"/>
              </w:rPr>
              <w:t xml:space="preserve"> euro</w:t>
            </w:r>
            <w:r w:rsidRPr="00EC4749">
              <w:rPr>
                <w:rFonts w:ascii="Times New Roman" w:eastAsia="Calibri" w:hAnsi="Times New Roman" w:cs="Times New Roman"/>
                <w:bCs/>
                <w:iCs/>
                <w:sz w:val="24"/>
                <w:szCs w:val="24"/>
                <w:lang w:eastAsia="lv-LV"/>
              </w:rPr>
              <w:t xml:space="preserve">, par ražotņu un produktu atbilstības novērtēšanu – 69 maksājuma pieprasījumi un izmaksāti  303 683,64 </w:t>
            </w:r>
            <w:r w:rsidRPr="00EC4749">
              <w:rPr>
                <w:rFonts w:ascii="Times New Roman" w:eastAsia="Calibri" w:hAnsi="Times New Roman" w:cs="Times New Roman"/>
                <w:bCs/>
                <w:i/>
                <w:iCs/>
                <w:sz w:val="24"/>
                <w:szCs w:val="24"/>
                <w:lang w:eastAsia="lv-LV"/>
              </w:rPr>
              <w:t>euro.</w:t>
            </w:r>
            <w:r w:rsidRPr="00EC4749">
              <w:rPr>
                <w:rFonts w:ascii="Times New Roman" w:eastAsia="Calibri" w:hAnsi="Times New Roman" w:cs="Times New Roman"/>
                <w:bCs/>
                <w:iCs/>
                <w:sz w:val="24"/>
                <w:szCs w:val="24"/>
                <w:lang w:eastAsia="lv-LV"/>
              </w:rPr>
              <w:t xml:space="preserve"> Saskaņā ar LIAA sniegto informāciju, projektā Nr.3.2.1.2/16/l/001 par dalību semināros, konferencēs, kongresos ir sniegts atbalsts 10 pašvaldībām, un attiecinātas izmaksas 12 435,45 </w:t>
            </w:r>
            <w:r w:rsidRPr="00EC4749">
              <w:rPr>
                <w:rFonts w:ascii="Times New Roman" w:eastAsia="Calibri" w:hAnsi="Times New Roman" w:cs="Times New Roman"/>
                <w:bCs/>
                <w:i/>
                <w:iCs/>
                <w:sz w:val="24"/>
                <w:szCs w:val="24"/>
                <w:lang w:eastAsia="lv-LV"/>
              </w:rPr>
              <w:t>euro</w:t>
            </w:r>
            <w:r w:rsidRPr="00EC4749">
              <w:rPr>
                <w:rFonts w:ascii="Times New Roman" w:eastAsia="Calibri" w:hAnsi="Times New Roman" w:cs="Times New Roman"/>
                <w:bCs/>
                <w:iCs/>
                <w:sz w:val="24"/>
                <w:szCs w:val="24"/>
                <w:lang w:eastAsia="lv-LV"/>
              </w:rPr>
              <w:t xml:space="preserve"> apmērā, kā arī 2 plānošanas reģioniem 2 750,17 </w:t>
            </w:r>
            <w:r w:rsidRPr="00EC4749">
              <w:rPr>
                <w:rFonts w:ascii="Times New Roman" w:eastAsia="Calibri" w:hAnsi="Times New Roman" w:cs="Times New Roman"/>
                <w:bCs/>
                <w:i/>
                <w:iCs/>
                <w:sz w:val="24"/>
                <w:szCs w:val="24"/>
                <w:lang w:eastAsia="lv-LV"/>
              </w:rPr>
              <w:t>euro</w:t>
            </w:r>
            <w:r w:rsidRPr="00EC4749">
              <w:rPr>
                <w:rFonts w:ascii="Times New Roman" w:eastAsia="Calibri" w:hAnsi="Times New Roman" w:cs="Times New Roman"/>
                <w:bCs/>
                <w:iCs/>
                <w:sz w:val="24"/>
                <w:szCs w:val="24"/>
                <w:lang w:eastAsia="lv-LV"/>
              </w:rPr>
              <w:t xml:space="preserve"> apmērā. Par dalību valsts vizītēs ārvalstis atbalsts ir sniegts 12 pašvaldībām un attiecinātas izmaksas 9 737,38 </w:t>
            </w:r>
            <w:r w:rsidRPr="00EC4749">
              <w:rPr>
                <w:rFonts w:ascii="Times New Roman" w:eastAsia="Calibri" w:hAnsi="Times New Roman" w:cs="Times New Roman"/>
                <w:bCs/>
                <w:i/>
                <w:iCs/>
                <w:sz w:val="24"/>
                <w:szCs w:val="24"/>
                <w:lang w:eastAsia="lv-LV"/>
              </w:rPr>
              <w:t xml:space="preserve">euro </w:t>
            </w:r>
            <w:r w:rsidRPr="00EC4749">
              <w:rPr>
                <w:rFonts w:ascii="Times New Roman" w:eastAsia="Calibri" w:hAnsi="Times New Roman" w:cs="Times New Roman"/>
                <w:bCs/>
                <w:iCs/>
                <w:sz w:val="24"/>
                <w:szCs w:val="24"/>
                <w:lang w:eastAsia="lv-LV"/>
              </w:rPr>
              <w:t xml:space="preserve">apmērā, kā arī atbalstīti 2 plānošanas reģioni par kopējo atbalsta summu 3 225,95 </w:t>
            </w:r>
            <w:r w:rsidRPr="00EC4749">
              <w:rPr>
                <w:rFonts w:ascii="Times New Roman" w:eastAsia="Calibri" w:hAnsi="Times New Roman" w:cs="Times New Roman"/>
                <w:bCs/>
                <w:i/>
                <w:iCs/>
                <w:sz w:val="24"/>
                <w:szCs w:val="24"/>
                <w:lang w:eastAsia="lv-LV"/>
              </w:rPr>
              <w:t>euro</w:t>
            </w:r>
            <w:r w:rsidRPr="00EC4749">
              <w:rPr>
                <w:rFonts w:ascii="Times New Roman" w:eastAsia="Calibri" w:hAnsi="Times New Roman" w:cs="Times New Roman"/>
                <w:bCs/>
                <w:iCs/>
                <w:sz w:val="24"/>
                <w:szCs w:val="24"/>
                <w:lang w:eastAsia="lv-LV"/>
              </w:rPr>
              <w:t xml:space="preserve">. </w:t>
            </w:r>
          </w:p>
          <w:p w14:paraId="1F063896" w14:textId="77777777" w:rsidR="00526AFD" w:rsidRPr="00EC4749" w:rsidRDefault="00526AFD" w:rsidP="00526AFD">
            <w:pPr>
              <w:spacing w:before="60" w:after="60" w:line="240" w:lineRule="auto"/>
              <w:ind w:firstLine="649"/>
              <w:jc w:val="both"/>
              <w:rPr>
                <w:rFonts w:ascii="Times New Roman" w:eastAsia="Calibri" w:hAnsi="Times New Roman" w:cs="Times New Roman"/>
                <w:bCs/>
                <w:iCs/>
                <w:sz w:val="24"/>
                <w:szCs w:val="24"/>
                <w:lang w:eastAsia="lv-LV"/>
              </w:rPr>
            </w:pPr>
            <w:r w:rsidRPr="00EC4749">
              <w:rPr>
                <w:rFonts w:ascii="Times New Roman" w:eastAsia="Calibri" w:hAnsi="Times New Roman" w:cs="Times New Roman"/>
                <w:bCs/>
                <w:sz w:val="24"/>
                <w:szCs w:val="24"/>
                <w:lang w:eastAsia="lv-LV"/>
              </w:rPr>
              <w:t xml:space="preserve">Projekta Nr.3.2.1.2/16/l/001 ietvaros ir nodrošināta 20 LIAA pārstāvniecību darbība 19 valstīs (tajā skaitā līdz 30.03.2017. apstrādāti 913 eksporta projekti/pieprasījumi), ir noorganizēti 40 nacionālie stendi, kuros piedalījās 299 mērķa grupas subjekti, 43 semināri par ārējiem tirgiem un ārējās tirdzniecības jautājumiem ar vairāk nekā  2040 dalībniekiem, ir sniegts atbalsts dalībai 152 nozaru izstādēs (izņemot nacionālos stendus) ārvalstīs, ir  noorganizētas 60 tirdzniecības misijas (tajā skaitā 11 Latvijas augstu valsts amatpersonu vizītēs ārvalstīs), kurās piedalījās 496 komersanti ir sniegts konsultatīvs atbalsts  - 1203 konsultācijas mērķa grupai par </w:t>
            </w:r>
            <w:r w:rsidRPr="00EC4749">
              <w:rPr>
                <w:rFonts w:ascii="Times New Roman" w:eastAsia="Calibri" w:hAnsi="Times New Roman" w:cs="Times New Roman"/>
                <w:bCs/>
                <w:sz w:val="24"/>
                <w:szCs w:val="24"/>
                <w:lang w:eastAsia="lv-LV"/>
              </w:rPr>
              <w:lastRenderedPageBreak/>
              <w:t>LIAA pakalpojumiem un atbalstu eksportam, kā arī 1417 konsultācijas par biznesa partneru meklēšanu.. Noorganizēts starptautisks forums "Eksporta forums "</w:t>
            </w:r>
            <w:proofErr w:type="spellStart"/>
            <w:r w:rsidRPr="00EC4749">
              <w:rPr>
                <w:rFonts w:ascii="Times New Roman" w:eastAsia="Calibri" w:hAnsi="Times New Roman" w:cs="Times New Roman"/>
                <w:bCs/>
                <w:sz w:val="24"/>
                <w:szCs w:val="24"/>
                <w:lang w:eastAsia="lv-LV"/>
              </w:rPr>
              <w:t>Magnetic</w:t>
            </w:r>
            <w:proofErr w:type="spellEnd"/>
            <w:r w:rsidRPr="00EC4749">
              <w:rPr>
                <w:rFonts w:ascii="Times New Roman" w:eastAsia="Calibri" w:hAnsi="Times New Roman" w:cs="Times New Roman"/>
                <w:bCs/>
                <w:sz w:val="24"/>
                <w:szCs w:val="24"/>
                <w:lang w:eastAsia="lv-LV"/>
              </w:rPr>
              <w:t xml:space="preserve"> Latvija 2016", kā arī forums “</w:t>
            </w:r>
            <w:proofErr w:type="spellStart"/>
            <w:r w:rsidRPr="00EC4749">
              <w:rPr>
                <w:rFonts w:ascii="Times New Roman" w:eastAsia="Calibri" w:hAnsi="Times New Roman" w:cs="Times New Roman"/>
                <w:bCs/>
                <w:sz w:val="24"/>
                <w:szCs w:val="24"/>
                <w:lang w:eastAsia="lv-LV"/>
              </w:rPr>
              <w:t>Polaris</w:t>
            </w:r>
            <w:proofErr w:type="spellEnd"/>
            <w:r w:rsidRPr="00EC4749">
              <w:rPr>
                <w:rFonts w:ascii="Times New Roman" w:eastAsia="Calibri" w:hAnsi="Times New Roman" w:cs="Times New Roman"/>
                <w:bCs/>
                <w:sz w:val="24"/>
                <w:szCs w:val="24"/>
                <w:lang w:eastAsia="lv-LV"/>
              </w:rPr>
              <w:t xml:space="preserve"> 2016” (08.09.2016.). Noorganizēts biznesa forums piektās Centrālās un Austrumeiropas un Ķīnas premjerministru tikšanās laikā (16+1 ietvaros) (05.-06.11.2016.). Noorganizēts Mašīnbūves un metālapstrādes biznesa forums (Liepājā, 02.02.2017. ar vairāk kā 250 dalībniekiem) un eksporta forums "</w:t>
            </w:r>
            <w:proofErr w:type="spellStart"/>
            <w:r w:rsidRPr="00EC4749">
              <w:rPr>
                <w:rFonts w:ascii="Times New Roman" w:eastAsia="Calibri" w:hAnsi="Times New Roman" w:cs="Times New Roman"/>
                <w:bCs/>
                <w:sz w:val="24"/>
                <w:szCs w:val="24"/>
                <w:lang w:eastAsia="lv-LV"/>
              </w:rPr>
              <w:t>Magnetic</w:t>
            </w:r>
            <w:proofErr w:type="spellEnd"/>
            <w:r w:rsidRPr="00EC4749">
              <w:rPr>
                <w:rFonts w:ascii="Times New Roman" w:eastAsia="Calibri" w:hAnsi="Times New Roman" w:cs="Times New Roman"/>
                <w:bCs/>
                <w:sz w:val="24"/>
                <w:szCs w:val="24"/>
                <w:lang w:eastAsia="lv-LV"/>
              </w:rPr>
              <w:t xml:space="preserve"> Latvija 2017", kā arī nodrošināts atbalsts 18 komersantiem ražotņu un produktu atbilstības novērtēšanai. Līdz 31.07.2017. LIAA ir  atbalstījusi mērķa grupas subjektu dalību 1279 izstādēs ar individuālo stendu par kopējo atbalsta finansējumu 5 544 471 </w:t>
            </w:r>
            <w:r w:rsidRPr="00EC4749">
              <w:rPr>
                <w:rFonts w:ascii="Times New Roman" w:eastAsia="Calibri" w:hAnsi="Times New Roman" w:cs="Times New Roman"/>
                <w:bCs/>
                <w:i/>
                <w:sz w:val="24"/>
                <w:szCs w:val="24"/>
                <w:lang w:eastAsia="lv-LV"/>
              </w:rPr>
              <w:t>euro</w:t>
            </w:r>
            <w:r w:rsidRPr="00EC4749">
              <w:rPr>
                <w:rFonts w:ascii="Times New Roman" w:eastAsia="Calibri" w:hAnsi="Times New Roman" w:cs="Times New Roman"/>
                <w:bCs/>
                <w:sz w:val="24"/>
                <w:szCs w:val="24"/>
                <w:lang w:eastAsia="lv-LV"/>
              </w:rPr>
              <w:t xml:space="preserve">, kā arī ir atbalstīta dalība 496 biedrību organizētajās tirdzniecības misijās par kopējo atbalsta summu 1 461 723, 62 </w:t>
            </w:r>
            <w:r w:rsidRPr="00EC4749">
              <w:rPr>
                <w:rFonts w:ascii="Times New Roman" w:eastAsia="Calibri" w:hAnsi="Times New Roman" w:cs="Times New Roman"/>
                <w:bCs/>
                <w:i/>
                <w:sz w:val="24"/>
                <w:szCs w:val="24"/>
                <w:lang w:eastAsia="lv-LV"/>
              </w:rPr>
              <w:t>euro.</w:t>
            </w:r>
          </w:p>
          <w:p w14:paraId="45702724" w14:textId="77777777" w:rsidR="00526AFD" w:rsidRPr="00EC4749" w:rsidRDefault="00526AFD" w:rsidP="00526AFD">
            <w:pPr>
              <w:spacing w:before="60" w:after="60" w:line="240" w:lineRule="auto"/>
              <w:ind w:firstLine="649"/>
              <w:jc w:val="both"/>
              <w:rPr>
                <w:rFonts w:ascii="Times New Roman" w:eastAsia="Calibri" w:hAnsi="Times New Roman" w:cs="Times New Roman"/>
                <w:bCs/>
                <w:iCs/>
                <w:sz w:val="24"/>
                <w:szCs w:val="24"/>
                <w:lang w:eastAsia="lv-LV"/>
              </w:rPr>
            </w:pPr>
            <w:r w:rsidRPr="00EC4749">
              <w:rPr>
                <w:rFonts w:ascii="Times New Roman" w:eastAsia="Calibri" w:hAnsi="Times New Roman" w:cs="Times New Roman"/>
                <w:bCs/>
                <w:iCs/>
                <w:color w:val="000000"/>
                <w:sz w:val="24"/>
                <w:szCs w:val="24"/>
                <w:lang w:eastAsia="lv-LV"/>
              </w:rPr>
              <w:t xml:space="preserve">3.2.1.2.pasākuma ietvaros sasniedzamais iznākuma rādītājs – komersantu skaits, kuri saņem atbalstu - 555 komersanti, ir jāsasniedz līdz 2018.gada 31.decembrim Atbilstoši </w:t>
            </w:r>
            <w:hyperlink r:id="rId7" w:history="1">
              <w:r w:rsidRPr="00EC4749">
                <w:rPr>
                  <w:rStyle w:val="Hyperlink"/>
                  <w:rFonts w:ascii="Times New Roman" w:eastAsia="Calibri" w:hAnsi="Times New Roman" w:cs="Times New Roman"/>
                  <w:sz w:val="24"/>
                  <w:szCs w:val="24"/>
                  <w:lang w:eastAsia="lv-LV"/>
                </w:rPr>
                <w:t>Kohēzijas politikas fondu vadības informācija sistēmā 2014.-2020.gadam</w:t>
              </w:r>
            </w:hyperlink>
            <w:r w:rsidRPr="00EC4749">
              <w:rPr>
                <w:rFonts w:ascii="Times New Roman" w:eastAsia="Calibri" w:hAnsi="Times New Roman" w:cs="Times New Roman"/>
                <w:bCs/>
                <w:iCs/>
                <w:color w:val="000000"/>
                <w:sz w:val="24"/>
                <w:szCs w:val="24"/>
                <w:lang w:eastAsia="lv-LV"/>
              </w:rPr>
              <w:t xml:space="preserve"> ievadītajiem datiem līdz 2017.gada 18.jūlijam atbalstu ir saņēmis vairāk nekā 741 komersants (unikālais), un vairāk nekā 622 komersanti ir saņēmuši atbalstu, kas ir granti. Nefinansiālu atbalstu ir saņēmuši vairāk nekā 318 komersanti.</w:t>
            </w:r>
            <w:r w:rsidRPr="00EC4749">
              <w:rPr>
                <w:rFonts w:ascii="Times New Roman" w:eastAsia="Calibri" w:hAnsi="Times New Roman" w:cs="Times New Roman"/>
                <w:color w:val="000000"/>
                <w:sz w:val="24"/>
                <w:szCs w:val="24"/>
                <w:lang w:eastAsia="lv-LV"/>
              </w:rPr>
              <w:t xml:space="preserve"> </w:t>
            </w:r>
            <w:r w:rsidRPr="00EC4749">
              <w:rPr>
                <w:rFonts w:ascii="Times New Roman" w:eastAsia="Calibri" w:hAnsi="Times New Roman" w:cs="Times New Roman"/>
                <w:bCs/>
                <w:iCs/>
                <w:color w:val="000000"/>
                <w:sz w:val="24"/>
                <w:szCs w:val="24"/>
                <w:lang w:eastAsia="lv-LV"/>
              </w:rPr>
              <w:t xml:space="preserve">Privātais finansējums, kas piesaistīts publiskajam finansējumam, kas ir granti - 4 141 859,49 </w:t>
            </w:r>
            <w:r w:rsidRPr="00EC4749">
              <w:rPr>
                <w:rFonts w:ascii="Times New Roman" w:eastAsia="Calibri" w:hAnsi="Times New Roman" w:cs="Times New Roman"/>
                <w:bCs/>
                <w:i/>
                <w:iCs/>
                <w:color w:val="000000"/>
                <w:sz w:val="24"/>
                <w:szCs w:val="24"/>
                <w:lang w:eastAsia="lv-LV"/>
              </w:rPr>
              <w:t>euro</w:t>
            </w:r>
            <w:r w:rsidRPr="00EC4749">
              <w:rPr>
                <w:rFonts w:ascii="Times New Roman" w:eastAsia="Calibri" w:hAnsi="Times New Roman" w:cs="Times New Roman"/>
                <w:bCs/>
                <w:iCs/>
                <w:color w:val="000000"/>
                <w:sz w:val="24"/>
                <w:szCs w:val="24"/>
                <w:lang w:eastAsia="lv-LV"/>
              </w:rPr>
              <w:t xml:space="preserve">. Saskaņā ar iznākuma rādītāja izpildes tempiem, rādītājs var tikt sasniegts jau 2017.gadā. Atbilstoši 3.2.1.2.pasākuma iznākumu rādītāju vērtībām un sasniegtajiem darbības rezultātiem secināms, ka uzraudzības rādītāju izpilde norit sekmīgi. </w:t>
            </w:r>
          </w:p>
          <w:p w14:paraId="6C5F7B9E" w14:textId="2387D84C" w:rsidR="00526AFD" w:rsidRPr="00EC4749" w:rsidRDefault="00526AFD" w:rsidP="00526AFD">
            <w:pPr>
              <w:spacing w:before="60" w:after="60" w:line="240" w:lineRule="auto"/>
              <w:ind w:firstLine="649"/>
              <w:jc w:val="both"/>
              <w:rPr>
                <w:rFonts w:ascii="Times New Roman" w:eastAsia="Calibri" w:hAnsi="Times New Roman" w:cs="Times New Roman"/>
                <w:bCs/>
                <w:iCs/>
                <w:sz w:val="24"/>
                <w:szCs w:val="24"/>
                <w:lang w:eastAsia="lv-LV"/>
              </w:rPr>
            </w:pPr>
            <w:r w:rsidRPr="00EC4749">
              <w:rPr>
                <w:rFonts w:ascii="Times New Roman" w:eastAsia="Calibri" w:hAnsi="Times New Roman" w:cs="Times New Roman"/>
                <w:bCs/>
                <w:iCs/>
                <w:color w:val="000000"/>
                <w:sz w:val="24"/>
                <w:szCs w:val="24"/>
                <w:lang w:eastAsia="lv-LV"/>
              </w:rPr>
              <w:t>Ekonomikas ministrija rosina pārdalīt</w:t>
            </w:r>
            <w:r w:rsidRPr="00EC4749">
              <w:rPr>
                <w:rFonts w:ascii="Times New Roman" w:eastAsia="Calibri" w:hAnsi="Times New Roman" w:cs="Times New Roman"/>
                <w:color w:val="000000"/>
                <w:sz w:val="24"/>
                <w:szCs w:val="24"/>
                <w:lang w:eastAsia="lv-LV"/>
              </w:rPr>
              <w:t xml:space="preserve"> </w:t>
            </w:r>
            <w:r w:rsidRPr="00EC4749">
              <w:rPr>
                <w:rFonts w:ascii="Times New Roman" w:eastAsia="Calibri" w:hAnsi="Times New Roman" w:cs="Times New Roman"/>
                <w:bCs/>
                <w:iCs/>
                <w:color w:val="000000"/>
                <w:sz w:val="24"/>
                <w:szCs w:val="24"/>
                <w:lang w:eastAsia="lv-LV"/>
              </w:rPr>
              <w:t xml:space="preserve">līdz 2023.gada 31.decembrim sasniedzamo iznākuma rādītāju - to komersantu skaits, kuri saņem atbalstu - grantus - 200 komersantus no projekta Nr.3.2.1.2/16/l/002  (MK noteikumu Nr.678 8.3.2.apakšpunktā minētais iznākuma rādītājs – to komersantu skaits, kuri saņem atbalstu (granti) – 282 komersanti (projekta iesniegumā plānoti 254 komersanti)) uz projektu  Nr.3.2.1.2/16/l/001, nosakot, ka iznākuma rādītājs - to komersantu skaits, kuri saņem atbalstu - grantus projektā Nr.3.2.1.2/16/l/002  ir 82 komersanti (projekta iesniegumā plānoti 54 komersanti) un projektā  Nr.3.2.1.2/16/l/001 – 1048 komersanti (projekta iesniegumā plānoti 963 komersanti). Vienlaikus pārdalot arī līdz 2018.gada 31.decembrim  sasniedzamo iznākuma rādītāju - to komersantu skaits, kuri saņem atbalstu  (grantus) - 81 komersantu no projekta Nr.3.2.1.2/16/l/002  (MK noteikumu Nr.678 6.2.2. apakšpunktā minētais iznākuma rādītājs– to komersantu skaits, kuri saņem atbalstu (granti) – 106 komersanti) uz projektu  Nr.3.2.1.2/16/l/001, nosakot, ka iznākuma rādītājs - to komersantu skaits, kuri saņem atbalstu (granti) projektā Nr.3.2.1.2/16/l/002  ir 25 komersanti un </w:t>
            </w:r>
            <w:r w:rsidR="00442202">
              <w:rPr>
                <w:rFonts w:ascii="Times New Roman" w:eastAsia="Calibri" w:hAnsi="Times New Roman" w:cs="Times New Roman"/>
                <w:bCs/>
                <w:iCs/>
                <w:color w:val="000000"/>
                <w:sz w:val="24"/>
                <w:szCs w:val="24"/>
                <w:lang w:eastAsia="lv-LV"/>
              </w:rPr>
              <w:t xml:space="preserve">projektā  Nr.3.2.1.2/16/l/001 - </w:t>
            </w:r>
            <w:bookmarkStart w:id="12" w:name="_GoBack"/>
            <w:bookmarkEnd w:id="12"/>
            <w:r w:rsidRPr="00EC4749">
              <w:rPr>
                <w:rFonts w:ascii="Times New Roman" w:eastAsia="Calibri" w:hAnsi="Times New Roman" w:cs="Times New Roman"/>
                <w:bCs/>
                <w:iCs/>
                <w:color w:val="000000"/>
                <w:sz w:val="24"/>
                <w:szCs w:val="24"/>
                <w:lang w:eastAsia="lv-LV"/>
              </w:rPr>
              <w:t>81 komersants. Pārdalot komersantu skaitu no projekta Nr.3.2.1.2/16/l/002 uz projektu Nr.3.2.1.2/16/l/001 netiek mainīts kopējais 3.2.1.2.pasākuma iznākuma rādītājs- to komersantu skaits, kuri saņem atbalstu – grantus, - 1 130 komersanti.</w:t>
            </w:r>
          </w:p>
          <w:p w14:paraId="1E60E924" w14:textId="77777777" w:rsidR="00526AFD" w:rsidRPr="00EC4749" w:rsidRDefault="00526AFD" w:rsidP="00526AFD">
            <w:pPr>
              <w:spacing w:before="60" w:after="60" w:line="240" w:lineRule="auto"/>
              <w:ind w:firstLine="649"/>
              <w:jc w:val="both"/>
              <w:rPr>
                <w:rFonts w:ascii="Times New Roman" w:eastAsia="Calibri" w:hAnsi="Times New Roman" w:cs="Times New Roman"/>
                <w:bCs/>
                <w:color w:val="000000"/>
                <w:sz w:val="24"/>
                <w:szCs w:val="24"/>
                <w:lang w:eastAsia="lv-LV"/>
              </w:rPr>
            </w:pPr>
            <w:r w:rsidRPr="00EC4749">
              <w:rPr>
                <w:rFonts w:ascii="Times New Roman" w:eastAsia="Calibri" w:hAnsi="Times New Roman" w:cs="Times New Roman"/>
                <w:bCs/>
                <w:color w:val="000000"/>
                <w:sz w:val="24"/>
                <w:szCs w:val="24"/>
                <w:lang w:eastAsia="lv-LV"/>
              </w:rPr>
              <w:lastRenderedPageBreak/>
              <w:t xml:space="preserve">Ņemot vērā iepriekš minēto un to, ka projekta Nr.3.2.1.2/16/l/001 īstenošana plānota līdz 2023.gada 31.decembrim pastāv risks, ka pie tik straujas rādītāju izpildes finansējums mērķa grupas atbalstam (grantiem) kā pašreiz varētu izbeigties jau 2018.gada vidū. Līdz ar to Ekonomikas ministrija ierosina </w:t>
            </w:r>
            <w:r w:rsidRPr="00EC4749">
              <w:rPr>
                <w:rFonts w:ascii="Times New Roman" w:eastAsia="Calibri" w:hAnsi="Times New Roman" w:cs="Times New Roman"/>
                <w:b/>
                <w:bCs/>
                <w:color w:val="000000"/>
                <w:sz w:val="24"/>
                <w:szCs w:val="24"/>
                <w:lang w:eastAsia="lv-LV"/>
              </w:rPr>
              <w:t>sašaurināt  MK noteikumu Nr.678 14.3.apakšpunktā noteikto atbalstāmo darbību loku - atbalsta nodrošināšana pasākuma mērķa grupai dalībai starptautiskās izstādēs ar individuālo stendu ārvalstīs un dalībai ar uzņēmējdarbību saistītās individuāli izvēlētās konferencēs un semināros ārvalstīs.</w:t>
            </w:r>
            <w:r w:rsidRPr="00EC4749">
              <w:rPr>
                <w:rFonts w:ascii="Times New Roman" w:eastAsia="Calibri" w:hAnsi="Times New Roman" w:cs="Times New Roman"/>
                <w:bCs/>
                <w:color w:val="000000"/>
                <w:sz w:val="24"/>
                <w:szCs w:val="24"/>
                <w:lang w:eastAsia="lv-LV"/>
              </w:rPr>
              <w:t xml:space="preserve"> Tādējādi izslēdzot no minētās darbības atbalstu dalībai ar uzņēmējdarbību saistītās individuāli izvēlētās konferencēs un semināros ārvalstīs.</w:t>
            </w:r>
          </w:p>
          <w:p w14:paraId="3E30A137" w14:textId="31A83E0B" w:rsidR="00526AFD" w:rsidRPr="00EC4749" w:rsidRDefault="00526AFD" w:rsidP="00526AFD">
            <w:pPr>
              <w:spacing w:before="60" w:after="60" w:line="240" w:lineRule="auto"/>
              <w:ind w:firstLine="649"/>
              <w:jc w:val="both"/>
              <w:rPr>
                <w:rFonts w:ascii="Times New Roman" w:eastAsia="Calibri" w:hAnsi="Times New Roman" w:cs="Times New Roman"/>
                <w:bCs/>
                <w:color w:val="000000"/>
                <w:sz w:val="24"/>
                <w:szCs w:val="24"/>
                <w:lang w:eastAsia="lv-LV"/>
              </w:rPr>
            </w:pPr>
            <w:r w:rsidRPr="00EC4749">
              <w:rPr>
                <w:rFonts w:ascii="Times New Roman" w:eastAsia="Calibri" w:hAnsi="Times New Roman" w:cs="Times New Roman"/>
                <w:bCs/>
                <w:color w:val="000000"/>
                <w:sz w:val="24"/>
                <w:szCs w:val="24"/>
                <w:lang w:eastAsia="lv-LV"/>
              </w:rPr>
              <w:t>Atbalsta nodrošināšana pasākuma mērķa grupai dalībai starptautiskās izstādēs ar individuālo stendu ārvalstīs ir mērķēta uz tiešu uzņēmējdarbības konkurētspējas un eksportspējas veicināšanu un nodrošina pasākuma mērķa izpildi.</w:t>
            </w:r>
            <w:r w:rsidRPr="00EC4749">
              <w:rPr>
                <w:rFonts w:ascii="Times New Roman" w:eastAsia="Calibri" w:hAnsi="Times New Roman" w:cs="Times New Roman"/>
                <w:bCs/>
                <w:sz w:val="24"/>
                <w:szCs w:val="24"/>
              </w:rPr>
              <w:t xml:space="preserve"> </w:t>
            </w:r>
            <w:r w:rsidRPr="00EC4749">
              <w:rPr>
                <w:rFonts w:ascii="Times New Roman" w:eastAsia="Calibri" w:hAnsi="Times New Roman" w:cs="Times New Roman"/>
                <w:bCs/>
                <w:color w:val="000000"/>
                <w:sz w:val="24"/>
                <w:szCs w:val="24"/>
                <w:lang w:eastAsia="lv-LV"/>
              </w:rPr>
              <w:t xml:space="preserve">Vienlaikus rosinām samazināt arī finansējuma atbalsta intensitāti dalībai starptautiskās izstādēs ar individuālo stendu ārvalstīs un MK noteikumu Nr.678 14.4.apakšpunktā minētajai atbalstāmajai darbībai – dalība tirdzniecības misijās, nosakot, ka mērķa grupai starptautiskās izstādes ārvalstīs izmaksas un tirdzniecības misijas izmaksas kompensē 80 procentu apmērā dalībai pirmo reizi izstādē vai tirdzniecības misijā 3.2.1.2.pasākuma ietvaros, un 60 procentu apmērā dalībai katru nākošo reizi izstādē vai tirdzniecības misijā. Lai stimulētu ieiešanai ārvalstu tirgos pēc iespējas vairāk sīko (mikro), mazo un vidējo uzņēmumu (turpmāk – MVU), kas sekmēs to izaugsmi un eksportspēju, ir nepieciešams saglabāt 80 procentu atbalsta intensitāti pirmajai dalības reizei starptautiskā izstādē un tirdzniecības misijā ārvalstī. </w:t>
            </w:r>
          </w:p>
          <w:p w14:paraId="6EC39D04" w14:textId="32DD9E9B" w:rsidR="00526AFD" w:rsidRPr="00EC4749" w:rsidRDefault="00526AFD" w:rsidP="00526AFD">
            <w:pPr>
              <w:spacing w:before="60" w:after="60" w:line="240" w:lineRule="auto"/>
              <w:ind w:firstLine="649"/>
              <w:jc w:val="both"/>
              <w:rPr>
                <w:rFonts w:ascii="Times New Roman" w:eastAsia="Calibri" w:hAnsi="Times New Roman" w:cs="Times New Roman"/>
                <w:bCs/>
                <w:iCs/>
                <w:color w:val="000000"/>
                <w:sz w:val="24"/>
                <w:szCs w:val="24"/>
                <w:lang w:eastAsia="lv-LV"/>
              </w:rPr>
            </w:pPr>
            <w:r w:rsidRPr="00EC4749">
              <w:rPr>
                <w:rFonts w:ascii="Times New Roman" w:eastAsia="Calibri" w:hAnsi="Times New Roman" w:cs="Times New Roman"/>
                <w:b/>
                <w:bCs/>
                <w:color w:val="000000"/>
                <w:sz w:val="24"/>
                <w:szCs w:val="24"/>
                <w:lang w:eastAsia="lv-LV"/>
              </w:rPr>
              <w:t>Lai nošķirtu, kas ir dalība starptautiskās izstādēs ar individuālo stendu ārvalstīs un dalība ar uzņēmējdarbību saistītās individuāli izvēlētās konferencēs vai semināros ārvalstīs, atbalsts dalībai starptautiskās izstādēs ar individuālo stendu ārvalstīs 3.2.1.2.pasākuma ietvaros tiks sniegts par dalību tādās starptautiskajās izstādēs, kuras ir reģistrētas publiskajās datu bāzēs</w:t>
            </w:r>
            <w:r w:rsidR="00EC4749">
              <w:rPr>
                <w:rFonts w:ascii="Times New Roman" w:eastAsia="Calibri" w:hAnsi="Times New Roman" w:cs="Times New Roman"/>
                <w:bCs/>
                <w:color w:val="000000"/>
                <w:sz w:val="24"/>
                <w:szCs w:val="24"/>
                <w:lang w:eastAsia="lv-LV"/>
              </w:rPr>
              <w:t xml:space="preserve">: </w:t>
            </w:r>
            <w:hyperlink r:id="rId8" w:history="1">
              <w:r w:rsidRPr="00EC4749">
                <w:rPr>
                  <w:rStyle w:val="Hyperlink"/>
                  <w:rFonts w:ascii="Times New Roman" w:eastAsia="Calibri" w:hAnsi="Times New Roman" w:cs="Times New Roman"/>
                  <w:sz w:val="24"/>
                  <w:szCs w:val="24"/>
                  <w:lang w:eastAsia="lv-LV"/>
                </w:rPr>
                <w:t>www.expodatabase.com</w:t>
              </w:r>
            </w:hyperlink>
            <w:r w:rsidRPr="00EC4749">
              <w:rPr>
                <w:rFonts w:ascii="Times New Roman" w:eastAsia="Calibri" w:hAnsi="Times New Roman" w:cs="Times New Roman"/>
                <w:bCs/>
                <w:color w:val="000000"/>
                <w:sz w:val="24"/>
                <w:szCs w:val="24"/>
                <w:lang w:eastAsia="lv-LV"/>
              </w:rPr>
              <w:t xml:space="preserve">, </w:t>
            </w:r>
            <w:hyperlink r:id="rId9" w:history="1">
              <w:r w:rsidRPr="00EC4749">
                <w:rPr>
                  <w:rStyle w:val="Hyperlink"/>
                  <w:rFonts w:ascii="Times New Roman" w:eastAsia="Calibri" w:hAnsi="Times New Roman" w:cs="Times New Roman"/>
                  <w:sz w:val="24"/>
                  <w:szCs w:val="24"/>
                  <w:lang w:eastAsia="lv-LV"/>
                </w:rPr>
                <w:t>www.auma.de</w:t>
              </w:r>
            </w:hyperlink>
            <w:r w:rsidRPr="00EC4749">
              <w:rPr>
                <w:rFonts w:ascii="Times New Roman" w:eastAsia="Calibri" w:hAnsi="Times New Roman" w:cs="Times New Roman"/>
                <w:bCs/>
                <w:color w:val="000000"/>
                <w:sz w:val="24"/>
                <w:szCs w:val="24"/>
                <w:lang w:eastAsia="lv-LV"/>
              </w:rPr>
              <w:t xml:space="preserve">,  </w:t>
            </w:r>
            <w:hyperlink r:id="rId10" w:history="1">
              <w:r w:rsidRPr="00EC4749">
                <w:rPr>
                  <w:rStyle w:val="Hyperlink"/>
                  <w:rFonts w:ascii="Times New Roman" w:eastAsia="Calibri" w:hAnsi="Times New Roman" w:cs="Times New Roman"/>
                  <w:sz w:val="24"/>
                  <w:szCs w:val="24"/>
                  <w:lang w:eastAsia="lv-LV"/>
                </w:rPr>
                <w:t>www.tradefairdates.com/</w:t>
              </w:r>
            </w:hyperlink>
            <w:r w:rsidRPr="00EC4749">
              <w:rPr>
                <w:rFonts w:ascii="Times New Roman" w:eastAsia="Calibri" w:hAnsi="Times New Roman" w:cs="Times New Roman"/>
                <w:bCs/>
                <w:color w:val="000000"/>
                <w:sz w:val="24"/>
                <w:szCs w:val="24"/>
                <w:lang w:eastAsia="lv-LV"/>
              </w:rPr>
              <w:t xml:space="preserve"> vai </w:t>
            </w:r>
            <w:hyperlink r:id="rId11" w:history="1">
              <w:r w:rsidRPr="00EC4749">
                <w:rPr>
                  <w:rStyle w:val="Hyperlink"/>
                  <w:rFonts w:ascii="Times New Roman" w:eastAsia="Calibri" w:hAnsi="Times New Roman" w:cs="Times New Roman"/>
                  <w:sz w:val="24"/>
                  <w:szCs w:val="24"/>
                  <w:lang w:eastAsia="lv-LV"/>
                </w:rPr>
                <w:t>www.chinaexhibition.com</w:t>
              </w:r>
            </w:hyperlink>
            <w:r w:rsidRPr="00EC4749">
              <w:rPr>
                <w:rFonts w:ascii="Times New Roman" w:eastAsia="Calibri" w:hAnsi="Times New Roman" w:cs="Times New Roman"/>
                <w:bCs/>
                <w:color w:val="000000"/>
                <w:sz w:val="24"/>
                <w:szCs w:val="24"/>
                <w:lang w:eastAsia="lv-LV"/>
              </w:rPr>
              <w:t xml:space="preserve"> vai arī Eiropas Biznesa atbalsta tīkla (</w:t>
            </w:r>
            <w:r w:rsidRPr="00EC4749">
              <w:rPr>
                <w:rFonts w:ascii="Times New Roman" w:eastAsia="Calibri" w:hAnsi="Times New Roman" w:cs="Times New Roman"/>
                <w:bCs/>
                <w:i/>
                <w:color w:val="000000"/>
                <w:sz w:val="24"/>
                <w:szCs w:val="24"/>
                <w:lang w:eastAsia="lv-LV"/>
              </w:rPr>
              <w:t xml:space="preserve">Enterprise </w:t>
            </w:r>
            <w:proofErr w:type="spellStart"/>
            <w:r w:rsidRPr="00EC4749">
              <w:rPr>
                <w:rFonts w:ascii="Times New Roman" w:eastAsia="Calibri" w:hAnsi="Times New Roman" w:cs="Times New Roman"/>
                <w:bCs/>
                <w:i/>
                <w:color w:val="000000"/>
                <w:sz w:val="24"/>
                <w:szCs w:val="24"/>
                <w:lang w:eastAsia="lv-LV"/>
              </w:rPr>
              <w:t>Europe</w:t>
            </w:r>
            <w:proofErr w:type="spellEnd"/>
            <w:r w:rsidRPr="00EC4749">
              <w:rPr>
                <w:rFonts w:ascii="Times New Roman" w:eastAsia="Calibri" w:hAnsi="Times New Roman" w:cs="Times New Roman"/>
                <w:bCs/>
                <w:i/>
                <w:color w:val="000000"/>
                <w:sz w:val="24"/>
                <w:szCs w:val="24"/>
                <w:lang w:eastAsia="lv-LV"/>
              </w:rPr>
              <w:t xml:space="preserve"> </w:t>
            </w:r>
            <w:proofErr w:type="spellStart"/>
            <w:r w:rsidRPr="00EC4749">
              <w:rPr>
                <w:rFonts w:ascii="Times New Roman" w:eastAsia="Calibri" w:hAnsi="Times New Roman" w:cs="Times New Roman"/>
                <w:bCs/>
                <w:i/>
                <w:color w:val="000000"/>
                <w:sz w:val="24"/>
                <w:szCs w:val="24"/>
                <w:lang w:eastAsia="lv-LV"/>
              </w:rPr>
              <w:t>Network</w:t>
            </w:r>
            <w:proofErr w:type="spellEnd"/>
            <w:r w:rsidRPr="00EC4749">
              <w:rPr>
                <w:rFonts w:ascii="Times New Roman" w:eastAsia="Calibri" w:hAnsi="Times New Roman" w:cs="Times New Roman"/>
                <w:bCs/>
                <w:color w:val="000000"/>
                <w:sz w:val="24"/>
                <w:szCs w:val="24"/>
                <w:lang w:eastAsia="lv-LV"/>
              </w:rPr>
              <w:t xml:space="preserve">) izveidotajā publiskajā datu bāzē:  </w:t>
            </w:r>
            <w:hyperlink r:id="rId12" w:history="1">
              <w:r w:rsidRPr="00EC4749">
                <w:rPr>
                  <w:rStyle w:val="Hyperlink"/>
                  <w:rFonts w:ascii="Times New Roman" w:eastAsia="Calibri" w:hAnsi="Times New Roman" w:cs="Times New Roman"/>
                  <w:sz w:val="24"/>
                  <w:szCs w:val="24"/>
                  <w:lang w:eastAsia="lv-LV"/>
                </w:rPr>
                <w:t>http://www.een.lv/publikacijas/izstades-latvija-un-arzemes/</w:t>
              </w:r>
            </w:hyperlink>
            <w:r w:rsidRPr="00EC4749">
              <w:rPr>
                <w:rFonts w:ascii="Times New Roman" w:eastAsia="Calibri" w:hAnsi="Times New Roman" w:cs="Times New Roman"/>
                <w:bCs/>
                <w:color w:val="000000"/>
                <w:sz w:val="24"/>
                <w:szCs w:val="24"/>
                <w:u w:val="single"/>
                <w:lang w:eastAsia="lv-LV"/>
              </w:rPr>
              <w:t xml:space="preserve"> </w:t>
            </w:r>
            <w:r w:rsidRPr="00EC4749">
              <w:rPr>
                <w:rFonts w:ascii="Times New Roman" w:eastAsia="Calibri" w:hAnsi="Times New Roman" w:cs="Times New Roman"/>
                <w:bCs/>
                <w:color w:val="000000"/>
                <w:sz w:val="24"/>
                <w:szCs w:val="24"/>
                <w:lang w:eastAsia="lv-LV"/>
              </w:rPr>
              <w:t xml:space="preserve">. Ja izstāde nav reģistrēta nevienā no minētajām datu bāzēm, tad darbība nav attiecināma 3.2.1.2.pasākuma ietvaros. Atbalsts tiks sniegts dalībai modes izstādēs </w:t>
            </w:r>
            <w:r w:rsidRPr="00EC4749">
              <w:rPr>
                <w:rFonts w:ascii="Times New Roman" w:eastAsia="Calibri" w:hAnsi="Times New Roman" w:cs="Times New Roman"/>
                <w:bCs/>
                <w:i/>
                <w:iCs/>
                <w:color w:val="000000"/>
                <w:sz w:val="24"/>
                <w:szCs w:val="24"/>
                <w:lang w:eastAsia="lv-LV"/>
              </w:rPr>
              <w:t>(</w:t>
            </w:r>
            <w:proofErr w:type="spellStart"/>
            <w:r w:rsidRPr="00EC4749">
              <w:rPr>
                <w:rFonts w:ascii="Times New Roman" w:eastAsia="Calibri" w:hAnsi="Times New Roman" w:cs="Times New Roman"/>
                <w:bCs/>
                <w:i/>
                <w:iCs/>
                <w:color w:val="000000"/>
                <w:sz w:val="24"/>
                <w:szCs w:val="24"/>
                <w:lang w:eastAsia="lv-LV"/>
              </w:rPr>
              <w:t>showroom</w:t>
            </w:r>
            <w:proofErr w:type="spellEnd"/>
            <w:r w:rsidRPr="00EC4749">
              <w:rPr>
                <w:rFonts w:ascii="Times New Roman" w:eastAsia="Calibri" w:hAnsi="Times New Roman" w:cs="Times New Roman"/>
                <w:bCs/>
                <w:i/>
                <w:iCs/>
                <w:color w:val="000000"/>
                <w:sz w:val="24"/>
                <w:szCs w:val="24"/>
                <w:lang w:eastAsia="lv-LV"/>
              </w:rPr>
              <w:t xml:space="preserve">) </w:t>
            </w:r>
            <w:r w:rsidRPr="00EC4749">
              <w:rPr>
                <w:rFonts w:ascii="Times New Roman" w:eastAsia="Calibri" w:hAnsi="Times New Roman" w:cs="Times New Roman"/>
                <w:bCs/>
                <w:iCs/>
                <w:color w:val="000000"/>
                <w:sz w:val="24"/>
                <w:szCs w:val="24"/>
                <w:lang w:eastAsia="lv-LV"/>
              </w:rPr>
              <w:t xml:space="preserve">ar stenda laukuma nomu, un šīm izstādēm ir identificējams izstādes rīkotājs, mērķis, programma un norises laiks, kurš nepārsniedz desmit dienas. </w:t>
            </w:r>
          </w:p>
          <w:p w14:paraId="616B9F6F" w14:textId="77777777" w:rsidR="00526AFD" w:rsidRPr="00EC4749" w:rsidRDefault="00526AFD" w:rsidP="00526AFD">
            <w:pPr>
              <w:spacing w:before="60" w:after="60" w:line="240" w:lineRule="auto"/>
              <w:ind w:firstLine="649"/>
              <w:jc w:val="both"/>
              <w:rPr>
                <w:rFonts w:ascii="Times New Roman" w:eastAsia="Calibri" w:hAnsi="Times New Roman" w:cs="Times New Roman"/>
                <w:bCs/>
                <w:iCs/>
                <w:color w:val="000000"/>
                <w:sz w:val="24"/>
                <w:szCs w:val="24"/>
                <w:lang w:eastAsia="lv-LV"/>
              </w:rPr>
            </w:pPr>
            <w:r w:rsidRPr="00EC4749">
              <w:rPr>
                <w:rFonts w:ascii="Times New Roman" w:eastAsia="Calibri" w:hAnsi="Times New Roman" w:cs="Times New Roman"/>
                <w:bCs/>
                <w:color w:val="000000"/>
                <w:sz w:val="24"/>
                <w:szCs w:val="24"/>
                <w:lang w:eastAsia="lv-LV"/>
              </w:rPr>
              <w:t xml:space="preserve">Lai pēc iespējas mazinātu negatīvu ietekmi uz </w:t>
            </w:r>
            <w:r w:rsidRPr="00EC4749">
              <w:rPr>
                <w:rFonts w:ascii="Times New Roman" w:eastAsia="Calibri" w:hAnsi="Times New Roman" w:cs="Times New Roman"/>
                <w:bCs/>
                <w:iCs/>
                <w:color w:val="000000"/>
                <w:sz w:val="24"/>
                <w:szCs w:val="24"/>
                <w:lang w:eastAsia="lv-LV"/>
              </w:rPr>
              <w:t>3.2.1.2.pasākuma mērķa grupu un gala labuma guvējiem, kas var rasties dēļ nepietiekamā finansējuma</w:t>
            </w:r>
            <w:r w:rsidRPr="00EC4749">
              <w:rPr>
                <w:rFonts w:ascii="Times New Roman" w:eastAsia="Calibri" w:hAnsi="Times New Roman" w:cs="Times New Roman"/>
                <w:bCs/>
                <w:color w:val="000000"/>
                <w:sz w:val="24"/>
                <w:szCs w:val="24"/>
                <w:lang w:eastAsia="lv-LV"/>
              </w:rPr>
              <w:t xml:space="preserve"> </w:t>
            </w:r>
            <w:r w:rsidRPr="00EC4749">
              <w:rPr>
                <w:rFonts w:ascii="Times New Roman" w:eastAsia="Calibri" w:hAnsi="Times New Roman" w:cs="Times New Roman"/>
                <w:bCs/>
                <w:iCs/>
                <w:color w:val="000000"/>
                <w:sz w:val="24"/>
                <w:szCs w:val="24"/>
                <w:lang w:eastAsia="lv-LV"/>
              </w:rPr>
              <w:t xml:space="preserve">projektā Nr.3.2.1.2/16/l/001, pamatojoties, uz ko plānots sašaurināt atbalstāmo darbību loku un mazināt atbalsta intensitāti, tostarp, MK noteikumu Nr.678 </w:t>
            </w:r>
            <w:r w:rsidRPr="00EC4749">
              <w:rPr>
                <w:rFonts w:ascii="Times New Roman" w:eastAsia="Calibri" w:hAnsi="Times New Roman" w:cs="Times New Roman"/>
                <w:bCs/>
                <w:iCs/>
                <w:color w:val="000000"/>
                <w:sz w:val="24"/>
                <w:szCs w:val="24"/>
                <w:lang w:eastAsia="lv-LV"/>
              </w:rPr>
              <w:lastRenderedPageBreak/>
              <w:t xml:space="preserve">14.4.apakšpunktā minētajai atbalstāmajai darbībai – dalība tirdzniecības misijās, </w:t>
            </w:r>
            <w:r w:rsidRPr="00EC4749">
              <w:rPr>
                <w:rFonts w:ascii="Times New Roman" w:eastAsia="Calibri" w:hAnsi="Times New Roman" w:cs="Times New Roman"/>
                <w:b/>
                <w:bCs/>
                <w:iCs/>
                <w:color w:val="000000"/>
                <w:sz w:val="24"/>
                <w:szCs w:val="24"/>
                <w:lang w:eastAsia="lv-LV"/>
              </w:rPr>
              <w:t>ir nepieciešams papildināt MK noteikumu Nr.678 18.punktā minēto atbalstāmo darbību loku, kas attiecas uz projektu Nr.3.2.1.2/16/l/002, ar jaunām atbalstāmajām darbībām.</w:t>
            </w:r>
            <w:r w:rsidRPr="00EC4749">
              <w:rPr>
                <w:rFonts w:ascii="Times New Roman" w:eastAsia="Calibri" w:hAnsi="Times New Roman" w:cs="Times New Roman"/>
                <w:bCs/>
                <w:iCs/>
                <w:color w:val="000000"/>
                <w:sz w:val="24"/>
                <w:szCs w:val="24"/>
                <w:lang w:eastAsia="lv-LV"/>
              </w:rPr>
              <w:t xml:space="preserve"> </w:t>
            </w:r>
          </w:p>
          <w:p w14:paraId="78D03E43" w14:textId="77777777" w:rsidR="00526AFD" w:rsidRPr="00EC4749" w:rsidRDefault="00526AFD" w:rsidP="00526AFD">
            <w:pPr>
              <w:spacing w:before="60" w:after="60" w:line="240" w:lineRule="auto"/>
              <w:ind w:firstLine="649"/>
              <w:jc w:val="both"/>
              <w:rPr>
                <w:rFonts w:ascii="Times New Roman" w:eastAsia="Calibri" w:hAnsi="Times New Roman" w:cs="Times New Roman"/>
                <w:bCs/>
                <w:iCs/>
                <w:color w:val="000000"/>
                <w:sz w:val="24"/>
                <w:szCs w:val="24"/>
                <w:lang w:eastAsia="lv-LV"/>
              </w:rPr>
            </w:pPr>
            <w:r w:rsidRPr="00EC4749">
              <w:rPr>
                <w:rFonts w:ascii="Times New Roman" w:eastAsia="Calibri" w:hAnsi="Times New Roman" w:cs="Times New Roman"/>
                <w:b/>
                <w:bCs/>
                <w:iCs/>
                <w:color w:val="000000"/>
                <w:sz w:val="24"/>
                <w:szCs w:val="24"/>
                <w:lang w:eastAsia="lv-LV"/>
              </w:rPr>
              <w:t>Pirmkārt</w:t>
            </w:r>
            <w:r w:rsidRPr="00EC4749">
              <w:rPr>
                <w:rFonts w:ascii="Times New Roman" w:eastAsia="Calibri" w:hAnsi="Times New Roman" w:cs="Times New Roman"/>
                <w:bCs/>
                <w:iCs/>
                <w:color w:val="000000"/>
                <w:sz w:val="24"/>
                <w:szCs w:val="24"/>
                <w:lang w:eastAsia="lv-LV"/>
              </w:rPr>
              <w:t xml:space="preserve">, ar atbalstāmo darbību – </w:t>
            </w:r>
            <w:r w:rsidRPr="00EC4749">
              <w:rPr>
                <w:rFonts w:ascii="Times New Roman" w:eastAsia="Calibri" w:hAnsi="Times New Roman" w:cs="Times New Roman"/>
                <w:b/>
                <w:bCs/>
                <w:iCs/>
                <w:color w:val="000000"/>
                <w:sz w:val="24"/>
                <w:szCs w:val="24"/>
                <w:lang w:eastAsia="lv-LV"/>
              </w:rPr>
              <w:t>atbalsta nodrošināšana pasākuma mērķa grupai dalībai tirdzniecības misijās</w:t>
            </w:r>
            <w:r w:rsidRPr="00EC4749">
              <w:rPr>
                <w:rFonts w:ascii="Times New Roman" w:eastAsia="Calibri" w:hAnsi="Times New Roman" w:cs="Times New Roman"/>
                <w:bCs/>
                <w:iCs/>
                <w:color w:val="000000"/>
                <w:sz w:val="24"/>
                <w:szCs w:val="24"/>
                <w:lang w:eastAsia="lv-LV"/>
              </w:rPr>
              <w:t xml:space="preserve">, nosakot, ka tirdzniecības misijas mērķim ir jāatbilst Latvijas prioritārajiem tūrisma sektoriem (darījumu un pasākumu tūrisms, labsajūtas tūrisma). Tādējādi ar tūrisma nozari saistītajiem komersantiem atbalsts dalībai tirdzniecības misijās ārvalstīs tiktu sniegts un izmaksas (organizatora noteiktā dalības maksa par piedalīšanos tirdzniecības misijā un ceļa (transporta) izdevumi) attiecinātas projekta Nr.3.2.1.2/16/l/002 ietvaros. </w:t>
            </w:r>
            <w:r w:rsidRPr="00EC4749">
              <w:rPr>
                <w:rFonts w:ascii="Times New Roman" w:eastAsia="Calibri" w:hAnsi="Times New Roman" w:cs="Times New Roman"/>
                <w:bCs/>
                <w:color w:val="000000"/>
                <w:sz w:val="24"/>
                <w:szCs w:val="24"/>
                <w:lang w:eastAsia="lv-LV"/>
              </w:rPr>
              <w:t xml:space="preserve">Vienlaikus nosakot, ka mērķa grupas subjektiem, </w:t>
            </w:r>
            <w:r w:rsidRPr="00EC4749">
              <w:rPr>
                <w:rFonts w:ascii="Times New Roman" w:eastAsia="Calibri" w:hAnsi="Times New Roman" w:cs="Times New Roman"/>
                <w:bCs/>
                <w:iCs/>
                <w:color w:val="000000"/>
                <w:sz w:val="24"/>
                <w:szCs w:val="24"/>
                <w:lang w:eastAsia="lv-LV"/>
              </w:rPr>
              <w:t>ievērojot vienlīdzības principu,</w:t>
            </w:r>
            <w:r w:rsidRPr="00EC4749">
              <w:rPr>
                <w:rFonts w:ascii="Times New Roman" w:eastAsia="Calibri" w:hAnsi="Times New Roman" w:cs="Times New Roman"/>
                <w:bCs/>
                <w:color w:val="000000"/>
                <w:sz w:val="24"/>
                <w:szCs w:val="24"/>
                <w:lang w:eastAsia="lv-LV"/>
              </w:rPr>
              <w:t xml:space="preserve"> </w:t>
            </w:r>
            <w:r w:rsidRPr="00EC4749">
              <w:rPr>
                <w:rFonts w:ascii="Times New Roman" w:eastAsia="Calibri" w:hAnsi="Times New Roman" w:cs="Times New Roman"/>
                <w:bCs/>
                <w:iCs/>
                <w:color w:val="000000"/>
                <w:sz w:val="24"/>
                <w:szCs w:val="24"/>
                <w:lang w:eastAsia="lv-LV"/>
              </w:rPr>
              <w:t xml:space="preserve">atbalstāmajai darbībai – dalība tirdzniecības misijās ārvalstīs, izmaksas kompensē 80 procentu apmērā dalībai pirmo reizi tirdzniecības misijā 3.2.1.2.pasākuma ietvaros, un 60 procentu apmērā dalībai katru nākošo reizi tirdzniecības misijā. </w:t>
            </w:r>
          </w:p>
          <w:p w14:paraId="67F1817B" w14:textId="77777777" w:rsidR="00526AFD" w:rsidRPr="00EC4749" w:rsidRDefault="00526AFD" w:rsidP="00526AFD">
            <w:pPr>
              <w:spacing w:before="60" w:after="60" w:line="240" w:lineRule="auto"/>
              <w:ind w:firstLine="649"/>
              <w:jc w:val="both"/>
              <w:rPr>
                <w:rFonts w:ascii="Times New Roman" w:eastAsia="Calibri" w:hAnsi="Times New Roman" w:cs="Times New Roman"/>
                <w:bCs/>
                <w:iCs/>
                <w:color w:val="000000"/>
                <w:sz w:val="24"/>
                <w:szCs w:val="24"/>
                <w:lang w:eastAsia="lv-LV"/>
              </w:rPr>
            </w:pPr>
            <w:r w:rsidRPr="00EC4749">
              <w:rPr>
                <w:rFonts w:ascii="Times New Roman" w:eastAsia="Calibri" w:hAnsi="Times New Roman" w:cs="Times New Roman"/>
                <w:bCs/>
                <w:iCs/>
                <w:color w:val="000000"/>
                <w:sz w:val="24"/>
                <w:szCs w:val="24"/>
                <w:lang w:eastAsia="lv-LV"/>
              </w:rPr>
              <w:t xml:space="preserve">Saskaņā ar LIAA sniegto informāciju no atbalsta sniegšanas mērķa grupai uzsākšanas brīža projektā Nr.3.2.1.2/16/l/001 (2016.gada marts) līdz 2017.gada 12.septembrim ar tūrisma nozari saistītas biedrības “Viesnīcu un restorānu asociācijas” organizētajās ārvalstu tirdzniecības misijās ir atbalstīti 50 komersanti (unikālie) par kopējo atbalsta summu 547 789,94 </w:t>
            </w:r>
            <w:r w:rsidRPr="00EC4749">
              <w:rPr>
                <w:rFonts w:ascii="Times New Roman" w:eastAsia="Calibri" w:hAnsi="Times New Roman" w:cs="Times New Roman"/>
                <w:bCs/>
                <w:i/>
                <w:iCs/>
                <w:color w:val="000000"/>
                <w:sz w:val="24"/>
                <w:szCs w:val="24"/>
                <w:lang w:eastAsia="lv-LV"/>
              </w:rPr>
              <w:t>euro.</w:t>
            </w:r>
            <w:r w:rsidRPr="00EC4749">
              <w:rPr>
                <w:rFonts w:ascii="Times New Roman" w:eastAsia="Calibri" w:hAnsi="Times New Roman" w:cs="Times New Roman"/>
                <w:bCs/>
                <w:iCs/>
                <w:color w:val="000000"/>
                <w:sz w:val="24"/>
                <w:szCs w:val="24"/>
                <w:lang w:eastAsia="lv-LV"/>
              </w:rPr>
              <w:t xml:space="preserve"> Tas pamato to, ka ar tūrisma nozari saistītie komersantiem ir ieinteresēti piedalīties ārvalstu tirdzniecības misijās.  </w:t>
            </w:r>
          </w:p>
          <w:p w14:paraId="37013050" w14:textId="77777777" w:rsidR="00526AFD" w:rsidRPr="00EC4749" w:rsidRDefault="00526AFD" w:rsidP="00526AFD">
            <w:pPr>
              <w:spacing w:before="60" w:after="60" w:line="240" w:lineRule="auto"/>
              <w:ind w:firstLine="649"/>
              <w:jc w:val="both"/>
              <w:rPr>
                <w:rFonts w:ascii="Times New Roman" w:eastAsia="Calibri" w:hAnsi="Times New Roman" w:cs="Times New Roman"/>
                <w:bCs/>
                <w:iCs/>
                <w:color w:val="000000"/>
                <w:sz w:val="24"/>
                <w:szCs w:val="24"/>
                <w:lang w:eastAsia="lv-LV"/>
              </w:rPr>
            </w:pPr>
            <w:r w:rsidRPr="00EC4749">
              <w:rPr>
                <w:rFonts w:ascii="Times New Roman" w:eastAsia="Calibri" w:hAnsi="Times New Roman" w:cs="Times New Roman"/>
                <w:bCs/>
                <w:iCs/>
                <w:color w:val="000000"/>
                <w:sz w:val="24"/>
                <w:szCs w:val="24"/>
                <w:lang w:eastAsia="lv-LV"/>
              </w:rPr>
              <w:t xml:space="preserve">Atbilstoši LIAA sniegtajai informācijai, projektā Nr.3.2.1.2/16/l/002 līdz 31.08.2017. ar pasākuma mērķa grupas subjektiem ir noslēgti 80 līgumi par atbalsta saņemšanu, un izmaksāts atbalsta finansējums 312 067,78 </w:t>
            </w:r>
            <w:r w:rsidRPr="00EC4749">
              <w:rPr>
                <w:rFonts w:ascii="Times New Roman" w:eastAsia="Calibri" w:hAnsi="Times New Roman" w:cs="Times New Roman"/>
                <w:bCs/>
                <w:i/>
                <w:iCs/>
                <w:color w:val="000000"/>
                <w:sz w:val="24"/>
                <w:szCs w:val="24"/>
                <w:lang w:eastAsia="lv-LV"/>
              </w:rPr>
              <w:t xml:space="preserve">euro </w:t>
            </w:r>
            <w:r w:rsidRPr="00EC4749">
              <w:rPr>
                <w:rFonts w:ascii="Times New Roman" w:eastAsia="Calibri" w:hAnsi="Times New Roman" w:cs="Times New Roman"/>
                <w:bCs/>
                <w:iCs/>
                <w:color w:val="000000"/>
                <w:sz w:val="24"/>
                <w:szCs w:val="24"/>
                <w:lang w:eastAsia="lv-LV"/>
              </w:rPr>
              <w:t>apmērā. Finansējuma saņēmējs, lai attīstītu Latvijas kā tūrisma galamērķa starptautisko konkurētspēju prioritārajos tūrisma sektoros - darījumu un pasākumu tūrisms, labsajūtas tūrisms, ir noorganizējis 12 nacionālos stendus un uzsācis 8 nacionālo stendu organizēšanu (atlasīti atbalsta saņēmēji). Nefinansiāls atbalsts dalībai nacionālajā stendā ir sniegts 14 komersantiem (unikālie komersanti). Finansējuma saņēmējs ir īstenojis 7 tūrisma mārketinga un reklāmas kampaņas, 98 žurnālistu, emuāristu (tīmekļa dienasgrāmatu rakstītāju) vizītes, 58 ārvalstīs reģistrētu tūrisma pakalpojumu komercsabiedrību pārstāvju, korporatīvo un darījumu pasākumu organizētāju iepazīšanās vizītes, nodrošinājis 185 veidus tūrisma informācijas un mārketinga materiālu, īstenojis 88 Latvijas tūrisma publicitātes pasākumus un ārvalstu specializēto tūrisma veicināšanas pasākumus, nodrošinājis 21 ārvalstu tūristu piesaistes pasākumu Latvijas novados un 16 darījumu un pasākumu tūrisma piesaistes pasākumus Latvijai, kā arī nodrošinājis 3 tūrisma tirgus pētījumus un monitoringu.</w:t>
            </w:r>
          </w:p>
          <w:p w14:paraId="412C538F" w14:textId="77777777" w:rsidR="000C487B" w:rsidRPr="00EC4749" w:rsidRDefault="000C487B" w:rsidP="000C487B">
            <w:pPr>
              <w:spacing w:before="60" w:after="60" w:line="240" w:lineRule="auto"/>
              <w:ind w:firstLine="649"/>
              <w:jc w:val="both"/>
              <w:rPr>
                <w:rFonts w:ascii="Times New Roman" w:eastAsia="Calibri" w:hAnsi="Times New Roman" w:cs="Times New Roman"/>
                <w:bCs/>
                <w:iCs/>
                <w:color w:val="000000"/>
                <w:sz w:val="24"/>
                <w:szCs w:val="24"/>
                <w:lang w:eastAsia="lv-LV"/>
              </w:rPr>
            </w:pPr>
            <w:r w:rsidRPr="00EC4749">
              <w:rPr>
                <w:rFonts w:ascii="Times New Roman" w:eastAsia="Calibri" w:hAnsi="Times New Roman" w:cs="Times New Roman"/>
                <w:b/>
                <w:bCs/>
                <w:iCs/>
                <w:color w:val="000000"/>
                <w:sz w:val="24"/>
                <w:szCs w:val="24"/>
                <w:lang w:eastAsia="lv-LV"/>
              </w:rPr>
              <w:t xml:space="preserve">Otrkārt, </w:t>
            </w:r>
            <w:r w:rsidRPr="00EC4749">
              <w:rPr>
                <w:rFonts w:ascii="Times New Roman" w:eastAsia="Calibri" w:hAnsi="Times New Roman" w:cs="Times New Roman"/>
                <w:bCs/>
                <w:iCs/>
                <w:color w:val="000000"/>
                <w:sz w:val="24"/>
                <w:szCs w:val="24"/>
                <w:lang w:eastAsia="lv-LV"/>
              </w:rPr>
              <w:t xml:space="preserve">MK noteikumu Nr.678 18.punktā minēto atbalstāmo darbību loks papildināms ar atbalstāmo darbību - </w:t>
            </w:r>
            <w:r w:rsidRPr="00EC4749">
              <w:rPr>
                <w:rFonts w:ascii="Times New Roman" w:eastAsia="Calibri" w:hAnsi="Times New Roman" w:cs="Times New Roman"/>
                <w:b/>
                <w:bCs/>
                <w:iCs/>
                <w:color w:val="000000"/>
                <w:sz w:val="24"/>
                <w:szCs w:val="24"/>
                <w:lang w:eastAsia="lv-LV"/>
              </w:rPr>
              <w:t xml:space="preserve">atbalsta nodrošināšana pasākuma mērķa grupai darījumu tūrisma </w:t>
            </w:r>
            <w:r w:rsidRPr="00EC4749">
              <w:rPr>
                <w:rFonts w:ascii="Times New Roman" w:eastAsia="Calibri" w:hAnsi="Times New Roman" w:cs="Times New Roman"/>
                <w:b/>
                <w:bCs/>
                <w:iCs/>
                <w:color w:val="000000"/>
                <w:sz w:val="24"/>
                <w:szCs w:val="24"/>
                <w:lang w:eastAsia="lv-LV"/>
              </w:rPr>
              <w:lastRenderedPageBreak/>
              <w:t>pasākumu organizēšanai Latvijā</w:t>
            </w:r>
            <w:r w:rsidRPr="00EC4749">
              <w:rPr>
                <w:rFonts w:ascii="Times New Roman" w:eastAsia="Calibri" w:hAnsi="Times New Roman" w:cs="Times New Roman"/>
                <w:bCs/>
                <w:iCs/>
                <w:color w:val="000000"/>
                <w:sz w:val="24"/>
                <w:szCs w:val="24"/>
                <w:lang w:eastAsia="lv-LV"/>
              </w:rPr>
              <w:t xml:space="preserve">. Finansējuma saņēmējs šīs atbalstāmās darbības ietvaros 3.2.1.2.pasākuma mērķa grupas subjektiem – komersantiem, biedrībām un nodibinājumiem (izņemot tiem, kuri darbojas zvejniecībā vai akvakultūrā vai nodarbojas ar lauksaimniecības produktu primāro ražošanu), piešķirot atbalstu un aprēķinot piešķirto finansējumu kompensēs 10 procentu apmērā attiecināmās izmaksas - telpu nomas un tehniskā aprīkojuma izmaksas; ēdināšanas izmaksas; transporta pakalpojumu izmaksas Latvijā darījuma tūrisma pasākuma dalībnieku (ārzemnieku) kopīgai pārvadāšanai starp darījuma tūrisma pasākuma norises vietām. Mērķa grupas subjektiem izmaksas attiecināmas ar nosacījumu, ka maksimāli pieļaujamā summa vienā darījumu tūrisma pasākumā Latvijā ir ne vairāk kā 50 </w:t>
            </w:r>
            <w:r w:rsidRPr="00EC4749">
              <w:rPr>
                <w:rFonts w:ascii="Times New Roman" w:eastAsia="Calibri" w:hAnsi="Times New Roman" w:cs="Times New Roman"/>
                <w:bCs/>
                <w:i/>
                <w:iCs/>
                <w:color w:val="000000"/>
                <w:sz w:val="24"/>
                <w:szCs w:val="24"/>
                <w:lang w:eastAsia="lv-LV"/>
              </w:rPr>
              <w:t xml:space="preserve">euro </w:t>
            </w:r>
            <w:r w:rsidRPr="00EC4749">
              <w:rPr>
                <w:rFonts w:ascii="Times New Roman" w:eastAsia="Calibri" w:hAnsi="Times New Roman" w:cs="Times New Roman"/>
                <w:bCs/>
                <w:iCs/>
                <w:color w:val="000000"/>
                <w:sz w:val="24"/>
                <w:szCs w:val="24"/>
                <w:lang w:eastAsia="lv-LV"/>
              </w:rPr>
              <w:t xml:space="preserve">par vienu darījuma tūrisma pasākuma dalībnieku (ārzemnieku) un darījuma tūrisma pasākums Latvijā ilgst vismaz 3 dienas. Saskaņā ar MK noteikumu Nr.678  21.7.apakšpunktā noteikto izmaksas ir attiecināmas par jau notikušajām darbībām. </w:t>
            </w:r>
          </w:p>
          <w:p w14:paraId="5C8E6904" w14:textId="77777777" w:rsidR="000C487B" w:rsidRPr="00EC4749" w:rsidRDefault="000C487B" w:rsidP="000C487B">
            <w:pPr>
              <w:spacing w:before="60" w:after="60" w:line="240" w:lineRule="auto"/>
              <w:ind w:firstLine="649"/>
              <w:jc w:val="both"/>
              <w:rPr>
                <w:rFonts w:ascii="Times New Roman" w:eastAsia="Calibri" w:hAnsi="Times New Roman" w:cs="Times New Roman"/>
                <w:bCs/>
                <w:iCs/>
                <w:color w:val="000000"/>
                <w:sz w:val="24"/>
                <w:szCs w:val="24"/>
                <w:lang w:eastAsia="lv-LV"/>
              </w:rPr>
            </w:pPr>
            <w:r w:rsidRPr="00EC4749">
              <w:rPr>
                <w:rFonts w:ascii="Times New Roman" w:eastAsia="Calibri" w:hAnsi="Times New Roman" w:cs="Times New Roman"/>
                <w:bCs/>
                <w:iCs/>
                <w:color w:val="000000"/>
                <w:sz w:val="24"/>
                <w:szCs w:val="24"/>
                <w:lang w:eastAsia="lv-LV"/>
              </w:rPr>
              <w:t xml:space="preserve">Nosakot atbalsta intensitāti un kompensācijas apmēru par vienu darījuma tūrisma pasākuma dalībnieku (ārzemnieku) – 50 </w:t>
            </w:r>
            <w:r w:rsidRPr="00EC4749">
              <w:rPr>
                <w:rFonts w:ascii="Times New Roman" w:eastAsia="Calibri" w:hAnsi="Times New Roman" w:cs="Times New Roman"/>
                <w:bCs/>
                <w:i/>
                <w:iCs/>
                <w:color w:val="000000"/>
                <w:sz w:val="24"/>
                <w:szCs w:val="24"/>
                <w:lang w:eastAsia="lv-LV"/>
              </w:rPr>
              <w:t>euro</w:t>
            </w:r>
            <w:r w:rsidRPr="00EC4749">
              <w:rPr>
                <w:rFonts w:ascii="Times New Roman" w:eastAsia="Calibri" w:hAnsi="Times New Roman" w:cs="Times New Roman"/>
                <w:bCs/>
                <w:iCs/>
                <w:color w:val="000000"/>
                <w:sz w:val="24"/>
                <w:szCs w:val="24"/>
                <w:lang w:eastAsia="lv-LV"/>
              </w:rPr>
              <w:t>, tiek ņemta vērā tūrisma nozares prakse un izmaksas par darījuma tūrisma pasākumu organizēšanu Latvijā.</w:t>
            </w:r>
          </w:p>
          <w:p w14:paraId="5E5FB703" w14:textId="77777777" w:rsidR="000C487B" w:rsidRPr="00EC4749" w:rsidRDefault="000C487B" w:rsidP="000C487B">
            <w:pPr>
              <w:spacing w:before="60" w:after="60" w:line="240" w:lineRule="auto"/>
              <w:ind w:firstLine="649"/>
              <w:jc w:val="both"/>
              <w:rPr>
                <w:rFonts w:ascii="Times New Roman" w:eastAsia="Calibri" w:hAnsi="Times New Roman" w:cs="Times New Roman"/>
                <w:bCs/>
                <w:iCs/>
                <w:color w:val="000000"/>
                <w:sz w:val="24"/>
                <w:szCs w:val="24"/>
                <w:lang w:eastAsia="lv-LV"/>
              </w:rPr>
            </w:pPr>
            <w:r w:rsidRPr="00EC4749">
              <w:rPr>
                <w:rFonts w:ascii="Times New Roman" w:eastAsia="Calibri" w:hAnsi="Times New Roman" w:cs="Times New Roman"/>
                <w:bCs/>
                <w:iCs/>
                <w:color w:val="000000"/>
                <w:sz w:val="24"/>
                <w:szCs w:val="24"/>
                <w:lang w:eastAsia="lv-LV"/>
              </w:rPr>
              <w:t xml:space="preserve">Provizoriskais finansējums, kurš būtu nepieciešams atbalstāmajai darbībai - atbalsta nodrošināšana pasākuma mērķa grupai darījumu tūrisma pasākumu organizēšanai Latvijā ir 1 500 000 </w:t>
            </w:r>
            <w:r w:rsidRPr="00EC4749">
              <w:rPr>
                <w:rFonts w:ascii="Times New Roman" w:eastAsia="Calibri" w:hAnsi="Times New Roman" w:cs="Times New Roman"/>
                <w:bCs/>
                <w:i/>
                <w:iCs/>
                <w:color w:val="000000"/>
                <w:sz w:val="24"/>
                <w:szCs w:val="24"/>
                <w:lang w:eastAsia="lv-LV"/>
              </w:rPr>
              <w:t>euro</w:t>
            </w:r>
            <w:r w:rsidRPr="00EC4749">
              <w:rPr>
                <w:rFonts w:ascii="Times New Roman" w:eastAsia="Calibri" w:hAnsi="Times New Roman" w:cs="Times New Roman"/>
                <w:bCs/>
                <w:iCs/>
                <w:color w:val="000000"/>
                <w:sz w:val="24"/>
                <w:szCs w:val="24"/>
                <w:lang w:eastAsia="lv-LV"/>
              </w:rPr>
              <w:t xml:space="preserve">, kas prognozēts ņemot vērā tūrisma nozares sniegto informāciju par plānotajiem darījuma tūrisma pasākumiem Latvijā 2018.gadā, kuros būtu vairāk nekā 150 dalībnieki, kas ir ārzemnieki. </w:t>
            </w:r>
          </w:p>
          <w:p w14:paraId="360D15EF" w14:textId="15F8818D" w:rsidR="000C487B" w:rsidRPr="00EC4749" w:rsidRDefault="000C487B" w:rsidP="00D41C8F">
            <w:pPr>
              <w:spacing w:before="60" w:after="60" w:line="240" w:lineRule="auto"/>
              <w:ind w:firstLine="649"/>
              <w:jc w:val="both"/>
              <w:rPr>
                <w:rFonts w:ascii="Times New Roman" w:eastAsia="Calibri" w:hAnsi="Times New Roman" w:cs="Times New Roman"/>
                <w:bCs/>
                <w:iCs/>
                <w:color w:val="000000"/>
                <w:sz w:val="24"/>
                <w:szCs w:val="24"/>
                <w:lang w:eastAsia="lv-LV"/>
              </w:rPr>
            </w:pPr>
            <w:r w:rsidRPr="00EC4749">
              <w:rPr>
                <w:rFonts w:ascii="Times New Roman" w:eastAsia="Calibri" w:hAnsi="Times New Roman" w:cs="Times New Roman"/>
                <w:bCs/>
                <w:iCs/>
                <w:color w:val="000000"/>
                <w:sz w:val="24"/>
                <w:szCs w:val="24"/>
                <w:lang w:eastAsia="lv-LV"/>
              </w:rPr>
              <w:t xml:space="preserve">3.2.1.2.pasākuma ietvaros atbalstāma darījumu tūrisma pasākuma Latvijā ilgums – 3 dienas, ir noteikts ņemot vērā tūrisma nozares (darījumu tūrisma pasākumu organizētāju) ieteikumus un starptautiskās tendences MICE </w:t>
            </w:r>
            <w:r w:rsidRPr="00EC4749">
              <w:rPr>
                <w:rFonts w:ascii="Times New Roman" w:eastAsia="Calibri" w:hAnsi="Times New Roman" w:cs="Times New Roman"/>
                <w:bCs/>
                <w:i/>
                <w:iCs/>
                <w:color w:val="000000"/>
                <w:sz w:val="24"/>
                <w:szCs w:val="24"/>
                <w:lang w:eastAsia="lv-LV"/>
              </w:rPr>
              <w:t>(</w:t>
            </w:r>
            <w:proofErr w:type="spellStart"/>
            <w:r w:rsidRPr="00EC4749">
              <w:rPr>
                <w:rFonts w:ascii="Times New Roman" w:eastAsia="Calibri" w:hAnsi="Times New Roman" w:cs="Times New Roman"/>
                <w:bCs/>
                <w:i/>
                <w:iCs/>
                <w:color w:val="000000"/>
                <w:sz w:val="24"/>
                <w:szCs w:val="24"/>
                <w:lang w:eastAsia="lv-LV"/>
              </w:rPr>
              <w:t>Meetings</w:t>
            </w:r>
            <w:proofErr w:type="spellEnd"/>
            <w:r w:rsidRPr="00EC4749">
              <w:rPr>
                <w:rFonts w:ascii="Times New Roman" w:eastAsia="Calibri" w:hAnsi="Times New Roman" w:cs="Times New Roman"/>
                <w:bCs/>
                <w:i/>
                <w:iCs/>
                <w:color w:val="000000"/>
                <w:sz w:val="24"/>
                <w:szCs w:val="24"/>
                <w:lang w:eastAsia="lv-LV"/>
              </w:rPr>
              <w:t xml:space="preserve">, </w:t>
            </w:r>
            <w:proofErr w:type="spellStart"/>
            <w:r w:rsidRPr="00EC4749">
              <w:rPr>
                <w:rFonts w:ascii="Times New Roman" w:eastAsia="Calibri" w:hAnsi="Times New Roman" w:cs="Times New Roman"/>
                <w:bCs/>
                <w:i/>
                <w:iCs/>
                <w:color w:val="000000"/>
                <w:sz w:val="24"/>
                <w:szCs w:val="24"/>
                <w:lang w:eastAsia="lv-LV"/>
              </w:rPr>
              <w:t>Incentives</w:t>
            </w:r>
            <w:proofErr w:type="spellEnd"/>
            <w:r w:rsidRPr="00EC4749">
              <w:rPr>
                <w:rFonts w:ascii="Times New Roman" w:eastAsia="Calibri" w:hAnsi="Times New Roman" w:cs="Times New Roman"/>
                <w:bCs/>
                <w:i/>
                <w:iCs/>
                <w:color w:val="000000"/>
                <w:sz w:val="24"/>
                <w:szCs w:val="24"/>
                <w:lang w:eastAsia="lv-LV"/>
              </w:rPr>
              <w:t xml:space="preserve">, </w:t>
            </w:r>
            <w:proofErr w:type="spellStart"/>
            <w:r w:rsidRPr="00EC4749">
              <w:rPr>
                <w:rFonts w:ascii="Times New Roman" w:eastAsia="Calibri" w:hAnsi="Times New Roman" w:cs="Times New Roman"/>
                <w:bCs/>
                <w:i/>
                <w:iCs/>
                <w:color w:val="000000"/>
                <w:sz w:val="24"/>
                <w:szCs w:val="24"/>
                <w:lang w:eastAsia="lv-LV"/>
              </w:rPr>
              <w:t>Conferences</w:t>
            </w:r>
            <w:proofErr w:type="spellEnd"/>
            <w:r w:rsidRPr="00EC4749">
              <w:rPr>
                <w:rFonts w:ascii="Times New Roman" w:eastAsia="Calibri" w:hAnsi="Times New Roman" w:cs="Times New Roman"/>
                <w:bCs/>
                <w:i/>
                <w:iCs/>
                <w:color w:val="000000"/>
                <w:sz w:val="24"/>
                <w:szCs w:val="24"/>
                <w:lang w:eastAsia="lv-LV"/>
              </w:rPr>
              <w:t xml:space="preserve">, </w:t>
            </w:r>
            <w:proofErr w:type="spellStart"/>
            <w:r w:rsidRPr="00EC4749">
              <w:rPr>
                <w:rFonts w:ascii="Times New Roman" w:eastAsia="Calibri" w:hAnsi="Times New Roman" w:cs="Times New Roman"/>
                <w:bCs/>
                <w:i/>
                <w:iCs/>
                <w:color w:val="000000"/>
                <w:sz w:val="24"/>
                <w:szCs w:val="24"/>
                <w:lang w:eastAsia="lv-LV"/>
              </w:rPr>
              <w:t>Events</w:t>
            </w:r>
            <w:proofErr w:type="spellEnd"/>
            <w:r w:rsidRPr="00EC4749">
              <w:rPr>
                <w:rFonts w:ascii="Times New Roman" w:eastAsia="Calibri" w:hAnsi="Times New Roman" w:cs="Times New Roman"/>
                <w:bCs/>
                <w:i/>
                <w:iCs/>
                <w:color w:val="000000"/>
                <w:sz w:val="24"/>
                <w:szCs w:val="24"/>
                <w:lang w:eastAsia="lv-LV"/>
              </w:rPr>
              <w:t>)</w:t>
            </w:r>
            <w:r w:rsidRPr="00EC4749">
              <w:rPr>
                <w:rFonts w:ascii="Times New Roman" w:eastAsia="Calibri" w:hAnsi="Times New Roman" w:cs="Times New Roman"/>
                <w:b/>
                <w:bCs/>
                <w:iCs/>
                <w:color w:val="000000"/>
                <w:sz w:val="24"/>
                <w:szCs w:val="24"/>
                <w:lang w:eastAsia="lv-LV"/>
              </w:rPr>
              <w:t xml:space="preserve"> </w:t>
            </w:r>
            <w:r w:rsidRPr="00EC4749">
              <w:rPr>
                <w:rFonts w:ascii="Times New Roman" w:eastAsia="Calibri" w:hAnsi="Times New Roman" w:cs="Times New Roman"/>
                <w:bCs/>
                <w:iCs/>
                <w:color w:val="000000"/>
                <w:sz w:val="24"/>
                <w:szCs w:val="24"/>
                <w:lang w:eastAsia="lv-LV"/>
              </w:rPr>
              <w:t>pasākumu organizēšanā.  Darījumu tūrisma pasākumu ilgums praksē vidēji ir trīs dienas.</w:t>
            </w:r>
          </w:p>
          <w:p w14:paraId="2F0F4033" w14:textId="77777777" w:rsidR="000C487B" w:rsidRPr="00EC4749" w:rsidRDefault="000C487B" w:rsidP="000C487B">
            <w:pPr>
              <w:spacing w:before="60" w:after="60" w:line="240" w:lineRule="auto"/>
              <w:ind w:firstLine="649"/>
              <w:jc w:val="both"/>
              <w:rPr>
                <w:rFonts w:ascii="Times New Roman" w:eastAsia="Calibri" w:hAnsi="Times New Roman" w:cs="Times New Roman"/>
                <w:bCs/>
                <w:iCs/>
                <w:color w:val="000000"/>
                <w:sz w:val="24"/>
                <w:szCs w:val="24"/>
                <w:lang w:eastAsia="lv-LV"/>
              </w:rPr>
            </w:pPr>
            <w:r w:rsidRPr="00EC4749">
              <w:rPr>
                <w:rFonts w:ascii="Times New Roman" w:eastAsia="Calibri" w:hAnsi="Times New Roman" w:cs="Times New Roman"/>
                <w:b/>
                <w:bCs/>
                <w:iCs/>
                <w:color w:val="000000"/>
                <w:sz w:val="24"/>
                <w:szCs w:val="24"/>
                <w:lang w:eastAsia="lv-LV"/>
              </w:rPr>
              <w:t>Darījumu tūrisma pasākumu organizēšanas atbalsta mērķis</w:t>
            </w:r>
            <w:r w:rsidRPr="00EC4749">
              <w:rPr>
                <w:rFonts w:ascii="Times New Roman" w:eastAsia="Calibri" w:hAnsi="Times New Roman" w:cs="Times New Roman"/>
                <w:bCs/>
                <w:iCs/>
                <w:color w:val="000000"/>
                <w:sz w:val="24"/>
                <w:szCs w:val="24"/>
                <w:lang w:eastAsia="lv-LV"/>
              </w:rPr>
              <w:t xml:space="preserve"> ir veicināt MVU darījumu pasākumu skaita pieaugumu Latvijā, tādējādi piesaistot tādus ārvalstu tūristus (kuru ceļojuma mērķis ir darījuma pasākuma apmeklējums), kas ir maksātspējīgāki un vidēji tērē četras reizes vairāk, kā vidējais ārvalstu tūrists Latvijā. Šāds atbalsts ir efektīvs instruments, lai palielinātu naktsmītņu un ēdināšanas uzņēmumu noslogojumu un tūrisma nozares MVU ieņēmumus nesezonā, tādējādi mazinot to atkarību no sezonalitātes. Darījumu tūrisma pasākumi nav piesaistīti tūrisma sezonām. Tie notiek arī rudenī un ziemā, kad tradicionāli ir vērojams citu tūristu ceļošanas aktivitātes samazinājums. Starptautiska līmeņa darījumu pasākumi kalpos kā labas mārketinga aktivitātes Latvijas kā darījuma tūrisma galamērķa atpazīstamības veicināšanai.</w:t>
            </w:r>
          </w:p>
          <w:p w14:paraId="771EBE37" w14:textId="77777777" w:rsidR="000C487B" w:rsidRPr="00EC4749" w:rsidRDefault="000C487B" w:rsidP="000C487B">
            <w:pPr>
              <w:spacing w:before="60" w:after="60" w:line="240" w:lineRule="auto"/>
              <w:ind w:firstLine="649"/>
              <w:jc w:val="both"/>
              <w:rPr>
                <w:rFonts w:ascii="Times New Roman" w:eastAsia="Calibri" w:hAnsi="Times New Roman" w:cs="Times New Roman"/>
                <w:bCs/>
                <w:iCs/>
                <w:color w:val="000000"/>
                <w:sz w:val="24"/>
                <w:szCs w:val="24"/>
                <w:lang w:eastAsia="lv-LV"/>
              </w:rPr>
            </w:pPr>
            <w:r w:rsidRPr="00EC4749">
              <w:rPr>
                <w:rFonts w:ascii="Times New Roman" w:eastAsia="Calibri" w:hAnsi="Times New Roman" w:cs="Times New Roman"/>
                <w:bCs/>
                <w:iCs/>
                <w:color w:val="000000"/>
                <w:sz w:val="24"/>
                <w:szCs w:val="24"/>
                <w:lang w:eastAsia="lv-LV"/>
              </w:rPr>
              <w:t>Darījuma tūrisms ir tūrisma veids, kurā ceļojuma galvenais nolūks ir dalība darījuma tūrisma pasākumā.</w:t>
            </w:r>
          </w:p>
          <w:p w14:paraId="71742E14" w14:textId="77777777" w:rsidR="000C487B" w:rsidRPr="00EC4749" w:rsidRDefault="000C487B" w:rsidP="000C487B">
            <w:pPr>
              <w:spacing w:before="60" w:after="60" w:line="240" w:lineRule="auto"/>
              <w:ind w:firstLine="649"/>
              <w:jc w:val="both"/>
              <w:rPr>
                <w:rFonts w:ascii="Times New Roman" w:eastAsia="Calibri" w:hAnsi="Times New Roman" w:cs="Times New Roman"/>
                <w:b/>
                <w:bCs/>
                <w:iCs/>
                <w:color w:val="000000"/>
                <w:sz w:val="24"/>
                <w:szCs w:val="24"/>
                <w:lang w:eastAsia="lv-LV"/>
              </w:rPr>
            </w:pPr>
            <w:r w:rsidRPr="00EC4749">
              <w:rPr>
                <w:rFonts w:ascii="Times New Roman" w:eastAsia="Calibri" w:hAnsi="Times New Roman" w:cs="Times New Roman"/>
                <w:b/>
                <w:bCs/>
                <w:iCs/>
                <w:color w:val="000000"/>
                <w:sz w:val="24"/>
                <w:szCs w:val="24"/>
                <w:lang w:eastAsia="lv-LV"/>
              </w:rPr>
              <w:t>Darījumu tūrisma pasākums</w:t>
            </w:r>
            <w:r w:rsidRPr="00EC4749">
              <w:rPr>
                <w:rFonts w:ascii="Times New Roman" w:eastAsia="Calibri" w:hAnsi="Times New Roman" w:cs="Times New Roman"/>
                <w:bCs/>
                <w:iCs/>
                <w:color w:val="000000"/>
                <w:sz w:val="24"/>
                <w:szCs w:val="24"/>
                <w:lang w:eastAsia="lv-LV"/>
              </w:rPr>
              <w:t xml:space="preserve"> </w:t>
            </w:r>
            <w:r w:rsidRPr="00EC4749">
              <w:rPr>
                <w:rFonts w:ascii="Times New Roman" w:eastAsia="Calibri" w:hAnsi="Times New Roman" w:cs="Times New Roman"/>
                <w:b/>
                <w:bCs/>
                <w:iCs/>
                <w:color w:val="000000"/>
                <w:sz w:val="24"/>
                <w:szCs w:val="24"/>
                <w:lang w:eastAsia="lv-LV"/>
              </w:rPr>
              <w:t xml:space="preserve">ir konference, kongress, seminārs, simpozijs vai tamlīdzīgs pasākums, kura mērķis ir </w:t>
            </w:r>
            <w:r w:rsidRPr="00EC4749">
              <w:rPr>
                <w:rFonts w:ascii="Times New Roman" w:eastAsia="Calibri" w:hAnsi="Times New Roman" w:cs="Times New Roman"/>
                <w:b/>
                <w:bCs/>
                <w:iCs/>
                <w:color w:val="000000"/>
                <w:sz w:val="24"/>
                <w:szCs w:val="24"/>
                <w:lang w:eastAsia="lv-LV"/>
              </w:rPr>
              <w:lastRenderedPageBreak/>
              <w:t>darījumu kārtošana, komercdarbības jautājumu risināšana, darbinieku motivēšana, zināšanu un pieredzes papildināšana.</w:t>
            </w:r>
            <w:r w:rsidRPr="00EC4749">
              <w:rPr>
                <w:rFonts w:ascii="Times New Roman" w:eastAsia="Calibri" w:hAnsi="Times New Roman" w:cs="Times New Roman"/>
                <w:bCs/>
                <w:iCs/>
                <w:color w:val="000000"/>
                <w:sz w:val="24"/>
                <w:szCs w:val="24"/>
                <w:lang w:eastAsia="lv-LV"/>
              </w:rPr>
              <w:t xml:space="preserve">  </w:t>
            </w:r>
          </w:p>
          <w:p w14:paraId="111896E6" w14:textId="77777777" w:rsidR="000C487B" w:rsidRPr="00EC4749" w:rsidRDefault="000C487B" w:rsidP="000C487B">
            <w:pPr>
              <w:spacing w:before="60" w:after="60" w:line="240" w:lineRule="auto"/>
              <w:ind w:firstLine="649"/>
              <w:jc w:val="both"/>
              <w:rPr>
                <w:rFonts w:ascii="Times New Roman" w:eastAsia="Calibri" w:hAnsi="Times New Roman" w:cs="Times New Roman"/>
                <w:bCs/>
                <w:iCs/>
                <w:color w:val="000000"/>
                <w:sz w:val="24"/>
                <w:szCs w:val="24"/>
                <w:lang w:eastAsia="lv-LV"/>
              </w:rPr>
            </w:pPr>
            <w:r w:rsidRPr="00EC4749">
              <w:rPr>
                <w:rFonts w:ascii="Times New Roman" w:eastAsia="Calibri" w:hAnsi="Times New Roman" w:cs="Times New Roman"/>
                <w:bCs/>
                <w:iCs/>
                <w:color w:val="000000"/>
                <w:sz w:val="24"/>
                <w:szCs w:val="24"/>
                <w:lang w:eastAsia="lv-LV"/>
              </w:rPr>
              <w:t xml:space="preserve">Darījumu tūrisms Latvijā pēdējos gados ir nostabilizējies un 2016.gadā sasniedza 19% no visiem vairākdienu ceļotājiem, jeb 344,2 tūkstoši ceļotāju kā darījumu tūrisma mērķi izvēlējas Latviju. Vērtējot </w:t>
            </w:r>
            <w:r w:rsidRPr="00EC4749">
              <w:rPr>
                <w:rFonts w:ascii="Times New Roman" w:eastAsia="Calibri" w:hAnsi="Times New Roman" w:cs="Times New Roman"/>
                <w:b/>
                <w:bCs/>
                <w:iCs/>
                <w:color w:val="000000"/>
                <w:sz w:val="24"/>
                <w:szCs w:val="24"/>
                <w:lang w:eastAsia="lv-LV"/>
              </w:rPr>
              <w:t xml:space="preserve">Rīgu kā darījuma tūrisma galamērķi, </w:t>
            </w:r>
            <w:r w:rsidRPr="00EC4749">
              <w:rPr>
                <w:rFonts w:ascii="Times New Roman" w:eastAsia="Calibri" w:hAnsi="Times New Roman" w:cs="Times New Roman"/>
                <w:bCs/>
                <w:iCs/>
                <w:color w:val="000000"/>
                <w:sz w:val="24"/>
                <w:szCs w:val="24"/>
                <w:lang w:eastAsia="lv-LV"/>
              </w:rPr>
              <w:t xml:space="preserve">pēc ICCA </w:t>
            </w:r>
            <w:r w:rsidRPr="00EC4749">
              <w:rPr>
                <w:rFonts w:ascii="Times New Roman" w:eastAsia="Calibri" w:hAnsi="Times New Roman" w:cs="Times New Roman"/>
                <w:bCs/>
                <w:i/>
                <w:iCs/>
                <w:color w:val="000000"/>
                <w:sz w:val="24"/>
                <w:szCs w:val="24"/>
                <w:lang w:eastAsia="lv-LV"/>
              </w:rPr>
              <w:t>(</w:t>
            </w:r>
            <w:proofErr w:type="spellStart"/>
            <w:r w:rsidRPr="00EC4749">
              <w:rPr>
                <w:rFonts w:ascii="Times New Roman" w:eastAsia="Calibri" w:hAnsi="Times New Roman" w:cs="Times New Roman"/>
                <w:bCs/>
                <w:i/>
                <w:iCs/>
                <w:color w:val="000000"/>
                <w:sz w:val="24"/>
                <w:szCs w:val="24"/>
                <w:lang w:eastAsia="lv-LV"/>
              </w:rPr>
              <w:t>International</w:t>
            </w:r>
            <w:proofErr w:type="spellEnd"/>
            <w:r w:rsidRPr="00EC4749">
              <w:rPr>
                <w:rFonts w:ascii="Times New Roman" w:eastAsia="Calibri" w:hAnsi="Times New Roman" w:cs="Times New Roman"/>
                <w:bCs/>
                <w:i/>
                <w:iCs/>
                <w:color w:val="000000"/>
                <w:sz w:val="24"/>
                <w:szCs w:val="24"/>
                <w:lang w:eastAsia="lv-LV"/>
              </w:rPr>
              <w:t xml:space="preserve"> </w:t>
            </w:r>
            <w:proofErr w:type="spellStart"/>
            <w:r w:rsidRPr="00EC4749">
              <w:rPr>
                <w:rFonts w:ascii="Times New Roman" w:eastAsia="Calibri" w:hAnsi="Times New Roman" w:cs="Times New Roman"/>
                <w:bCs/>
                <w:i/>
                <w:iCs/>
                <w:color w:val="000000"/>
                <w:sz w:val="24"/>
                <w:szCs w:val="24"/>
                <w:lang w:eastAsia="lv-LV"/>
              </w:rPr>
              <w:t>Conference</w:t>
            </w:r>
            <w:proofErr w:type="spellEnd"/>
            <w:r w:rsidRPr="00EC4749">
              <w:rPr>
                <w:rFonts w:ascii="Times New Roman" w:eastAsia="Calibri" w:hAnsi="Times New Roman" w:cs="Times New Roman"/>
                <w:bCs/>
                <w:i/>
                <w:iCs/>
                <w:color w:val="000000"/>
                <w:sz w:val="24"/>
                <w:szCs w:val="24"/>
                <w:lang w:eastAsia="lv-LV"/>
              </w:rPr>
              <w:t xml:space="preserve"> </w:t>
            </w:r>
            <w:proofErr w:type="spellStart"/>
            <w:r w:rsidRPr="00EC4749">
              <w:rPr>
                <w:rFonts w:ascii="Times New Roman" w:eastAsia="Calibri" w:hAnsi="Times New Roman" w:cs="Times New Roman"/>
                <w:bCs/>
                <w:i/>
                <w:iCs/>
                <w:color w:val="000000"/>
                <w:sz w:val="24"/>
                <w:szCs w:val="24"/>
                <w:lang w:eastAsia="lv-LV"/>
              </w:rPr>
              <w:t>and</w:t>
            </w:r>
            <w:proofErr w:type="spellEnd"/>
            <w:r w:rsidRPr="00EC4749">
              <w:rPr>
                <w:rFonts w:ascii="Times New Roman" w:eastAsia="Calibri" w:hAnsi="Times New Roman" w:cs="Times New Roman"/>
                <w:bCs/>
                <w:i/>
                <w:iCs/>
                <w:color w:val="000000"/>
                <w:sz w:val="24"/>
                <w:szCs w:val="24"/>
                <w:lang w:eastAsia="lv-LV"/>
              </w:rPr>
              <w:t xml:space="preserve"> </w:t>
            </w:r>
            <w:proofErr w:type="spellStart"/>
            <w:r w:rsidRPr="00EC4749">
              <w:rPr>
                <w:rFonts w:ascii="Times New Roman" w:eastAsia="Calibri" w:hAnsi="Times New Roman" w:cs="Times New Roman"/>
                <w:bCs/>
                <w:i/>
                <w:iCs/>
                <w:color w:val="000000"/>
                <w:sz w:val="24"/>
                <w:szCs w:val="24"/>
                <w:lang w:eastAsia="lv-LV"/>
              </w:rPr>
              <w:t>Convention</w:t>
            </w:r>
            <w:proofErr w:type="spellEnd"/>
            <w:r w:rsidRPr="00EC4749">
              <w:rPr>
                <w:rFonts w:ascii="Times New Roman" w:eastAsia="Calibri" w:hAnsi="Times New Roman" w:cs="Times New Roman"/>
                <w:bCs/>
                <w:i/>
                <w:iCs/>
                <w:color w:val="000000"/>
                <w:sz w:val="24"/>
                <w:szCs w:val="24"/>
                <w:lang w:eastAsia="lv-LV"/>
              </w:rPr>
              <w:t xml:space="preserve"> Association)</w:t>
            </w:r>
            <w:r w:rsidRPr="00EC4749">
              <w:rPr>
                <w:rFonts w:ascii="Times New Roman" w:eastAsia="Calibri" w:hAnsi="Times New Roman" w:cs="Times New Roman"/>
                <w:bCs/>
                <w:iCs/>
                <w:color w:val="000000"/>
                <w:sz w:val="24"/>
                <w:szCs w:val="24"/>
                <w:lang w:eastAsia="lv-LV"/>
              </w:rPr>
              <w:t> konferenču skaita Baltijas galvaspilsētās, secināms, ka Rīga 2015. un 2016. gadā uzņēmusi vairāk starptautisko ICCA konferenču nekā kaimiņvalstu galvaspilsētas (Rīga – 33, Viļņa – 29, Tallina – 23). Darījuma tūrisms tieši un netieši ietekmē Latvijas tūrisma, transporta un izklaides uzņēmumus. Tas var būt darījuma vai izglītojoša rakstura pasākums, tai skaitā pieredzes apmaiņa, kā rezultātā tiek veicināta Latvijas MVU konkurētspēja.</w:t>
            </w:r>
          </w:p>
          <w:p w14:paraId="7761C31A" w14:textId="77777777" w:rsidR="000C487B" w:rsidRPr="00EC4749" w:rsidRDefault="000C487B" w:rsidP="000C487B">
            <w:pPr>
              <w:spacing w:before="60" w:after="60" w:line="240" w:lineRule="auto"/>
              <w:ind w:firstLine="649"/>
              <w:jc w:val="both"/>
              <w:rPr>
                <w:rFonts w:ascii="Times New Roman" w:eastAsia="Calibri" w:hAnsi="Times New Roman" w:cs="Times New Roman"/>
                <w:bCs/>
                <w:iCs/>
                <w:color w:val="000000"/>
                <w:sz w:val="24"/>
                <w:szCs w:val="24"/>
                <w:lang w:eastAsia="lv-LV"/>
              </w:rPr>
            </w:pPr>
            <w:r w:rsidRPr="00EC4749">
              <w:rPr>
                <w:rFonts w:ascii="Times New Roman" w:eastAsia="Calibri" w:hAnsi="Times New Roman" w:cs="Times New Roman"/>
                <w:bCs/>
                <w:iCs/>
                <w:color w:val="000000"/>
                <w:sz w:val="24"/>
                <w:szCs w:val="24"/>
                <w:lang w:eastAsia="lv-LV"/>
              </w:rPr>
              <w:t xml:space="preserve">Darījumu tūrists ceļojuma galamērķī tērē vidēji vairāk nekā atpūtas tūristi, uzturēšanās laiks ir ilgāks un  pieprasījums saglabājas arī ārpus aktīvās tūrisma sezonas, kas savukārt mazina tūrisma sezonalitāti. 2016.gadā darījumu tūrisma vairākdienu ceļotāji iztērēja Latvijā 81,5 milj. </w:t>
            </w:r>
            <w:r w:rsidRPr="00EC4749">
              <w:rPr>
                <w:rFonts w:ascii="Times New Roman" w:eastAsia="Calibri" w:hAnsi="Times New Roman" w:cs="Times New Roman"/>
                <w:bCs/>
                <w:i/>
                <w:iCs/>
                <w:color w:val="000000"/>
                <w:sz w:val="24"/>
                <w:szCs w:val="24"/>
                <w:lang w:eastAsia="lv-LV"/>
              </w:rPr>
              <w:t>euro</w:t>
            </w:r>
            <w:r w:rsidRPr="00EC4749">
              <w:rPr>
                <w:rFonts w:ascii="Times New Roman" w:eastAsia="Calibri" w:hAnsi="Times New Roman" w:cs="Times New Roman"/>
                <w:bCs/>
                <w:iCs/>
                <w:color w:val="000000"/>
                <w:sz w:val="24"/>
                <w:szCs w:val="24"/>
                <w:lang w:eastAsia="lv-LV"/>
              </w:rPr>
              <w:t xml:space="preserve">, kas vidēji diennaktī uz vienu ceļotāju bija 73 </w:t>
            </w:r>
            <w:r w:rsidRPr="00EC4749">
              <w:rPr>
                <w:rFonts w:ascii="Times New Roman" w:eastAsia="Calibri" w:hAnsi="Times New Roman" w:cs="Times New Roman"/>
                <w:bCs/>
                <w:i/>
                <w:iCs/>
                <w:color w:val="000000"/>
                <w:sz w:val="24"/>
                <w:szCs w:val="24"/>
                <w:lang w:eastAsia="lv-LV"/>
              </w:rPr>
              <w:t>euro</w:t>
            </w:r>
            <w:r w:rsidRPr="00EC4749">
              <w:rPr>
                <w:rFonts w:ascii="Times New Roman" w:eastAsia="Calibri" w:hAnsi="Times New Roman" w:cs="Times New Roman"/>
                <w:bCs/>
                <w:iCs/>
                <w:color w:val="000000"/>
                <w:sz w:val="24"/>
                <w:szCs w:val="24"/>
                <w:lang w:eastAsia="lv-LV"/>
              </w:rPr>
              <w:t>, neskaitot transporta vai konferences dalības maksas izmaksas (atpūtas tūrists diennaktī tērē vidēji Latvijā 54</w:t>
            </w:r>
            <w:r w:rsidRPr="00EC4749">
              <w:rPr>
                <w:rFonts w:ascii="Times New Roman" w:eastAsia="Calibri" w:hAnsi="Times New Roman" w:cs="Times New Roman"/>
                <w:bCs/>
                <w:i/>
                <w:iCs/>
                <w:color w:val="000000"/>
                <w:sz w:val="24"/>
                <w:szCs w:val="24"/>
                <w:lang w:eastAsia="lv-LV"/>
              </w:rPr>
              <w:t xml:space="preserve"> euro</w:t>
            </w:r>
            <w:r w:rsidRPr="00EC4749">
              <w:rPr>
                <w:rFonts w:ascii="Times New Roman" w:eastAsia="Calibri" w:hAnsi="Times New Roman" w:cs="Times New Roman"/>
                <w:bCs/>
                <w:iCs/>
                <w:color w:val="000000"/>
                <w:sz w:val="24"/>
                <w:szCs w:val="24"/>
                <w:lang w:eastAsia="lv-LV"/>
              </w:rPr>
              <w:t xml:space="preserve">). Savukārt ICCA starptautisko darījumu tūrisma pasākumu dalībnieks Rīgā vidēji tērē 437 </w:t>
            </w:r>
            <w:r w:rsidRPr="00EC4749">
              <w:rPr>
                <w:rFonts w:ascii="Times New Roman" w:eastAsia="Calibri" w:hAnsi="Times New Roman" w:cs="Times New Roman"/>
                <w:bCs/>
                <w:i/>
                <w:iCs/>
                <w:color w:val="000000"/>
                <w:sz w:val="24"/>
                <w:szCs w:val="24"/>
                <w:lang w:eastAsia="lv-LV"/>
              </w:rPr>
              <w:t>euro</w:t>
            </w:r>
            <w:r w:rsidRPr="00EC4749">
              <w:rPr>
                <w:rFonts w:ascii="Times New Roman" w:eastAsia="Calibri" w:hAnsi="Times New Roman" w:cs="Times New Roman"/>
                <w:bCs/>
                <w:iCs/>
                <w:color w:val="000000"/>
                <w:sz w:val="24"/>
                <w:szCs w:val="24"/>
                <w:lang w:eastAsia="lv-LV"/>
              </w:rPr>
              <w:t xml:space="preserve">, kas ir 4 reizes vairāk kā viena tūrista vidējie izdevumi. Attiecīgi viens vidēja lieluma kongress valsts ekonomikā ienes 1,04 milj. </w:t>
            </w:r>
            <w:r w:rsidRPr="00EC4749">
              <w:rPr>
                <w:rFonts w:ascii="Times New Roman" w:eastAsia="Calibri" w:hAnsi="Times New Roman" w:cs="Times New Roman"/>
                <w:bCs/>
                <w:i/>
                <w:iCs/>
                <w:color w:val="000000"/>
                <w:sz w:val="24"/>
                <w:szCs w:val="24"/>
                <w:lang w:eastAsia="lv-LV"/>
              </w:rPr>
              <w:t>euro</w:t>
            </w:r>
            <w:r w:rsidRPr="00EC4749">
              <w:rPr>
                <w:rFonts w:ascii="Times New Roman" w:eastAsia="Calibri" w:hAnsi="Times New Roman" w:cs="Times New Roman"/>
                <w:bCs/>
                <w:iCs/>
                <w:color w:val="000000"/>
                <w:sz w:val="24"/>
                <w:szCs w:val="24"/>
                <w:lang w:eastAsia="lv-LV"/>
              </w:rPr>
              <w:t xml:space="preserve">. </w:t>
            </w:r>
          </w:p>
          <w:p w14:paraId="7C86BC92" w14:textId="77777777" w:rsidR="000C487B" w:rsidRPr="00EC4749" w:rsidRDefault="000C487B" w:rsidP="000C487B">
            <w:pPr>
              <w:spacing w:before="60" w:after="60" w:line="240" w:lineRule="auto"/>
              <w:ind w:firstLine="649"/>
              <w:jc w:val="both"/>
              <w:rPr>
                <w:rFonts w:ascii="Times New Roman" w:eastAsia="Calibri" w:hAnsi="Times New Roman" w:cs="Times New Roman"/>
                <w:bCs/>
                <w:iCs/>
                <w:color w:val="000000"/>
                <w:sz w:val="24"/>
                <w:szCs w:val="24"/>
                <w:lang w:eastAsia="lv-LV"/>
              </w:rPr>
            </w:pPr>
            <w:r w:rsidRPr="00EC4749">
              <w:rPr>
                <w:rFonts w:ascii="Times New Roman" w:eastAsia="Calibri" w:hAnsi="Times New Roman" w:cs="Times New Roman"/>
                <w:bCs/>
                <w:iCs/>
                <w:color w:val="000000"/>
                <w:sz w:val="24"/>
                <w:szCs w:val="24"/>
                <w:lang w:eastAsia="lv-LV"/>
              </w:rPr>
              <w:t>Būtiski piebilst, ka jau šobrīd Rīgā iespējams nodrošināt starptautisku konferenču rīkošanu ar vismaz 1000 dalībniekiem. Rīgā pieejamas vairāk kā 25 labi iekārtotas telpas, kurās iespējams rīkot darījumu pasākumus ar ietilpību līdz 250 sēdvietām, vēl vairāk ir telpas, kuras  pielāgojamas darījumu pasākumu rīkošanai, piemēram teātru zāles vai izstāžu halles. Novados darījuma pasākumiem piemērotas vairāk kā 150 telpas ar kapacitāti sākot no 100 sēdvietām, 50 telpas ar ietilpību līdz 250 sēdvietām un 17 telpas ar ietilpību virs 400 sēdvietām, kuras nepieciešamības gadījumā būtu iespējams pielāgot darījumu pasākumu vajadzībām.</w:t>
            </w:r>
          </w:p>
          <w:p w14:paraId="57FD1E41" w14:textId="77777777" w:rsidR="000C487B" w:rsidRPr="00EC4749" w:rsidRDefault="000C487B" w:rsidP="000C487B">
            <w:pPr>
              <w:spacing w:before="60" w:after="60" w:line="240" w:lineRule="auto"/>
              <w:ind w:firstLine="649"/>
              <w:jc w:val="both"/>
              <w:rPr>
                <w:rFonts w:ascii="Times New Roman" w:eastAsia="Calibri" w:hAnsi="Times New Roman" w:cs="Times New Roman"/>
                <w:bCs/>
                <w:iCs/>
                <w:color w:val="000000"/>
                <w:sz w:val="24"/>
                <w:szCs w:val="24"/>
                <w:lang w:eastAsia="lv-LV"/>
              </w:rPr>
            </w:pPr>
            <w:r w:rsidRPr="00EC4749">
              <w:rPr>
                <w:rFonts w:ascii="Times New Roman" w:eastAsia="Calibri" w:hAnsi="Times New Roman" w:cs="Times New Roman"/>
                <w:bCs/>
                <w:iCs/>
                <w:color w:val="000000"/>
                <w:sz w:val="24"/>
                <w:szCs w:val="24"/>
                <w:lang w:eastAsia="lv-LV"/>
              </w:rPr>
              <w:t>Rīgā 2016.gadā pavisam bija 31 4*viesnīca un astoņas 5*viesnīcas ar kopējo ietilpību virs 8 tūkstošiem viesu. Savukārt viesnīcu noslogojums Rīgā nesezonā (oktobris –aprīlis) svārstās starp 32% un 40%. Līdz ar to, Rīgai nav problēmu uzņemt lielu skaitu ārvalstu viesu nesezonā, ja tiek laicīgi norezervētas telpas un viesnīcu numuri.</w:t>
            </w:r>
          </w:p>
          <w:p w14:paraId="247E8F23" w14:textId="77777777" w:rsidR="000C487B" w:rsidRPr="00EC4749" w:rsidRDefault="000C487B" w:rsidP="000C487B">
            <w:pPr>
              <w:spacing w:before="60" w:after="60" w:line="240" w:lineRule="auto"/>
              <w:ind w:firstLine="649"/>
              <w:jc w:val="both"/>
              <w:rPr>
                <w:rFonts w:ascii="Times New Roman" w:eastAsia="Calibri" w:hAnsi="Times New Roman" w:cs="Times New Roman"/>
                <w:bCs/>
                <w:iCs/>
                <w:color w:val="000000"/>
                <w:sz w:val="24"/>
                <w:szCs w:val="24"/>
                <w:lang w:eastAsia="lv-LV"/>
              </w:rPr>
            </w:pPr>
            <w:r w:rsidRPr="00EC4749">
              <w:rPr>
                <w:rFonts w:ascii="Times New Roman" w:eastAsia="Calibri" w:hAnsi="Times New Roman" w:cs="Times New Roman"/>
                <w:bCs/>
                <w:iCs/>
                <w:color w:val="000000"/>
                <w:sz w:val="24"/>
                <w:szCs w:val="24"/>
                <w:lang w:eastAsia="lv-LV"/>
              </w:rPr>
              <w:t>Līdz ar to</w:t>
            </w:r>
            <w:r w:rsidRPr="00EC4749">
              <w:rPr>
                <w:rFonts w:ascii="Times New Roman" w:eastAsia="Calibri" w:hAnsi="Times New Roman" w:cs="Times New Roman"/>
                <w:b/>
                <w:bCs/>
                <w:iCs/>
                <w:color w:val="000000"/>
                <w:sz w:val="24"/>
                <w:szCs w:val="24"/>
                <w:lang w:eastAsia="lv-LV"/>
              </w:rPr>
              <w:t xml:space="preserve"> Rīgai un Latvijai ir liels potenciāls darījumu tūrisma attīstībā</w:t>
            </w:r>
            <w:r w:rsidRPr="00EC4749">
              <w:rPr>
                <w:rFonts w:ascii="Times New Roman" w:eastAsia="Calibri" w:hAnsi="Times New Roman" w:cs="Times New Roman"/>
                <w:bCs/>
                <w:iCs/>
                <w:color w:val="000000"/>
                <w:sz w:val="24"/>
                <w:szCs w:val="24"/>
                <w:lang w:eastAsia="lv-LV"/>
              </w:rPr>
              <w:t>, ņemot vērā zemās izmaksas darījumu pasākumu organizēšanai, lidostas „Rīga” kapacitāti un galamērķus, kā arī citus iepriekš minētos faktorus. Šāds tūrisma veids ir efektīvs instruments, lai celtu naktsmītņu noslogojumu un tūrisma nozares MVU ieņēmumus ārpus aktīvās tūrisma sezonas, tādējādi mazinot to atkarību no sezonalitātes. No tūristu skaita pieauguma labumu gūst ne tikai tiešie ar tūrismu saistītie komersanti, bet arī netiešie, kā transporta, tirdzniecības vai ēdināšanas uzņēmumi.</w:t>
            </w:r>
          </w:p>
          <w:p w14:paraId="2645FE4B" w14:textId="77777777" w:rsidR="000C487B" w:rsidRPr="00EC4749" w:rsidRDefault="000C487B" w:rsidP="000C487B">
            <w:pPr>
              <w:spacing w:before="60" w:after="60" w:line="240" w:lineRule="auto"/>
              <w:ind w:firstLine="649"/>
              <w:jc w:val="both"/>
              <w:rPr>
                <w:rFonts w:ascii="Times New Roman" w:eastAsia="Calibri" w:hAnsi="Times New Roman" w:cs="Times New Roman"/>
                <w:bCs/>
                <w:iCs/>
                <w:color w:val="000000"/>
                <w:sz w:val="24"/>
                <w:szCs w:val="24"/>
                <w:lang w:eastAsia="lv-LV"/>
              </w:rPr>
            </w:pPr>
            <w:r w:rsidRPr="00EC4749">
              <w:rPr>
                <w:rFonts w:ascii="Times New Roman" w:eastAsia="Calibri" w:hAnsi="Times New Roman" w:cs="Times New Roman"/>
                <w:bCs/>
                <w:iCs/>
                <w:color w:val="000000"/>
                <w:sz w:val="24"/>
                <w:szCs w:val="24"/>
                <w:lang w:eastAsia="lv-LV"/>
              </w:rPr>
              <w:lastRenderedPageBreak/>
              <w:t>Pasaules Ekonomikas foruma (</w:t>
            </w:r>
            <w:r w:rsidRPr="00EC4749">
              <w:rPr>
                <w:rFonts w:ascii="Times New Roman" w:eastAsia="Calibri" w:hAnsi="Times New Roman" w:cs="Times New Roman"/>
                <w:bCs/>
                <w:i/>
                <w:iCs/>
                <w:color w:val="000000"/>
                <w:sz w:val="24"/>
                <w:szCs w:val="24"/>
                <w:lang w:eastAsia="lv-LV"/>
              </w:rPr>
              <w:t>WEF</w:t>
            </w:r>
            <w:r w:rsidRPr="00EC4749">
              <w:rPr>
                <w:rFonts w:ascii="Times New Roman" w:eastAsia="Calibri" w:hAnsi="Times New Roman" w:cs="Times New Roman"/>
                <w:bCs/>
                <w:iCs/>
                <w:color w:val="000000"/>
                <w:sz w:val="24"/>
                <w:szCs w:val="24"/>
                <w:lang w:eastAsia="lv-LV"/>
              </w:rPr>
              <w:t>) globālajā “Ceļojumu un tūrisma konkurētspējas ziņojumā” (turpmāk – ziņojums), kurā analizēti 90 tūrisma konkurētspēju raksturojošie indikatori, Latvija 2015.gadā 141.valstu konkurencē ierindojas 53 vietā, savukārt 2017.gadā - 54.vietā. Attiecīgi Igaunija ierindojās 37.vietā, savukārt Lietuva 56. vietā.</w:t>
            </w:r>
          </w:p>
          <w:p w14:paraId="66394F25" w14:textId="77777777" w:rsidR="000C487B" w:rsidRPr="00EC4749" w:rsidRDefault="000C487B" w:rsidP="000C487B">
            <w:pPr>
              <w:spacing w:before="60" w:after="60" w:line="240" w:lineRule="auto"/>
              <w:ind w:firstLine="649"/>
              <w:jc w:val="both"/>
              <w:rPr>
                <w:rFonts w:ascii="Times New Roman" w:eastAsia="Calibri" w:hAnsi="Times New Roman" w:cs="Times New Roman"/>
                <w:bCs/>
                <w:iCs/>
                <w:color w:val="000000"/>
                <w:sz w:val="24"/>
                <w:szCs w:val="24"/>
                <w:lang w:eastAsia="lv-LV"/>
              </w:rPr>
            </w:pPr>
            <w:r w:rsidRPr="00EC4749">
              <w:rPr>
                <w:rFonts w:ascii="Times New Roman" w:eastAsia="Calibri" w:hAnsi="Times New Roman" w:cs="Times New Roman"/>
                <w:bCs/>
                <w:iCs/>
                <w:color w:val="000000"/>
                <w:sz w:val="24"/>
                <w:szCs w:val="24"/>
                <w:lang w:eastAsia="lv-LV"/>
              </w:rPr>
              <w:t xml:space="preserve">Ziņojumā kā galvenās Latvijas konkurētspējas priekšrocības tūrismā atzīmētas cilvēkresursu un darbaspēka tirgus, informācijas un komunikāciju tehnoloģiju gatavība, veselības un higiēnas aspekti un vides ilgtspēja. Savukārt kā konkurētspējas vājākās vietas novērtētas kultūras resursi un darījumu ceļojumi, kā arī dabas resursi. Kopumā Baltijas valstu vērtējumi kopš pirmā ziņojuma 2007.gadā svārstījušies bez noteiktas pārmaiņu tendences. </w:t>
            </w:r>
          </w:p>
          <w:p w14:paraId="3F9E3EB8" w14:textId="77777777" w:rsidR="000C487B" w:rsidRPr="00EC4749" w:rsidRDefault="000C487B" w:rsidP="000C487B">
            <w:pPr>
              <w:spacing w:before="60" w:after="60" w:line="240" w:lineRule="auto"/>
              <w:ind w:firstLine="649"/>
              <w:jc w:val="both"/>
              <w:rPr>
                <w:rFonts w:ascii="Times New Roman" w:eastAsia="Calibri" w:hAnsi="Times New Roman" w:cs="Times New Roman"/>
                <w:bCs/>
                <w:iCs/>
                <w:color w:val="000000"/>
                <w:sz w:val="24"/>
                <w:szCs w:val="24"/>
                <w:lang w:eastAsia="lv-LV"/>
              </w:rPr>
            </w:pPr>
            <w:r w:rsidRPr="00EC4749">
              <w:rPr>
                <w:rFonts w:ascii="Times New Roman" w:eastAsia="Calibri" w:hAnsi="Times New Roman" w:cs="Times New Roman"/>
                <w:bCs/>
                <w:iCs/>
                <w:color w:val="000000"/>
                <w:sz w:val="24"/>
                <w:szCs w:val="24"/>
                <w:lang w:eastAsia="lv-LV"/>
              </w:rPr>
              <w:t>Latvijas un Rīgas tūrisma pakalpojumu piedāvājumu nepieciešams pilnveidot, veicot investīcijas gan infrastruktūrā, gan tūrisma piedāvājuma dažādošanā, primāri attīstot uz eksportu orientētus tūrisma produktus un pakalpojumus. Tādēļ būtiski ir atbalstīt tādu nacionālā līmeņa tūristu piesaistes objektu ar augstu komerciālo potenciālu un pelnītspēju attīstību, kas būtu konkurētspējīgi Baltijas valstu un Baltijas jūras reģionā mērogā, kā piemēram attīstīt darījumu tūrismu, lai veicinātu Latvijas tūrisma piedāvājuma konkurētspējas uzlabošanu – ārvalstu vairākdienu ceļotāju skaita palielināšanos un tūrisma sezonalitātes mazināšanos.</w:t>
            </w:r>
          </w:p>
          <w:p w14:paraId="4E3676E6" w14:textId="77777777" w:rsidR="00AB77F2" w:rsidRPr="00EC4749" w:rsidRDefault="00AB77F2" w:rsidP="00AB77F2">
            <w:pPr>
              <w:spacing w:before="60" w:after="60" w:line="240" w:lineRule="auto"/>
              <w:ind w:firstLine="649"/>
              <w:jc w:val="both"/>
              <w:rPr>
                <w:rFonts w:ascii="Times New Roman" w:eastAsia="Calibri" w:hAnsi="Times New Roman" w:cs="Times New Roman"/>
                <w:bCs/>
                <w:iCs/>
                <w:color w:val="000000"/>
                <w:sz w:val="24"/>
                <w:szCs w:val="24"/>
                <w:lang w:eastAsia="lv-LV"/>
              </w:rPr>
            </w:pPr>
            <w:r w:rsidRPr="00EC4749">
              <w:rPr>
                <w:rFonts w:ascii="Times New Roman" w:eastAsia="Calibri" w:hAnsi="Times New Roman" w:cs="Times New Roman"/>
                <w:bCs/>
                <w:iCs/>
                <w:color w:val="000000"/>
                <w:sz w:val="24"/>
                <w:szCs w:val="24"/>
                <w:lang w:eastAsia="lv-LV"/>
              </w:rPr>
              <w:t xml:space="preserve">Pamatojoties uz iepriekš minēto, Ekonomikas ministrija ir izstrādājusi Ministru kabineta noteikumu projektu </w:t>
            </w:r>
            <w:r w:rsidRPr="00EC4749">
              <w:rPr>
                <w:rFonts w:ascii="Times New Roman" w:eastAsia="Calibri" w:hAnsi="Times New Roman" w:cs="Times New Roman"/>
                <w:b/>
                <w:bCs/>
                <w:iCs/>
                <w:color w:val="000000"/>
                <w:sz w:val="24"/>
                <w:szCs w:val="24"/>
                <w:lang w:eastAsia="lv-LV"/>
              </w:rPr>
              <w:t xml:space="preserve">„Grozījumi Ministru kabineta 2015.gada 1.decembra noteikumos Nr.678 “Darbības programmas „Izaugsme un nodarbinātība” 3.2.1.specifiskā atbalsta mērķa „Palielināt augstas pievienotās vērtības produktu un pakalpojumu eksporta proporciju” 3.2.1.2.pasākuma „Starptautiskās konkurētspējas veicināšana” īstenošanas noteikumi”” </w:t>
            </w:r>
            <w:r w:rsidRPr="00EC4749">
              <w:rPr>
                <w:rFonts w:ascii="Times New Roman" w:eastAsia="Calibri" w:hAnsi="Times New Roman" w:cs="Times New Roman"/>
                <w:bCs/>
                <w:iCs/>
                <w:color w:val="000000"/>
                <w:sz w:val="24"/>
                <w:szCs w:val="24"/>
                <w:lang w:eastAsia="lv-LV"/>
              </w:rPr>
              <w:t>(turpmāk – MK noteikumu projekts).</w:t>
            </w:r>
          </w:p>
          <w:p w14:paraId="1A7C35EA" w14:textId="77777777" w:rsidR="00AB77F2" w:rsidRPr="00EC4749" w:rsidRDefault="00AB77F2" w:rsidP="00AB77F2">
            <w:pPr>
              <w:spacing w:before="60" w:after="60" w:line="240" w:lineRule="auto"/>
              <w:ind w:firstLine="649"/>
              <w:jc w:val="both"/>
              <w:rPr>
                <w:rFonts w:ascii="Times New Roman" w:eastAsia="Calibri" w:hAnsi="Times New Roman" w:cs="Times New Roman"/>
                <w:bCs/>
                <w:iCs/>
                <w:color w:val="000000"/>
                <w:sz w:val="24"/>
                <w:szCs w:val="24"/>
                <w:lang w:eastAsia="lv-LV"/>
              </w:rPr>
            </w:pPr>
            <w:r w:rsidRPr="00EC4749">
              <w:rPr>
                <w:rFonts w:ascii="Times New Roman" w:eastAsia="Calibri" w:hAnsi="Times New Roman" w:cs="Times New Roman"/>
                <w:bCs/>
                <w:iCs/>
                <w:color w:val="000000"/>
                <w:sz w:val="24"/>
                <w:szCs w:val="24"/>
                <w:lang w:eastAsia="lv-LV"/>
              </w:rPr>
              <w:t>Ekonomikas ministrijas ierosinātās izmaiņas MK noteikumu Nr.678 14.3. un 14.4.apakšpunktos minētajās atbalstāmajās darbībās (attiecas uz projektu Nr.3.2.1.2/16/l/001) radīs neitrālu ietekmi uz 3.2.1.2.pasākuma mērķa grupu un gala labuma guvējiem, jo ilgtermiņā tās nodrošinās atbalsta finansējuma pieejamību ilgāku laika periodu. Intensitātes mazināšana no 80 procentiem uz 60 procentiem labvēlīgi ietekmēs 3.2.1.2.pasākuma finansējuma mērķi un iznākuma rādītāju - privātais finansējums, kas piesaistīts publiskajam finansējumam – grantiem.</w:t>
            </w:r>
          </w:p>
          <w:p w14:paraId="2A2D1C1D" w14:textId="130E45EC" w:rsidR="00AB77F2" w:rsidRPr="00EC4749" w:rsidRDefault="00AB77F2" w:rsidP="00AB77F2">
            <w:pPr>
              <w:spacing w:before="60" w:after="60" w:line="240" w:lineRule="auto"/>
              <w:ind w:firstLine="649"/>
              <w:jc w:val="both"/>
              <w:rPr>
                <w:rFonts w:ascii="Times New Roman" w:eastAsia="Calibri" w:hAnsi="Times New Roman" w:cs="Times New Roman"/>
                <w:bCs/>
                <w:iCs/>
                <w:color w:val="000000"/>
                <w:sz w:val="24"/>
                <w:szCs w:val="24"/>
                <w:lang w:eastAsia="lv-LV"/>
              </w:rPr>
            </w:pPr>
            <w:r w:rsidRPr="00EC4749">
              <w:rPr>
                <w:rFonts w:ascii="Times New Roman" w:eastAsia="Calibri" w:hAnsi="Times New Roman" w:cs="Times New Roman"/>
                <w:bCs/>
                <w:iCs/>
                <w:color w:val="000000"/>
                <w:sz w:val="24"/>
                <w:szCs w:val="24"/>
                <w:lang w:eastAsia="lv-LV"/>
              </w:rPr>
              <w:t xml:space="preserve">Izmaiņas MK noteikumu Nr.678 18.punktā uzskaitītajās atbalstāmajās darbībās (attiecas uz projektu Nr.3.2.1.2/16/l/002) radīs pozitīvu ietekmi uz 3.2.1.2.pasākuma mērķa grupu un gala labuma guvējiem. Atbalstāmo darbību loka papildināšana ar jaunām atbalstāmām darbībām labvēlīgi ietekmēs 3.2.1.2.pasākuma finansējuma mērķi un iznākuma rādītājus. </w:t>
            </w:r>
          </w:p>
          <w:p w14:paraId="399BE35D" w14:textId="13DB67B1" w:rsidR="00D41C8F" w:rsidRPr="00EC4749" w:rsidRDefault="00526AFD" w:rsidP="00D41C8F">
            <w:pPr>
              <w:spacing w:before="60" w:after="60" w:line="240" w:lineRule="auto"/>
              <w:ind w:firstLine="649"/>
              <w:jc w:val="both"/>
              <w:rPr>
                <w:rFonts w:ascii="Times New Roman" w:eastAsia="Calibri" w:hAnsi="Times New Roman" w:cs="Times New Roman"/>
                <w:bCs/>
                <w:iCs/>
                <w:color w:val="000000"/>
                <w:sz w:val="24"/>
                <w:szCs w:val="24"/>
                <w:lang w:eastAsia="lv-LV"/>
              </w:rPr>
            </w:pPr>
            <w:r w:rsidRPr="00EC4749">
              <w:rPr>
                <w:rFonts w:ascii="Times New Roman" w:eastAsia="Calibri" w:hAnsi="Times New Roman" w:cs="Times New Roman"/>
                <w:bCs/>
                <w:color w:val="000000"/>
                <w:sz w:val="24"/>
                <w:szCs w:val="24"/>
                <w:lang w:eastAsia="lv-LV"/>
              </w:rPr>
              <w:t xml:space="preserve"> </w:t>
            </w:r>
            <w:r w:rsidR="00D41C8F" w:rsidRPr="00EC4749">
              <w:rPr>
                <w:rFonts w:ascii="Times New Roman" w:eastAsia="Calibri" w:hAnsi="Times New Roman" w:cs="Times New Roman"/>
                <w:bCs/>
                <w:sz w:val="24"/>
                <w:szCs w:val="24"/>
              </w:rPr>
              <w:t xml:space="preserve"> </w:t>
            </w:r>
            <w:r w:rsidR="00D41C8F" w:rsidRPr="00EC4749">
              <w:rPr>
                <w:rFonts w:ascii="Times New Roman" w:eastAsia="Calibri" w:hAnsi="Times New Roman" w:cs="Times New Roman"/>
                <w:bCs/>
                <w:color w:val="000000"/>
                <w:sz w:val="24"/>
                <w:szCs w:val="24"/>
                <w:lang w:eastAsia="lv-LV"/>
              </w:rPr>
              <w:t xml:space="preserve">Līdz ar to ir nepieciešams grozīt MK noteikumu Nr.678 6.2., 8.3., 10., 14.3., 20.7., 20.10., 20.11., 37.2. un 37.3.apakšpunktus, attiecīgi koriģējot iznākuma rādītājus, precizējot atbalstāmās darbības un atbalsta intensitāti, kā arī precizēt 15. un 19. punktu un </w:t>
            </w:r>
            <w:r w:rsidR="00D41C8F" w:rsidRPr="00EC4749">
              <w:rPr>
                <w:rFonts w:ascii="Times New Roman" w:eastAsia="Calibri" w:hAnsi="Times New Roman" w:cs="Times New Roman"/>
                <w:bCs/>
                <w:iCs/>
                <w:color w:val="000000"/>
                <w:sz w:val="24"/>
                <w:szCs w:val="24"/>
                <w:lang w:eastAsia="lv-LV"/>
              </w:rPr>
              <w:lastRenderedPageBreak/>
              <w:t>papildināt ar 18.5. un 18.6. apakšpunktu, 19.¹, 42.¹, 42.², 42.³ punktiem, kā arī izteikt 21.punktu jaunā redakcijā un papildināt 51.1. apakšpunktu, attiecīgi papildinot ar jaunu atbalstāmo darbību, attiecināmām izmaksām un atbalsta intensitāti.</w:t>
            </w:r>
          </w:p>
          <w:p w14:paraId="2C6E3CE1" w14:textId="77777777" w:rsidR="00D41C8F" w:rsidRPr="00EC4749" w:rsidRDefault="00D41C8F" w:rsidP="00D41C8F">
            <w:pPr>
              <w:spacing w:before="60" w:after="60" w:line="240" w:lineRule="auto"/>
              <w:ind w:firstLine="649"/>
              <w:jc w:val="both"/>
              <w:rPr>
                <w:rFonts w:ascii="Times New Roman" w:eastAsia="Calibri" w:hAnsi="Times New Roman" w:cs="Times New Roman"/>
                <w:bCs/>
                <w:color w:val="000000"/>
                <w:sz w:val="24"/>
                <w:szCs w:val="24"/>
                <w:lang w:eastAsia="lv-LV"/>
              </w:rPr>
            </w:pPr>
            <w:r w:rsidRPr="00EC4749">
              <w:rPr>
                <w:rFonts w:ascii="Times New Roman" w:eastAsia="Calibri" w:hAnsi="Times New Roman" w:cs="Times New Roman"/>
                <w:bCs/>
                <w:color w:val="000000"/>
                <w:sz w:val="24"/>
                <w:szCs w:val="24"/>
                <w:lang w:eastAsia="lv-LV"/>
              </w:rPr>
              <w:t xml:space="preserve">Tā kā nozaru starptautiskās izstādes, konferences un semināri notiek sezonāli - rudenī pārsvarā no septembra līdz novembrim ieskaitot, tad komersanti, kuri savu dalību ārvalstu konferencēs un semināros ir plānojuši 2017.gadā, ņemot to vērā, 3.2.1.2.pasākuma ietvaros ir atbalstāmi šie pasākumi, lai pēc iespējas mazinātu ietekmi uz mērķa grupas subjektiem, proti, ietekmi, kas rodas sašaurinot atbalstāmo darbību loku, </w:t>
            </w:r>
            <w:r w:rsidRPr="00EC4749">
              <w:rPr>
                <w:rFonts w:ascii="Times New Roman" w:eastAsia="Calibri" w:hAnsi="Times New Roman" w:cs="Times New Roman"/>
                <w:b/>
                <w:bCs/>
                <w:color w:val="000000"/>
                <w:sz w:val="24"/>
                <w:szCs w:val="24"/>
                <w:lang w:eastAsia="lv-LV"/>
              </w:rPr>
              <w:t>MK noteikumu projekts stājas spēkā 2017.gada 1.decembrī.</w:t>
            </w:r>
          </w:p>
          <w:p w14:paraId="1C225244" w14:textId="77777777" w:rsidR="00D41C8F" w:rsidRPr="00EC4749" w:rsidRDefault="00D41C8F" w:rsidP="00D41C8F">
            <w:pPr>
              <w:spacing w:before="60" w:after="60" w:line="240" w:lineRule="auto"/>
              <w:ind w:firstLine="649"/>
              <w:jc w:val="both"/>
              <w:rPr>
                <w:rFonts w:ascii="Times New Roman" w:eastAsia="Calibri" w:hAnsi="Times New Roman" w:cs="Times New Roman"/>
                <w:b/>
                <w:bCs/>
                <w:color w:val="000000"/>
                <w:sz w:val="24"/>
                <w:szCs w:val="24"/>
                <w:lang w:eastAsia="lv-LV"/>
              </w:rPr>
            </w:pPr>
            <w:r w:rsidRPr="00EC4749">
              <w:rPr>
                <w:rFonts w:ascii="Times New Roman" w:eastAsia="Calibri" w:hAnsi="Times New Roman" w:cs="Times New Roman"/>
                <w:bCs/>
                <w:color w:val="000000"/>
                <w:sz w:val="24"/>
                <w:szCs w:val="24"/>
                <w:lang w:eastAsia="lv-LV"/>
              </w:rPr>
              <w:t xml:space="preserve">Līdz ar to MK noteikumu Nr.678 14.3.apakšpunktā noteiktais atbalstāmo darbību loks tiek sašaurināts un </w:t>
            </w:r>
            <w:r w:rsidRPr="00EC4749">
              <w:rPr>
                <w:rFonts w:ascii="Times New Roman" w:eastAsia="Calibri" w:hAnsi="Times New Roman" w:cs="Times New Roman"/>
                <w:bCs/>
                <w:iCs/>
                <w:color w:val="000000"/>
                <w:sz w:val="24"/>
                <w:szCs w:val="24"/>
                <w:lang w:eastAsia="lv-LV"/>
              </w:rPr>
              <w:t>18. punktā noteiktais atbalstāmo darbību loks tiek papildināts ar jaunām atbalstāmajām darbībām un MK noteikumu projektā noteiktie nosacījumi par</w:t>
            </w:r>
            <w:r w:rsidRPr="00EC4749">
              <w:rPr>
                <w:rFonts w:ascii="Times New Roman" w:eastAsia="Calibri" w:hAnsi="Times New Roman" w:cs="Times New Roman"/>
                <w:bCs/>
                <w:color w:val="000000"/>
                <w:sz w:val="24"/>
                <w:szCs w:val="24"/>
                <w:lang w:eastAsia="lv-LV"/>
              </w:rPr>
              <w:t xml:space="preserve"> </w:t>
            </w:r>
            <w:r w:rsidRPr="00EC4749">
              <w:rPr>
                <w:rFonts w:ascii="Times New Roman" w:eastAsia="Calibri" w:hAnsi="Times New Roman" w:cs="Times New Roman"/>
                <w:bCs/>
                <w:iCs/>
                <w:color w:val="000000"/>
                <w:sz w:val="24"/>
                <w:szCs w:val="24"/>
                <w:lang w:eastAsia="lv-LV"/>
              </w:rPr>
              <w:t>atbalsta intensitāti un atbalsta nodrošināšanu pasākuma mērķa grupai dalībai tirdzniecības misijās ārvalstīs un darījumu tūrisma pasākumu organizēšanai Latvijā, piemērojami ņemot vērā MK noteikumu projekta spēkā stāšanās termiņu</w:t>
            </w:r>
            <w:r w:rsidRPr="00EC4749">
              <w:rPr>
                <w:rFonts w:ascii="Times New Roman" w:eastAsia="Calibri" w:hAnsi="Times New Roman" w:cs="Times New Roman"/>
                <w:b/>
                <w:bCs/>
                <w:iCs/>
                <w:color w:val="000000"/>
                <w:sz w:val="24"/>
                <w:szCs w:val="24"/>
                <w:lang w:eastAsia="lv-LV"/>
              </w:rPr>
              <w:t xml:space="preserve">. </w:t>
            </w:r>
          </w:p>
          <w:p w14:paraId="29CEFC43" w14:textId="1CE5BB02" w:rsidR="00526AFD" w:rsidRPr="00EC4749" w:rsidRDefault="00D41C8F" w:rsidP="00D41C8F">
            <w:pPr>
              <w:spacing w:before="60" w:after="60" w:line="240" w:lineRule="auto"/>
              <w:ind w:firstLine="649"/>
              <w:jc w:val="both"/>
              <w:rPr>
                <w:rFonts w:ascii="Times New Roman" w:eastAsia="Calibri" w:hAnsi="Times New Roman" w:cs="Times New Roman"/>
                <w:bCs/>
                <w:iCs/>
                <w:sz w:val="24"/>
                <w:szCs w:val="24"/>
                <w:lang w:eastAsia="lv-LV"/>
              </w:rPr>
            </w:pPr>
            <w:r w:rsidRPr="00EC4749">
              <w:rPr>
                <w:rFonts w:ascii="Times New Roman" w:eastAsia="Calibri" w:hAnsi="Times New Roman" w:cs="Times New Roman"/>
                <w:bCs/>
                <w:iCs/>
                <w:sz w:val="24"/>
                <w:szCs w:val="24"/>
              </w:rPr>
              <w:t>Proti, ja finansējuma saņēmēja (kurš 3.2.1.2.pasākuma ietvaros izstādē vai tirdzniecības misijā piedalās atkārtoti) izvēlētās starptautiskās izstādes (attiecas uz projektu Nr.3.2.1.2/16/l/001) vai tirdzniecības misijas (attiecas uz Nr.3.2.1.2/16/l/002)   norises laika pēdējā diena būs notikusi MK noteikumu projekta spēkā stāšanās dienā, tad attiecināmo izmaksu atbalsta intensitāte</w:t>
            </w:r>
            <w:r w:rsidRPr="00EC4749">
              <w:rPr>
                <w:rFonts w:ascii="Times New Roman" w:eastAsia="Calibri" w:hAnsi="Times New Roman" w:cs="Times New Roman"/>
                <w:bCs/>
                <w:sz w:val="24"/>
                <w:szCs w:val="24"/>
              </w:rPr>
              <w:t xml:space="preserve"> ir 60%. Vienlaikus, ja 14.3.apakšpunktā minēto darbību - dalība ar uzņēmējdarbību saistītās individuāli izvēlētās konferencēs un semināros ārvalstīs </w:t>
            </w:r>
            <w:r w:rsidRPr="00EC4749">
              <w:rPr>
                <w:rFonts w:ascii="Times New Roman" w:eastAsia="Calibri" w:hAnsi="Times New Roman" w:cs="Times New Roman"/>
                <w:bCs/>
                <w:iCs/>
                <w:sz w:val="24"/>
                <w:szCs w:val="24"/>
              </w:rPr>
              <w:t>norises laika pēdējā diena būs notikusi MK noteikumu projekta spēkā stāšanās dienā – izmaksas netiks attiecinātas 3.2.1.2.pasakuma ietvaros. Savukārt, ja darījuma tūrisma pasākuma Latvijā norises laika pēdējā diena būs notikusi MK noteikumu projekta spēkā stāšanās dienā, tad izmaksas par šo darījuma tūrisma pasākumu ir attiecināmas 3.2.1.2. pasākuma ietvaros.</w:t>
            </w:r>
          </w:p>
        </w:tc>
      </w:tr>
      <w:tr w:rsidR="00526AFD" w:rsidRPr="00526AFD" w14:paraId="309D0453" w14:textId="77777777" w:rsidTr="00D41C8F">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7D8D803F" w14:textId="77777777" w:rsidR="00526AFD" w:rsidRPr="00526AFD" w:rsidRDefault="00526AFD" w:rsidP="00526AFD">
            <w:pPr>
              <w:spacing w:after="0" w:line="240" w:lineRule="auto"/>
              <w:jc w:val="center"/>
              <w:rPr>
                <w:rFonts w:ascii="Times New Roman" w:eastAsia="Calibri" w:hAnsi="Times New Roman" w:cs="Times New Roman"/>
                <w:sz w:val="24"/>
                <w:szCs w:val="24"/>
              </w:rPr>
            </w:pPr>
            <w:r w:rsidRPr="00526AFD">
              <w:rPr>
                <w:rFonts w:ascii="Times New Roman" w:eastAsia="Calibri" w:hAnsi="Times New Roman" w:cs="Times New Roman"/>
                <w:sz w:val="24"/>
                <w:szCs w:val="24"/>
                <w:lang w:eastAsia="lv-LV"/>
              </w:rPr>
              <w:lastRenderedPageBreak/>
              <w:t>3.</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387DDCDC" w14:textId="77777777" w:rsidR="00526AFD" w:rsidRPr="00526AFD" w:rsidRDefault="00526AFD" w:rsidP="00526AFD">
            <w:pPr>
              <w:spacing w:after="0" w:line="240" w:lineRule="auto"/>
              <w:rPr>
                <w:rFonts w:ascii="Times New Roman" w:eastAsia="Calibri" w:hAnsi="Times New Roman" w:cs="Times New Roman"/>
                <w:sz w:val="24"/>
                <w:szCs w:val="24"/>
              </w:rPr>
            </w:pPr>
            <w:r w:rsidRPr="00526AFD">
              <w:rPr>
                <w:rFonts w:ascii="Times New Roman" w:eastAsia="Calibri" w:hAnsi="Times New Roman" w:cs="Times New Roman"/>
                <w:sz w:val="24"/>
                <w:szCs w:val="24"/>
                <w:lang w:eastAsia="lv-LV"/>
              </w:rPr>
              <w:t>Projekta izstrādē iesaistītās institūcijas</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F8EB405" w14:textId="77777777" w:rsidR="00526AFD" w:rsidRPr="00526AFD" w:rsidRDefault="00526AFD" w:rsidP="00526AFD">
            <w:pPr>
              <w:spacing w:after="120" w:line="240" w:lineRule="auto"/>
              <w:jc w:val="both"/>
              <w:rPr>
                <w:rFonts w:ascii="Times New Roman" w:eastAsia="Calibri" w:hAnsi="Times New Roman" w:cs="Times New Roman"/>
                <w:sz w:val="24"/>
                <w:szCs w:val="24"/>
                <w:lang w:eastAsia="lv-LV"/>
              </w:rPr>
            </w:pPr>
            <w:r w:rsidRPr="00526AFD">
              <w:rPr>
                <w:rFonts w:ascii="Times New Roman" w:eastAsia="Calibri" w:hAnsi="Times New Roman" w:cs="Times New Roman"/>
                <w:sz w:val="24"/>
                <w:szCs w:val="24"/>
                <w:lang w:eastAsia="lv-LV"/>
              </w:rPr>
              <w:t>Ekonomikas ministrija</w:t>
            </w:r>
          </w:p>
        </w:tc>
      </w:tr>
      <w:tr w:rsidR="00526AFD" w:rsidRPr="00526AFD" w14:paraId="1178DCB3" w14:textId="77777777" w:rsidTr="00D41C8F">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12BBBC32" w14:textId="77777777" w:rsidR="00526AFD" w:rsidRPr="00526AFD" w:rsidRDefault="00526AFD" w:rsidP="00526AFD">
            <w:pPr>
              <w:spacing w:after="0" w:line="240" w:lineRule="auto"/>
              <w:jc w:val="center"/>
              <w:rPr>
                <w:rFonts w:ascii="Times New Roman" w:eastAsia="Calibri" w:hAnsi="Times New Roman" w:cs="Times New Roman"/>
                <w:sz w:val="24"/>
                <w:szCs w:val="24"/>
              </w:rPr>
            </w:pPr>
            <w:r w:rsidRPr="00526AFD">
              <w:rPr>
                <w:rFonts w:ascii="Times New Roman" w:eastAsia="Calibri" w:hAnsi="Times New Roman" w:cs="Times New Roman"/>
                <w:sz w:val="24"/>
                <w:szCs w:val="24"/>
                <w:lang w:eastAsia="lv-LV"/>
              </w:rPr>
              <w:t>4.</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472F8E0D" w14:textId="77777777" w:rsidR="00526AFD" w:rsidRPr="00526AFD" w:rsidRDefault="00526AFD" w:rsidP="00526AFD">
            <w:pPr>
              <w:spacing w:after="0" w:line="240" w:lineRule="auto"/>
              <w:rPr>
                <w:rFonts w:ascii="Times New Roman" w:eastAsia="Calibri" w:hAnsi="Times New Roman" w:cs="Times New Roman"/>
                <w:sz w:val="24"/>
                <w:szCs w:val="24"/>
              </w:rPr>
            </w:pPr>
            <w:r w:rsidRPr="00526AFD">
              <w:rPr>
                <w:rFonts w:ascii="Times New Roman" w:eastAsia="Calibri" w:hAnsi="Times New Roman" w:cs="Times New Roman"/>
                <w:sz w:val="24"/>
                <w:szCs w:val="24"/>
                <w:lang w:eastAsia="lv-LV"/>
              </w:rPr>
              <w:t>Cita informācija</w:t>
            </w:r>
          </w:p>
        </w:tc>
        <w:tc>
          <w:tcPr>
            <w:tcW w:w="6804" w:type="dxa"/>
            <w:tcBorders>
              <w:top w:val="single" w:sz="4" w:space="0" w:color="auto"/>
              <w:left w:val="single" w:sz="4" w:space="0" w:color="auto"/>
              <w:bottom w:val="single" w:sz="4" w:space="0" w:color="auto"/>
              <w:right w:val="single" w:sz="4" w:space="0" w:color="auto"/>
            </w:tcBorders>
            <w:shd w:val="clear" w:color="auto" w:fill="FFFFFF"/>
            <w:hideMark/>
          </w:tcPr>
          <w:p w14:paraId="066951EE" w14:textId="644BE4C9" w:rsidR="00526AFD" w:rsidRPr="00526AFD" w:rsidRDefault="00D41C8F" w:rsidP="00526AFD">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Nav</w:t>
            </w:r>
          </w:p>
        </w:tc>
      </w:tr>
    </w:tbl>
    <w:p w14:paraId="64B76C35" w14:textId="77777777" w:rsidR="00526AFD" w:rsidRPr="00526AFD" w:rsidRDefault="00526AFD" w:rsidP="00526AFD">
      <w:pPr>
        <w:spacing w:after="0" w:line="240" w:lineRule="auto"/>
        <w:jc w:val="both"/>
        <w:rPr>
          <w:rFonts w:ascii="Times New Roman" w:eastAsia="Calibri" w:hAnsi="Times New Roman" w:cs="Times New Roman"/>
          <w:sz w:val="24"/>
          <w:szCs w:val="24"/>
          <w:lang w:eastAsia="lv-LV"/>
        </w:rPr>
      </w:pPr>
      <w:r w:rsidRPr="00526AFD">
        <w:rPr>
          <w:rFonts w:ascii="Times New Roman" w:eastAsia="Calibri" w:hAnsi="Times New Roman" w:cs="Times New Roman"/>
          <w:sz w:val="24"/>
          <w:szCs w:val="24"/>
          <w:lang w:eastAsia="lv-LV"/>
        </w:rPr>
        <w:br w:type="textWrapping" w:clear="all"/>
        <w:t xml:space="preserve"> </w:t>
      </w:r>
    </w:p>
    <w:tbl>
      <w:tblPr>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
        <w:gridCol w:w="2689"/>
        <w:gridCol w:w="5982"/>
      </w:tblGrid>
      <w:tr w:rsidR="00526AFD" w:rsidRPr="00526AFD" w14:paraId="1D8AF259" w14:textId="77777777" w:rsidTr="00EC4749">
        <w:tc>
          <w:tcPr>
            <w:tcW w:w="9214" w:type="dxa"/>
            <w:gridSpan w:val="3"/>
            <w:tcBorders>
              <w:top w:val="single" w:sz="4" w:space="0" w:color="auto"/>
              <w:left w:val="single" w:sz="4" w:space="0" w:color="auto"/>
              <w:bottom w:val="single" w:sz="4" w:space="0" w:color="auto"/>
              <w:right w:val="single" w:sz="4" w:space="0" w:color="auto"/>
            </w:tcBorders>
            <w:shd w:val="clear" w:color="auto" w:fill="auto"/>
            <w:hideMark/>
          </w:tcPr>
          <w:p w14:paraId="6BBF1B65" w14:textId="77777777" w:rsidR="00526AFD" w:rsidRPr="00526AFD" w:rsidRDefault="00526AFD" w:rsidP="00526AFD">
            <w:pPr>
              <w:tabs>
                <w:tab w:val="left" w:pos="2268"/>
                <w:tab w:val="left" w:pos="2410"/>
              </w:tabs>
              <w:spacing w:after="0" w:line="240" w:lineRule="auto"/>
              <w:ind w:left="1080"/>
              <w:contextualSpacing/>
              <w:jc w:val="center"/>
              <w:rPr>
                <w:rFonts w:ascii="Times New Roman" w:eastAsia="Times New Roman" w:hAnsi="Times New Roman" w:cs="Times New Roman"/>
                <w:b/>
                <w:sz w:val="24"/>
                <w:szCs w:val="24"/>
              </w:rPr>
            </w:pPr>
            <w:r w:rsidRPr="00526AFD">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526AFD" w:rsidRPr="00526AFD" w14:paraId="78484A12" w14:textId="77777777" w:rsidTr="00EC4749">
        <w:tc>
          <w:tcPr>
            <w:tcW w:w="543" w:type="dxa"/>
            <w:tcBorders>
              <w:top w:val="single" w:sz="4" w:space="0" w:color="auto"/>
              <w:left w:val="single" w:sz="4" w:space="0" w:color="auto"/>
              <w:bottom w:val="single" w:sz="4" w:space="0" w:color="auto"/>
              <w:right w:val="single" w:sz="4" w:space="0" w:color="auto"/>
            </w:tcBorders>
            <w:shd w:val="clear" w:color="auto" w:fill="auto"/>
            <w:hideMark/>
          </w:tcPr>
          <w:p w14:paraId="767FEF29" w14:textId="77777777" w:rsidR="00526AFD" w:rsidRPr="00526AFD" w:rsidRDefault="00526AFD" w:rsidP="00526AFD">
            <w:pPr>
              <w:spacing w:after="0" w:line="240" w:lineRule="auto"/>
              <w:jc w:val="center"/>
              <w:rPr>
                <w:rFonts w:ascii="Times New Roman" w:eastAsia="Calibri" w:hAnsi="Times New Roman" w:cs="Times New Roman"/>
                <w:sz w:val="24"/>
                <w:szCs w:val="24"/>
              </w:rPr>
            </w:pPr>
            <w:r w:rsidRPr="00526AFD">
              <w:rPr>
                <w:rFonts w:ascii="Times New Roman" w:eastAsia="Calibri" w:hAnsi="Times New Roman" w:cs="Times New Roman"/>
                <w:sz w:val="24"/>
                <w:szCs w:val="24"/>
                <w:lang w:eastAsia="lv-LV"/>
              </w:rPr>
              <w:t>1.</w:t>
            </w:r>
          </w:p>
        </w:tc>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2506E5E4" w14:textId="77777777" w:rsidR="00526AFD" w:rsidRPr="00526AFD" w:rsidRDefault="00526AFD" w:rsidP="00526AFD">
            <w:pPr>
              <w:spacing w:after="0" w:line="240" w:lineRule="auto"/>
              <w:rPr>
                <w:rFonts w:ascii="Times New Roman" w:eastAsia="Calibri" w:hAnsi="Times New Roman" w:cs="Times New Roman"/>
                <w:sz w:val="24"/>
                <w:szCs w:val="24"/>
              </w:rPr>
            </w:pPr>
            <w:r w:rsidRPr="00526AFD">
              <w:rPr>
                <w:rFonts w:ascii="Times New Roman" w:eastAsia="Calibri" w:hAnsi="Times New Roman" w:cs="Times New Roman"/>
                <w:sz w:val="24"/>
                <w:szCs w:val="24"/>
                <w:lang w:eastAsia="lv-LV"/>
              </w:rPr>
              <w:t xml:space="preserve">Sabiedrības </w:t>
            </w:r>
            <w:proofErr w:type="spellStart"/>
            <w:r w:rsidRPr="00526AFD">
              <w:rPr>
                <w:rFonts w:ascii="Times New Roman" w:eastAsia="Calibri" w:hAnsi="Times New Roman" w:cs="Times New Roman"/>
                <w:sz w:val="24"/>
                <w:szCs w:val="24"/>
                <w:lang w:eastAsia="lv-LV"/>
              </w:rPr>
              <w:t>mērķgrupas</w:t>
            </w:r>
            <w:proofErr w:type="spellEnd"/>
            <w:r w:rsidRPr="00526AFD">
              <w:rPr>
                <w:rFonts w:ascii="Times New Roman" w:eastAsia="Calibri" w:hAnsi="Times New Roman" w:cs="Times New Roman"/>
                <w:sz w:val="24"/>
                <w:szCs w:val="24"/>
                <w:lang w:eastAsia="lv-LV"/>
              </w:rPr>
              <w:t>, kuras tiesiskais regulējums ietekmē vai varētu ietekmēt</w:t>
            </w:r>
          </w:p>
        </w:tc>
        <w:tc>
          <w:tcPr>
            <w:tcW w:w="5982" w:type="dxa"/>
            <w:tcBorders>
              <w:top w:val="single" w:sz="4" w:space="0" w:color="auto"/>
              <w:left w:val="single" w:sz="4" w:space="0" w:color="auto"/>
              <w:bottom w:val="single" w:sz="4" w:space="0" w:color="auto"/>
              <w:right w:val="single" w:sz="4" w:space="0" w:color="auto"/>
            </w:tcBorders>
            <w:shd w:val="clear" w:color="auto" w:fill="auto"/>
            <w:hideMark/>
          </w:tcPr>
          <w:p w14:paraId="111E1C42" w14:textId="77777777" w:rsidR="00D41C8F" w:rsidRPr="00D41C8F" w:rsidRDefault="00D41C8F" w:rsidP="00D41C8F">
            <w:pPr>
              <w:tabs>
                <w:tab w:val="left" w:pos="317"/>
              </w:tabs>
              <w:spacing w:before="60" w:after="60" w:line="240" w:lineRule="auto"/>
              <w:ind w:left="34"/>
              <w:contextualSpacing/>
              <w:jc w:val="both"/>
              <w:rPr>
                <w:rFonts w:ascii="Times New Roman" w:eastAsia="Times New Roman" w:hAnsi="Times New Roman" w:cs="Times New Roman"/>
                <w:bCs/>
                <w:iCs/>
                <w:sz w:val="24"/>
                <w:szCs w:val="24"/>
              </w:rPr>
            </w:pPr>
            <w:r w:rsidRPr="00D41C8F">
              <w:rPr>
                <w:rFonts w:ascii="Times New Roman" w:eastAsia="Times New Roman" w:hAnsi="Times New Roman" w:cs="Times New Roman"/>
                <w:bCs/>
                <w:iCs/>
                <w:sz w:val="24"/>
                <w:szCs w:val="24"/>
              </w:rPr>
              <w:t xml:space="preserve">MK noteikumu projekts skar 3.2.1.2.pasākuma esošo mērķa grupu -  komersantus, kooperatīvās sabiedrības (tai skaitā lauksaimniecības pakalpojumu kooperatīvā sabiedrība vai atbilstīga lauksaimniecības pakalpojumu kooperatīvā sabiedrība), zemnieku vai zvejnieku saimniecības, individuālos uzņēmumus, biedrības, nodibinājumi, kuri atbilst sīko (mikro), mazo un vidējo saimnieciskās darbības </w:t>
            </w:r>
            <w:r w:rsidRPr="00D41C8F">
              <w:rPr>
                <w:rFonts w:ascii="Times New Roman" w:eastAsia="Times New Roman" w:hAnsi="Times New Roman" w:cs="Times New Roman"/>
                <w:bCs/>
                <w:iCs/>
                <w:sz w:val="24"/>
                <w:szCs w:val="24"/>
              </w:rPr>
              <w:lastRenderedPageBreak/>
              <w:t xml:space="preserve">subjektu (komercsabiedrību) statusam, saskaņā ar Regulas Nr.651/2014 1.pielikumu un ostu pārvaldes, pašvaldības, plānošanas reģionus (projektos, kas neietver saimnieciskas darbības). </w:t>
            </w:r>
          </w:p>
          <w:p w14:paraId="14AE282F" w14:textId="4B2EBAD6" w:rsidR="00526AFD" w:rsidRPr="00526AFD" w:rsidRDefault="00D41C8F" w:rsidP="00D41C8F">
            <w:pPr>
              <w:tabs>
                <w:tab w:val="left" w:pos="317"/>
              </w:tabs>
              <w:spacing w:before="60" w:after="60" w:line="240" w:lineRule="auto"/>
              <w:ind w:left="34"/>
              <w:contextualSpacing/>
              <w:jc w:val="both"/>
              <w:rPr>
                <w:rFonts w:ascii="Times New Roman" w:eastAsia="Times New Roman" w:hAnsi="Times New Roman" w:cs="Times New Roman"/>
                <w:bCs/>
                <w:sz w:val="24"/>
                <w:szCs w:val="24"/>
              </w:rPr>
            </w:pPr>
            <w:r w:rsidRPr="00D41C8F">
              <w:rPr>
                <w:rFonts w:ascii="Times New Roman" w:eastAsia="Times New Roman" w:hAnsi="Times New Roman" w:cs="Times New Roman"/>
                <w:bCs/>
                <w:iCs/>
                <w:sz w:val="24"/>
                <w:szCs w:val="24"/>
              </w:rPr>
              <w:t>MK noteikumu projekts ietekmē MK noteikumu Nr.678 11.punktā minēto finansējuma saņēmēju (LIAA).</w:t>
            </w:r>
          </w:p>
        </w:tc>
      </w:tr>
      <w:tr w:rsidR="00D41C8F" w:rsidRPr="00526AFD" w14:paraId="5AFD6A58" w14:textId="77777777" w:rsidTr="00EC4749">
        <w:tc>
          <w:tcPr>
            <w:tcW w:w="543" w:type="dxa"/>
            <w:tcBorders>
              <w:top w:val="single" w:sz="4" w:space="0" w:color="auto"/>
              <w:left w:val="single" w:sz="4" w:space="0" w:color="auto"/>
              <w:bottom w:val="single" w:sz="4" w:space="0" w:color="auto"/>
              <w:right w:val="single" w:sz="4" w:space="0" w:color="auto"/>
            </w:tcBorders>
            <w:shd w:val="clear" w:color="auto" w:fill="auto"/>
          </w:tcPr>
          <w:p w14:paraId="084E7AD2" w14:textId="77777777" w:rsidR="00D41C8F" w:rsidRPr="00526AFD" w:rsidRDefault="00D41C8F" w:rsidP="00D41C8F">
            <w:pPr>
              <w:spacing w:after="0" w:line="240" w:lineRule="auto"/>
              <w:jc w:val="center"/>
              <w:rPr>
                <w:rFonts w:ascii="Times New Roman" w:eastAsia="Calibri" w:hAnsi="Times New Roman" w:cs="Times New Roman"/>
                <w:sz w:val="24"/>
                <w:szCs w:val="24"/>
                <w:lang w:eastAsia="lv-LV"/>
              </w:rPr>
            </w:pPr>
            <w:r w:rsidRPr="00526AFD">
              <w:rPr>
                <w:rFonts w:ascii="Times New Roman" w:eastAsia="Calibri" w:hAnsi="Times New Roman" w:cs="Times New Roman"/>
                <w:sz w:val="24"/>
                <w:szCs w:val="24"/>
                <w:lang w:eastAsia="lv-LV"/>
              </w:rPr>
              <w:lastRenderedPageBreak/>
              <w:t>2.</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45CA7B84" w14:textId="77777777" w:rsidR="00D41C8F" w:rsidRPr="00526AFD" w:rsidRDefault="00D41C8F" w:rsidP="00D41C8F">
            <w:pPr>
              <w:spacing w:after="0" w:line="240" w:lineRule="auto"/>
              <w:rPr>
                <w:rFonts w:ascii="Arial" w:eastAsia="Calibri" w:hAnsi="Arial" w:cs="Arial"/>
                <w:color w:val="414142"/>
                <w:sz w:val="24"/>
                <w:szCs w:val="24"/>
                <w:lang w:eastAsia="lv-LV"/>
              </w:rPr>
            </w:pPr>
            <w:r w:rsidRPr="00526AFD">
              <w:rPr>
                <w:rFonts w:ascii="Times New Roman" w:eastAsia="Calibri" w:hAnsi="Times New Roman" w:cs="Times New Roman"/>
                <w:sz w:val="24"/>
                <w:szCs w:val="24"/>
                <w:lang w:eastAsia="lv-LV"/>
              </w:rPr>
              <w:t>Tiesiskā regulējuma ietekme uz tautsaimniecību un administratīvo slogu</w:t>
            </w:r>
          </w:p>
        </w:tc>
        <w:tc>
          <w:tcPr>
            <w:tcW w:w="5982" w:type="dxa"/>
            <w:tcBorders>
              <w:top w:val="outset" w:sz="6" w:space="0" w:color="414142"/>
              <w:left w:val="outset" w:sz="6" w:space="0" w:color="414142"/>
              <w:bottom w:val="outset" w:sz="6" w:space="0" w:color="414142"/>
              <w:right w:val="outset" w:sz="6" w:space="0" w:color="414142"/>
            </w:tcBorders>
          </w:tcPr>
          <w:p w14:paraId="5DA6970B" w14:textId="4ED5B993" w:rsidR="00D41C8F" w:rsidRPr="00526AFD" w:rsidRDefault="00D41C8F" w:rsidP="00D41C8F">
            <w:pPr>
              <w:tabs>
                <w:tab w:val="left" w:pos="317"/>
              </w:tabs>
              <w:spacing w:before="60" w:after="60" w:line="240" w:lineRule="auto"/>
              <w:ind w:left="34"/>
              <w:contextualSpacing/>
              <w:jc w:val="both"/>
              <w:rPr>
                <w:rFonts w:ascii="Times New Roman" w:eastAsia="Times New Roman" w:hAnsi="Times New Roman" w:cs="Times New Roman"/>
                <w:bCs/>
                <w:sz w:val="24"/>
                <w:szCs w:val="24"/>
              </w:rPr>
            </w:pPr>
            <w:r w:rsidRPr="00603100">
              <w:rPr>
                <w:rFonts w:ascii="Times New Roman" w:eastAsia="Times New Roman" w:hAnsi="Times New Roman" w:cs="Times New Roman"/>
                <w:sz w:val="24"/>
                <w:szCs w:val="24"/>
                <w:lang w:eastAsia="lv-LV"/>
              </w:rPr>
              <w:t>MK noteikumu projekts nepalielina administratīvo slogu</w:t>
            </w:r>
          </w:p>
        </w:tc>
      </w:tr>
      <w:tr w:rsidR="00D41C8F" w:rsidRPr="00526AFD" w14:paraId="0A85B6DF" w14:textId="77777777" w:rsidTr="00EC4749">
        <w:tc>
          <w:tcPr>
            <w:tcW w:w="543" w:type="dxa"/>
            <w:tcBorders>
              <w:top w:val="single" w:sz="4" w:space="0" w:color="auto"/>
              <w:left w:val="single" w:sz="4" w:space="0" w:color="auto"/>
              <w:bottom w:val="single" w:sz="4" w:space="0" w:color="auto"/>
              <w:right w:val="single" w:sz="4" w:space="0" w:color="auto"/>
            </w:tcBorders>
            <w:shd w:val="clear" w:color="auto" w:fill="auto"/>
          </w:tcPr>
          <w:p w14:paraId="46E59AA5" w14:textId="77777777" w:rsidR="00D41C8F" w:rsidRPr="00526AFD" w:rsidRDefault="00D41C8F" w:rsidP="00D41C8F">
            <w:pPr>
              <w:spacing w:after="0" w:line="240" w:lineRule="auto"/>
              <w:jc w:val="center"/>
              <w:rPr>
                <w:rFonts w:ascii="Times New Roman" w:eastAsia="Calibri" w:hAnsi="Times New Roman" w:cs="Times New Roman"/>
                <w:sz w:val="24"/>
                <w:szCs w:val="24"/>
                <w:lang w:eastAsia="lv-LV"/>
              </w:rPr>
            </w:pPr>
            <w:r w:rsidRPr="00526AFD">
              <w:rPr>
                <w:rFonts w:ascii="Times New Roman" w:eastAsia="Calibri" w:hAnsi="Times New Roman" w:cs="Times New Roman"/>
                <w:sz w:val="24"/>
                <w:szCs w:val="24"/>
                <w:lang w:eastAsia="lv-LV"/>
              </w:rPr>
              <w:t>3.</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716A7C43" w14:textId="77777777" w:rsidR="00D41C8F" w:rsidRPr="00526AFD" w:rsidRDefault="00D41C8F" w:rsidP="00D41C8F">
            <w:pPr>
              <w:spacing w:after="0" w:line="240" w:lineRule="auto"/>
              <w:rPr>
                <w:rFonts w:ascii="Arial" w:eastAsia="Calibri" w:hAnsi="Arial" w:cs="Arial"/>
                <w:color w:val="414142"/>
                <w:sz w:val="24"/>
                <w:szCs w:val="24"/>
                <w:lang w:eastAsia="lv-LV"/>
              </w:rPr>
            </w:pPr>
            <w:r w:rsidRPr="00526AFD">
              <w:rPr>
                <w:rFonts w:ascii="Times New Roman" w:eastAsia="Calibri" w:hAnsi="Times New Roman" w:cs="Times New Roman"/>
                <w:sz w:val="24"/>
                <w:szCs w:val="24"/>
                <w:lang w:eastAsia="lv-LV"/>
              </w:rPr>
              <w:t>Administratīvo izmaksu monetārs novērtējums</w:t>
            </w:r>
          </w:p>
        </w:tc>
        <w:tc>
          <w:tcPr>
            <w:tcW w:w="5982" w:type="dxa"/>
            <w:tcBorders>
              <w:top w:val="outset" w:sz="6" w:space="0" w:color="414142"/>
              <w:left w:val="outset" w:sz="6" w:space="0" w:color="414142"/>
              <w:bottom w:val="outset" w:sz="6" w:space="0" w:color="414142"/>
              <w:right w:val="outset" w:sz="6" w:space="0" w:color="414142"/>
            </w:tcBorders>
          </w:tcPr>
          <w:p w14:paraId="1D2E0BC1" w14:textId="5DF21302" w:rsidR="00D41C8F" w:rsidRPr="00526AFD" w:rsidRDefault="00D41C8F" w:rsidP="00D41C8F">
            <w:pPr>
              <w:tabs>
                <w:tab w:val="left" w:pos="317"/>
              </w:tabs>
              <w:spacing w:before="60" w:after="60" w:line="240" w:lineRule="auto"/>
              <w:contextualSpacing/>
              <w:jc w:val="both"/>
              <w:rPr>
                <w:rFonts w:ascii="Times New Roman" w:eastAsia="Times New Roman" w:hAnsi="Times New Roman" w:cs="Times New Roman"/>
                <w:bCs/>
                <w:sz w:val="24"/>
                <w:szCs w:val="24"/>
              </w:rPr>
            </w:pPr>
            <w:r w:rsidRPr="00603100">
              <w:rPr>
                <w:rFonts w:ascii="Times New Roman" w:eastAsia="Times New Roman" w:hAnsi="Times New Roman" w:cs="Times New Roman"/>
                <w:iCs/>
                <w:sz w:val="24"/>
                <w:szCs w:val="24"/>
                <w:lang w:eastAsia="lv-LV"/>
              </w:rPr>
              <w:t>MK noteikumu projekts šo jomu neskar</w:t>
            </w:r>
          </w:p>
        </w:tc>
      </w:tr>
      <w:tr w:rsidR="00D41C8F" w:rsidRPr="00526AFD" w14:paraId="242A1C88" w14:textId="77777777" w:rsidTr="00EC4749">
        <w:tc>
          <w:tcPr>
            <w:tcW w:w="543" w:type="dxa"/>
            <w:tcBorders>
              <w:top w:val="single" w:sz="4" w:space="0" w:color="auto"/>
              <w:left w:val="single" w:sz="4" w:space="0" w:color="auto"/>
              <w:bottom w:val="single" w:sz="4" w:space="0" w:color="auto"/>
              <w:right w:val="single" w:sz="4" w:space="0" w:color="auto"/>
            </w:tcBorders>
            <w:shd w:val="clear" w:color="auto" w:fill="auto"/>
          </w:tcPr>
          <w:p w14:paraId="46C52EA0" w14:textId="77777777" w:rsidR="00D41C8F" w:rsidRPr="00526AFD" w:rsidRDefault="00D41C8F" w:rsidP="00D41C8F">
            <w:pPr>
              <w:spacing w:after="0" w:line="240" w:lineRule="auto"/>
              <w:jc w:val="center"/>
              <w:rPr>
                <w:rFonts w:ascii="Times New Roman" w:eastAsia="Calibri" w:hAnsi="Times New Roman" w:cs="Times New Roman"/>
                <w:sz w:val="24"/>
                <w:szCs w:val="24"/>
                <w:lang w:eastAsia="lv-LV"/>
              </w:rPr>
            </w:pPr>
            <w:r w:rsidRPr="00526AFD">
              <w:rPr>
                <w:rFonts w:ascii="Times New Roman" w:eastAsia="Calibri" w:hAnsi="Times New Roman" w:cs="Times New Roman"/>
                <w:sz w:val="24"/>
                <w:szCs w:val="24"/>
                <w:lang w:eastAsia="lv-LV"/>
              </w:rPr>
              <w:t>4.</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159A9103" w14:textId="77777777" w:rsidR="00D41C8F" w:rsidRPr="00526AFD" w:rsidRDefault="00D41C8F" w:rsidP="00D41C8F">
            <w:pPr>
              <w:spacing w:after="0" w:line="240" w:lineRule="auto"/>
              <w:rPr>
                <w:rFonts w:ascii="Arial" w:eastAsia="Calibri" w:hAnsi="Arial" w:cs="Arial"/>
                <w:color w:val="414142"/>
                <w:sz w:val="24"/>
                <w:szCs w:val="24"/>
                <w:lang w:eastAsia="lv-LV"/>
              </w:rPr>
            </w:pPr>
            <w:r w:rsidRPr="00526AFD">
              <w:rPr>
                <w:rFonts w:ascii="Times New Roman" w:eastAsia="Calibri" w:hAnsi="Times New Roman" w:cs="Times New Roman"/>
                <w:sz w:val="24"/>
                <w:szCs w:val="24"/>
                <w:lang w:eastAsia="lv-LV"/>
              </w:rPr>
              <w:t>Cita informācija</w:t>
            </w:r>
          </w:p>
        </w:tc>
        <w:tc>
          <w:tcPr>
            <w:tcW w:w="5982" w:type="dxa"/>
            <w:tcBorders>
              <w:top w:val="outset" w:sz="6" w:space="0" w:color="414142"/>
              <w:left w:val="outset" w:sz="6" w:space="0" w:color="414142"/>
              <w:bottom w:val="outset" w:sz="6" w:space="0" w:color="414142"/>
              <w:right w:val="outset" w:sz="6" w:space="0" w:color="414142"/>
            </w:tcBorders>
          </w:tcPr>
          <w:p w14:paraId="65B9CE3E" w14:textId="0D2EE820" w:rsidR="00D41C8F" w:rsidRPr="00526AFD" w:rsidRDefault="00D41C8F" w:rsidP="00D41C8F">
            <w:pPr>
              <w:tabs>
                <w:tab w:val="left" w:pos="317"/>
              </w:tabs>
              <w:spacing w:before="60" w:after="60" w:line="240" w:lineRule="auto"/>
              <w:ind w:left="34"/>
              <w:contextualSpacing/>
              <w:jc w:val="both"/>
              <w:rPr>
                <w:rFonts w:ascii="Times New Roman" w:eastAsia="Times New Roman" w:hAnsi="Times New Roman" w:cs="Times New Roman"/>
                <w:bCs/>
                <w:sz w:val="24"/>
                <w:szCs w:val="24"/>
              </w:rPr>
            </w:pPr>
            <w:r w:rsidRPr="00603100">
              <w:rPr>
                <w:rFonts w:ascii="Times New Roman" w:eastAsia="Times New Roman" w:hAnsi="Times New Roman" w:cs="Times New Roman"/>
                <w:sz w:val="24"/>
                <w:szCs w:val="24"/>
                <w:lang w:eastAsia="lv-LV"/>
              </w:rPr>
              <w:t xml:space="preserve">Ņemot vērā MK noteikumu projekta ietekmi, finansējuma saņēmējam ir nepieciešams izdarīt atbilstošus grozījumus kārtībās (metodikās), kādā izvēlas, piešķir un uzskaita atbalstu pasākuma mērķa grupai </w:t>
            </w:r>
            <w:r w:rsidRPr="00603100">
              <w:rPr>
                <w:rFonts w:ascii="Times New Roman" w:eastAsia="Times New Roman" w:hAnsi="Times New Roman" w:cs="Times New Roman"/>
                <w:bCs/>
                <w:sz w:val="24"/>
                <w:szCs w:val="24"/>
                <w:lang w:eastAsia="lv-LV"/>
              </w:rPr>
              <w:t>projektā Nr.3.2.1.2/16/l/001 un projektā Nr.3.2.1.2/16/l/001</w:t>
            </w:r>
            <w:r w:rsidRPr="00603100">
              <w:rPr>
                <w:rFonts w:ascii="Times New Roman" w:eastAsia="Times New Roman" w:hAnsi="Times New Roman" w:cs="Times New Roman"/>
                <w:sz w:val="24"/>
                <w:szCs w:val="24"/>
                <w:lang w:eastAsia="lv-LV"/>
              </w:rPr>
              <w:t xml:space="preserve">. Vienlaikus finansējuma saņēmējam ir nepieciešams izdarīt grozījumus arī </w:t>
            </w:r>
            <w:r w:rsidRPr="00603100">
              <w:rPr>
                <w:rFonts w:ascii="Times New Roman" w:eastAsia="Times New Roman" w:hAnsi="Times New Roman" w:cs="Times New Roman"/>
                <w:bCs/>
                <w:sz w:val="24"/>
                <w:szCs w:val="24"/>
                <w:lang w:eastAsia="lv-LV"/>
              </w:rPr>
              <w:t xml:space="preserve">projektā Nr.3.2.1.2/16/l/001 un projektā Nr.3.2.1.2/16/l/001, atbilstoši MK noteikumu projektam. MK noteikumu projekts ietekmē projektā Nr.3.2.1.2/16/l/001 un projektā Nr.3.2.1.2/16/l/002 īstenojamās darbības un attiecināmās izmaksas. Atbildīgā iestāde nodrošinās, ka izmaiņas atbalstāmo darbību sarakstā neietekmēs 3.2.1.2. pasākumā noteikto rādītāju sasniegšanu. Visi MK noteikumu Nr678 8. punktā minētie radītāji tiks sasniegti pilnā apmērā. </w:t>
            </w:r>
          </w:p>
        </w:tc>
      </w:tr>
    </w:tbl>
    <w:p w14:paraId="7E95587B" w14:textId="77777777" w:rsidR="00526AFD" w:rsidRPr="00526AFD" w:rsidRDefault="00526AFD" w:rsidP="00526AFD">
      <w:pPr>
        <w:spacing w:after="0" w:line="240" w:lineRule="auto"/>
        <w:jc w:val="both"/>
        <w:rPr>
          <w:rFonts w:ascii="Times New Roman" w:eastAsia="Calibri" w:hAnsi="Times New Roman" w:cs="Times New Roman"/>
          <w:sz w:val="24"/>
          <w:szCs w:val="24"/>
          <w:lang w:eastAsia="lv-LV"/>
        </w:rPr>
      </w:pPr>
    </w:p>
    <w:tbl>
      <w:tblPr>
        <w:tblW w:w="9214" w:type="dxa"/>
        <w:tblInd w:w="-150"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214"/>
      </w:tblGrid>
      <w:tr w:rsidR="00526AFD" w:rsidRPr="00526AFD" w14:paraId="6D2DA3F3" w14:textId="77777777" w:rsidTr="00EC4749">
        <w:trPr>
          <w:trHeight w:val="36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706709" w14:textId="77777777" w:rsidR="00526AFD" w:rsidRPr="00526AFD" w:rsidRDefault="00526AFD" w:rsidP="00526AF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26AFD">
              <w:rPr>
                <w:rFonts w:ascii="Times New Roman" w:eastAsia="Times New Roman" w:hAnsi="Times New Roman" w:cs="Times New Roman"/>
                <w:b/>
                <w:bCs/>
                <w:sz w:val="24"/>
                <w:szCs w:val="24"/>
                <w:lang w:eastAsia="lv-LV"/>
              </w:rPr>
              <w:t>III. Tiesību akta projekta ietekme uz valsts budžetu un pašvaldību budžetiem</w:t>
            </w:r>
          </w:p>
        </w:tc>
      </w:tr>
      <w:tr w:rsidR="005078A9" w:rsidRPr="00526AFD" w14:paraId="0D4D447B" w14:textId="77777777" w:rsidTr="00EC4749">
        <w:trPr>
          <w:trHeight w:val="36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BBFEF53" w14:textId="7637512C" w:rsidR="005078A9" w:rsidRPr="005078A9" w:rsidRDefault="005078A9" w:rsidP="00526AFD">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MK n</w:t>
            </w:r>
            <w:r w:rsidRPr="005078A9">
              <w:rPr>
                <w:rFonts w:ascii="Times New Roman" w:eastAsia="Times New Roman" w:hAnsi="Times New Roman" w:cs="Times New Roman"/>
                <w:bCs/>
                <w:sz w:val="24"/>
                <w:szCs w:val="24"/>
                <w:lang w:eastAsia="lv-LV"/>
              </w:rPr>
              <w:t>oteikumu projekts šo jomu neskar</w:t>
            </w:r>
          </w:p>
        </w:tc>
      </w:tr>
    </w:tbl>
    <w:p w14:paraId="1F7C4F5D" w14:textId="77777777" w:rsidR="00526AFD" w:rsidRPr="00526AFD" w:rsidRDefault="00526AFD" w:rsidP="00526AFD">
      <w:pPr>
        <w:spacing w:after="0" w:line="240" w:lineRule="auto"/>
        <w:jc w:val="both"/>
        <w:rPr>
          <w:rFonts w:ascii="Times New Roman" w:eastAsia="Calibri" w:hAnsi="Times New Roman" w:cs="Times New Roman"/>
          <w:sz w:val="24"/>
          <w:szCs w:val="24"/>
          <w:lang w:eastAsia="lv-LV"/>
        </w:rPr>
      </w:pPr>
    </w:p>
    <w:tbl>
      <w:tblPr>
        <w:tblW w:w="5088" w:type="pct"/>
        <w:tblInd w:w="-150"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214"/>
      </w:tblGrid>
      <w:tr w:rsidR="00526AFD" w:rsidRPr="00526AFD" w14:paraId="5875B36A" w14:textId="77777777" w:rsidTr="00EC4749">
        <w:trPr>
          <w:trHeight w:val="45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FD5A14" w14:textId="279D9D66" w:rsidR="005078A9" w:rsidRPr="00526AFD" w:rsidRDefault="00526AFD" w:rsidP="005078A9">
            <w:pPr>
              <w:spacing w:after="0" w:line="240" w:lineRule="auto"/>
              <w:ind w:left="57" w:right="57"/>
              <w:jc w:val="center"/>
              <w:rPr>
                <w:rFonts w:ascii="Times New Roman" w:eastAsia="Times New Roman" w:hAnsi="Times New Roman" w:cs="Times New Roman"/>
                <w:b/>
                <w:sz w:val="24"/>
                <w:szCs w:val="24"/>
                <w:lang w:eastAsia="lv-LV"/>
              </w:rPr>
            </w:pPr>
            <w:r w:rsidRPr="00526AFD">
              <w:rPr>
                <w:rFonts w:ascii="Times New Roman" w:eastAsia="Times New Roman" w:hAnsi="Times New Roman" w:cs="Times New Roman"/>
                <w:b/>
                <w:sz w:val="24"/>
                <w:szCs w:val="24"/>
                <w:lang w:eastAsia="lv-LV"/>
              </w:rPr>
              <w:t>IV. Tiesību akta projekta ietekme uz spēkā esošo tiesību normu sistēmu</w:t>
            </w:r>
          </w:p>
        </w:tc>
      </w:tr>
      <w:tr w:rsidR="005078A9" w:rsidRPr="00526AFD" w14:paraId="178F7540" w14:textId="77777777" w:rsidTr="00EC4749">
        <w:trPr>
          <w:trHeight w:val="45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7A59D47" w14:textId="1F85FC4E" w:rsidR="005078A9" w:rsidRPr="005078A9" w:rsidRDefault="005078A9" w:rsidP="005078A9">
            <w:pPr>
              <w:spacing w:after="0" w:line="240" w:lineRule="auto"/>
              <w:ind w:left="57" w:right="57"/>
              <w:jc w:val="center"/>
              <w:rPr>
                <w:rFonts w:ascii="Times New Roman" w:eastAsia="Times New Roman" w:hAnsi="Times New Roman" w:cs="Times New Roman"/>
                <w:sz w:val="24"/>
                <w:szCs w:val="24"/>
                <w:lang w:eastAsia="lv-LV"/>
              </w:rPr>
            </w:pPr>
            <w:r w:rsidRPr="005078A9">
              <w:rPr>
                <w:rFonts w:ascii="Times New Roman" w:eastAsia="Times New Roman" w:hAnsi="Times New Roman" w:cs="Times New Roman"/>
                <w:bCs/>
                <w:sz w:val="24"/>
                <w:szCs w:val="24"/>
                <w:lang w:eastAsia="lv-LV"/>
              </w:rPr>
              <w:t>MK noteikumu projekts šo jomu neskar</w:t>
            </w:r>
          </w:p>
        </w:tc>
      </w:tr>
    </w:tbl>
    <w:p w14:paraId="3847FD88" w14:textId="77777777" w:rsidR="00526AFD" w:rsidRPr="00526AFD" w:rsidRDefault="00526AFD" w:rsidP="00526AFD">
      <w:pPr>
        <w:spacing w:after="0" w:line="240" w:lineRule="auto"/>
        <w:ind w:firstLine="720"/>
        <w:jc w:val="both"/>
        <w:rPr>
          <w:rFonts w:ascii="Times New Roman" w:eastAsia="Calibri" w:hAnsi="Times New Roman" w:cs="Times New Roman"/>
          <w:sz w:val="24"/>
          <w:szCs w:val="24"/>
          <w:lang w:eastAsia="lv-LV"/>
        </w:rPr>
      </w:pPr>
    </w:p>
    <w:tbl>
      <w:tblPr>
        <w:tblW w:w="5088" w:type="pct"/>
        <w:tblInd w:w="-150"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214"/>
      </w:tblGrid>
      <w:tr w:rsidR="00526AFD" w:rsidRPr="00526AFD" w14:paraId="7A4863F3" w14:textId="77777777" w:rsidTr="00EC4749">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D609F2" w14:textId="77777777" w:rsidR="00526AFD" w:rsidRPr="00526AFD" w:rsidRDefault="00526AFD" w:rsidP="00526AFD">
            <w:pPr>
              <w:spacing w:after="0" w:line="240" w:lineRule="auto"/>
              <w:ind w:left="57" w:right="57"/>
              <w:jc w:val="center"/>
              <w:rPr>
                <w:rFonts w:ascii="Times New Roman" w:eastAsia="Times New Roman" w:hAnsi="Times New Roman" w:cs="Times New Roman"/>
                <w:b/>
                <w:sz w:val="24"/>
                <w:szCs w:val="24"/>
                <w:lang w:eastAsia="lv-LV"/>
              </w:rPr>
            </w:pPr>
            <w:r w:rsidRPr="00526AFD">
              <w:rPr>
                <w:rFonts w:ascii="Times New Roman" w:eastAsia="Times New Roman" w:hAnsi="Times New Roman" w:cs="Times New Roman"/>
                <w:b/>
                <w:sz w:val="24"/>
                <w:szCs w:val="24"/>
                <w:lang w:eastAsia="lv-LV"/>
              </w:rPr>
              <w:t>V. Tiesību akta projekta atbilstība Latvijas Republikas starptautiskajām saistībām</w:t>
            </w:r>
          </w:p>
        </w:tc>
      </w:tr>
      <w:tr w:rsidR="00526AFD" w:rsidRPr="00526AFD" w14:paraId="20F831D0" w14:textId="77777777" w:rsidTr="00EC4749">
        <w:tc>
          <w:tcPr>
            <w:tcW w:w="5000" w:type="pct"/>
            <w:tcBorders>
              <w:top w:val="outset" w:sz="6" w:space="0" w:color="414142"/>
              <w:left w:val="outset" w:sz="6" w:space="0" w:color="414142"/>
              <w:bottom w:val="outset" w:sz="6" w:space="0" w:color="414142"/>
              <w:right w:val="outset" w:sz="6" w:space="0" w:color="414142"/>
            </w:tcBorders>
            <w:shd w:val="clear" w:color="auto" w:fill="FFFFFF"/>
            <w:hideMark/>
          </w:tcPr>
          <w:p w14:paraId="462F55B7" w14:textId="2AFD3CA5" w:rsidR="00526AFD" w:rsidRPr="00526AFD" w:rsidRDefault="0015781B" w:rsidP="00526AFD">
            <w:pPr>
              <w:shd w:val="clear" w:color="auto" w:fill="FFFFFF"/>
              <w:spacing w:after="120" w:line="240" w:lineRule="auto"/>
              <w:ind w:left="57" w:right="113"/>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MK n</w:t>
            </w:r>
            <w:r w:rsidR="00526AFD" w:rsidRPr="00526AFD">
              <w:rPr>
                <w:rFonts w:ascii="Times New Roman" w:eastAsia="Calibri" w:hAnsi="Times New Roman" w:cs="Times New Roman"/>
                <w:sz w:val="24"/>
                <w:szCs w:val="24"/>
                <w:lang w:eastAsia="lv-LV"/>
              </w:rPr>
              <w:t>oteikumu projekts šo jomu neskar</w:t>
            </w:r>
          </w:p>
        </w:tc>
      </w:tr>
    </w:tbl>
    <w:p w14:paraId="6C9BB45A" w14:textId="77777777" w:rsidR="00526AFD" w:rsidRPr="00526AFD" w:rsidRDefault="00526AFD" w:rsidP="00526AFD">
      <w:pPr>
        <w:spacing w:after="0" w:line="240" w:lineRule="auto"/>
        <w:ind w:firstLine="720"/>
        <w:jc w:val="both"/>
        <w:rPr>
          <w:rFonts w:ascii="Times New Roman" w:eastAsia="Calibri" w:hAnsi="Times New Roman" w:cs="Times New Roman"/>
          <w:sz w:val="24"/>
          <w:szCs w:val="24"/>
          <w:lang w:eastAsia="lv-LV"/>
        </w:rPr>
      </w:pPr>
    </w:p>
    <w:p w14:paraId="2C62DEF3" w14:textId="77777777" w:rsidR="00526AFD" w:rsidRPr="00526AFD" w:rsidRDefault="00526AFD" w:rsidP="00526AFD">
      <w:pPr>
        <w:spacing w:after="0" w:line="240" w:lineRule="auto"/>
        <w:rPr>
          <w:rFonts w:ascii="Times New Roman" w:eastAsia="Calibri" w:hAnsi="Times New Roman" w:cs="Times New Roman"/>
          <w:sz w:val="24"/>
          <w:szCs w:val="24"/>
        </w:rPr>
      </w:pPr>
    </w:p>
    <w:tbl>
      <w:tblPr>
        <w:tblW w:w="921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2"/>
        <w:gridCol w:w="2815"/>
        <w:gridCol w:w="5947"/>
      </w:tblGrid>
      <w:tr w:rsidR="0015781B" w:rsidRPr="00526AFD" w14:paraId="45F70E2C" w14:textId="77777777" w:rsidTr="00EC4749">
        <w:trPr>
          <w:trHeight w:val="421"/>
        </w:trPr>
        <w:tc>
          <w:tcPr>
            <w:tcW w:w="9214" w:type="dxa"/>
            <w:gridSpan w:val="3"/>
            <w:tcBorders>
              <w:top w:val="outset" w:sz="6" w:space="0" w:color="414142"/>
              <w:left w:val="outset" w:sz="6" w:space="0" w:color="414142"/>
              <w:bottom w:val="outset" w:sz="6" w:space="0" w:color="414142"/>
              <w:right w:val="outset" w:sz="6" w:space="0" w:color="414142"/>
            </w:tcBorders>
            <w:vAlign w:val="center"/>
          </w:tcPr>
          <w:p w14:paraId="680FECA9" w14:textId="01B6282A" w:rsidR="0015781B" w:rsidRPr="00526AFD" w:rsidRDefault="0015781B" w:rsidP="0015781B">
            <w:pPr>
              <w:spacing w:after="0" w:line="240" w:lineRule="auto"/>
              <w:ind w:left="57" w:right="57"/>
              <w:jc w:val="center"/>
              <w:rPr>
                <w:rFonts w:ascii="Times New Roman" w:eastAsia="Times New Roman" w:hAnsi="Times New Roman" w:cs="Times New Roman"/>
                <w:sz w:val="24"/>
                <w:szCs w:val="24"/>
                <w:lang w:eastAsia="lv-LV"/>
              </w:rPr>
            </w:pPr>
            <w:r w:rsidRPr="00603100">
              <w:rPr>
                <w:rFonts w:ascii="Times New Roman" w:eastAsia="Times New Roman" w:hAnsi="Times New Roman" w:cs="Times New Roman"/>
                <w:b/>
                <w:bCs/>
                <w:color w:val="414142"/>
                <w:sz w:val="24"/>
                <w:szCs w:val="24"/>
                <w:lang w:eastAsia="lv-LV"/>
              </w:rPr>
              <w:t>VI. Sabiedrības līdzdalība un komunikācijas aktivitātes</w:t>
            </w:r>
          </w:p>
        </w:tc>
      </w:tr>
      <w:tr w:rsidR="0015781B" w:rsidRPr="00526AFD" w14:paraId="25F0CA6E" w14:textId="77777777" w:rsidTr="00EC4749">
        <w:trPr>
          <w:trHeight w:val="553"/>
        </w:trPr>
        <w:tc>
          <w:tcPr>
            <w:tcW w:w="452" w:type="dxa"/>
            <w:tcBorders>
              <w:top w:val="outset" w:sz="6" w:space="0" w:color="414142"/>
              <w:left w:val="outset" w:sz="6" w:space="0" w:color="414142"/>
              <w:bottom w:val="outset" w:sz="6" w:space="0" w:color="414142"/>
              <w:right w:val="outset" w:sz="6" w:space="0" w:color="414142"/>
            </w:tcBorders>
          </w:tcPr>
          <w:p w14:paraId="31E794B6" w14:textId="6BEC6784" w:rsidR="0015781B" w:rsidRPr="00526AFD" w:rsidRDefault="0015781B" w:rsidP="0015781B">
            <w:pPr>
              <w:spacing w:after="0" w:line="240" w:lineRule="auto"/>
              <w:ind w:left="57" w:right="57"/>
              <w:jc w:val="both"/>
              <w:rPr>
                <w:rFonts w:ascii="Times New Roman" w:eastAsia="Calibri" w:hAnsi="Times New Roman" w:cs="Times New Roman"/>
                <w:bCs/>
                <w:sz w:val="24"/>
                <w:szCs w:val="24"/>
                <w:lang w:eastAsia="lv-LV"/>
              </w:rPr>
            </w:pPr>
            <w:r w:rsidRPr="00603100">
              <w:rPr>
                <w:rFonts w:ascii="Times New Roman" w:eastAsia="Times New Roman" w:hAnsi="Times New Roman" w:cs="Times New Roman"/>
                <w:color w:val="414142"/>
                <w:sz w:val="24"/>
                <w:szCs w:val="24"/>
                <w:lang w:eastAsia="lv-LV"/>
              </w:rPr>
              <w:t>1.</w:t>
            </w:r>
          </w:p>
        </w:tc>
        <w:tc>
          <w:tcPr>
            <w:tcW w:w="2815" w:type="dxa"/>
          </w:tcPr>
          <w:p w14:paraId="1C40E515" w14:textId="77777777" w:rsidR="0015781B" w:rsidRPr="00526AFD" w:rsidRDefault="0015781B" w:rsidP="0015781B">
            <w:pPr>
              <w:tabs>
                <w:tab w:val="left" w:pos="170"/>
              </w:tabs>
              <w:spacing w:after="0" w:line="240" w:lineRule="auto"/>
              <w:ind w:left="57" w:right="57"/>
              <w:rPr>
                <w:rFonts w:ascii="Times New Roman" w:eastAsia="Calibri" w:hAnsi="Times New Roman" w:cs="Times New Roman"/>
                <w:sz w:val="24"/>
                <w:szCs w:val="24"/>
                <w:lang w:eastAsia="lv-LV"/>
              </w:rPr>
            </w:pPr>
            <w:r w:rsidRPr="00526AFD">
              <w:rPr>
                <w:rFonts w:ascii="Times New Roman" w:eastAsia="Calibri" w:hAnsi="Times New Roman" w:cs="Times New Roman"/>
                <w:sz w:val="24"/>
                <w:szCs w:val="24"/>
                <w:lang w:eastAsia="lv-LV"/>
              </w:rPr>
              <w:t>Plānotās sabiedrības līdzdalības un komunikācijas aktivitātes saistībā ar projektu</w:t>
            </w:r>
          </w:p>
        </w:tc>
        <w:tc>
          <w:tcPr>
            <w:tcW w:w="5947" w:type="dxa"/>
          </w:tcPr>
          <w:p w14:paraId="3FFE9D99" w14:textId="3E6FC0A5" w:rsidR="0015781B" w:rsidRPr="00526AFD" w:rsidRDefault="0015781B" w:rsidP="0015781B">
            <w:pPr>
              <w:shd w:val="clear" w:color="auto" w:fill="FFFFFF"/>
              <w:spacing w:after="120" w:line="240" w:lineRule="auto"/>
              <w:ind w:left="57" w:right="113"/>
              <w:jc w:val="both"/>
              <w:rPr>
                <w:rFonts w:ascii="Times New Roman" w:eastAsia="Calibri" w:hAnsi="Times New Roman" w:cs="Times New Roman"/>
                <w:sz w:val="24"/>
                <w:szCs w:val="24"/>
                <w:lang w:eastAsia="lv-LV"/>
              </w:rPr>
            </w:pPr>
            <w:bookmarkStart w:id="13" w:name="p61"/>
            <w:bookmarkEnd w:id="13"/>
            <w:r w:rsidRPr="0015781B">
              <w:rPr>
                <w:rFonts w:ascii="Times New Roman" w:eastAsia="Calibri" w:hAnsi="Times New Roman" w:cs="Times New Roman"/>
                <w:sz w:val="24"/>
                <w:szCs w:val="24"/>
                <w:lang w:eastAsia="lv-LV"/>
              </w:rPr>
              <w:t>Atbilstoši normatīvo aktu prasībām Ekonomikas ministrija tās interneta tīmekļa vietnē publicēja informāciju par MK noteikumu projektu un tā virzību.</w:t>
            </w:r>
          </w:p>
        </w:tc>
      </w:tr>
      <w:tr w:rsidR="0015781B" w:rsidRPr="00526AFD" w14:paraId="47A28C60" w14:textId="77777777" w:rsidTr="00EC4749">
        <w:trPr>
          <w:trHeight w:val="339"/>
        </w:trPr>
        <w:tc>
          <w:tcPr>
            <w:tcW w:w="452" w:type="dxa"/>
            <w:tcBorders>
              <w:top w:val="outset" w:sz="6" w:space="0" w:color="414142"/>
              <w:left w:val="outset" w:sz="6" w:space="0" w:color="414142"/>
              <w:bottom w:val="outset" w:sz="6" w:space="0" w:color="414142"/>
              <w:right w:val="outset" w:sz="6" w:space="0" w:color="414142"/>
            </w:tcBorders>
          </w:tcPr>
          <w:p w14:paraId="2192A6B8" w14:textId="6E457A74" w:rsidR="0015781B" w:rsidRPr="00526AFD" w:rsidRDefault="0015781B" w:rsidP="0015781B">
            <w:pPr>
              <w:spacing w:after="0" w:line="240" w:lineRule="auto"/>
              <w:ind w:left="57" w:right="57"/>
              <w:jc w:val="both"/>
              <w:rPr>
                <w:rFonts w:ascii="Times New Roman" w:eastAsia="Calibri" w:hAnsi="Times New Roman" w:cs="Times New Roman"/>
                <w:bCs/>
                <w:sz w:val="24"/>
                <w:szCs w:val="24"/>
                <w:lang w:eastAsia="lv-LV"/>
              </w:rPr>
            </w:pPr>
            <w:r w:rsidRPr="00603100">
              <w:rPr>
                <w:rFonts w:ascii="Times New Roman" w:eastAsia="Times New Roman" w:hAnsi="Times New Roman" w:cs="Times New Roman"/>
                <w:color w:val="414142"/>
                <w:sz w:val="24"/>
                <w:szCs w:val="24"/>
                <w:lang w:eastAsia="lv-LV"/>
              </w:rPr>
              <w:t>2.</w:t>
            </w:r>
          </w:p>
        </w:tc>
        <w:tc>
          <w:tcPr>
            <w:tcW w:w="2815" w:type="dxa"/>
          </w:tcPr>
          <w:p w14:paraId="1212A2A2" w14:textId="77777777" w:rsidR="0015781B" w:rsidRPr="00526AFD" w:rsidRDefault="0015781B" w:rsidP="0015781B">
            <w:pPr>
              <w:spacing w:after="0" w:line="240" w:lineRule="auto"/>
              <w:ind w:left="57" w:right="57"/>
              <w:rPr>
                <w:rFonts w:ascii="Times New Roman" w:eastAsia="Calibri" w:hAnsi="Times New Roman" w:cs="Times New Roman"/>
                <w:sz w:val="24"/>
                <w:szCs w:val="24"/>
                <w:lang w:eastAsia="lv-LV"/>
              </w:rPr>
            </w:pPr>
            <w:r w:rsidRPr="00526AFD">
              <w:rPr>
                <w:rFonts w:ascii="Times New Roman" w:eastAsia="Calibri" w:hAnsi="Times New Roman" w:cs="Times New Roman"/>
                <w:sz w:val="24"/>
                <w:szCs w:val="24"/>
                <w:lang w:eastAsia="lv-LV"/>
              </w:rPr>
              <w:t>Sabiedrības līdzdalība projekta izstrādē</w:t>
            </w:r>
          </w:p>
        </w:tc>
        <w:tc>
          <w:tcPr>
            <w:tcW w:w="5947" w:type="dxa"/>
          </w:tcPr>
          <w:p w14:paraId="46225869" w14:textId="77777777" w:rsidR="00AB4D39" w:rsidRDefault="00AB4D39" w:rsidP="00AB4D39">
            <w:pPr>
              <w:shd w:val="clear" w:color="auto" w:fill="FFFFFF"/>
              <w:spacing w:after="120" w:line="240" w:lineRule="auto"/>
              <w:ind w:left="57" w:right="113"/>
              <w:jc w:val="both"/>
              <w:rPr>
                <w:rFonts w:ascii="Times New Roman" w:eastAsia="Calibri" w:hAnsi="Times New Roman" w:cs="Times New Roman"/>
                <w:sz w:val="24"/>
                <w:szCs w:val="24"/>
                <w:lang w:eastAsia="lv-LV"/>
              </w:rPr>
            </w:pPr>
            <w:bookmarkStart w:id="14" w:name="p62"/>
            <w:bookmarkEnd w:id="14"/>
            <w:r w:rsidRPr="00AB4D39">
              <w:rPr>
                <w:rFonts w:ascii="Times New Roman" w:eastAsia="Calibri" w:hAnsi="Times New Roman" w:cs="Times New Roman"/>
                <w:sz w:val="24"/>
                <w:szCs w:val="24"/>
                <w:lang w:eastAsia="lv-LV"/>
              </w:rPr>
              <w:t>Informācija par MK noteikumu projektu tika publicēta Ekonomikas ministrijas tīmekļa vietnē</w:t>
            </w:r>
            <w:r>
              <w:rPr>
                <w:rFonts w:ascii="Times New Roman" w:eastAsia="Calibri" w:hAnsi="Times New Roman" w:cs="Times New Roman"/>
                <w:sz w:val="24"/>
                <w:szCs w:val="24"/>
                <w:lang w:eastAsia="lv-LV"/>
              </w:rPr>
              <w:t>.</w:t>
            </w:r>
          </w:p>
          <w:p w14:paraId="4F5D55C9" w14:textId="6267E0A7" w:rsidR="00AB4D39" w:rsidRPr="00AB4D39" w:rsidRDefault="00AB4D39" w:rsidP="00AB4D39">
            <w:pPr>
              <w:shd w:val="clear" w:color="auto" w:fill="FFFFFF"/>
              <w:spacing w:after="120" w:line="240" w:lineRule="auto"/>
              <w:ind w:left="57" w:right="113"/>
              <w:jc w:val="both"/>
              <w:rPr>
                <w:rFonts w:ascii="Times New Roman" w:eastAsia="Calibri" w:hAnsi="Times New Roman" w:cs="Times New Roman"/>
                <w:sz w:val="24"/>
                <w:szCs w:val="24"/>
                <w:lang w:eastAsia="lv-LV"/>
              </w:rPr>
            </w:pPr>
            <w:r w:rsidRPr="00AB4D39">
              <w:rPr>
                <w:rFonts w:ascii="Times New Roman" w:eastAsia="Calibri" w:hAnsi="Times New Roman" w:cs="Times New Roman"/>
                <w:sz w:val="24"/>
                <w:szCs w:val="24"/>
                <w:lang w:eastAsia="lv-LV"/>
              </w:rPr>
              <w:lastRenderedPageBreak/>
              <w:t xml:space="preserve">Ekonomikas ministrija organizēja divas tikšanās ar  </w:t>
            </w:r>
            <w:r w:rsidRPr="00AB4D39">
              <w:rPr>
                <w:rFonts w:ascii="Times New Roman" w:eastAsia="Calibri" w:hAnsi="Times New Roman" w:cs="Times New Roman"/>
                <w:bCs/>
                <w:sz w:val="24"/>
                <w:szCs w:val="24"/>
                <w:lang w:eastAsia="lv-LV"/>
              </w:rPr>
              <w:t>Latvijas Tirdzniecības un rūpniecības kameru (turpmāk - LTRK), kā arī Latvijas Darba devēju konfederāciju (turpmāk – LDDK)</w:t>
            </w:r>
            <w:r w:rsidRPr="00AB4D39">
              <w:rPr>
                <w:rFonts w:ascii="Times New Roman" w:eastAsia="Calibri" w:hAnsi="Times New Roman" w:cs="Times New Roman"/>
                <w:sz w:val="24"/>
                <w:szCs w:val="24"/>
                <w:lang w:eastAsia="lv-LV"/>
              </w:rPr>
              <w:t xml:space="preserve"> par izmaiņām 3.2.1.2.pasākuma ietvaros</w:t>
            </w:r>
            <w:r w:rsidRPr="00AB4D39">
              <w:rPr>
                <w:rFonts w:ascii="Times New Roman" w:eastAsia="Calibri" w:hAnsi="Times New Roman" w:cs="Times New Roman"/>
                <w:bCs/>
                <w:sz w:val="24"/>
                <w:szCs w:val="24"/>
                <w:lang w:eastAsia="lv-LV"/>
              </w:rPr>
              <w:t>.</w:t>
            </w:r>
          </w:p>
          <w:p w14:paraId="6FF5E6C2" w14:textId="4AB0E8D8" w:rsidR="0015781B" w:rsidRPr="00526AFD" w:rsidRDefault="00AB4D39" w:rsidP="00AB4D39">
            <w:pPr>
              <w:shd w:val="clear" w:color="auto" w:fill="FFFFFF"/>
              <w:spacing w:after="120" w:line="240" w:lineRule="auto"/>
              <w:ind w:left="57" w:right="113"/>
              <w:jc w:val="both"/>
              <w:rPr>
                <w:rFonts w:ascii="Times New Roman" w:eastAsia="Calibri" w:hAnsi="Times New Roman" w:cs="Times New Roman"/>
                <w:kern w:val="24"/>
                <w:sz w:val="24"/>
                <w:szCs w:val="24"/>
                <w:highlight w:val="yellow"/>
                <w:lang w:eastAsia="lv-LV"/>
              </w:rPr>
            </w:pPr>
            <w:r w:rsidRPr="00AB4D39">
              <w:rPr>
                <w:rFonts w:ascii="Times New Roman" w:eastAsia="Calibri" w:hAnsi="Times New Roman" w:cs="Times New Roman"/>
                <w:bCs/>
                <w:sz w:val="24"/>
                <w:szCs w:val="24"/>
                <w:lang w:eastAsia="lv-LV"/>
              </w:rPr>
              <w:t xml:space="preserve">Ekonomikas ministrija konsultējās ar tūrisma nozares asociācijām par </w:t>
            </w:r>
            <w:r w:rsidRPr="00AB4D39">
              <w:rPr>
                <w:rFonts w:ascii="Times New Roman" w:eastAsia="Calibri" w:hAnsi="Times New Roman" w:cs="Times New Roman"/>
                <w:bCs/>
                <w:iCs/>
                <w:sz w:val="24"/>
                <w:szCs w:val="24"/>
                <w:lang w:eastAsia="lv-LV"/>
              </w:rPr>
              <w:t>atbalsta nepieciešamību pasākuma mērķa grupai darījumu tūrisma pasākumu organizēšanai Latvijā.</w:t>
            </w:r>
          </w:p>
        </w:tc>
      </w:tr>
      <w:tr w:rsidR="0015781B" w:rsidRPr="00526AFD" w14:paraId="433B81C1" w14:textId="77777777" w:rsidTr="00EC4749">
        <w:trPr>
          <w:trHeight w:val="476"/>
        </w:trPr>
        <w:tc>
          <w:tcPr>
            <w:tcW w:w="452" w:type="dxa"/>
            <w:tcBorders>
              <w:top w:val="outset" w:sz="6" w:space="0" w:color="414142"/>
              <w:left w:val="outset" w:sz="6" w:space="0" w:color="414142"/>
              <w:bottom w:val="outset" w:sz="6" w:space="0" w:color="414142"/>
              <w:right w:val="outset" w:sz="6" w:space="0" w:color="414142"/>
            </w:tcBorders>
          </w:tcPr>
          <w:p w14:paraId="41F007EE" w14:textId="59CAAE45" w:rsidR="0015781B" w:rsidRPr="00526AFD" w:rsidRDefault="0015781B" w:rsidP="0015781B">
            <w:pPr>
              <w:spacing w:after="0" w:line="240" w:lineRule="auto"/>
              <w:ind w:left="57" w:right="57"/>
              <w:jc w:val="both"/>
              <w:rPr>
                <w:rFonts w:ascii="Times New Roman" w:eastAsia="Calibri" w:hAnsi="Times New Roman" w:cs="Times New Roman"/>
                <w:bCs/>
                <w:sz w:val="24"/>
                <w:szCs w:val="24"/>
                <w:lang w:eastAsia="lv-LV"/>
              </w:rPr>
            </w:pPr>
            <w:r w:rsidRPr="00603100">
              <w:rPr>
                <w:rFonts w:ascii="Times New Roman" w:eastAsia="Times New Roman" w:hAnsi="Times New Roman" w:cs="Times New Roman"/>
                <w:color w:val="414142"/>
                <w:sz w:val="24"/>
                <w:szCs w:val="24"/>
                <w:lang w:eastAsia="lv-LV"/>
              </w:rPr>
              <w:lastRenderedPageBreak/>
              <w:t>3.</w:t>
            </w:r>
          </w:p>
        </w:tc>
        <w:tc>
          <w:tcPr>
            <w:tcW w:w="2815" w:type="dxa"/>
          </w:tcPr>
          <w:p w14:paraId="306D131F" w14:textId="77777777" w:rsidR="0015781B" w:rsidRPr="00526AFD" w:rsidRDefault="0015781B" w:rsidP="0015781B">
            <w:pPr>
              <w:spacing w:after="0" w:line="240" w:lineRule="auto"/>
              <w:ind w:left="57" w:right="57"/>
              <w:rPr>
                <w:rFonts w:ascii="Times New Roman" w:eastAsia="Calibri" w:hAnsi="Times New Roman" w:cs="Times New Roman"/>
                <w:sz w:val="24"/>
                <w:szCs w:val="24"/>
                <w:lang w:eastAsia="lv-LV"/>
              </w:rPr>
            </w:pPr>
            <w:r w:rsidRPr="00526AFD">
              <w:rPr>
                <w:rFonts w:ascii="Times New Roman" w:eastAsia="Calibri" w:hAnsi="Times New Roman" w:cs="Times New Roman"/>
                <w:sz w:val="24"/>
                <w:szCs w:val="24"/>
                <w:lang w:eastAsia="lv-LV"/>
              </w:rPr>
              <w:t>Sabiedrības līdzdalības rezultāti</w:t>
            </w:r>
          </w:p>
        </w:tc>
        <w:tc>
          <w:tcPr>
            <w:tcW w:w="5947" w:type="dxa"/>
          </w:tcPr>
          <w:p w14:paraId="4922E12A" w14:textId="77777777" w:rsidR="00810968" w:rsidRPr="00810968" w:rsidRDefault="00810968" w:rsidP="00810968">
            <w:pPr>
              <w:shd w:val="clear" w:color="auto" w:fill="FFFFFF"/>
              <w:spacing w:after="120" w:line="240" w:lineRule="auto"/>
              <w:ind w:left="57" w:right="113"/>
              <w:jc w:val="both"/>
              <w:rPr>
                <w:rFonts w:ascii="Times New Roman" w:eastAsia="Calibri" w:hAnsi="Times New Roman" w:cs="Times New Roman"/>
                <w:sz w:val="24"/>
                <w:szCs w:val="24"/>
                <w:lang w:eastAsia="lv-LV"/>
              </w:rPr>
            </w:pPr>
            <w:r w:rsidRPr="00810968">
              <w:rPr>
                <w:rFonts w:ascii="Times New Roman" w:eastAsia="Calibri" w:hAnsi="Times New Roman" w:cs="Times New Roman"/>
                <w:sz w:val="24"/>
                <w:szCs w:val="24"/>
                <w:lang w:eastAsia="lv-LV"/>
              </w:rPr>
              <w:t>Sabiedrības pārstāvji pēc MK noteikumu projekta publikācijas Ekonomikas ministrijas interneta tīmekļa vietnē līdz 2017.gada 25.augustam nesniedza savu viedokli par MK noteikumu projektu.</w:t>
            </w:r>
          </w:p>
          <w:p w14:paraId="6383680C" w14:textId="5A24D25C" w:rsidR="0015781B" w:rsidRPr="00526AFD" w:rsidRDefault="00810968" w:rsidP="00810968">
            <w:pPr>
              <w:shd w:val="clear" w:color="auto" w:fill="FFFFFF"/>
              <w:spacing w:after="120" w:line="240" w:lineRule="auto"/>
              <w:ind w:left="57" w:right="113"/>
              <w:jc w:val="both"/>
              <w:rPr>
                <w:rFonts w:ascii="Times New Roman" w:eastAsia="Calibri" w:hAnsi="Times New Roman" w:cs="Times New Roman"/>
                <w:sz w:val="24"/>
                <w:szCs w:val="24"/>
                <w:lang w:eastAsia="lv-LV"/>
              </w:rPr>
            </w:pPr>
            <w:r w:rsidRPr="00810968">
              <w:rPr>
                <w:rFonts w:ascii="Times New Roman" w:eastAsia="Calibri" w:hAnsi="Times New Roman" w:cs="Times New Roman"/>
                <w:sz w:val="24"/>
                <w:szCs w:val="24"/>
                <w:lang w:eastAsia="lv-LV"/>
              </w:rPr>
              <w:t>Ekonomikas ministrija izstrādājot MK noteikumu projektu ir ņēmusi vērā LTRK, LDDK un L</w:t>
            </w:r>
            <w:r w:rsidRPr="00810968">
              <w:rPr>
                <w:rFonts w:ascii="Times New Roman" w:eastAsia="Calibri" w:hAnsi="Times New Roman" w:cs="Times New Roman"/>
                <w:bCs/>
                <w:sz w:val="24"/>
                <w:szCs w:val="24"/>
                <w:lang w:eastAsia="lv-LV"/>
              </w:rPr>
              <w:t xml:space="preserve">atvijas Informācijas un komunikācijas tehnoloģijas asociācija – LIKTA </w:t>
            </w:r>
            <w:r w:rsidRPr="00810968">
              <w:rPr>
                <w:rFonts w:ascii="Times New Roman" w:eastAsia="Calibri" w:hAnsi="Times New Roman" w:cs="Times New Roman"/>
                <w:sz w:val="24"/>
                <w:szCs w:val="24"/>
                <w:lang w:eastAsia="lv-LV"/>
              </w:rPr>
              <w:t>viedokli, kā arī tūrisma nozares viedokli, un ir panākta konceptuāla vienošanās par MK noteikumu projektu.</w:t>
            </w:r>
          </w:p>
        </w:tc>
      </w:tr>
      <w:tr w:rsidR="0015781B" w:rsidRPr="00526AFD" w14:paraId="570B5EA4" w14:textId="77777777" w:rsidTr="00EC4749">
        <w:trPr>
          <w:trHeight w:val="205"/>
        </w:trPr>
        <w:tc>
          <w:tcPr>
            <w:tcW w:w="452" w:type="dxa"/>
            <w:tcBorders>
              <w:top w:val="outset" w:sz="6" w:space="0" w:color="414142"/>
              <w:left w:val="outset" w:sz="6" w:space="0" w:color="414142"/>
              <w:bottom w:val="outset" w:sz="6" w:space="0" w:color="414142"/>
              <w:right w:val="outset" w:sz="6" w:space="0" w:color="414142"/>
            </w:tcBorders>
          </w:tcPr>
          <w:p w14:paraId="5CEDAA72" w14:textId="58322581" w:rsidR="0015781B" w:rsidRPr="00526AFD" w:rsidRDefault="0015781B" w:rsidP="0015781B">
            <w:pPr>
              <w:spacing w:after="0" w:line="240" w:lineRule="auto"/>
              <w:ind w:left="57" w:right="57"/>
              <w:jc w:val="both"/>
              <w:rPr>
                <w:rFonts w:ascii="Times New Roman" w:eastAsia="Calibri" w:hAnsi="Times New Roman" w:cs="Times New Roman"/>
                <w:bCs/>
                <w:sz w:val="24"/>
                <w:szCs w:val="24"/>
                <w:lang w:eastAsia="lv-LV"/>
              </w:rPr>
            </w:pPr>
            <w:r w:rsidRPr="00603100">
              <w:rPr>
                <w:rFonts w:ascii="Times New Roman" w:eastAsia="Times New Roman" w:hAnsi="Times New Roman" w:cs="Times New Roman"/>
                <w:color w:val="414142"/>
                <w:sz w:val="24"/>
                <w:szCs w:val="24"/>
                <w:lang w:eastAsia="lv-LV"/>
              </w:rPr>
              <w:t>4.</w:t>
            </w:r>
          </w:p>
        </w:tc>
        <w:tc>
          <w:tcPr>
            <w:tcW w:w="2815" w:type="dxa"/>
          </w:tcPr>
          <w:p w14:paraId="24B0AF62" w14:textId="77777777" w:rsidR="0015781B" w:rsidRPr="00526AFD" w:rsidRDefault="0015781B" w:rsidP="0015781B">
            <w:pPr>
              <w:spacing w:after="0" w:line="240" w:lineRule="auto"/>
              <w:ind w:left="57" w:right="57"/>
              <w:rPr>
                <w:rFonts w:ascii="Times New Roman" w:eastAsia="Calibri" w:hAnsi="Times New Roman" w:cs="Times New Roman"/>
                <w:sz w:val="24"/>
                <w:szCs w:val="24"/>
                <w:lang w:eastAsia="lv-LV"/>
              </w:rPr>
            </w:pPr>
            <w:r w:rsidRPr="00526AFD">
              <w:rPr>
                <w:rFonts w:ascii="Times New Roman" w:eastAsia="Calibri" w:hAnsi="Times New Roman" w:cs="Times New Roman"/>
                <w:sz w:val="24"/>
                <w:szCs w:val="24"/>
                <w:lang w:eastAsia="lv-LV"/>
              </w:rPr>
              <w:t>Cita informācija</w:t>
            </w:r>
          </w:p>
        </w:tc>
        <w:tc>
          <w:tcPr>
            <w:tcW w:w="5947" w:type="dxa"/>
          </w:tcPr>
          <w:p w14:paraId="2944FF85" w14:textId="77777777" w:rsidR="0015781B" w:rsidRPr="00526AFD" w:rsidRDefault="0015781B" w:rsidP="0015781B">
            <w:pPr>
              <w:spacing w:after="0" w:line="240" w:lineRule="auto"/>
              <w:ind w:left="57" w:right="113"/>
              <w:jc w:val="both"/>
              <w:rPr>
                <w:rFonts w:ascii="Times New Roman" w:eastAsia="Calibri" w:hAnsi="Times New Roman" w:cs="Times New Roman"/>
                <w:sz w:val="24"/>
                <w:szCs w:val="24"/>
                <w:lang w:eastAsia="lv-LV"/>
              </w:rPr>
            </w:pPr>
            <w:r w:rsidRPr="00526AFD">
              <w:rPr>
                <w:rFonts w:ascii="Times New Roman" w:eastAsia="Calibri" w:hAnsi="Times New Roman" w:cs="Times New Roman"/>
                <w:sz w:val="24"/>
                <w:szCs w:val="24"/>
                <w:lang w:eastAsia="lv-LV"/>
              </w:rPr>
              <w:t>Nav</w:t>
            </w:r>
          </w:p>
        </w:tc>
      </w:tr>
    </w:tbl>
    <w:p w14:paraId="6A3AA4CC" w14:textId="77777777" w:rsidR="00526AFD" w:rsidRPr="00526AFD" w:rsidRDefault="00526AFD" w:rsidP="00526AFD">
      <w:pPr>
        <w:spacing w:after="0" w:line="240" w:lineRule="auto"/>
        <w:jc w:val="both"/>
        <w:rPr>
          <w:rFonts w:ascii="Times New Roman" w:eastAsia="Calibri" w:hAnsi="Times New Roman" w:cs="Times New Roman"/>
          <w:sz w:val="24"/>
          <w:szCs w:val="24"/>
          <w:lang w:eastAsia="lv-LV"/>
        </w:rPr>
      </w:pPr>
    </w:p>
    <w:p w14:paraId="66D1238A" w14:textId="77777777" w:rsidR="00526AFD" w:rsidRPr="00526AFD" w:rsidRDefault="00526AFD" w:rsidP="00526AFD">
      <w:pPr>
        <w:spacing w:after="0" w:line="240" w:lineRule="auto"/>
        <w:jc w:val="both"/>
        <w:rPr>
          <w:rFonts w:ascii="Times New Roman" w:eastAsia="Calibri" w:hAnsi="Times New Roman" w:cs="Times New Roman"/>
          <w:sz w:val="24"/>
          <w:szCs w:val="24"/>
          <w:lang w:eastAsia="lv-LV"/>
        </w:rPr>
      </w:pPr>
    </w:p>
    <w:tbl>
      <w:tblPr>
        <w:tblW w:w="92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3"/>
        <w:gridCol w:w="2838"/>
        <w:gridCol w:w="6033"/>
      </w:tblGrid>
      <w:tr w:rsidR="00526AFD" w:rsidRPr="00526AFD" w14:paraId="2ED763BC" w14:textId="77777777" w:rsidTr="00D41C8F">
        <w:trPr>
          <w:trHeight w:val="421"/>
        </w:trPr>
        <w:tc>
          <w:tcPr>
            <w:tcW w:w="9204" w:type="dxa"/>
            <w:gridSpan w:val="3"/>
            <w:vAlign w:val="center"/>
          </w:tcPr>
          <w:p w14:paraId="004D4186" w14:textId="77777777" w:rsidR="00526AFD" w:rsidRPr="00526AFD" w:rsidRDefault="00526AFD" w:rsidP="00526AFD">
            <w:pPr>
              <w:spacing w:after="0" w:line="240" w:lineRule="auto"/>
              <w:ind w:left="57" w:right="57"/>
              <w:jc w:val="center"/>
              <w:rPr>
                <w:rFonts w:ascii="Times New Roman" w:eastAsia="Times New Roman" w:hAnsi="Times New Roman" w:cs="Times New Roman"/>
                <w:sz w:val="24"/>
                <w:szCs w:val="24"/>
                <w:lang w:eastAsia="lv-LV"/>
              </w:rPr>
            </w:pPr>
            <w:r w:rsidRPr="00526AFD">
              <w:rPr>
                <w:rFonts w:ascii="Times New Roman" w:eastAsia="Times New Roman" w:hAnsi="Times New Roman" w:cs="Times New Roman"/>
                <w:b/>
                <w:sz w:val="24"/>
                <w:szCs w:val="24"/>
                <w:lang w:eastAsia="lv-LV"/>
              </w:rPr>
              <w:t>VII. Tiesību akta projekta izpildes nodrošināšana un tās ietekme uz institūcijām</w:t>
            </w:r>
          </w:p>
        </w:tc>
      </w:tr>
      <w:tr w:rsidR="00526AFD" w:rsidRPr="00526AFD" w14:paraId="37C06B5A" w14:textId="77777777" w:rsidTr="00D41C8F">
        <w:trPr>
          <w:trHeight w:val="553"/>
        </w:trPr>
        <w:tc>
          <w:tcPr>
            <w:tcW w:w="333" w:type="dxa"/>
          </w:tcPr>
          <w:p w14:paraId="1819E3AA" w14:textId="77777777" w:rsidR="00526AFD" w:rsidRPr="00526AFD" w:rsidRDefault="00526AFD" w:rsidP="00526AFD">
            <w:pPr>
              <w:spacing w:after="0" w:line="240" w:lineRule="auto"/>
              <w:ind w:left="57" w:right="57"/>
              <w:jc w:val="both"/>
              <w:rPr>
                <w:rFonts w:ascii="Times New Roman" w:eastAsia="Calibri" w:hAnsi="Times New Roman" w:cs="Times New Roman"/>
                <w:bCs/>
                <w:sz w:val="24"/>
                <w:szCs w:val="24"/>
                <w:lang w:eastAsia="lv-LV"/>
              </w:rPr>
            </w:pPr>
            <w:r w:rsidRPr="00526AFD">
              <w:rPr>
                <w:rFonts w:ascii="Times New Roman" w:eastAsia="Calibri" w:hAnsi="Times New Roman" w:cs="Times New Roman"/>
                <w:bCs/>
                <w:sz w:val="24"/>
                <w:szCs w:val="24"/>
                <w:lang w:eastAsia="lv-LV"/>
              </w:rPr>
              <w:t>1.</w:t>
            </w:r>
          </w:p>
        </w:tc>
        <w:tc>
          <w:tcPr>
            <w:tcW w:w="2838" w:type="dxa"/>
          </w:tcPr>
          <w:p w14:paraId="343FB3BF" w14:textId="77777777" w:rsidR="00526AFD" w:rsidRPr="00526AFD" w:rsidRDefault="00526AFD" w:rsidP="00526AFD">
            <w:pPr>
              <w:spacing w:after="0" w:line="240" w:lineRule="auto"/>
              <w:ind w:left="57" w:right="57"/>
              <w:rPr>
                <w:rFonts w:ascii="Times New Roman" w:eastAsia="Calibri" w:hAnsi="Times New Roman" w:cs="Times New Roman"/>
                <w:sz w:val="24"/>
                <w:szCs w:val="24"/>
                <w:lang w:eastAsia="lv-LV"/>
              </w:rPr>
            </w:pPr>
            <w:r w:rsidRPr="00526AFD">
              <w:rPr>
                <w:rFonts w:ascii="Times New Roman" w:eastAsia="Calibri" w:hAnsi="Times New Roman" w:cs="Times New Roman"/>
                <w:sz w:val="24"/>
                <w:szCs w:val="24"/>
                <w:lang w:eastAsia="lv-LV"/>
              </w:rPr>
              <w:t>Projekta izpildē iesaistītās institūcijas</w:t>
            </w:r>
          </w:p>
        </w:tc>
        <w:tc>
          <w:tcPr>
            <w:tcW w:w="6033" w:type="dxa"/>
          </w:tcPr>
          <w:p w14:paraId="0ADF68B4" w14:textId="7C89EB48" w:rsidR="00526AFD" w:rsidRPr="00526AFD" w:rsidRDefault="00EC4749" w:rsidP="00526AFD">
            <w:pPr>
              <w:shd w:val="clear" w:color="auto" w:fill="FFFFFF"/>
              <w:spacing w:after="0" w:line="240" w:lineRule="auto"/>
              <w:ind w:left="57" w:right="113"/>
              <w:jc w:val="both"/>
              <w:rPr>
                <w:rFonts w:ascii="Times New Roman" w:eastAsia="Calibri" w:hAnsi="Times New Roman" w:cs="Times New Roman"/>
                <w:sz w:val="24"/>
                <w:szCs w:val="24"/>
                <w:lang w:eastAsia="lv-LV"/>
              </w:rPr>
            </w:pPr>
            <w:r w:rsidRPr="00EC4749">
              <w:rPr>
                <w:rFonts w:ascii="Times New Roman" w:eastAsia="Calibri" w:hAnsi="Times New Roman" w:cs="Times New Roman"/>
                <w:sz w:val="24"/>
                <w:szCs w:val="24"/>
                <w:lang w:eastAsia="lv-LV"/>
              </w:rPr>
              <w:t>Latvijas Investīciju un attīstības aģentūra</w:t>
            </w:r>
          </w:p>
        </w:tc>
      </w:tr>
      <w:tr w:rsidR="00526AFD" w:rsidRPr="00526AFD" w14:paraId="0F10D132" w14:textId="77777777" w:rsidTr="00D41C8F">
        <w:trPr>
          <w:trHeight w:val="339"/>
        </w:trPr>
        <w:tc>
          <w:tcPr>
            <w:tcW w:w="333" w:type="dxa"/>
          </w:tcPr>
          <w:p w14:paraId="6BE32ABE" w14:textId="77777777" w:rsidR="00526AFD" w:rsidRPr="00526AFD" w:rsidRDefault="00526AFD" w:rsidP="00526AFD">
            <w:pPr>
              <w:spacing w:after="0" w:line="240" w:lineRule="auto"/>
              <w:ind w:left="57" w:right="57"/>
              <w:jc w:val="both"/>
              <w:rPr>
                <w:rFonts w:ascii="Times New Roman" w:eastAsia="Calibri" w:hAnsi="Times New Roman" w:cs="Times New Roman"/>
                <w:bCs/>
                <w:sz w:val="24"/>
                <w:szCs w:val="24"/>
                <w:lang w:eastAsia="lv-LV"/>
              </w:rPr>
            </w:pPr>
            <w:r w:rsidRPr="00526AFD">
              <w:rPr>
                <w:rFonts w:ascii="Times New Roman" w:eastAsia="Calibri" w:hAnsi="Times New Roman" w:cs="Times New Roman"/>
                <w:bCs/>
                <w:sz w:val="24"/>
                <w:szCs w:val="24"/>
                <w:lang w:eastAsia="lv-LV"/>
              </w:rPr>
              <w:t>2.</w:t>
            </w:r>
          </w:p>
        </w:tc>
        <w:tc>
          <w:tcPr>
            <w:tcW w:w="2838" w:type="dxa"/>
          </w:tcPr>
          <w:p w14:paraId="04EBAD11" w14:textId="77777777" w:rsidR="00526AFD" w:rsidRPr="00526AFD" w:rsidRDefault="00526AFD" w:rsidP="00526AFD">
            <w:pPr>
              <w:spacing w:after="0" w:line="240" w:lineRule="auto"/>
              <w:ind w:left="57" w:right="57"/>
              <w:rPr>
                <w:rFonts w:ascii="Times New Roman" w:eastAsia="Calibri" w:hAnsi="Times New Roman" w:cs="Times New Roman"/>
                <w:sz w:val="24"/>
                <w:szCs w:val="24"/>
                <w:lang w:eastAsia="lv-LV"/>
              </w:rPr>
            </w:pPr>
            <w:r w:rsidRPr="00526AFD">
              <w:rPr>
                <w:rFonts w:ascii="Times New Roman" w:eastAsia="Calibri" w:hAnsi="Times New Roman" w:cs="Times New Roman"/>
                <w:sz w:val="24"/>
                <w:szCs w:val="24"/>
                <w:lang w:eastAsia="lv-LV"/>
              </w:rPr>
              <w:t xml:space="preserve">Projekta izpildes ietekme uz pārvaldes funkcijām un institucionālo struktūru. </w:t>
            </w:r>
          </w:p>
          <w:p w14:paraId="605B2A55" w14:textId="77777777" w:rsidR="00526AFD" w:rsidRPr="00526AFD" w:rsidRDefault="00526AFD" w:rsidP="00526AFD">
            <w:pPr>
              <w:spacing w:after="0" w:line="240" w:lineRule="auto"/>
              <w:ind w:left="57" w:right="57"/>
              <w:rPr>
                <w:rFonts w:ascii="Times New Roman" w:eastAsia="Calibri" w:hAnsi="Times New Roman" w:cs="Times New Roman"/>
                <w:sz w:val="24"/>
                <w:szCs w:val="24"/>
                <w:lang w:eastAsia="lv-LV"/>
              </w:rPr>
            </w:pPr>
            <w:r w:rsidRPr="00526AFD">
              <w:rPr>
                <w:rFonts w:ascii="Times New Roman" w:eastAsia="Calibri" w:hAnsi="Times New Roman" w:cs="Times New Roman"/>
                <w:sz w:val="24"/>
                <w:szCs w:val="24"/>
                <w:lang w:eastAsia="lv-LV"/>
              </w:rPr>
              <w:t>Jaunu institūciju izveide, esošu institūciju likvidācija vai reorganizācija, to ietekme uz institūcijas cilvēkresursiem</w:t>
            </w:r>
          </w:p>
        </w:tc>
        <w:tc>
          <w:tcPr>
            <w:tcW w:w="6033" w:type="dxa"/>
          </w:tcPr>
          <w:p w14:paraId="2473F1D2" w14:textId="29487C04" w:rsidR="00526AFD" w:rsidRPr="00526AFD" w:rsidRDefault="00526AFD" w:rsidP="00526AFD">
            <w:pPr>
              <w:shd w:val="clear" w:color="auto" w:fill="FFFFFF"/>
              <w:spacing w:after="0" w:line="240" w:lineRule="auto"/>
              <w:ind w:left="57" w:right="113"/>
              <w:jc w:val="both"/>
              <w:rPr>
                <w:rFonts w:ascii="Times New Roman" w:eastAsia="Calibri" w:hAnsi="Times New Roman" w:cs="Times New Roman"/>
                <w:kern w:val="24"/>
                <w:sz w:val="24"/>
                <w:szCs w:val="24"/>
                <w:lang w:eastAsia="lv-LV"/>
              </w:rPr>
            </w:pPr>
            <w:r w:rsidRPr="00526AFD">
              <w:rPr>
                <w:rFonts w:ascii="Times New Roman" w:eastAsia="Calibri" w:hAnsi="Times New Roman" w:cs="Times New Roman"/>
                <w:sz w:val="24"/>
                <w:szCs w:val="24"/>
                <w:lang w:eastAsia="lv-LV"/>
              </w:rPr>
              <w:t>Nav plānota jaunu institūciju izveide, esošu institūciju</w:t>
            </w:r>
            <w:r w:rsidR="00EC4749">
              <w:rPr>
                <w:rFonts w:ascii="Times New Roman" w:eastAsia="Calibri" w:hAnsi="Times New Roman" w:cs="Times New Roman"/>
                <w:sz w:val="24"/>
                <w:szCs w:val="24"/>
                <w:lang w:eastAsia="lv-LV"/>
              </w:rPr>
              <w:t xml:space="preserve"> likvidācija vai reorganizācija</w:t>
            </w:r>
          </w:p>
        </w:tc>
      </w:tr>
      <w:tr w:rsidR="00526AFD" w:rsidRPr="00526AFD" w14:paraId="72A44501" w14:textId="77777777" w:rsidTr="00D41C8F">
        <w:trPr>
          <w:trHeight w:val="476"/>
        </w:trPr>
        <w:tc>
          <w:tcPr>
            <w:tcW w:w="333" w:type="dxa"/>
          </w:tcPr>
          <w:p w14:paraId="13361EB8" w14:textId="77777777" w:rsidR="00526AFD" w:rsidRPr="00526AFD" w:rsidRDefault="00526AFD" w:rsidP="00526AFD">
            <w:pPr>
              <w:spacing w:after="0" w:line="240" w:lineRule="auto"/>
              <w:ind w:left="57" w:right="57"/>
              <w:jc w:val="both"/>
              <w:rPr>
                <w:rFonts w:ascii="Times New Roman" w:eastAsia="Calibri" w:hAnsi="Times New Roman" w:cs="Times New Roman"/>
                <w:bCs/>
                <w:sz w:val="24"/>
                <w:szCs w:val="24"/>
                <w:lang w:eastAsia="lv-LV"/>
              </w:rPr>
            </w:pPr>
            <w:r w:rsidRPr="00526AFD">
              <w:rPr>
                <w:rFonts w:ascii="Times New Roman" w:eastAsia="Calibri" w:hAnsi="Times New Roman" w:cs="Times New Roman"/>
                <w:bCs/>
                <w:sz w:val="24"/>
                <w:szCs w:val="24"/>
                <w:lang w:eastAsia="lv-LV"/>
              </w:rPr>
              <w:t>3.</w:t>
            </w:r>
          </w:p>
        </w:tc>
        <w:tc>
          <w:tcPr>
            <w:tcW w:w="2838" w:type="dxa"/>
          </w:tcPr>
          <w:p w14:paraId="1E452B1F" w14:textId="77777777" w:rsidR="00526AFD" w:rsidRPr="00526AFD" w:rsidRDefault="00526AFD" w:rsidP="00526AFD">
            <w:pPr>
              <w:spacing w:after="0" w:line="240" w:lineRule="auto"/>
              <w:ind w:left="57" w:right="57"/>
              <w:rPr>
                <w:rFonts w:ascii="Times New Roman" w:eastAsia="Calibri" w:hAnsi="Times New Roman" w:cs="Times New Roman"/>
                <w:sz w:val="24"/>
                <w:szCs w:val="24"/>
                <w:lang w:eastAsia="lv-LV"/>
              </w:rPr>
            </w:pPr>
            <w:r w:rsidRPr="00526AFD">
              <w:rPr>
                <w:rFonts w:ascii="Times New Roman" w:eastAsia="Calibri" w:hAnsi="Times New Roman" w:cs="Times New Roman"/>
                <w:sz w:val="24"/>
                <w:szCs w:val="24"/>
                <w:lang w:eastAsia="lv-LV"/>
              </w:rPr>
              <w:t>Cita informācija</w:t>
            </w:r>
          </w:p>
        </w:tc>
        <w:tc>
          <w:tcPr>
            <w:tcW w:w="6033" w:type="dxa"/>
          </w:tcPr>
          <w:p w14:paraId="5E941987" w14:textId="77777777" w:rsidR="00526AFD" w:rsidRPr="00526AFD" w:rsidRDefault="00526AFD" w:rsidP="00526AFD">
            <w:pPr>
              <w:shd w:val="clear" w:color="auto" w:fill="FFFFFF"/>
              <w:spacing w:after="0" w:line="240" w:lineRule="auto"/>
              <w:ind w:left="57" w:right="113"/>
              <w:jc w:val="both"/>
              <w:rPr>
                <w:rFonts w:ascii="Times New Roman" w:eastAsia="Calibri" w:hAnsi="Times New Roman" w:cs="Times New Roman"/>
                <w:sz w:val="24"/>
                <w:szCs w:val="24"/>
                <w:lang w:eastAsia="lv-LV"/>
              </w:rPr>
            </w:pPr>
            <w:r w:rsidRPr="00526AFD">
              <w:rPr>
                <w:rFonts w:ascii="Times New Roman" w:eastAsia="Calibri" w:hAnsi="Times New Roman" w:cs="Times New Roman"/>
                <w:sz w:val="24"/>
                <w:szCs w:val="24"/>
                <w:lang w:eastAsia="lv-LV"/>
              </w:rPr>
              <w:t>Nav</w:t>
            </w:r>
          </w:p>
        </w:tc>
      </w:tr>
    </w:tbl>
    <w:p w14:paraId="22F825F6" w14:textId="77777777" w:rsidR="00526AFD" w:rsidRPr="00526AFD" w:rsidRDefault="00526AFD" w:rsidP="00526AFD">
      <w:pPr>
        <w:spacing w:after="0" w:line="240" w:lineRule="auto"/>
        <w:jc w:val="both"/>
        <w:rPr>
          <w:rFonts w:ascii="Times New Roman" w:eastAsia="Calibri" w:hAnsi="Times New Roman" w:cs="Times New Roman"/>
          <w:b/>
          <w:sz w:val="24"/>
          <w:szCs w:val="24"/>
          <w:lang w:eastAsia="lv-LV"/>
        </w:rPr>
      </w:pPr>
    </w:p>
    <w:p w14:paraId="24D505BE" w14:textId="77777777" w:rsidR="00526AFD" w:rsidRPr="00526AFD" w:rsidRDefault="00526AFD" w:rsidP="00526AFD">
      <w:pPr>
        <w:spacing w:after="0" w:line="240" w:lineRule="auto"/>
        <w:jc w:val="both"/>
        <w:rPr>
          <w:rFonts w:ascii="Times New Roman" w:eastAsia="Calibri" w:hAnsi="Times New Roman" w:cs="Times New Roman"/>
          <w:sz w:val="24"/>
          <w:szCs w:val="24"/>
          <w:lang w:eastAsia="lv-LV"/>
        </w:rPr>
      </w:pPr>
    </w:p>
    <w:p w14:paraId="1B4A066B" w14:textId="77777777" w:rsidR="00526AFD" w:rsidRPr="00526AFD" w:rsidRDefault="00526AFD" w:rsidP="00526AFD">
      <w:pPr>
        <w:spacing w:after="0" w:line="240" w:lineRule="auto"/>
        <w:jc w:val="both"/>
        <w:rPr>
          <w:rFonts w:ascii="Times New Roman" w:eastAsia="Calibri" w:hAnsi="Times New Roman" w:cs="Times New Roman"/>
          <w:sz w:val="24"/>
          <w:szCs w:val="24"/>
          <w:lang w:eastAsia="lv-LV"/>
        </w:rPr>
      </w:pPr>
      <w:r w:rsidRPr="00526AFD">
        <w:rPr>
          <w:rFonts w:ascii="Times New Roman" w:eastAsia="Calibri" w:hAnsi="Times New Roman" w:cs="Times New Roman"/>
          <w:sz w:val="24"/>
          <w:szCs w:val="24"/>
          <w:lang w:eastAsia="lv-LV"/>
        </w:rPr>
        <w:t>Ministru prezidenta biedrs,</w:t>
      </w:r>
    </w:p>
    <w:p w14:paraId="01E4F9C9" w14:textId="77777777" w:rsidR="00526AFD" w:rsidRPr="00526AFD" w:rsidRDefault="00526AFD" w:rsidP="00526AFD">
      <w:pPr>
        <w:spacing w:after="0" w:line="240" w:lineRule="auto"/>
        <w:jc w:val="both"/>
        <w:rPr>
          <w:rFonts w:ascii="Times New Roman" w:eastAsia="Calibri" w:hAnsi="Times New Roman" w:cs="Times New Roman"/>
          <w:sz w:val="24"/>
          <w:szCs w:val="24"/>
          <w:lang w:eastAsia="lv-LV"/>
        </w:rPr>
      </w:pPr>
      <w:r w:rsidRPr="00526AFD">
        <w:rPr>
          <w:rFonts w:ascii="Times New Roman" w:eastAsia="Calibri" w:hAnsi="Times New Roman" w:cs="Times New Roman"/>
          <w:sz w:val="24"/>
          <w:szCs w:val="24"/>
          <w:lang w:eastAsia="lv-LV"/>
        </w:rPr>
        <w:t>ekonomikas ministrs</w:t>
      </w:r>
      <w:r w:rsidRPr="00526AFD">
        <w:rPr>
          <w:rFonts w:ascii="Times New Roman" w:eastAsia="Calibri" w:hAnsi="Times New Roman" w:cs="Times New Roman"/>
          <w:sz w:val="24"/>
          <w:szCs w:val="24"/>
          <w:lang w:eastAsia="lv-LV"/>
        </w:rPr>
        <w:tab/>
      </w:r>
      <w:r w:rsidRPr="00526AFD">
        <w:rPr>
          <w:rFonts w:ascii="Times New Roman" w:eastAsia="Calibri" w:hAnsi="Times New Roman" w:cs="Times New Roman"/>
          <w:sz w:val="24"/>
          <w:szCs w:val="24"/>
          <w:lang w:eastAsia="lv-LV"/>
        </w:rPr>
        <w:tab/>
      </w:r>
      <w:r w:rsidRPr="00526AFD">
        <w:rPr>
          <w:rFonts w:ascii="Times New Roman" w:eastAsia="Calibri" w:hAnsi="Times New Roman" w:cs="Times New Roman"/>
          <w:sz w:val="24"/>
          <w:szCs w:val="24"/>
          <w:lang w:eastAsia="lv-LV"/>
        </w:rPr>
        <w:tab/>
      </w:r>
      <w:r w:rsidRPr="00526AFD">
        <w:rPr>
          <w:rFonts w:ascii="Times New Roman" w:eastAsia="Calibri" w:hAnsi="Times New Roman" w:cs="Times New Roman"/>
          <w:sz w:val="24"/>
          <w:szCs w:val="24"/>
          <w:lang w:eastAsia="lv-LV"/>
        </w:rPr>
        <w:tab/>
      </w:r>
      <w:r w:rsidRPr="00526AFD">
        <w:rPr>
          <w:rFonts w:ascii="Times New Roman" w:eastAsia="Calibri" w:hAnsi="Times New Roman" w:cs="Times New Roman"/>
          <w:sz w:val="24"/>
          <w:szCs w:val="24"/>
          <w:lang w:eastAsia="lv-LV"/>
        </w:rPr>
        <w:tab/>
      </w:r>
      <w:r w:rsidRPr="00526AFD">
        <w:rPr>
          <w:rFonts w:ascii="Times New Roman" w:eastAsia="Calibri" w:hAnsi="Times New Roman" w:cs="Times New Roman"/>
          <w:sz w:val="24"/>
          <w:szCs w:val="24"/>
          <w:lang w:eastAsia="lv-LV"/>
        </w:rPr>
        <w:tab/>
      </w:r>
      <w:r w:rsidRPr="00526AFD">
        <w:rPr>
          <w:rFonts w:ascii="Times New Roman" w:eastAsia="Calibri" w:hAnsi="Times New Roman" w:cs="Times New Roman"/>
          <w:sz w:val="24"/>
          <w:szCs w:val="24"/>
          <w:lang w:eastAsia="lv-LV"/>
        </w:rPr>
        <w:tab/>
      </w:r>
      <w:r w:rsidRPr="00526AFD">
        <w:rPr>
          <w:rFonts w:ascii="Times New Roman" w:eastAsia="Calibri" w:hAnsi="Times New Roman" w:cs="Times New Roman"/>
          <w:sz w:val="24"/>
          <w:szCs w:val="24"/>
          <w:lang w:eastAsia="lv-LV"/>
        </w:rPr>
        <w:tab/>
        <w:t>A.Ašeradens</w:t>
      </w:r>
      <w:r w:rsidRPr="00526AFD">
        <w:rPr>
          <w:rFonts w:ascii="Times New Roman" w:eastAsia="Calibri" w:hAnsi="Times New Roman" w:cs="Times New Roman"/>
          <w:sz w:val="24"/>
          <w:szCs w:val="24"/>
          <w:lang w:eastAsia="lv-LV"/>
        </w:rPr>
        <w:tab/>
      </w:r>
    </w:p>
    <w:p w14:paraId="484F4F5D" w14:textId="77777777" w:rsidR="00526AFD" w:rsidRPr="00526AFD" w:rsidRDefault="00526AFD" w:rsidP="00526AFD">
      <w:pPr>
        <w:spacing w:after="0" w:line="240" w:lineRule="auto"/>
        <w:jc w:val="both"/>
        <w:rPr>
          <w:rFonts w:ascii="Times New Roman" w:eastAsia="Calibri" w:hAnsi="Times New Roman" w:cs="Times New Roman"/>
          <w:sz w:val="24"/>
          <w:szCs w:val="24"/>
          <w:lang w:eastAsia="lv-LV"/>
        </w:rPr>
      </w:pPr>
    </w:p>
    <w:p w14:paraId="25A4773C" w14:textId="77777777" w:rsidR="00526AFD" w:rsidRPr="00526AFD" w:rsidRDefault="00526AFD" w:rsidP="00526AFD">
      <w:pPr>
        <w:spacing w:after="0" w:line="240" w:lineRule="auto"/>
        <w:jc w:val="both"/>
        <w:rPr>
          <w:rFonts w:ascii="Times New Roman" w:eastAsia="Calibri" w:hAnsi="Times New Roman" w:cs="Times New Roman"/>
          <w:sz w:val="24"/>
          <w:szCs w:val="24"/>
          <w:lang w:eastAsia="lv-LV"/>
        </w:rPr>
      </w:pPr>
    </w:p>
    <w:p w14:paraId="317EF81D" w14:textId="77777777" w:rsidR="00526AFD" w:rsidRPr="00526AFD" w:rsidRDefault="00526AFD" w:rsidP="00526AFD">
      <w:pPr>
        <w:spacing w:after="0" w:line="240" w:lineRule="auto"/>
        <w:jc w:val="both"/>
        <w:rPr>
          <w:rFonts w:ascii="Times New Roman" w:eastAsia="Calibri" w:hAnsi="Times New Roman" w:cs="Times New Roman"/>
          <w:sz w:val="24"/>
          <w:szCs w:val="24"/>
          <w:lang w:eastAsia="lv-LV"/>
        </w:rPr>
      </w:pPr>
      <w:r w:rsidRPr="00526AFD">
        <w:rPr>
          <w:rFonts w:ascii="Times New Roman" w:eastAsia="Calibri" w:hAnsi="Times New Roman" w:cs="Times New Roman"/>
          <w:sz w:val="24"/>
          <w:szCs w:val="24"/>
          <w:lang w:eastAsia="lv-LV"/>
        </w:rPr>
        <w:t>Vīza:</w:t>
      </w:r>
    </w:p>
    <w:p w14:paraId="6F0136AA" w14:textId="77777777" w:rsidR="00526AFD" w:rsidRPr="00526AFD" w:rsidRDefault="00526AFD" w:rsidP="00526AFD">
      <w:pPr>
        <w:spacing w:after="0" w:line="240" w:lineRule="auto"/>
        <w:jc w:val="both"/>
        <w:rPr>
          <w:rFonts w:ascii="Times New Roman" w:eastAsia="Calibri" w:hAnsi="Times New Roman" w:cs="Times New Roman"/>
          <w:sz w:val="24"/>
          <w:szCs w:val="24"/>
          <w:lang w:eastAsia="lv-LV"/>
        </w:rPr>
      </w:pPr>
      <w:r w:rsidRPr="00526AFD">
        <w:rPr>
          <w:rFonts w:ascii="Times New Roman" w:eastAsia="Calibri" w:hAnsi="Times New Roman" w:cs="Times New Roman"/>
          <w:sz w:val="24"/>
          <w:szCs w:val="24"/>
          <w:lang w:eastAsia="lv-LV"/>
        </w:rPr>
        <w:t>Valsts sekretārs</w:t>
      </w:r>
      <w:r w:rsidRPr="00526AFD">
        <w:rPr>
          <w:rFonts w:ascii="Times New Roman" w:eastAsia="Calibri" w:hAnsi="Times New Roman" w:cs="Times New Roman"/>
          <w:sz w:val="24"/>
          <w:szCs w:val="24"/>
          <w:lang w:eastAsia="lv-LV"/>
        </w:rPr>
        <w:tab/>
      </w:r>
      <w:r w:rsidRPr="00526AFD">
        <w:rPr>
          <w:rFonts w:ascii="Times New Roman" w:eastAsia="Calibri" w:hAnsi="Times New Roman" w:cs="Times New Roman"/>
          <w:sz w:val="24"/>
          <w:szCs w:val="24"/>
          <w:lang w:eastAsia="lv-LV"/>
        </w:rPr>
        <w:tab/>
      </w:r>
      <w:r w:rsidRPr="00526AFD">
        <w:rPr>
          <w:rFonts w:ascii="Times New Roman" w:eastAsia="Calibri" w:hAnsi="Times New Roman" w:cs="Times New Roman"/>
          <w:sz w:val="24"/>
          <w:szCs w:val="24"/>
          <w:lang w:eastAsia="lv-LV"/>
        </w:rPr>
        <w:tab/>
      </w:r>
      <w:r w:rsidRPr="00526AFD">
        <w:rPr>
          <w:rFonts w:ascii="Times New Roman" w:eastAsia="Calibri" w:hAnsi="Times New Roman" w:cs="Times New Roman"/>
          <w:sz w:val="24"/>
          <w:szCs w:val="24"/>
          <w:lang w:eastAsia="lv-LV"/>
        </w:rPr>
        <w:tab/>
      </w:r>
      <w:r w:rsidRPr="00526AFD">
        <w:rPr>
          <w:rFonts w:ascii="Times New Roman" w:eastAsia="Calibri" w:hAnsi="Times New Roman" w:cs="Times New Roman"/>
          <w:sz w:val="24"/>
          <w:szCs w:val="24"/>
          <w:lang w:eastAsia="lv-LV"/>
        </w:rPr>
        <w:tab/>
      </w:r>
      <w:r w:rsidRPr="00526AFD">
        <w:rPr>
          <w:rFonts w:ascii="Times New Roman" w:eastAsia="Calibri" w:hAnsi="Times New Roman" w:cs="Times New Roman"/>
          <w:sz w:val="24"/>
          <w:szCs w:val="24"/>
          <w:lang w:eastAsia="lv-LV"/>
        </w:rPr>
        <w:tab/>
      </w:r>
      <w:r w:rsidRPr="00526AFD">
        <w:rPr>
          <w:rFonts w:ascii="Times New Roman" w:eastAsia="Calibri" w:hAnsi="Times New Roman" w:cs="Times New Roman"/>
          <w:sz w:val="24"/>
          <w:szCs w:val="24"/>
          <w:lang w:eastAsia="lv-LV"/>
        </w:rPr>
        <w:tab/>
      </w:r>
      <w:r w:rsidRPr="00526AFD">
        <w:rPr>
          <w:rFonts w:ascii="Times New Roman" w:eastAsia="Calibri" w:hAnsi="Times New Roman" w:cs="Times New Roman"/>
          <w:sz w:val="24"/>
          <w:szCs w:val="24"/>
          <w:lang w:eastAsia="lv-LV"/>
        </w:rPr>
        <w:tab/>
      </w:r>
      <w:proofErr w:type="spellStart"/>
      <w:r w:rsidRPr="00526AFD">
        <w:rPr>
          <w:rFonts w:ascii="Times New Roman" w:eastAsia="Calibri" w:hAnsi="Times New Roman" w:cs="Times New Roman"/>
          <w:sz w:val="24"/>
          <w:szCs w:val="24"/>
          <w:lang w:eastAsia="lv-LV"/>
        </w:rPr>
        <w:t>J.Stinka</w:t>
      </w:r>
      <w:proofErr w:type="spellEnd"/>
    </w:p>
    <w:p w14:paraId="1C9B1890" w14:textId="77777777" w:rsidR="00526AFD" w:rsidRPr="00526AFD" w:rsidRDefault="00526AFD" w:rsidP="00526AFD">
      <w:pPr>
        <w:spacing w:after="0" w:line="240" w:lineRule="auto"/>
        <w:jc w:val="both"/>
        <w:rPr>
          <w:rFonts w:ascii="Times New Roman" w:eastAsia="Calibri" w:hAnsi="Times New Roman" w:cs="Times New Roman"/>
          <w:sz w:val="26"/>
          <w:szCs w:val="26"/>
          <w:lang w:eastAsia="lv-LV"/>
        </w:rPr>
      </w:pPr>
    </w:p>
    <w:p w14:paraId="050A0915" w14:textId="77777777" w:rsidR="00526AFD" w:rsidRPr="00526AFD" w:rsidRDefault="00526AFD" w:rsidP="00526AFD">
      <w:pPr>
        <w:spacing w:after="0" w:line="240" w:lineRule="auto"/>
        <w:jc w:val="both"/>
        <w:rPr>
          <w:rFonts w:ascii="Times New Roman" w:eastAsia="Calibri" w:hAnsi="Times New Roman" w:cs="Times New Roman"/>
          <w:sz w:val="24"/>
          <w:szCs w:val="24"/>
          <w:lang w:eastAsia="lv-LV"/>
        </w:rPr>
      </w:pPr>
    </w:p>
    <w:p w14:paraId="7B78A5A3" w14:textId="77777777" w:rsidR="00873999" w:rsidRPr="00603100" w:rsidRDefault="00873999" w:rsidP="00873999">
      <w:pPr>
        <w:spacing w:after="0" w:line="240" w:lineRule="auto"/>
        <w:jc w:val="both"/>
        <w:rPr>
          <w:rFonts w:ascii="Times New Roman" w:eastAsia="Calibri" w:hAnsi="Times New Roman" w:cs="Times New Roman"/>
          <w:sz w:val="16"/>
          <w:szCs w:val="16"/>
          <w:lang w:eastAsia="lv-LV"/>
        </w:rPr>
      </w:pPr>
    </w:p>
    <w:p w14:paraId="5E774E62" w14:textId="77777777" w:rsidR="00873999" w:rsidRPr="00603100" w:rsidRDefault="00873999" w:rsidP="00873999">
      <w:pPr>
        <w:spacing w:after="0" w:line="240" w:lineRule="auto"/>
        <w:jc w:val="both"/>
        <w:rPr>
          <w:rFonts w:ascii="Times New Roman" w:eastAsia="Calibri" w:hAnsi="Times New Roman" w:cs="Times New Roman"/>
          <w:sz w:val="16"/>
          <w:szCs w:val="16"/>
          <w:lang w:eastAsia="lv-LV"/>
        </w:rPr>
      </w:pPr>
    </w:p>
    <w:p w14:paraId="2206E9EF" w14:textId="77777777" w:rsidR="00873999" w:rsidRPr="00603100" w:rsidRDefault="00873999" w:rsidP="00873999">
      <w:pPr>
        <w:spacing w:after="0" w:line="240" w:lineRule="auto"/>
        <w:jc w:val="both"/>
        <w:rPr>
          <w:rFonts w:ascii="Times New Roman" w:eastAsia="Calibri" w:hAnsi="Times New Roman" w:cs="Times New Roman"/>
          <w:sz w:val="16"/>
          <w:szCs w:val="16"/>
          <w:lang w:eastAsia="lv-LV"/>
        </w:rPr>
      </w:pPr>
    </w:p>
    <w:p w14:paraId="5D7D5A5D" w14:textId="3375D9AB" w:rsidR="003050A4" w:rsidRPr="00603100" w:rsidRDefault="003050A4" w:rsidP="00873999">
      <w:pPr>
        <w:spacing w:after="0" w:line="240" w:lineRule="auto"/>
        <w:jc w:val="both"/>
        <w:rPr>
          <w:rFonts w:ascii="Times New Roman" w:eastAsia="Calibri" w:hAnsi="Times New Roman" w:cs="Times New Roman"/>
          <w:sz w:val="20"/>
          <w:szCs w:val="20"/>
          <w:lang w:eastAsia="lv-LV"/>
        </w:rPr>
      </w:pPr>
    </w:p>
    <w:p w14:paraId="6C720F99" w14:textId="77777777" w:rsidR="003050A4" w:rsidRPr="00603100" w:rsidRDefault="003050A4" w:rsidP="00873999">
      <w:pPr>
        <w:spacing w:after="0" w:line="240" w:lineRule="auto"/>
        <w:jc w:val="both"/>
        <w:rPr>
          <w:rFonts w:ascii="Times New Roman" w:eastAsia="Calibri" w:hAnsi="Times New Roman" w:cs="Times New Roman"/>
          <w:sz w:val="20"/>
          <w:szCs w:val="20"/>
          <w:lang w:eastAsia="lv-LV"/>
        </w:rPr>
      </w:pPr>
    </w:p>
    <w:p w14:paraId="7E49319D" w14:textId="1060CBAB" w:rsidR="00873999" w:rsidRPr="00603100" w:rsidRDefault="00873999" w:rsidP="00873999">
      <w:pPr>
        <w:spacing w:after="0" w:line="240" w:lineRule="auto"/>
        <w:jc w:val="both"/>
        <w:rPr>
          <w:rFonts w:ascii="Times New Roman" w:eastAsia="Calibri" w:hAnsi="Times New Roman" w:cs="Times New Roman"/>
          <w:sz w:val="20"/>
          <w:szCs w:val="20"/>
          <w:lang w:eastAsia="lv-LV"/>
        </w:rPr>
      </w:pPr>
      <w:r w:rsidRPr="00603100">
        <w:rPr>
          <w:rFonts w:ascii="Times New Roman" w:eastAsia="Calibri" w:hAnsi="Times New Roman" w:cs="Times New Roman"/>
          <w:sz w:val="20"/>
          <w:szCs w:val="20"/>
          <w:lang w:eastAsia="lv-LV"/>
        </w:rPr>
        <w:t>Jenerte, 67013059</w:t>
      </w:r>
    </w:p>
    <w:p w14:paraId="5901524A" w14:textId="77777777" w:rsidR="00873999" w:rsidRPr="00090B30" w:rsidRDefault="00873999" w:rsidP="00873999">
      <w:pPr>
        <w:spacing w:after="0" w:line="240" w:lineRule="auto"/>
        <w:jc w:val="both"/>
        <w:rPr>
          <w:rFonts w:ascii="Times New Roman" w:eastAsia="Calibri" w:hAnsi="Times New Roman" w:cs="Times New Roman"/>
          <w:sz w:val="20"/>
          <w:szCs w:val="20"/>
          <w:lang w:eastAsia="lv-LV"/>
        </w:rPr>
      </w:pPr>
      <w:r w:rsidRPr="00603100">
        <w:rPr>
          <w:rFonts w:ascii="Times New Roman" w:eastAsia="Calibri" w:hAnsi="Times New Roman" w:cs="Times New Roman"/>
          <w:sz w:val="20"/>
          <w:szCs w:val="20"/>
          <w:lang w:eastAsia="lv-LV"/>
        </w:rPr>
        <w:t xml:space="preserve">e-pasts: </w:t>
      </w:r>
      <w:hyperlink r:id="rId13" w:history="1">
        <w:r w:rsidRPr="00603100">
          <w:rPr>
            <w:rFonts w:ascii="Times New Roman" w:eastAsia="Calibri" w:hAnsi="Times New Roman" w:cs="Times New Roman"/>
            <w:color w:val="0000FF"/>
            <w:sz w:val="20"/>
            <w:szCs w:val="20"/>
            <w:u w:val="single"/>
            <w:lang w:eastAsia="lv-LV"/>
          </w:rPr>
          <w:t>Liene.Jenerte@em.gov.lv</w:t>
        </w:r>
      </w:hyperlink>
    </w:p>
    <w:p w14:paraId="7FD0CD68" w14:textId="77777777" w:rsidR="00DE6890" w:rsidRDefault="00DE6890"/>
    <w:sectPr w:rsidR="00DE6890" w:rsidSect="00D41C8F">
      <w:headerReference w:type="even" r:id="rId14"/>
      <w:headerReference w:type="default" r:id="rId15"/>
      <w:footerReference w:type="defaul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5670D" w14:textId="77777777" w:rsidR="00D41C8F" w:rsidRDefault="00D41C8F">
      <w:pPr>
        <w:spacing w:after="0" w:line="240" w:lineRule="auto"/>
      </w:pPr>
      <w:r>
        <w:separator/>
      </w:r>
    </w:p>
  </w:endnote>
  <w:endnote w:type="continuationSeparator" w:id="0">
    <w:p w14:paraId="6D1D96D7" w14:textId="77777777" w:rsidR="00D41C8F" w:rsidRDefault="00D41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43FDF" w14:textId="515D7007" w:rsidR="00D41C8F" w:rsidRPr="005537BC" w:rsidRDefault="00D41C8F" w:rsidP="00D41C8F">
    <w:pPr>
      <w:pStyle w:val="Footer"/>
      <w:jc w:val="both"/>
      <w:rPr>
        <w:rFonts w:ascii="Times New Roman" w:hAnsi="Times New Roman" w:cs="Times New Roman"/>
        <w:sz w:val="18"/>
        <w:szCs w:val="18"/>
      </w:rPr>
    </w:pPr>
    <w:r w:rsidRPr="002B08C2">
      <w:rPr>
        <w:rFonts w:ascii="Times New Roman" w:hAnsi="Times New Roman" w:cs="Times New Roman"/>
        <w:sz w:val="18"/>
        <w:szCs w:val="18"/>
      </w:rPr>
      <w:fldChar w:fldCharType="begin"/>
    </w:r>
    <w:r w:rsidRPr="002B08C2">
      <w:rPr>
        <w:rFonts w:ascii="Times New Roman" w:hAnsi="Times New Roman" w:cs="Times New Roman"/>
        <w:sz w:val="18"/>
        <w:szCs w:val="18"/>
      </w:rPr>
      <w:instrText xml:space="preserve"> FILENAME   \* MERGEFORMAT </w:instrText>
    </w:r>
    <w:r w:rsidRPr="002B08C2">
      <w:rPr>
        <w:rFonts w:ascii="Times New Roman" w:hAnsi="Times New Roman" w:cs="Times New Roman"/>
        <w:sz w:val="18"/>
        <w:szCs w:val="18"/>
      </w:rPr>
      <w:fldChar w:fldCharType="separate"/>
    </w:r>
    <w:r>
      <w:rPr>
        <w:rFonts w:ascii="Times New Roman" w:hAnsi="Times New Roman" w:cs="Times New Roman"/>
        <w:noProof/>
        <w:sz w:val="18"/>
        <w:szCs w:val="18"/>
      </w:rPr>
      <w:t>EMAnot_061117_groz678.docx</w:t>
    </w:r>
    <w:r w:rsidRPr="002B08C2">
      <w:rPr>
        <w:rFonts w:ascii="Times New Roman" w:hAnsi="Times New Roman" w:cs="Times New Roman"/>
        <w:sz w:val="18"/>
        <w:szCs w:val="18"/>
      </w:rPr>
      <w:fldChar w:fldCharType="end"/>
    </w:r>
  </w:p>
  <w:p w14:paraId="705336AF" w14:textId="77777777" w:rsidR="00D41C8F" w:rsidRPr="00E45FC8" w:rsidRDefault="00D41C8F" w:rsidP="009E152B">
    <w:pPr>
      <w:pStyle w:val="Footer"/>
      <w:tabs>
        <w:tab w:val="clear" w:pos="4153"/>
        <w:tab w:val="clear" w:pos="8306"/>
        <w:tab w:val="left" w:pos="3018"/>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6AF64" w14:textId="77777777" w:rsidR="00D41C8F" w:rsidRDefault="00D41C8F" w:rsidP="00D41C8F">
    <w:pPr>
      <w:pStyle w:val="Footer"/>
      <w:jc w:val="both"/>
      <w:rPr>
        <w:rFonts w:ascii="Times New Roman" w:hAnsi="Times New Roman" w:cs="Times New Roman"/>
        <w:sz w:val="18"/>
        <w:szCs w:val="18"/>
      </w:rPr>
    </w:pPr>
  </w:p>
  <w:p w14:paraId="1CA35B02" w14:textId="77777777" w:rsidR="00D41C8F" w:rsidRDefault="00D41C8F" w:rsidP="00D41C8F">
    <w:pPr>
      <w:pStyle w:val="Footer"/>
      <w:jc w:val="both"/>
      <w:rPr>
        <w:rFonts w:ascii="Times New Roman" w:hAnsi="Times New Roman" w:cs="Times New Roman"/>
        <w:sz w:val="18"/>
        <w:szCs w:val="18"/>
      </w:rPr>
    </w:pPr>
  </w:p>
  <w:p w14:paraId="41E720BC" w14:textId="4A38B720" w:rsidR="00D41C8F" w:rsidRPr="005537BC" w:rsidRDefault="00D41C8F" w:rsidP="00D41C8F">
    <w:pPr>
      <w:pStyle w:val="Footer"/>
      <w:jc w:val="both"/>
      <w:rPr>
        <w:rFonts w:ascii="Times New Roman" w:hAnsi="Times New Roman" w:cs="Times New Roman"/>
        <w:sz w:val="18"/>
        <w:szCs w:val="18"/>
      </w:rPr>
    </w:pPr>
    <w:r w:rsidRPr="002B08C2">
      <w:rPr>
        <w:rFonts w:ascii="Times New Roman" w:hAnsi="Times New Roman" w:cs="Times New Roman"/>
        <w:sz w:val="18"/>
        <w:szCs w:val="18"/>
      </w:rPr>
      <w:fldChar w:fldCharType="begin"/>
    </w:r>
    <w:r w:rsidRPr="002B08C2">
      <w:rPr>
        <w:rFonts w:ascii="Times New Roman" w:hAnsi="Times New Roman" w:cs="Times New Roman"/>
        <w:sz w:val="18"/>
        <w:szCs w:val="18"/>
      </w:rPr>
      <w:instrText xml:space="preserve"> FILENAME   \* MERGEFORMAT </w:instrText>
    </w:r>
    <w:r w:rsidRPr="002B08C2">
      <w:rPr>
        <w:rFonts w:ascii="Times New Roman" w:hAnsi="Times New Roman" w:cs="Times New Roman"/>
        <w:sz w:val="18"/>
        <w:szCs w:val="18"/>
      </w:rPr>
      <w:fldChar w:fldCharType="separate"/>
    </w:r>
    <w:r>
      <w:rPr>
        <w:rFonts w:ascii="Times New Roman" w:hAnsi="Times New Roman" w:cs="Times New Roman"/>
        <w:noProof/>
        <w:sz w:val="18"/>
        <w:szCs w:val="18"/>
      </w:rPr>
      <w:t>EMAnot_061117_groz678.docx</w:t>
    </w:r>
    <w:r w:rsidRPr="002B08C2">
      <w:rPr>
        <w:rFonts w:ascii="Times New Roman" w:hAnsi="Times New Roman" w:cs="Times New Roman"/>
        <w:sz w:val="18"/>
        <w:szCs w:val="18"/>
      </w:rPr>
      <w:fldChar w:fldCharType="end"/>
    </w:r>
  </w:p>
  <w:p w14:paraId="5ADFB14D" w14:textId="77777777" w:rsidR="00D41C8F" w:rsidRPr="00DF7695" w:rsidRDefault="00D41C8F" w:rsidP="00D41C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3FBFE" w14:textId="77777777" w:rsidR="00D41C8F" w:rsidRDefault="00D41C8F">
      <w:pPr>
        <w:spacing w:after="0" w:line="240" w:lineRule="auto"/>
      </w:pPr>
      <w:r>
        <w:separator/>
      </w:r>
    </w:p>
  </w:footnote>
  <w:footnote w:type="continuationSeparator" w:id="0">
    <w:p w14:paraId="71F4FCEF" w14:textId="77777777" w:rsidR="00D41C8F" w:rsidRDefault="00D41C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BBC43" w14:textId="77777777" w:rsidR="00D41C8F" w:rsidRDefault="00D41C8F">
    <w:pPr>
      <w:pStyle w:val="Header"/>
    </w:pPr>
  </w:p>
  <w:p w14:paraId="38A23CC5" w14:textId="77777777" w:rsidR="00D41C8F" w:rsidRDefault="00D41C8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145D49F" w14:textId="1D2C6FD6" w:rsidR="00D41C8F" w:rsidRPr="00C25B49" w:rsidRDefault="00D41C8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42202">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p w14:paraId="2EFABE91" w14:textId="77777777" w:rsidR="00D41C8F" w:rsidRDefault="00D41C8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81AA4"/>
    <w:multiLevelType w:val="hybridMultilevel"/>
    <w:tmpl w:val="114CD64E"/>
    <w:lvl w:ilvl="0" w:tplc="C7800F30">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D3F0CF6"/>
    <w:multiLevelType w:val="hybridMultilevel"/>
    <w:tmpl w:val="0D3CFEC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55E87AA8"/>
    <w:multiLevelType w:val="hybridMultilevel"/>
    <w:tmpl w:val="195E71C6"/>
    <w:lvl w:ilvl="0" w:tplc="F6B2CFA2">
      <w:start w:val="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999"/>
    <w:rsid w:val="00003886"/>
    <w:rsid w:val="00004B42"/>
    <w:rsid w:val="000112E7"/>
    <w:rsid w:val="00044C0F"/>
    <w:rsid w:val="000818CE"/>
    <w:rsid w:val="00083621"/>
    <w:rsid w:val="000A6C75"/>
    <w:rsid w:val="000B4D06"/>
    <w:rsid w:val="000C487B"/>
    <w:rsid w:val="00134AB2"/>
    <w:rsid w:val="00152599"/>
    <w:rsid w:val="0015781B"/>
    <w:rsid w:val="001A238C"/>
    <w:rsid w:val="001D2D5E"/>
    <w:rsid w:val="002216F0"/>
    <w:rsid w:val="00222BE0"/>
    <w:rsid w:val="00230C1F"/>
    <w:rsid w:val="0023494D"/>
    <w:rsid w:val="00234A3E"/>
    <w:rsid w:val="00264D55"/>
    <w:rsid w:val="002754B6"/>
    <w:rsid w:val="002C761B"/>
    <w:rsid w:val="002D0E69"/>
    <w:rsid w:val="003050A4"/>
    <w:rsid w:val="0031114C"/>
    <w:rsid w:val="003130E4"/>
    <w:rsid w:val="003537E7"/>
    <w:rsid w:val="00364231"/>
    <w:rsid w:val="00380655"/>
    <w:rsid w:val="00382CAC"/>
    <w:rsid w:val="003925A8"/>
    <w:rsid w:val="00396095"/>
    <w:rsid w:val="003963B9"/>
    <w:rsid w:val="003B1720"/>
    <w:rsid w:val="003B54F9"/>
    <w:rsid w:val="003C6341"/>
    <w:rsid w:val="003E4119"/>
    <w:rsid w:val="003F5517"/>
    <w:rsid w:val="00400BBA"/>
    <w:rsid w:val="00442202"/>
    <w:rsid w:val="00491EE8"/>
    <w:rsid w:val="004B41F5"/>
    <w:rsid w:val="005078A9"/>
    <w:rsid w:val="005149C0"/>
    <w:rsid w:val="00522BE8"/>
    <w:rsid w:val="00526AFD"/>
    <w:rsid w:val="00542CCC"/>
    <w:rsid w:val="00552A27"/>
    <w:rsid w:val="005C0506"/>
    <w:rsid w:val="005D49F6"/>
    <w:rsid w:val="0060091E"/>
    <w:rsid w:val="00603100"/>
    <w:rsid w:val="00606C75"/>
    <w:rsid w:val="006B027E"/>
    <w:rsid w:val="006B496A"/>
    <w:rsid w:val="006C221E"/>
    <w:rsid w:val="006F3315"/>
    <w:rsid w:val="00711371"/>
    <w:rsid w:val="00726B95"/>
    <w:rsid w:val="00763041"/>
    <w:rsid w:val="007A23CC"/>
    <w:rsid w:val="007A3052"/>
    <w:rsid w:val="00806E48"/>
    <w:rsid w:val="00810968"/>
    <w:rsid w:val="00825699"/>
    <w:rsid w:val="008256DD"/>
    <w:rsid w:val="008268FA"/>
    <w:rsid w:val="008336B9"/>
    <w:rsid w:val="0084027B"/>
    <w:rsid w:val="00873999"/>
    <w:rsid w:val="00886D69"/>
    <w:rsid w:val="008967CF"/>
    <w:rsid w:val="008F78A4"/>
    <w:rsid w:val="0093079A"/>
    <w:rsid w:val="009400E8"/>
    <w:rsid w:val="00984C7C"/>
    <w:rsid w:val="009A70D6"/>
    <w:rsid w:val="009A7BCF"/>
    <w:rsid w:val="009D04A4"/>
    <w:rsid w:val="009E152B"/>
    <w:rsid w:val="009E185E"/>
    <w:rsid w:val="009F0BD9"/>
    <w:rsid w:val="009F1031"/>
    <w:rsid w:val="009F5891"/>
    <w:rsid w:val="00A11020"/>
    <w:rsid w:val="00A16ACC"/>
    <w:rsid w:val="00A86B18"/>
    <w:rsid w:val="00AB4D39"/>
    <w:rsid w:val="00AB77F2"/>
    <w:rsid w:val="00AC1C52"/>
    <w:rsid w:val="00AC39F6"/>
    <w:rsid w:val="00AC44A3"/>
    <w:rsid w:val="00AD074E"/>
    <w:rsid w:val="00AD4045"/>
    <w:rsid w:val="00AD64C0"/>
    <w:rsid w:val="00AD7F30"/>
    <w:rsid w:val="00AF3644"/>
    <w:rsid w:val="00B230C5"/>
    <w:rsid w:val="00B40890"/>
    <w:rsid w:val="00B66971"/>
    <w:rsid w:val="00B73B50"/>
    <w:rsid w:val="00B92220"/>
    <w:rsid w:val="00BA7696"/>
    <w:rsid w:val="00BB08F5"/>
    <w:rsid w:val="00BB59B9"/>
    <w:rsid w:val="00BC59E1"/>
    <w:rsid w:val="00BE0C60"/>
    <w:rsid w:val="00BE28DB"/>
    <w:rsid w:val="00BF5F61"/>
    <w:rsid w:val="00C01E02"/>
    <w:rsid w:val="00C02E1D"/>
    <w:rsid w:val="00C65C6D"/>
    <w:rsid w:val="00C75BCE"/>
    <w:rsid w:val="00C804A4"/>
    <w:rsid w:val="00C85989"/>
    <w:rsid w:val="00C902C5"/>
    <w:rsid w:val="00CC7D92"/>
    <w:rsid w:val="00CD202F"/>
    <w:rsid w:val="00CE3E2C"/>
    <w:rsid w:val="00CE73A4"/>
    <w:rsid w:val="00D41C8F"/>
    <w:rsid w:val="00D525E9"/>
    <w:rsid w:val="00D66A87"/>
    <w:rsid w:val="00D67447"/>
    <w:rsid w:val="00D849AC"/>
    <w:rsid w:val="00DA4722"/>
    <w:rsid w:val="00DE6890"/>
    <w:rsid w:val="00DF6DC7"/>
    <w:rsid w:val="00E01168"/>
    <w:rsid w:val="00E216B0"/>
    <w:rsid w:val="00E57CD7"/>
    <w:rsid w:val="00EC4749"/>
    <w:rsid w:val="00EE17A6"/>
    <w:rsid w:val="00EE3D55"/>
    <w:rsid w:val="00F32285"/>
    <w:rsid w:val="00F45879"/>
    <w:rsid w:val="00F46E9E"/>
    <w:rsid w:val="00F5224D"/>
    <w:rsid w:val="00F63E27"/>
    <w:rsid w:val="00F6636F"/>
    <w:rsid w:val="00F73AEC"/>
    <w:rsid w:val="00F904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06041"/>
  <w15:chartTrackingRefBased/>
  <w15:docId w15:val="{20C4F642-6638-4767-B039-3E38CFF3B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64231"/>
  </w:style>
  <w:style w:type="paragraph" w:styleId="Heading2">
    <w:name w:val="heading 2"/>
    <w:basedOn w:val="Normal"/>
    <w:next w:val="Normal"/>
    <w:link w:val="Heading2Char"/>
    <w:uiPriority w:val="9"/>
    <w:semiHidden/>
    <w:unhideWhenUsed/>
    <w:qFormat/>
    <w:rsid w:val="002D0E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3999"/>
    <w:pPr>
      <w:tabs>
        <w:tab w:val="center" w:pos="4153"/>
        <w:tab w:val="right" w:pos="8306"/>
      </w:tabs>
      <w:spacing w:after="0" w:line="240" w:lineRule="auto"/>
    </w:pPr>
  </w:style>
  <w:style w:type="character" w:customStyle="1" w:styleId="HeaderChar">
    <w:name w:val="Header Char"/>
    <w:basedOn w:val="DefaultParagraphFont"/>
    <w:link w:val="Header"/>
    <w:uiPriority w:val="99"/>
    <w:rsid w:val="00873999"/>
  </w:style>
  <w:style w:type="paragraph" w:styleId="Footer">
    <w:name w:val="footer"/>
    <w:basedOn w:val="Normal"/>
    <w:link w:val="FooterChar"/>
    <w:uiPriority w:val="99"/>
    <w:unhideWhenUsed/>
    <w:rsid w:val="00873999"/>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3999"/>
  </w:style>
  <w:style w:type="character" w:styleId="Hyperlink">
    <w:name w:val="Hyperlink"/>
    <w:basedOn w:val="DefaultParagraphFont"/>
    <w:uiPriority w:val="99"/>
    <w:unhideWhenUsed/>
    <w:rsid w:val="00873999"/>
    <w:rPr>
      <w:color w:val="0563C1" w:themeColor="hyperlink"/>
      <w:u w:val="single"/>
    </w:rPr>
  </w:style>
  <w:style w:type="character" w:styleId="CommentReference">
    <w:name w:val="annotation reference"/>
    <w:basedOn w:val="DefaultParagraphFont"/>
    <w:uiPriority w:val="99"/>
    <w:semiHidden/>
    <w:unhideWhenUsed/>
    <w:rsid w:val="00552A27"/>
    <w:rPr>
      <w:sz w:val="16"/>
      <w:szCs w:val="16"/>
    </w:rPr>
  </w:style>
  <w:style w:type="paragraph" w:styleId="CommentText">
    <w:name w:val="annotation text"/>
    <w:basedOn w:val="Normal"/>
    <w:link w:val="CommentTextChar"/>
    <w:uiPriority w:val="99"/>
    <w:semiHidden/>
    <w:unhideWhenUsed/>
    <w:rsid w:val="00552A27"/>
    <w:pPr>
      <w:spacing w:line="240" w:lineRule="auto"/>
    </w:pPr>
    <w:rPr>
      <w:sz w:val="20"/>
      <w:szCs w:val="20"/>
    </w:rPr>
  </w:style>
  <w:style w:type="character" w:customStyle="1" w:styleId="CommentTextChar">
    <w:name w:val="Comment Text Char"/>
    <w:basedOn w:val="DefaultParagraphFont"/>
    <w:link w:val="CommentText"/>
    <w:uiPriority w:val="99"/>
    <w:semiHidden/>
    <w:rsid w:val="00552A27"/>
    <w:rPr>
      <w:sz w:val="20"/>
      <w:szCs w:val="20"/>
    </w:rPr>
  </w:style>
  <w:style w:type="paragraph" w:styleId="CommentSubject">
    <w:name w:val="annotation subject"/>
    <w:basedOn w:val="CommentText"/>
    <w:next w:val="CommentText"/>
    <w:link w:val="CommentSubjectChar"/>
    <w:uiPriority w:val="99"/>
    <w:semiHidden/>
    <w:unhideWhenUsed/>
    <w:rsid w:val="00552A27"/>
    <w:rPr>
      <w:b/>
      <w:bCs/>
    </w:rPr>
  </w:style>
  <w:style w:type="character" w:customStyle="1" w:styleId="CommentSubjectChar">
    <w:name w:val="Comment Subject Char"/>
    <w:basedOn w:val="CommentTextChar"/>
    <w:link w:val="CommentSubject"/>
    <w:uiPriority w:val="99"/>
    <w:semiHidden/>
    <w:rsid w:val="00552A27"/>
    <w:rPr>
      <w:b/>
      <w:bCs/>
      <w:sz w:val="20"/>
      <w:szCs w:val="20"/>
    </w:rPr>
  </w:style>
  <w:style w:type="paragraph" w:styleId="BalloonText">
    <w:name w:val="Balloon Text"/>
    <w:basedOn w:val="Normal"/>
    <w:link w:val="BalloonTextChar"/>
    <w:uiPriority w:val="99"/>
    <w:semiHidden/>
    <w:unhideWhenUsed/>
    <w:rsid w:val="00552A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A27"/>
    <w:rPr>
      <w:rFonts w:ascii="Segoe UI" w:hAnsi="Segoe UI" w:cs="Segoe UI"/>
      <w:sz w:val="18"/>
      <w:szCs w:val="18"/>
    </w:rPr>
  </w:style>
  <w:style w:type="character" w:customStyle="1" w:styleId="Heading2Char">
    <w:name w:val="Heading 2 Char"/>
    <w:basedOn w:val="DefaultParagraphFont"/>
    <w:link w:val="Heading2"/>
    <w:uiPriority w:val="9"/>
    <w:semiHidden/>
    <w:rsid w:val="002D0E6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0570">
      <w:bodyDiv w:val="1"/>
      <w:marLeft w:val="0"/>
      <w:marRight w:val="0"/>
      <w:marTop w:val="0"/>
      <w:marBottom w:val="0"/>
      <w:divBdr>
        <w:top w:val="none" w:sz="0" w:space="0" w:color="auto"/>
        <w:left w:val="none" w:sz="0" w:space="0" w:color="auto"/>
        <w:bottom w:val="none" w:sz="0" w:space="0" w:color="auto"/>
        <w:right w:val="none" w:sz="0" w:space="0" w:color="auto"/>
      </w:divBdr>
    </w:div>
    <w:div w:id="94910952">
      <w:bodyDiv w:val="1"/>
      <w:marLeft w:val="0"/>
      <w:marRight w:val="0"/>
      <w:marTop w:val="0"/>
      <w:marBottom w:val="0"/>
      <w:divBdr>
        <w:top w:val="none" w:sz="0" w:space="0" w:color="auto"/>
        <w:left w:val="none" w:sz="0" w:space="0" w:color="auto"/>
        <w:bottom w:val="none" w:sz="0" w:space="0" w:color="auto"/>
        <w:right w:val="none" w:sz="0" w:space="0" w:color="auto"/>
      </w:divBdr>
    </w:div>
    <w:div w:id="1584365524">
      <w:bodyDiv w:val="1"/>
      <w:marLeft w:val="0"/>
      <w:marRight w:val="0"/>
      <w:marTop w:val="0"/>
      <w:marBottom w:val="0"/>
      <w:divBdr>
        <w:top w:val="none" w:sz="0" w:space="0" w:color="auto"/>
        <w:left w:val="none" w:sz="0" w:space="0" w:color="auto"/>
        <w:bottom w:val="none" w:sz="0" w:space="0" w:color="auto"/>
        <w:right w:val="none" w:sz="0" w:space="0" w:color="auto"/>
      </w:divBdr>
    </w:div>
    <w:div w:id="178769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podatabase.com" TargetMode="External"/><Relationship Id="rId13" Type="http://schemas.openxmlformats.org/officeDocument/2006/relationships/hyperlink" Target="mailto:Liene.Jenerte@em.gov.l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pvis.esfondi.lv/LV/AttistibasPlans/Index" TargetMode="External"/><Relationship Id="rId12" Type="http://schemas.openxmlformats.org/officeDocument/2006/relationships/hyperlink" Target="http://www.een.lv/publikacijas/izstades-latvija-un-arzeme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inaexhibition.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tradefairdate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uma.d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19877</Words>
  <Characters>11330</Characters>
  <Application>Microsoft Office Word</Application>
  <DocSecurity>0</DocSecurity>
  <Lines>94</Lines>
  <Paragraphs>62</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2015.gada 1.decembra noteikumos Nr.678 “Darbības programmas „Izaugsme un nodarbinātība” 3.2.1.specifiskā atbalsta mērķa „Palielināt augstas pievienotās vērtības produktu un pakalpojumu eksp</vt:lpstr>
    </vt:vector>
  </TitlesOfParts>
  <Company/>
  <LinksUpToDate>false</LinksUpToDate>
  <CharactersWithSpaces>31145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2015.gada 1.decembra noteikumos Nr.678 “Darbības programmas „Izaugsme un nodarbinātība” 3.2.1.specifiskā atbalsta mērķa „Palielināt augstas pievienotās vērtības produktu un pakalpojumu eksporta proporciju” 3.2.1.2.pasākuma „Starptautiskās konkurētspējas veicināšana” īstenošanas noteikumi”</dc:title>
  <dc:subject>anotācija</dc:subject>
  <dc:creator>Liene Jenerte</dc:creator>
  <cp:keywords/>
  <dc:description>Tālrunis: 67013059; Liene.Jenerte@em.gov.lv  </dc:description>
  <cp:lastModifiedBy>Liene Jenerte</cp:lastModifiedBy>
  <cp:revision>15</cp:revision>
  <dcterms:created xsi:type="dcterms:W3CDTF">2017-11-03T07:37:00Z</dcterms:created>
  <dcterms:modified xsi:type="dcterms:W3CDTF">2017-11-06T15:51:00Z</dcterms:modified>
</cp:coreProperties>
</file>