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5FC5" w14:textId="77777777" w:rsidR="006457F2" w:rsidRPr="00A94A91" w:rsidRDefault="00A94A91" w:rsidP="00A94A91">
      <w:pPr>
        <w:tabs>
          <w:tab w:val="left" w:pos="6663"/>
        </w:tabs>
        <w:jc w:val="right"/>
        <w:rPr>
          <w:i/>
          <w:sz w:val="27"/>
          <w:szCs w:val="27"/>
        </w:rPr>
      </w:pPr>
      <w:bookmarkStart w:id="0" w:name="_GoBack"/>
      <w:bookmarkEnd w:id="0"/>
      <w:r w:rsidRPr="00A94A91">
        <w:rPr>
          <w:i/>
          <w:sz w:val="27"/>
          <w:szCs w:val="27"/>
        </w:rPr>
        <w:t>Projekts</w:t>
      </w:r>
    </w:p>
    <w:p w14:paraId="407E0A58" w14:textId="77777777" w:rsidR="00A94A91" w:rsidRDefault="00A94A91" w:rsidP="00143392">
      <w:pPr>
        <w:tabs>
          <w:tab w:val="left" w:pos="6663"/>
        </w:tabs>
        <w:rPr>
          <w:sz w:val="27"/>
          <w:szCs w:val="27"/>
        </w:rPr>
      </w:pPr>
    </w:p>
    <w:p w14:paraId="3E5F9C86" w14:textId="77777777" w:rsidR="00A94A91" w:rsidRPr="00AF3694" w:rsidRDefault="00A94A91" w:rsidP="00143392">
      <w:pPr>
        <w:tabs>
          <w:tab w:val="left" w:pos="6663"/>
        </w:tabs>
        <w:rPr>
          <w:sz w:val="27"/>
          <w:szCs w:val="27"/>
        </w:rPr>
      </w:pPr>
    </w:p>
    <w:p w14:paraId="75049040" w14:textId="77777777" w:rsidR="000A6420" w:rsidRPr="00E05630" w:rsidRDefault="000A6420" w:rsidP="000A6420">
      <w:pPr>
        <w:tabs>
          <w:tab w:val="left" w:pos="6804"/>
        </w:tabs>
        <w:rPr>
          <w:sz w:val="28"/>
          <w:szCs w:val="28"/>
        </w:rPr>
      </w:pPr>
      <w:r w:rsidRPr="00E05630">
        <w:rPr>
          <w:sz w:val="28"/>
          <w:szCs w:val="28"/>
        </w:rPr>
        <w:t xml:space="preserve">2017. gada </w:t>
      </w:r>
      <w:r w:rsidRPr="00E05630">
        <w:rPr>
          <w:sz w:val="28"/>
          <w:szCs w:val="28"/>
        </w:rPr>
        <w:tab/>
        <w:t>Noteikumi Nr. </w:t>
      </w:r>
    </w:p>
    <w:p w14:paraId="4B1EE3B5" w14:textId="77777777" w:rsidR="000A6420" w:rsidRPr="00E05630" w:rsidRDefault="000A6420" w:rsidP="000A6420">
      <w:pPr>
        <w:tabs>
          <w:tab w:val="left" w:pos="6804"/>
        </w:tabs>
        <w:rPr>
          <w:sz w:val="28"/>
          <w:szCs w:val="28"/>
        </w:rPr>
      </w:pPr>
      <w:r w:rsidRPr="00E05630">
        <w:rPr>
          <w:sz w:val="28"/>
          <w:szCs w:val="28"/>
        </w:rPr>
        <w:t>Rīgā</w:t>
      </w:r>
      <w:r w:rsidRPr="00E05630">
        <w:rPr>
          <w:sz w:val="28"/>
          <w:szCs w:val="28"/>
        </w:rPr>
        <w:tab/>
        <w:t>(prot. Nr.           .§)</w:t>
      </w:r>
    </w:p>
    <w:p w14:paraId="7B12655A" w14:textId="77777777" w:rsidR="000A6420" w:rsidRPr="00E05630" w:rsidRDefault="000A6420" w:rsidP="000A6420">
      <w:pPr>
        <w:ind w:right="-1"/>
        <w:jc w:val="center"/>
        <w:rPr>
          <w:b/>
          <w:sz w:val="28"/>
          <w:szCs w:val="28"/>
        </w:rPr>
      </w:pPr>
    </w:p>
    <w:p w14:paraId="0BC71C4B" w14:textId="77777777" w:rsidR="000A6420" w:rsidRPr="00E05630" w:rsidRDefault="000A6420" w:rsidP="000A6420">
      <w:pPr>
        <w:jc w:val="center"/>
        <w:rPr>
          <w:b/>
          <w:sz w:val="28"/>
          <w:szCs w:val="28"/>
        </w:rPr>
      </w:pPr>
      <w:r w:rsidRPr="00E05630">
        <w:rPr>
          <w:b/>
          <w:sz w:val="28"/>
          <w:szCs w:val="28"/>
        </w:rPr>
        <w:t>Grozījumi Ministru kabineta 2016. gada 12. jūlija noteikumos Nr. 459 "Aizsargātā lietotāja tirdzniecības pakalpojuma sniegšanas un sadales sistēmas pakalpojuma kompensēšanas kārtība"</w:t>
      </w:r>
    </w:p>
    <w:p w14:paraId="7095209E" w14:textId="77777777" w:rsidR="000A6420" w:rsidRPr="00E05630" w:rsidRDefault="000A6420" w:rsidP="000A6420">
      <w:pPr>
        <w:jc w:val="right"/>
        <w:rPr>
          <w:sz w:val="28"/>
          <w:szCs w:val="28"/>
        </w:rPr>
      </w:pPr>
    </w:p>
    <w:p w14:paraId="24113028" w14:textId="77777777" w:rsidR="000A6420" w:rsidRPr="00E05630" w:rsidRDefault="000A6420" w:rsidP="000A6420">
      <w:pPr>
        <w:jc w:val="right"/>
        <w:rPr>
          <w:sz w:val="28"/>
          <w:szCs w:val="28"/>
        </w:rPr>
      </w:pPr>
      <w:r w:rsidRPr="00E05630">
        <w:rPr>
          <w:sz w:val="28"/>
          <w:szCs w:val="28"/>
        </w:rPr>
        <w:t>Izdoti saskaņā ar</w:t>
      </w:r>
    </w:p>
    <w:p w14:paraId="42713198" w14:textId="77777777" w:rsidR="00AF3694" w:rsidRPr="00E05630" w:rsidRDefault="000A6420" w:rsidP="000A6420">
      <w:pPr>
        <w:jc w:val="right"/>
        <w:rPr>
          <w:sz w:val="28"/>
          <w:szCs w:val="28"/>
        </w:rPr>
      </w:pPr>
      <w:r w:rsidRPr="00E05630">
        <w:rPr>
          <w:sz w:val="28"/>
          <w:szCs w:val="28"/>
        </w:rPr>
        <w:t xml:space="preserve">Elektroenerģijas tirgus likuma </w:t>
      </w:r>
    </w:p>
    <w:p w14:paraId="0B885D81" w14:textId="77777777" w:rsidR="000A6420" w:rsidRPr="00E05630" w:rsidRDefault="000A6420" w:rsidP="000A6420">
      <w:pPr>
        <w:jc w:val="right"/>
        <w:rPr>
          <w:sz w:val="28"/>
          <w:szCs w:val="28"/>
        </w:rPr>
      </w:pPr>
      <w:r w:rsidRPr="00E05630">
        <w:rPr>
          <w:sz w:val="28"/>
          <w:szCs w:val="28"/>
        </w:rPr>
        <w:t>33</w:t>
      </w:r>
      <w:r w:rsidRPr="00E05630">
        <w:rPr>
          <w:sz w:val="28"/>
          <w:szCs w:val="28"/>
          <w:vertAlign w:val="superscript"/>
        </w:rPr>
        <w:t>1</w:t>
      </w:r>
      <w:r w:rsidRPr="00E05630">
        <w:rPr>
          <w:sz w:val="28"/>
          <w:szCs w:val="28"/>
        </w:rPr>
        <w:t>. panta</w:t>
      </w:r>
      <w:r w:rsidR="00AF3694" w:rsidRPr="00E05630">
        <w:rPr>
          <w:sz w:val="28"/>
          <w:szCs w:val="28"/>
        </w:rPr>
        <w:t xml:space="preserve"> </w:t>
      </w:r>
      <w:r w:rsidRPr="00E05630">
        <w:rPr>
          <w:sz w:val="28"/>
          <w:szCs w:val="28"/>
        </w:rPr>
        <w:t>otro</w:t>
      </w:r>
      <w:r w:rsidR="00B4079F" w:rsidRPr="00E05630">
        <w:rPr>
          <w:sz w:val="28"/>
          <w:szCs w:val="28"/>
        </w:rPr>
        <w:t>, piekto un sesto</w:t>
      </w:r>
      <w:r w:rsidRPr="00E05630">
        <w:rPr>
          <w:sz w:val="28"/>
          <w:szCs w:val="28"/>
        </w:rPr>
        <w:t xml:space="preserve"> daļu</w:t>
      </w:r>
    </w:p>
    <w:p w14:paraId="0977C3B5" w14:textId="77777777" w:rsidR="000A6420" w:rsidRPr="00E05630" w:rsidRDefault="000A6420" w:rsidP="000A6420">
      <w:pPr>
        <w:pStyle w:val="Title"/>
        <w:ind w:firstLine="709"/>
        <w:jc w:val="both"/>
        <w:outlineLvl w:val="0"/>
        <w:rPr>
          <w:szCs w:val="28"/>
        </w:rPr>
      </w:pPr>
    </w:p>
    <w:p w14:paraId="529B9FD0" w14:textId="77777777" w:rsidR="000A6420" w:rsidRPr="00E05630" w:rsidRDefault="000A6420" w:rsidP="00AF3694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>1. Izdarīt Ministru kabineta 2016. gada 12. jūlija noteikumos Nr. 459 "Aizsargātā lietotāja tirdzniecības pakalpojuma sniegšanas un sadales sistēmas pakalpojuma kompensēšanas kārtība" (Latvijas Vēstnesis, 2016, 138. nr.) šādus grozījumus:</w:t>
      </w:r>
    </w:p>
    <w:p w14:paraId="374EDD15" w14:textId="77777777" w:rsidR="000A6420" w:rsidRPr="00E05630" w:rsidRDefault="000A6420" w:rsidP="00AF3694">
      <w:pPr>
        <w:spacing w:before="60" w:after="120"/>
        <w:ind w:firstLine="709"/>
        <w:jc w:val="both"/>
        <w:rPr>
          <w:sz w:val="28"/>
          <w:szCs w:val="28"/>
        </w:rPr>
      </w:pPr>
      <w:r w:rsidRPr="00E05630">
        <w:rPr>
          <w:sz w:val="28"/>
          <w:szCs w:val="28"/>
        </w:rPr>
        <w:t xml:space="preserve">1.1. Izteikt </w:t>
      </w:r>
      <w:r w:rsidR="00AF3694" w:rsidRPr="00E05630">
        <w:rPr>
          <w:sz w:val="28"/>
          <w:szCs w:val="28"/>
        </w:rPr>
        <w:t xml:space="preserve">noteikumu </w:t>
      </w:r>
      <w:r w:rsidRPr="00E05630">
        <w:rPr>
          <w:sz w:val="28"/>
          <w:szCs w:val="28"/>
        </w:rPr>
        <w:t xml:space="preserve">nosaukumu šādā redakcijā: </w:t>
      </w:r>
    </w:p>
    <w:p w14:paraId="67844565" w14:textId="474BD108" w:rsidR="00AF3694" w:rsidRPr="00E05630" w:rsidRDefault="000A6420" w:rsidP="00AF3694">
      <w:pPr>
        <w:spacing w:before="60" w:after="120"/>
        <w:ind w:firstLine="709"/>
        <w:jc w:val="both"/>
        <w:rPr>
          <w:sz w:val="28"/>
          <w:szCs w:val="28"/>
        </w:rPr>
      </w:pPr>
      <w:r w:rsidRPr="00E05630">
        <w:rPr>
          <w:sz w:val="28"/>
          <w:szCs w:val="28"/>
        </w:rPr>
        <w:t xml:space="preserve">“Aizsargātā lietotāja tirdzniecības pakalpojuma sniegšanas, </w:t>
      </w:r>
      <w:r w:rsidR="00F66545" w:rsidRPr="00E05630">
        <w:rPr>
          <w:sz w:val="28"/>
          <w:szCs w:val="28"/>
        </w:rPr>
        <w:t xml:space="preserve">obligātā iepirkuma komponenšu un </w:t>
      </w:r>
      <w:r w:rsidRPr="00E05630">
        <w:rPr>
          <w:sz w:val="28"/>
          <w:szCs w:val="28"/>
        </w:rPr>
        <w:t>sadales sistēmas pakalpojuma kompensēšanas kārtība”</w:t>
      </w:r>
    </w:p>
    <w:p w14:paraId="58671A91" w14:textId="77777777" w:rsidR="00326F29" w:rsidRPr="00E05630" w:rsidRDefault="00326F29" w:rsidP="00AF3694">
      <w:pPr>
        <w:spacing w:before="60" w:after="120"/>
        <w:ind w:firstLine="709"/>
        <w:jc w:val="both"/>
        <w:rPr>
          <w:sz w:val="28"/>
          <w:szCs w:val="28"/>
        </w:rPr>
      </w:pPr>
    </w:p>
    <w:p w14:paraId="06731594" w14:textId="4DE8BE4A" w:rsidR="00326F29" w:rsidRPr="00E05630" w:rsidRDefault="00326F29" w:rsidP="00AF3694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>1.</w:t>
      </w:r>
      <w:r w:rsidR="00BE59C3" w:rsidRPr="00E05630">
        <w:rPr>
          <w:szCs w:val="28"/>
        </w:rPr>
        <w:t>2</w:t>
      </w:r>
      <w:r w:rsidRPr="00E05630">
        <w:rPr>
          <w:szCs w:val="28"/>
        </w:rPr>
        <w:t>. Izteikt 1.punkta 1.1. apakšpunktu šādās redakcijā:</w:t>
      </w:r>
    </w:p>
    <w:p w14:paraId="080F8DA2" w14:textId="4F665CF6" w:rsidR="00326F29" w:rsidRPr="00E05630" w:rsidRDefault="00326F29" w:rsidP="00AF3694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 xml:space="preserve">“1.1. aizsargātā lietotāja tirdzniecības pakalpojuma sniegšanas, </w:t>
      </w:r>
      <w:r w:rsidR="00BE59C3" w:rsidRPr="00E05630">
        <w:rPr>
          <w:szCs w:val="28"/>
        </w:rPr>
        <w:t xml:space="preserve">obligātā iepirkuma komponenšu (turpmāk – pakalpojums) un </w:t>
      </w:r>
      <w:r w:rsidRPr="00E05630">
        <w:rPr>
          <w:szCs w:val="28"/>
        </w:rPr>
        <w:t xml:space="preserve">sadales sistēmas pakalpojuma maksas </w:t>
      </w:r>
      <w:r w:rsidR="00E05630" w:rsidRPr="00E05630">
        <w:rPr>
          <w:szCs w:val="28"/>
        </w:rPr>
        <w:t>kompensēšanas</w:t>
      </w:r>
      <w:r w:rsidR="00E05630" w:rsidRPr="00E05630" w:rsidDel="00BE59C3">
        <w:rPr>
          <w:szCs w:val="28"/>
        </w:rPr>
        <w:t xml:space="preserve"> </w:t>
      </w:r>
      <w:r w:rsidR="00E05630" w:rsidRPr="00E05630">
        <w:rPr>
          <w:szCs w:val="28"/>
        </w:rPr>
        <w:t>nosacījumus</w:t>
      </w:r>
      <w:r w:rsidRPr="00E05630">
        <w:rPr>
          <w:szCs w:val="28"/>
        </w:rPr>
        <w:t xml:space="preserve">, </w:t>
      </w:r>
      <w:r w:rsidR="00BE59C3" w:rsidRPr="00E05630">
        <w:rPr>
          <w:szCs w:val="28"/>
        </w:rPr>
        <w:t xml:space="preserve">kā arī </w:t>
      </w:r>
      <w:r w:rsidRPr="00E05630">
        <w:rPr>
          <w:szCs w:val="28"/>
        </w:rPr>
        <w:t>finansēšanas apjomu un kārtību;”</w:t>
      </w:r>
    </w:p>
    <w:p w14:paraId="57B94289" w14:textId="04AA7331" w:rsidR="000A6420" w:rsidRPr="00E05630" w:rsidRDefault="000A6420" w:rsidP="00AF3694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>1.</w:t>
      </w:r>
      <w:r w:rsidR="00BE59C3" w:rsidRPr="00E05630">
        <w:rPr>
          <w:szCs w:val="28"/>
        </w:rPr>
        <w:t>3</w:t>
      </w:r>
      <w:r w:rsidRPr="00E05630">
        <w:rPr>
          <w:szCs w:val="28"/>
        </w:rPr>
        <w:t>. Izteikt 4. un 5.punktu šādā redakcijā:</w:t>
      </w:r>
    </w:p>
    <w:p w14:paraId="793A74EE" w14:textId="73FD3B61" w:rsidR="000A6420" w:rsidRPr="00E05630" w:rsidRDefault="000A6420" w:rsidP="00AF3694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>„4. Aizsargātajiem lietotājiem, kuri izmanto tādas sadales sistēmas pakalpojumus, kurai pieslēgti vairāk par simts tūkstošiem lietotāju, pakalpojuma sniedzējs šo noteikumu 2. un 3. punktā minēto elektroenerģijas tirdzniecības cenu palielina par 0,</w:t>
      </w:r>
      <w:r w:rsidR="00975AB8" w:rsidRPr="00E05630">
        <w:rPr>
          <w:szCs w:val="28"/>
        </w:rPr>
        <w:t>024</w:t>
      </w:r>
      <w:r w:rsidR="00975AB8">
        <w:rPr>
          <w:szCs w:val="28"/>
        </w:rPr>
        <w:t>48</w:t>
      </w:r>
      <w:r w:rsidR="00975AB8" w:rsidRPr="00E05630">
        <w:rPr>
          <w:szCs w:val="28"/>
        </w:rPr>
        <w:t xml:space="preserve"> </w:t>
      </w:r>
      <w:r w:rsidRPr="00E05630">
        <w:rPr>
          <w:szCs w:val="28"/>
        </w:rPr>
        <w:t>euro par vienu kilovatstundu un sadales sistēmas pakalpojuma tarifa</w:t>
      </w:r>
      <w:r w:rsidR="00903C8F" w:rsidRPr="00E05630">
        <w:rPr>
          <w:szCs w:val="28"/>
        </w:rPr>
        <w:t xml:space="preserve"> un</w:t>
      </w:r>
      <w:r w:rsidRPr="00E05630">
        <w:rPr>
          <w:szCs w:val="28"/>
        </w:rPr>
        <w:t xml:space="preserve"> obligātā iepirkuma komponenšu fiksēto daļu katrā norēķinu periodā (kalendāra mēnesī) samazina (turpmāk – sadales tarifa</w:t>
      </w:r>
      <w:r w:rsidR="00AB02EB" w:rsidRPr="00E05630">
        <w:rPr>
          <w:szCs w:val="28"/>
        </w:rPr>
        <w:t xml:space="preserve"> </w:t>
      </w:r>
      <w:r w:rsidR="003F4BE5" w:rsidRPr="00E05630">
        <w:rPr>
          <w:szCs w:val="28"/>
        </w:rPr>
        <w:t>un obligātā iepirkuma komponenšu</w:t>
      </w:r>
      <w:r w:rsidR="00AB02EB" w:rsidRPr="00E05630">
        <w:rPr>
          <w:szCs w:val="28"/>
        </w:rPr>
        <w:t xml:space="preserve"> </w:t>
      </w:r>
      <w:r w:rsidRPr="00E05630">
        <w:rPr>
          <w:szCs w:val="28"/>
        </w:rPr>
        <w:t>fiksētās daļas samazinājums), ievērojot šo noteikumu 5. punktā noteiktos nosacījumus.</w:t>
      </w:r>
    </w:p>
    <w:p w14:paraId="52A4D5A1" w14:textId="43A57225" w:rsidR="000A6420" w:rsidRPr="00E05630" w:rsidRDefault="000A6420" w:rsidP="00AF3694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>5. Pakalpojuma sniedzējs nosaka sadales tarifa</w:t>
      </w:r>
      <w:r w:rsidR="003F4BE5" w:rsidRPr="00E05630">
        <w:rPr>
          <w:szCs w:val="28"/>
        </w:rPr>
        <w:t xml:space="preserve"> un</w:t>
      </w:r>
      <w:r w:rsidRPr="00E05630">
        <w:rPr>
          <w:szCs w:val="28"/>
        </w:rPr>
        <w:t xml:space="preserve"> obligātā iepirkuma komponenšu fiksētās daļas samazinājumu, ievērojot šādus nosacījumus: </w:t>
      </w:r>
    </w:p>
    <w:p w14:paraId="18A47568" w14:textId="77777777" w:rsidR="000A6420" w:rsidRPr="00E05630" w:rsidRDefault="000A6420" w:rsidP="00AF3694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 xml:space="preserve">5.1. ja aizsargātais lietotājs viena elektroenerģijas tirdzniecības līguma ietvaros elektroenerģiju patērē vienā objektā: </w:t>
      </w:r>
    </w:p>
    <w:p w14:paraId="7838CA2E" w14:textId="5BA0A67A" w:rsidR="000A6420" w:rsidRPr="00E05630" w:rsidRDefault="000A6420" w:rsidP="00AF3694">
      <w:pPr>
        <w:pStyle w:val="Title"/>
        <w:spacing w:after="120"/>
        <w:ind w:firstLine="720"/>
        <w:jc w:val="both"/>
        <w:outlineLvl w:val="0"/>
        <w:rPr>
          <w:szCs w:val="28"/>
        </w:rPr>
      </w:pPr>
      <w:r w:rsidRPr="00E05630">
        <w:rPr>
          <w:szCs w:val="28"/>
        </w:rPr>
        <w:lastRenderedPageBreak/>
        <w:t>5.1.1. vienfāzes pieslēgumā sadales tarifa</w:t>
      </w:r>
      <w:r w:rsidR="003F4BE5" w:rsidRPr="00E05630">
        <w:rPr>
          <w:szCs w:val="28"/>
        </w:rPr>
        <w:t xml:space="preserve"> un</w:t>
      </w:r>
      <w:r w:rsidRPr="00E05630">
        <w:rPr>
          <w:szCs w:val="28"/>
        </w:rPr>
        <w:t xml:space="preserve"> obligātā iepirkuma komponenšu fiksētās daļas samazinājums ir 2,2</w:t>
      </w:r>
      <w:r w:rsidR="000B5831" w:rsidRPr="00E05630">
        <w:rPr>
          <w:szCs w:val="28"/>
        </w:rPr>
        <w:t>4</w:t>
      </w:r>
      <w:r w:rsidRPr="00E05630">
        <w:rPr>
          <w:szCs w:val="28"/>
        </w:rPr>
        <w:t xml:space="preserve"> euro; </w:t>
      </w:r>
    </w:p>
    <w:p w14:paraId="35B137C7" w14:textId="7BA594FA" w:rsidR="000A6420" w:rsidRPr="00E05630" w:rsidRDefault="000A6420" w:rsidP="00AF3694">
      <w:pPr>
        <w:pStyle w:val="Title"/>
        <w:spacing w:after="120"/>
        <w:ind w:firstLine="720"/>
        <w:jc w:val="both"/>
        <w:outlineLvl w:val="0"/>
        <w:rPr>
          <w:szCs w:val="28"/>
        </w:rPr>
      </w:pPr>
      <w:r w:rsidRPr="00E05630">
        <w:rPr>
          <w:szCs w:val="28"/>
        </w:rPr>
        <w:t>5.1.2. trīsfāžu pieslēgumā, izņemot šo noteikumu 5.1.3. apakšpunktā minēto gadījumu, sadales tarifa</w:t>
      </w:r>
      <w:r w:rsidR="003F4BE5" w:rsidRPr="00E05630">
        <w:rPr>
          <w:szCs w:val="28"/>
        </w:rPr>
        <w:t xml:space="preserve"> un</w:t>
      </w:r>
      <w:r w:rsidRPr="00E05630">
        <w:rPr>
          <w:szCs w:val="28"/>
        </w:rPr>
        <w:t xml:space="preserve"> obligātā iepirkuma komponenšu fiksētās daļas samazinājumu aprēķina, pieslēguma vietā uzstādītā ievadaizsardzības aparāta nominālās strāvas apmēru, kas izteikts ampēros, reizinot ar 0,36 euro; </w:t>
      </w:r>
    </w:p>
    <w:p w14:paraId="6AB5AAE0" w14:textId="134CDC22" w:rsidR="000A6420" w:rsidRPr="00E05630" w:rsidRDefault="000A6420" w:rsidP="00AF3694">
      <w:pPr>
        <w:pStyle w:val="Title"/>
        <w:spacing w:after="120"/>
        <w:ind w:firstLine="720"/>
        <w:jc w:val="both"/>
        <w:outlineLvl w:val="0"/>
        <w:rPr>
          <w:szCs w:val="28"/>
        </w:rPr>
      </w:pPr>
      <w:r w:rsidRPr="00E05630">
        <w:rPr>
          <w:szCs w:val="28"/>
        </w:rPr>
        <w:t>5.1.3. trīsfāžu pieslēgumā, ja pieslēguma vietā uzstādītā ievadaizsardzības aparāta nominālās strāvas stiprums nepārsniedz 16 ampērus, sadales tarifa</w:t>
      </w:r>
      <w:r w:rsidR="003F4BE5" w:rsidRPr="00E05630">
        <w:rPr>
          <w:szCs w:val="28"/>
        </w:rPr>
        <w:t xml:space="preserve"> un</w:t>
      </w:r>
      <w:r w:rsidRPr="00E05630">
        <w:rPr>
          <w:szCs w:val="28"/>
        </w:rPr>
        <w:t xml:space="preserve"> obligātā iepirkuma komponenšu fiksētās daļas samazinājums ir 5,7</w:t>
      </w:r>
      <w:r w:rsidR="000B5831" w:rsidRPr="00E05630">
        <w:rPr>
          <w:szCs w:val="28"/>
        </w:rPr>
        <w:t>9</w:t>
      </w:r>
      <w:r w:rsidRPr="00E05630">
        <w:rPr>
          <w:szCs w:val="28"/>
        </w:rPr>
        <w:t xml:space="preserve"> euro; </w:t>
      </w:r>
    </w:p>
    <w:p w14:paraId="56694E8E" w14:textId="1D95BCAF" w:rsidR="000A6420" w:rsidRPr="00E05630" w:rsidRDefault="000A6420" w:rsidP="00AF3694">
      <w:pPr>
        <w:pStyle w:val="Title"/>
        <w:spacing w:after="120"/>
        <w:ind w:firstLine="720"/>
        <w:jc w:val="both"/>
        <w:outlineLvl w:val="0"/>
        <w:rPr>
          <w:szCs w:val="28"/>
        </w:rPr>
      </w:pPr>
      <w:r w:rsidRPr="00E05630">
        <w:rPr>
          <w:szCs w:val="28"/>
        </w:rPr>
        <w:t>5.1.4. sadales tarifa</w:t>
      </w:r>
      <w:r w:rsidR="003F4BE5" w:rsidRPr="00E05630">
        <w:rPr>
          <w:szCs w:val="28"/>
        </w:rPr>
        <w:t xml:space="preserve"> un</w:t>
      </w:r>
      <w:r w:rsidRPr="00E05630">
        <w:rPr>
          <w:szCs w:val="28"/>
        </w:rPr>
        <w:t xml:space="preserve"> obligātā iepirkuma komponenšu fiksētās daļas samazinājuma aprēķinā iekļaujamais maksimālais ievadaizsardzības aparāta nominālās strāvas apmērs ir 32 ampēri; </w:t>
      </w:r>
    </w:p>
    <w:p w14:paraId="20F78F1B" w14:textId="77777777" w:rsidR="000A6420" w:rsidRPr="00E05630" w:rsidRDefault="000A6420" w:rsidP="00AF3694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 xml:space="preserve">5.2. ja aizsargātais lietotājs viena elektroenerģijas tirdzniecības līguma ietvaros elektroenerģiju lieto vairākos elektroenerģiju patērējošos objektos: </w:t>
      </w:r>
    </w:p>
    <w:p w14:paraId="5439B967" w14:textId="54DBDE11" w:rsidR="000A6420" w:rsidRPr="00E05630" w:rsidRDefault="000A6420" w:rsidP="00AF3694">
      <w:pPr>
        <w:pStyle w:val="Title"/>
        <w:spacing w:after="120"/>
        <w:ind w:firstLine="720"/>
        <w:jc w:val="both"/>
        <w:outlineLvl w:val="0"/>
        <w:rPr>
          <w:szCs w:val="28"/>
        </w:rPr>
      </w:pPr>
      <w:r w:rsidRPr="00E05630">
        <w:rPr>
          <w:szCs w:val="28"/>
        </w:rPr>
        <w:t>5.2.1. ja visi pieslēgumi ir vienfāzes pieslēgumi, sadales tarifa,</w:t>
      </w:r>
      <w:r w:rsidR="003F4BE5" w:rsidRPr="00E05630">
        <w:rPr>
          <w:szCs w:val="28"/>
        </w:rPr>
        <w:t xml:space="preserve"> un</w:t>
      </w:r>
      <w:r w:rsidR="00975AB8">
        <w:rPr>
          <w:szCs w:val="28"/>
        </w:rPr>
        <w:t xml:space="preserve"> </w:t>
      </w:r>
      <w:r w:rsidRPr="00E05630">
        <w:rPr>
          <w:szCs w:val="28"/>
        </w:rPr>
        <w:t>obligātā iepirkuma komponenšu fiksētās daļas samazinājums ir 2,</w:t>
      </w:r>
      <w:r w:rsidR="00975AB8" w:rsidRPr="00E05630">
        <w:rPr>
          <w:szCs w:val="28"/>
        </w:rPr>
        <w:t>2</w:t>
      </w:r>
      <w:r w:rsidR="00975AB8">
        <w:rPr>
          <w:szCs w:val="28"/>
        </w:rPr>
        <w:t>4</w:t>
      </w:r>
      <w:r w:rsidR="00975AB8" w:rsidRPr="00E05630">
        <w:rPr>
          <w:szCs w:val="28"/>
        </w:rPr>
        <w:t xml:space="preserve"> </w:t>
      </w:r>
      <w:r w:rsidRPr="00E05630">
        <w:rPr>
          <w:szCs w:val="28"/>
        </w:rPr>
        <w:t xml:space="preserve">euro; </w:t>
      </w:r>
    </w:p>
    <w:p w14:paraId="458A7FE8" w14:textId="6D39F3EF" w:rsidR="000A6420" w:rsidRPr="00E05630" w:rsidRDefault="000A6420" w:rsidP="00AF3694">
      <w:pPr>
        <w:pStyle w:val="Title"/>
        <w:spacing w:after="120"/>
        <w:ind w:firstLine="720"/>
        <w:jc w:val="both"/>
        <w:outlineLvl w:val="0"/>
        <w:rPr>
          <w:szCs w:val="28"/>
        </w:rPr>
      </w:pPr>
      <w:r w:rsidRPr="00E05630">
        <w:rPr>
          <w:szCs w:val="28"/>
        </w:rPr>
        <w:t>5.2.2. ja aizsargātajam lietotājam ir vismaz viens trīsfāžu pieslēgums, sadales tarifa</w:t>
      </w:r>
      <w:r w:rsidR="003F4BE5" w:rsidRPr="00E05630">
        <w:rPr>
          <w:szCs w:val="28"/>
        </w:rPr>
        <w:t xml:space="preserve"> un</w:t>
      </w:r>
      <w:r w:rsidRPr="00E05630">
        <w:rPr>
          <w:szCs w:val="28"/>
        </w:rPr>
        <w:t xml:space="preserve"> obligātā iepirkuma komponenšu fiksētās daļas samazinājumu attiecina uz trīsfāžu pieslēguma vietu ar lielāko ievadaizsardzības aparāta nominālās strāvas apmēru un sadales tarifa</w:t>
      </w:r>
      <w:r w:rsidR="003F4BE5" w:rsidRPr="00E05630">
        <w:rPr>
          <w:szCs w:val="28"/>
        </w:rPr>
        <w:t xml:space="preserve"> un</w:t>
      </w:r>
      <w:r w:rsidRPr="00E05630">
        <w:rPr>
          <w:szCs w:val="28"/>
        </w:rPr>
        <w:t xml:space="preserve"> obligātā iepirkuma komponenšu fiksētās daļas samazinājumu nosaka, ievērojot šo noteikumu 5.1.2. un 5.1.3. apakšpunktā minētos nosacījumus; </w:t>
      </w:r>
    </w:p>
    <w:p w14:paraId="6D59B8CD" w14:textId="11F31F16" w:rsidR="000A6420" w:rsidRPr="00E05630" w:rsidRDefault="000A6420" w:rsidP="00AF3694">
      <w:pPr>
        <w:pStyle w:val="Title"/>
        <w:spacing w:after="120"/>
        <w:ind w:firstLine="720"/>
        <w:jc w:val="both"/>
        <w:outlineLvl w:val="0"/>
        <w:rPr>
          <w:szCs w:val="28"/>
        </w:rPr>
      </w:pPr>
      <w:r w:rsidRPr="00E05630">
        <w:rPr>
          <w:szCs w:val="28"/>
        </w:rPr>
        <w:t>5.2.3. sadales tarifa</w:t>
      </w:r>
      <w:r w:rsidR="003F4BE5" w:rsidRPr="00E05630">
        <w:rPr>
          <w:szCs w:val="28"/>
        </w:rPr>
        <w:t xml:space="preserve"> un</w:t>
      </w:r>
      <w:r w:rsidRPr="00E05630">
        <w:rPr>
          <w:szCs w:val="28"/>
        </w:rPr>
        <w:t xml:space="preserve"> obligātā iepirkuma komponenšu fiksētās daļas samazinājuma aprēķinā iekļaujamais maksimālais ievadaizsardzības aparāta nominālās strāvas apmērs ir 32 ampēri.”</w:t>
      </w:r>
    </w:p>
    <w:p w14:paraId="2613824A" w14:textId="1A11C10C" w:rsidR="000A6420" w:rsidRPr="00E05630" w:rsidRDefault="000A6420" w:rsidP="00AF3694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>1.</w:t>
      </w:r>
      <w:r w:rsidR="00BE59C3" w:rsidRPr="00E05630">
        <w:rPr>
          <w:szCs w:val="28"/>
        </w:rPr>
        <w:t>4</w:t>
      </w:r>
      <w:r w:rsidRPr="00E05630">
        <w:rPr>
          <w:szCs w:val="28"/>
        </w:rPr>
        <w:t>. Izteikt 9.3. apakšpunktu šādā redakcijā:</w:t>
      </w:r>
    </w:p>
    <w:p w14:paraId="557A276D" w14:textId="11E30653" w:rsidR="000A6420" w:rsidRPr="00E05630" w:rsidRDefault="000A6420" w:rsidP="00AF3694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>„9.3 piemērojot sadales tarifa</w:t>
      </w:r>
      <w:r w:rsidR="003F4BE5" w:rsidRPr="00E05630">
        <w:rPr>
          <w:szCs w:val="28"/>
        </w:rPr>
        <w:t xml:space="preserve"> un</w:t>
      </w:r>
      <w:r w:rsidRPr="00E05630">
        <w:rPr>
          <w:szCs w:val="28"/>
        </w:rPr>
        <w:t xml:space="preserve"> obligātā iepirkuma komponenšu fiksētās daļas samazinājumu – 2,</w:t>
      </w:r>
      <w:r w:rsidR="00975AB8" w:rsidRPr="00E05630">
        <w:rPr>
          <w:szCs w:val="28"/>
        </w:rPr>
        <w:t>2</w:t>
      </w:r>
      <w:r w:rsidR="00975AB8">
        <w:rPr>
          <w:szCs w:val="28"/>
        </w:rPr>
        <w:t>4</w:t>
      </w:r>
      <w:r w:rsidR="00975AB8" w:rsidRPr="00E05630">
        <w:rPr>
          <w:szCs w:val="28"/>
        </w:rPr>
        <w:t xml:space="preserve"> </w:t>
      </w:r>
      <w:r w:rsidRPr="00E05630">
        <w:rPr>
          <w:szCs w:val="28"/>
        </w:rPr>
        <w:t>euro. Ja aizsargātais lietotājs ir daudzbērnu ģimene, tad sadales tarifa</w:t>
      </w:r>
      <w:r w:rsidR="003F4BE5" w:rsidRPr="00E05630">
        <w:rPr>
          <w:szCs w:val="28"/>
        </w:rPr>
        <w:t xml:space="preserve"> un</w:t>
      </w:r>
      <w:r w:rsidRPr="00E05630">
        <w:rPr>
          <w:szCs w:val="28"/>
        </w:rPr>
        <w:t xml:space="preserve"> </w:t>
      </w:r>
      <w:r w:rsidR="00AB02EB" w:rsidRPr="00E05630">
        <w:rPr>
          <w:szCs w:val="28"/>
        </w:rPr>
        <w:t>obligātā iepirkuma komponenšu fiksētās daļas samazinājums</w:t>
      </w:r>
      <w:r w:rsidRPr="00E05630">
        <w:rPr>
          <w:szCs w:val="28"/>
        </w:rPr>
        <w:t xml:space="preserve"> ir 6,</w:t>
      </w:r>
      <w:r w:rsidR="000B5831" w:rsidRPr="00E05630">
        <w:rPr>
          <w:szCs w:val="28"/>
        </w:rPr>
        <w:t>72</w:t>
      </w:r>
      <w:r w:rsidRPr="00E05630">
        <w:rPr>
          <w:szCs w:val="28"/>
        </w:rPr>
        <w:t xml:space="preserve"> euro.”</w:t>
      </w:r>
    </w:p>
    <w:p w14:paraId="387CCFF0" w14:textId="36279D36" w:rsidR="003F4BE5" w:rsidRPr="00E05630" w:rsidRDefault="003F4BE5" w:rsidP="00FF5C4B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>1.</w:t>
      </w:r>
      <w:r w:rsidR="00BE59C3" w:rsidRPr="00E05630">
        <w:rPr>
          <w:szCs w:val="28"/>
        </w:rPr>
        <w:t>5</w:t>
      </w:r>
      <w:r w:rsidRPr="00E05630">
        <w:rPr>
          <w:szCs w:val="28"/>
        </w:rPr>
        <w:t>.</w:t>
      </w:r>
      <w:r w:rsidR="00FF5C4B" w:rsidRPr="00E05630">
        <w:rPr>
          <w:szCs w:val="28"/>
        </w:rPr>
        <w:t xml:space="preserve"> Papildināt 10.punktu aiz vārdiem “sadales tarifa” ar vārdiem “un obligātā iepirkuma komponenšu”.</w:t>
      </w:r>
    </w:p>
    <w:p w14:paraId="02168F74" w14:textId="28C6EEC5" w:rsidR="003F4BE5" w:rsidRPr="00E05630" w:rsidRDefault="003F4BE5" w:rsidP="00FF5C4B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>1.</w:t>
      </w:r>
      <w:r w:rsidR="00BE59C3" w:rsidRPr="00E05630">
        <w:rPr>
          <w:szCs w:val="28"/>
        </w:rPr>
        <w:t>6</w:t>
      </w:r>
      <w:r w:rsidRPr="00E05630">
        <w:rPr>
          <w:szCs w:val="28"/>
        </w:rPr>
        <w:t>.</w:t>
      </w:r>
      <w:r w:rsidR="00FF5C4B" w:rsidRPr="00E05630">
        <w:rPr>
          <w:szCs w:val="28"/>
        </w:rPr>
        <w:t xml:space="preserve"> Papildināt 26.punktu aiz vārdiem “sadales tarifa” ar vārdiem “un obligātā iepirkuma komponenšu”.</w:t>
      </w:r>
    </w:p>
    <w:p w14:paraId="661DC23B" w14:textId="72C2C059" w:rsidR="003F4BE5" w:rsidRPr="00E05630" w:rsidRDefault="003F4BE5" w:rsidP="00AF3694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>1.</w:t>
      </w:r>
      <w:r w:rsidR="00BE59C3" w:rsidRPr="00E05630">
        <w:rPr>
          <w:szCs w:val="28"/>
        </w:rPr>
        <w:t>7</w:t>
      </w:r>
      <w:r w:rsidRPr="00E05630">
        <w:rPr>
          <w:szCs w:val="28"/>
        </w:rPr>
        <w:t xml:space="preserve">. </w:t>
      </w:r>
      <w:r w:rsidR="00FF5C4B" w:rsidRPr="00E05630">
        <w:rPr>
          <w:szCs w:val="28"/>
        </w:rPr>
        <w:t>Papildināt 27.punkta 2. apakšpunktu aiz vārdiem “sadales tarifa” ar vārdiem “un obligātā iepirkuma komponenšu”.</w:t>
      </w:r>
    </w:p>
    <w:p w14:paraId="11843AC8" w14:textId="345A0CCB" w:rsidR="00FF5C4B" w:rsidRPr="00E05630" w:rsidRDefault="00FF5C4B" w:rsidP="00FF5C4B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>1.</w:t>
      </w:r>
      <w:r w:rsidR="00BE59C3" w:rsidRPr="00E05630">
        <w:rPr>
          <w:szCs w:val="28"/>
        </w:rPr>
        <w:t>8</w:t>
      </w:r>
      <w:r w:rsidRPr="00E05630">
        <w:rPr>
          <w:szCs w:val="28"/>
        </w:rPr>
        <w:t>. Papildināt 27.punkta 3. apakšpunktu aiz vārdiem “sadales tarifa” ar vārdiem “un obligātā iepirkuma komponenšu”.</w:t>
      </w:r>
    </w:p>
    <w:p w14:paraId="0C436B9E" w14:textId="77777777" w:rsidR="00FF5C4B" w:rsidRPr="00E05630" w:rsidRDefault="00FF5C4B" w:rsidP="00AF3694">
      <w:pPr>
        <w:pStyle w:val="Title"/>
        <w:spacing w:after="120"/>
        <w:ind w:firstLine="709"/>
        <w:jc w:val="both"/>
        <w:outlineLvl w:val="0"/>
        <w:rPr>
          <w:szCs w:val="28"/>
        </w:rPr>
      </w:pPr>
    </w:p>
    <w:p w14:paraId="4A475292" w14:textId="77777777" w:rsidR="000A6420" w:rsidRPr="00E05630" w:rsidRDefault="000A6420" w:rsidP="00AF3694">
      <w:pPr>
        <w:pStyle w:val="Title"/>
        <w:spacing w:after="120"/>
        <w:ind w:firstLine="709"/>
        <w:jc w:val="both"/>
        <w:outlineLvl w:val="0"/>
        <w:rPr>
          <w:szCs w:val="28"/>
        </w:rPr>
      </w:pPr>
      <w:r w:rsidRPr="00E05630">
        <w:rPr>
          <w:szCs w:val="28"/>
        </w:rPr>
        <w:t>2. Noteikumi stājas spēkā 2018. gada 1. janvārī.</w:t>
      </w:r>
    </w:p>
    <w:p w14:paraId="2D3779F1" w14:textId="77777777" w:rsidR="000A6420" w:rsidRPr="00E05630" w:rsidRDefault="000A6420" w:rsidP="000A6420">
      <w:pPr>
        <w:jc w:val="both"/>
        <w:rPr>
          <w:sz w:val="28"/>
          <w:szCs w:val="28"/>
        </w:rPr>
      </w:pPr>
    </w:p>
    <w:p w14:paraId="444DD04B" w14:textId="77777777" w:rsidR="000A6420" w:rsidRPr="00E05630" w:rsidRDefault="000A6420" w:rsidP="000A6420">
      <w:pPr>
        <w:rPr>
          <w:sz w:val="28"/>
          <w:szCs w:val="28"/>
          <w:lang w:eastAsia="en-US"/>
        </w:rPr>
      </w:pPr>
      <w:r w:rsidRPr="00E05630">
        <w:rPr>
          <w:sz w:val="28"/>
          <w:szCs w:val="28"/>
          <w:lang w:eastAsia="en-US"/>
        </w:rPr>
        <w:t xml:space="preserve">Ministru prezidents </w:t>
      </w:r>
      <w:r w:rsidRPr="00E05630">
        <w:rPr>
          <w:sz w:val="28"/>
          <w:szCs w:val="28"/>
          <w:lang w:eastAsia="en-US"/>
        </w:rPr>
        <w:tab/>
      </w:r>
      <w:r w:rsidRPr="00E05630">
        <w:rPr>
          <w:sz w:val="28"/>
          <w:szCs w:val="28"/>
          <w:lang w:eastAsia="en-US"/>
        </w:rPr>
        <w:tab/>
      </w:r>
      <w:r w:rsidRPr="00E05630">
        <w:rPr>
          <w:sz w:val="28"/>
          <w:szCs w:val="28"/>
          <w:lang w:eastAsia="en-US"/>
        </w:rPr>
        <w:tab/>
      </w:r>
      <w:r w:rsidRPr="00E05630">
        <w:rPr>
          <w:sz w:val="28"/>
          <w:szCs w:val="28"/>
          <w:lang w:eastAsia="en-US"/>
        </w:rPr>
        <w:tab/>
      </w:r>
      <w:r w:rsidRPr="00E05630">
        <w:rPr>
          <w:sz w:val="28"/>
          <w:szCs w:val="28"/>
          <w:lang w:eastAsia="en-US"/>
        </w:rPr>
        <w:tab/>
      </w:r>
      <w:r w:rsidRPr="00E05630">
        <w:rPr>
          <w:sz w:val="28"/>
          <w:szCs w:val="28"/>
          <w:lang w:eastAsia="en-US"/>
        </w:rPr>
        <w:tab/>
        <w:t xml:space="preserve">           M.Kučinskis</w:t>
      </w:r>
    </w:p>
    <w:p w14:paraId="783C9A7E" w14:textId="77777777" w:rsidR="000A6420" w:rsidRPr="00E05630" w:rsidRDefault="000A6420" w:rsidP="000A6420">
      <w:pPr>
        <w:rPr>
          <w:sz w:val="28"/>
          <w:szCs w:val="28"/>
          <w:lang w:eastAsia="en-US"/>
        </w:rPr>
      </w:pPr>
    </w:p>
    <w:p w14:paraId="47FFDE64" w14:textId="77777777" w:rsidR="000A6420" w:rsidRPr="00E05630" w:rsidRDefault="000A6420" w:rsidP="000A6420">
      <w:pPr>
        <w:rPr>
          <w:rFonts w:cs="Tahoma"/>
          <w:sz w:val="28"/>
          <w:szCs w:val="28"/>
        </w:rPr>
      </w:pPr>
    </w:p>
    <w:p w14:paraId="3E037DAB" w14:textId="77777777" w:rsidR="000A6420" w:rsidRPr="00E05630" w:rsidRDefault="000A6420" w:rsidP="000A6420">
      <w:pPr>
        <w:rPr>
          <w:rFonts w:cs="Tahoma"/>
          <w:sz w:val="28"/>
          <w:szCs w:val="28"/>
        </w:rPr>
      </w:pPr>
      <w:r w:rsidRPr="00E05630">
        <w:rPr>
          <w:rFonts w:cs="Tahoma"/>
          <w:sz w:val="28"/>
          <w:szCs w:val="28"/>
        </w:rPr>
        <w:t xml:space="preserve">Ministru prezidenta biedrs, </w:t>
      </w:r>
    </w:p>
    <w:p w14:paraId="26F8CCB5" w14:textId="77777777" w:rsidR="000A6420" w:rsidRPr="00E05630" w:rsidRDefault="000A6420" w:rsidP="000A6420">
      <w:pPr>
        <w:rPr>
          <w:sz w:val="28"/>
          <w:szCs w:val="28"/>
          <w:lang w:eastAsia="en-US"/>
        </w:rPr>
      </w:pPr>
      <w:r w:rsidRPr="00E05630">
        <w:rPr>
          <w:rFonts w:cs="Tahoma"/>
          <w:sz w:val="28"/>
          <w:szCs w:val="28"/>
        </w:rPr>
        <w:t xml:space="preserve">ekonomikas ministrs                 </w:t>
      </w:r>
      <w:r w:rsidRPr="00E05630">
        <w:rPr>
          <w:rFonts w:cs="Tahoma"/>
          <w:sz w:val="28"/>
          <w:szCs w:val="28"/>
        </w:rPr>
        <w:tab/>
        <w:t xml:space="preserve">       </w:t>
      </w:r>
      <w:r w:rsidRPr="00E05630">
        <w:rPr>
          <w:rFonts w:cs="Tahoma"/>
          <w:sz w:val="28"/>
          <w:szCs w:val="28"/>
        </w:rPr>
        <w:tab/>
      </w:r>
      <w:r w:rsidRPr="00E05630">
        <w:rPr>
          <w:rFonts w:cs="Tahoma"/>
          <w:sz w:val="28"/>
          <w:szCs w:val="28"/>
        </w:rPr>
        <w:tab/>
      </w:r>
      <w:r w:rsidRPr="00E05630">
        <w:rPr>
          <w:rFonts w:cs="Tahoma"/>
          <w:sz w:val="28"/>
          <w:szCs w:val="28"/>
        </w:rPr>
        <w:tab/>
      </w:r>
      <w:r w:rsidRPr="00E05630">
        <w:rPr>
          <w:rFonts w:cs="Tahoma"/>
          <w:sz w:val="28"/>
          <w:szCs w:val="28"/>
        </w:rPr>
        <w:tab/>
        <w:t xml:space="preserve">          A.Ašeradens</w:t>
      </w:r>
    </w:p>
    <w:p w14:paraId="31D20F73" w14:textId="77777777" w:rsidR="000A6420" w:rsidRPr="00E05630" w:rsidRDefault="000A6420" w:rsidP="000A6420">
      <w:pPr>
        <w:rPr>
          <w:sz w:val="28"/>
          <w:szCs w:val="28"/>
          <w:lang w:eastAsia="en-US"/>
        </w:rPr>
      </w:pPr>
    </w:p>
    <w:p w14:paraId="62A7847E" w14:textId="77777777" w:rsidR="000A6420" w:rsidRPr="00E05630" w:rsidRDefault="000A6420" w:rsidP="000A6420">
      <w:pPr>
        <w:rPr>
          <w:sz w:val="28"/>
          <w:szCs w:val="28"/>
          <w:lang w:eastAsia="en-US"/>
        </w:rPr>
      </w:pPr>
    </w:p>
    <w:p w14:paraId="4F92CE2F" w14:textId="77777777" w:rsidR="000A6420" w:rsidRPr="00E05630" w:rsidRDefault="000A6420" w:rsidP="000A6420">
      <w:pPr>
        <w:jc w:val="both"/>
        <w:rPr>
          <w:sz w:val="28"/>
          <w:szCs w:val="28"/>
        </w:rPr>
      </w:pPr>
      <w:r w:rsidRPr="00E05630">
        <w:rPr>
          <w:sz w:val="28"/>
          <w:szCs w:val="28"/>
        </w:rPr>
        <w:t>Iesniedzējs:</w:t>
      </w:r>
    </w:p>
    <w:p w14:paraId="7710FE43" w14:textId="77777777" w:rsidR="00EF558D" w:rsidRPr="00274595" w:rsidRDefault="00EF558D" w:rsidP="00EF558D">
      <w:pPr>
        <w:pStyle w:val="Signature"/>
        <w:widowControl/>
        <w:ind w:firstLine="0"/>
        <w:rPr>
          <w:sz w:val="28"/>
        </w:rPr>
      </w:pPr>
      <w:r w:rsidRPr="00274595">
        <w:rPr>
          <w:sz w:val="28"/>
          <w:szCs w:val="28"/>
        </w:rPr>
        <w:t>Ministru prezidenta biedra,</w:t>
      </w:r>
      <w:r w:rsidRPr="00274595">
        <w:rPr>
          <w:sz w:val="28"/>
          <w:szCs w:val="28"/>
        </w:rPr>
        <w:br/>
        <w:t>ekonomikas ministra pienākumu izpildītājs-</w:t>
      </w:r>
      <w:r w:rsidRPr="00274595">
        <w:rPr>
          <w:sz w:val="28"/>
          <w:szCs w:val="28"/>
        </w:rPr>
        <w:br/>
      </w:r>
      <w:r>
        <w:rPr>
          <w:sz w:val="28"/>
          <w:szCs w:val="28"/>
        </w:rPr>
        <w:t>iekšlietu</w:t>
      </w:r>
      <w:r w:rsidRPr="00274595">
        <w:rPr>
          <w:sz w:val="28"/>
          <w:szCs w:val="28"/>
        </w:rPr>
        <w:t xml:space="preserve"> ministrs</w:t>
      </w:r>
      <w:r w:rsidRPr="00274595">
        <w:rPr>
          <w:sz w:val="28"/>
          <w:szCs w:val="28"/>
        </w:rPr>
        <w:tab/>
      </w:r>
      <w:r>
        <w:rPr>
          <w:sz w:val="28"/>
          <w:szCs w:val="28"/>
        </w:rPr>
        <w:t xml:space="preserve">R. Kozlovskis </w:t>
      </w:r>
    </w:p>
    <w:p w14:paraId="61F74BF8" w14:textId="77777777" w:rsidR="00EF558D" w:rsidRPr="00EF558D" w:rsidRDefault="00EF558D" w:rsidP="00EF558D">
      <w:pPr>
        <w:pStyle w:val="EnvelopeReturn"/>
        <w:spacing w:before="120"/>
        <w:rPr>
          <w:lang w:val="lv-LV"/>
        </w:rPr>
      </w:pPr>
    </w:p>
    <w:p w14:paraId="2635176D" w14:textId="77777777" w:rsidR="000A6420" w:rsidRPr="00E05630" w:rsidRDefault="000A6420" w:rsidP="000A6420">
      <w:pPr>
        <w:jc w:val="both"/>
        <w:rPr>
          <w:sz w:val="28"/>
          <w:szCs w:val="28"/>
          <w:lang w:eastAsia="en-US"/>
        </w:rPr>
      </w:pPr>
      <w:r w:rsidRPr="00E05630">
        <w:rPr>
          <w:sz w:val="28"/>
          <w:szCs w:val="28"/>
          <w:lang w:eastAsia="en-US"/>
        </w:rPr>
        <w:t xml:space="preserve">Vīza: </w:t>
      </w:r>
    </w:p>
    <w:p w14:paraId="40452B93" w14:textId="77777777" w:rsidR="00EF558D" w:rsidRDefault="00EF558D" w:rsidP="00EF558D">
      <w:pPr>
        <w:pStyle w:val="Signature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Valsts sekretāra pienākumu izpildītāja,</w:t>
      </w:r>
    </w:p>
    <w:p w14:paraId="38A58411" w14:textId="77777777" w:rsidR="00EF558D" w:rsidRDefault="00EF558D" w:rsidP="00EF558D">
      <w:pPr>
        <w:pStyle w:val="Signature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Administrācijas vadītāja                                                                   I.Jaunzeme</w:t>
      </w:r>
    </w:p>
    <w:p w14:paraId="40C84C9A" w14:textId="77777777" w:rsidR="00EF558D" w:rsidRDefault="00EF558D" w:rsidP="00EF558D">
      <w:pPr>
        <w:rPr>
          <w:sz w:val="28"/>
          <w:szCs w:val="28"/>
        </w:rPr>
      </w:pPr>
    </w:p>
    <w:p w14:paraId="2178FD99" w14:textId="77777777" w:rsidR="000A6420" w:rsidRPr="00E05630" w:rsidRDefault="000A6420" w:rsidP="000A6420">
      <w:pPr>
        <w:rPr>
          <w:sz w:val="28"/>
          <w:szCs w:val="28"/>
          <w:lang w:eastAsia="en-US"/>
        </w:rPr>
      </w:pPr>
    </w:p>
    <w:p w14:paraId="39A5A0E9" w14:textId="77777777" w:rsidR="000A6420" w:rsidRPr="00AF3694" w:rsidRDefault="000A6420" w:rsidP="000A6420">
      <w:pPr>
        <w:rPr>
          <w:sz w:val="27"/>
          <w:szCs w:val="27"/>
          <w:lang w:eastAsia="en-US"/>
        </w:rPr>
      </w:pPr>
    </w:p>
    <w:p w14:paraId="221AEBAE" w14:textId="77777777" w:rsidR="006E083B" w:rsidRPr="00AF3694" w:rsidRDefault="006E083B" w:rsidP="00A94A91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7"/>
          <w:szCs w:val="27"/>
        </w:rPr>
      </w:pPr>
    </w:p>
    <w:sectPr w:rsidR="006E083B" w:rsidRPr="00AF3694" w:rsidSect="00AF3694">
      <w:headerReference w:type="default" r:id="rId9"/>
      <w:footerReference w:type="default" r:id="rId10"/>
      <w:footerReference w:type="first" r:id="rId11"/>
      <w:pgSz w:w="11906" w:h="16838" w:code="9"/>
      <w:pgMar w:top="1417" w:right="1134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3F7C6" w14:textId="77777777" w:rsidR="008A0012" w:rsidRDefault="008A0012">
      <w:r>
        <w:separator/>
      </w:r>
    </w:p>
  </w:endnote>
  <w:endnote w:type="continuationSeparator" w:id="0">
    <w:p w14:paraId="1E1572DC" w14:textId="77777777" w:rsidR="008A0012" w:rsidRDefault="008A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13051" w14:textId="7DA9A853" w:rsidR="00102AD0" w:rsidRPr="00102AD0" w:rsidRDefault="008B59D2" w:rsidP="0057084E">
    <w:pPr>
      <w:rPr>
        <w:sz w:val="20"/>
        <w:szCs w:val="20"/>
      </w:rPr>
    </w:pPr>
    <w:r>
      <w:rPr>
        <w:sz w:val="18"/>
        <w:szCs w:val="18"/>
      </w:rPr>
      <w:t>EMAnot_</w:t>
    </w:r>
    <w:r w:rsidR="002E7274">
      <w:rPr>
        <w:sz w:val="18"/>
        <w:szCs w:val="18"/>
      </w:rPr>
      <w:t>0</w:t>
    </w:r>
    <w:r w:rsidR="00E05630">
      <w:rPr>
        <w:sz w:val="18"/>
        <w:szCs w:val="18"/>
      </w:rPr>
      <w:t>6</w:t>
    </w:r>
    <w:r w:rsidR="002E7274">
      <w:rPr>
        <w:sz w:val="18"/>
        <w:szCs w:val="18"/>
      </w:rPr>
      <w:t>1217</w:t>
    </w:r>
    <w:r w:rsidRPr="00E96BC3">
      <w:rPr>
        <w:sz w:val="18"/>
        <w:szCs w:val="18"/>
      </w:rPr>
      <w:t>_</w:t>
    </w:r>
    <w:r w:rsidR="002E7274">
      <w:rPr>
        <w:sz w:val="18"/>
        <w:szCs w:val="18"/>
      </w:rPr>
      <w:t>VSS-1163</w:t>
    </w:r>
  </w:p>
  <w:p w14:paraId="44B74C5F" w14:textId="77777777" w:rsidR="006C0BDC" w:rsidRPr="009F3EFB" w:rsidRDefault="006C0BDC" w:rsidP="006C0BDC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0F543" w14:textId="77777777" w:rsidR="006457F2" w:rsidRPr="009F3EFB" w:rsidRDefault="00102AD0">
    <w:pPr>
      <w:pStyle w:val="Footer"/>
      <w:rPr>
        <w:sz w:val="20"/>
        <w:szCs w:val="20"/>
      </w:rPr>
    </w:pPr>
    <w:r>
      <w:rPr>
        <w:sz w:val="20"/>
        <w:szCs w:val="20"/>
      </w:rPr>
      <w:t>EM</w:t>
    </w:r>
    <w:r w:rsidR="00291A7E">
      <w:rPr>
        <w:sz w:val="20"/>
        <w:szCs w:val="20"/>
      </w:rPr>
      <w:t>n</w:t>
    </w:r>
    <w:r w:rsidR="009F3EFB">
      <w:rPr>
        <w:sz w:val="20"/>
        <w:szCs w:val="20"/>
      </w:rPr>
      <w:t>ot_010</w:t>
    </w:r>
    <w:r w:rsidR="00291A7E">
      <w:rPr>
        <w:sz w:val="20"/>
        <w:szCs w:val="20"/>
      </w:rPr>
      <w:t>9</w:t>
    </w:r>
    <w:r w:rsidR="009F3EFB">
      <w:rPr>
        <w:sz w:val="20"/>
        <w:szCs w:val="20"/>
      </w:rPr>
      <w:t>16_</w:t>
    </w:r>
    <w:r w:rsidR="004E3E9C">
      <w:rPr>
        <w:sz w:val="20"/>
        <w:szCs w:val="20"/>
      </w:rPr>
      <w:t>nosaukums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A4BF8" w14:textId="77777777" w:rsidR="008A0012" w:rsidRDefault="008A0012">
      <w:r>
        <w:separator/>
      </w:r>
    </w:p>
  </w:footnote>
  <w:footnote w:type="continuationSeparator" w:id="0">
    <w:p w14:paraId="4AC27761" w14:textId="77777777" w:rsidR="008A0012" w:rsidRDefault="008A0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403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C04719" w14:textId="1D6F3F39" w:rsidR="00AF3694" w:rsidRDefault="00AF36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748C4E" w14:textId="77777777" w:rsidR="00AF3694" w:rsidRPr="00AF3694" w:rsidRDefault="00AF3694" w:rsidP="00AF3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95B"/>
    <w:multiLevelType w:val="multilevel"/>
    <w:tmpl w:val="DFEE4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25E"/>
    <w:multiLevelType w:val="hybridMultilevel"/>
    <w:tmpl w:val="9C82B0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hideSpellingErrors/>
  <w:hideGrammaticalErrors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07231"/>
    <w:rsid w:val="00010E7F"/>
    <w:rsid w:val="0001382E"/>
    <w:rsid w:val="000149FD"/>
    <w:rsid w:val="0002187B"/>
    <w:rsid w:val="00023004"/>
    <w:rsid w:val="000343F2"/>
    <w:rsid w:val="0005778F"/>
    <w:rsid w:val="00064A65"/>
    <w:rsid w:val="00065417"/>
    <w:rsid w:val="00091881"/>
    <w:rsid w:val="00097A3F"/>
    <w:rsid w:val="000A5426"/>
    <w:rsid w:val="000A6420"/>
    <w:rsid w:val="000A7D69"/>
    <w:rsid w:val="000B5288"/>
    <w:rsid w:val="000B5831"/>
    <w:rsid w:val="000B5AE1"/>
    <w:rsid w:val="000C5642"/>
    <w:rsid w:val="000D0BD6"/>
    <w:rsid w:val="000F2D8F"/>
    <w:rsid w:val="00102AD0"/>
    <w:rsid w:val="00122A47"/>
    <w:rsid w:val="001254CA"/>
    <w:rsid w:val="001309B5"/>
    <w:rsid w:val="00137AC9"/>
    <w:rsid w:val="00143392"/>
    <w:rsid w:val="00143694"/>
    <w:rsid w:val="001525B9"/>
    <w:rsid w:val="00162B07"/>
    <w:rsid w:val="00166916"/>
    <w:rsid w:val="00166FCA"/>
    <w:rsid w:val="00170694"/>
    <w:rsid w:val="0017478B"/>
    <w:rsid w:val="00181AD6"/>
    <w:rsid w:val="001831F9"/>
    <w:rsid w:val="001920E1"/>
    <w:rsid w:val="00196238"/>
    <w:rsid w:val="001C2481"/>
    <w:rsid w:val="001C54BD"/>
    <w:rsid w:val="001D31F3"/>
    <w:rsid w:val="001D7F58"/>
    <w:rsid w:val="001E7CF0"/>
    <w:rsid w:val="001F21B6"/>
    <w:rsid w:val="002040C5"/>
    <w:rsid w:val="00216C6D"/>
    <w:rsid w:val="00224668"/>
    <w:rsid w:val="002324E9"/>
    <w:rsid w:val="00240843"/>
    <w:rsid w:val="00240C5D"/>
    <w:rsid w:val="00242C98"/>
    <w:rsid w:val="00253304"/>
    <w:rsid w:val="00291A7E"/>
    <w:rsid w:val="00294ED1"/>
    <w:rsid w:val="002A72A1"/>
    <w:rsid w:val="002B1439"/>
    <w:rsid w:val="002C51C0"/>
    <w:rsid w:val="002D5D3B"/>
    <w:rsid w:val="002D5FC0"/>
    <w:rsid w:val="002E590E"/>
    <w:rsid w:val="002E7274"/>
    <w:rsid w:val="002F09CE"/>
    <w:rsid w:val="002F71E6"/>
    <w:rsid w:val="00326F29"/>
    <w:rsid w:val="003460CE"/>
    <w:rsid w:val="003461B0"/>
    <w:rsid w:val="003657FB"/>
    <w:rsid w:val="00370725"/>
    <w:rsid w:val="00376CF7"/>
    <w:rsid w:val="00394279"/>
    <w:rsid w:val="00395BC5"/>
    <w:rsid w:val="003A1B3D"/>
    <w:rsid w:val="003B6775"/>
    <w:rsid w:val="003C368A"/>
    <w:rsid w:val="003E1992"/>
    <w:rsid w:val="003F2AFD"/>
    <w:rsid w:val="003F4BE5"/>
    <w:rsid w:val="00404CAA"/>
    <w:rsid w:val="00410661"/>
    <w:rsid w:val="00420148"/>
    <w:rsid w:val="004203E7"/>
    <w:rsid w:val="00433DAD"/>
    <w:rsid w:val="004466A0"/>
    <w:rsid w:val="00452998"/>
    <w:rsid w:val="00463FA0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60981"/>
    <w:rsid w:val="0057084E"/>
    <w:rsid w:val="00572852"/>
    <w:rsid w:val="00574B34"/>
    <w:rsid w:val="0058034F"/>
    <w:rsid w:val="005966AB"/>
    <w:rsid w:val="0059785F"/>
    <w:rsid w:val="005A250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33BA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C751B"/>
    <w:rsid w:val="006E083B"/>
    <w:rsid w:val="006E5D5F"/>
    <w:rsid w:val="006E5FE2"/>
    <w:rsid w:val="006E6314"/>
    <w:rsid w:val="00721036"/>
    <w:rsid w:val="00745484"/>
    <w:rsid w:val="00746861"/>
    <w:rsid w:val="00746F4F"/>
    <w:rsid w:val="00750ED9"/>
    <w:rsid w:val="00750EE3"/>
    <w:rsid w:val="00762E50"/>
    <w:rsid w:val="00774A4B"/>
    <w:rsid w:val="00775995"/>
    <w:rsid w:val="00775F74"/>
    <w:rsid w:val="00777358"/>
    <w:rsid w:val="00787DA8"/>
    <w:rsid w:val="007947CC"/>
    <w:rsid w:val="00796BFD"/>
    <w:rsid w:val="007B5DBD"/>
    <w:rsid w:val="007C4838"/>
    <w:rsid w:val="007C63F0"/>
    <w:rsid w:val="007D2DAB"/>
    <w:rsid w:val="007E6756"/>
    <w:rsid w:val="007F6541"/>
    <w:rsid w:val="007F7F31"/>
    <w:rsid w:val="0080189A"/>
    <w:rsid w:val="00802C2C"/>
    <w:rsid w:val="00812AFA"/>
    <w:rsid w:val="008205CF"/>
    <w:rsid w:val="00834F7E"/>
    <w:rsid w:val="00837BBE"/>
    <w:rsid w:val="0084250A"/>
    <w:rsid w:val="008467C5"/>
    <w:rsid w:val="0086399E"/>
    <w:rsid w:val="008644A0"/>
    <w:rsid w:val="00864D00"/>
    <w:rsid w:val="008678E7"/>
    <w:rsid w:val="00871391"/>
    <w:rsid w:val="00871DBE"/>
    <w:rsid w:val="008769BC"/>
    <w:rsid w:val="008A0012"/>
    <w:rsid w:val="008A7539"/>
    <w:rsid w:val="008B59D2"/>
    <w:rsid w:val="008B5A9F"/>
    <w:rsid w:val="008C0C2F"/>
    <w:rsid w:val="008C7A3B"/>
    <w:rsid w:val="008D5CC2"/>
    <w:rsid w:val="008E6462"/>
    <w:rsid w:val="008E7807"/>
    <w:rsid w:val="008F0423"/>
    <w:rsid w:val="00900023"/>
    <w:rsid w:val="00903C8F"/>
    <w:rsid w:val="00907025"/>
    <w:rsid w:val="009079D9"/>
    <w:rsid w:val="00910156"/>
    <w:rsid w:val="009172AE"/>
    <w:rsid w:val="00932D89"/>
    <w:rsid w:val="00947B4D"/>
    <w:rsid w:val="00975AB8"/>
    <w:rsid w:val="0097781C"/>
    <w:rsid w:val="00980D1E"/>
    <w:rsid w:val="0098390C"/>
    <w:rsid w:val="009A7A12"/>
    <w:rsid w:val="009C5A63"/>
    <w:rsid w:val="009D1238"/>
    <w:rsid w:val="009E1632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822D1"/>
    <w:rsid w:val="00A85A5E"/>
    <w:rsid w:val="00A94A91"/>
    <w:rsid w:val="00A94F3A"/>
    <w:rsid w:val="00A955E2"/>
    <w:rsid w:val="00A97155"/>
    <w:rsid w:val="00AB02EB"/>
    <w:rsid w:val="00AB0AC9"/>
    <w:rsid w:val="00AC23DE"/>
    <w:rsid w:val="00AD28A5"/>
    <w:rsid w:val="00AF3694"/>
    <w:rsid w:val="00AF5AB5"/>
    <w:rsid w:val="00B12F17"/>
    <w:rsid w:val="00B1583A"/>
    <w:rsid w:val="00B22DD7"/>
    <w:rsid w:val="00B249E8"/>
    <w:rsid w:val="00B30445"/>
    <w:rsid w:val="00B30D1A"/>
    <w:rsid w:val="00B4079F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BE2EE5"/>
    <w:rsid w:val="00BE59C3"/>
    <w:rsid w:val="00C00364"/>
    <w:rsid w:val="00C00A8E"/>
    <w:rsid w:val="00C27AF9"/>
    <w:rsid w:val="00C31E7D"/>
    <w:rsid w:val="00C406ED"/>
    <w:rsid w:val="00C44DE9"/>
    <w:rsid w:val="00C53AD0"/>
    <w:rsid w:val="00C775C3"/>
    <w:rsid w:val="00C81878"/>
    <w:rsid w:val="00C903DE"/>
    <w:rsid w:val="00C93126"/>
    <w:rsid w:val="00CA30A6"/>
    <w:rsid w:val="00CA7A60"/>
    <w:rsid w:val="00CB5FA4"/>
    <w:rsid w:val="00CB6776"/>
    <w:rsid w:val="00CC0D57"/>
    <w:rsid w:val="00CE04CC"/>
    <w:rsid w:val="00CE0B90"/>
    <w:rsid w:val="00CE15EE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87618"/>
    <w:rsid w:val="00D92529"/>
    <w:rsid w:val="00D962ED"/>
    <w:rsid w:val="00DA298E"/>
    <w:rsid w:val="00DA4BAA"/>
    <w:rsid w:val="00DA50C6"/>
    <w:rsid w:val="00DC25B2"/>
    <w:rsid w:val="00DD3A2A"/>
    <w:rsid w:val="00DF3976"/>
    <w:rsid w:val="00E05630"/>
    <w:rsid w:val="00E21812"/>
    <w:rsid w:val="00E25C04"/>
    <w:rsid w:val="00E36A1B"/>
    <w:rsid w:val="00E43197"/>
    <w:rsid w:val="00E555E7"/>
    <w:rsid w:val="00E6461F"/>
    <w:rsid w:val="00E725A4"/>
    <w:rsid w:val="00E826B4"/>
    <w:rsid w:val="00E94494"/>
    <w:rsid w:val="00E9624A"/>
    <w:rsid w:val="00EA363C"/>
    <w:rsid w:val="00EA43C2"/>
    <w:rsid w:val="00EA441A"/>
    <w:rsid w:val="00EA7694"/>
    <w:rsid w:val="00EB0545"/>
    <w:rsid w:val="00EB16AA"/>
    <w:rsid w:val="00EC16CA"/>
    <w:rsid w:val="00EC7F10"/>
    <w:rsid w:val="00EF258D"/>
    <w:rsid w:val="00EF558D"/>
    <w:rsid w:val="00F04334"/>
    <w:rsid w:val="00F0572A"/>
    <w:rsid w:val="00F12337"/>
    <w:rsid w:val="00F14001"/>
    <w:rsid w:val="00F16D93"/>
    <w:rsid w:val="00F17041"/>
    <w:rsid w:val="00F23BB8"/>
    <w:rsid w:val="00F2734A"/>
    <w:rsid w:val="00F416E7"/>
    <w:rsid w:val="00F43C28"/>
    <w:rsid w:val="00F46737"/>
    <w:rsid w:val="00F54E5F"/>
    <w:rsid w:val="00F62C80"/>
    <w:rsid w:val="00F66545"/>
    <w:rsid w:val="00F749DB"/>
    <w:rsid w:val="00F765E5"/>
    <w:rsid w:val="00F77E25"/>
    <w:rsid w:val="00F801B9"/>
    <w:rsid w:val="00F844B6"/>
    <w:rsid w:val="00F85B78"/>
    <w:rsid w:val="00F870C8"/>
    <w:rsid w:val="00F900BC"/>
    <w:rsid w:val="00FA08B2"/>
    <w:rsid w:val="00FA4502"/>
    <w:rsid w:val="00FA63F1"/>
    <w:rsid w:val="00FB16E8"/>
    <w:rsid w:val="00FB47BE"/>
    <w:rsid w:val="00FC3561"/>
    <w:rsid w:val="00FD34BC"/>
    <w:rsid w:val="00FD3805"/>
    <w:rsid w:val="00FF0B30"/>
    <w:rsid w:val="00FF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8D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903C8F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next w:val="EnvelopeReturn"/>
    <w:link w:val="SignatureChar"/>
    <w:uiPriority w:val="99"/>
    <w:rsid w:val="00EF558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EF558D"/>
    <w:rPr>
      <w:rFonts w:ascii="Times New Roman" w:eastAsia="Times New Roman" w:hAnsi="Times New Roman"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903C8F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next w:val="EnvelopeReturn"/>
    <w:link w:val="SignatureChar"/>
    <w:uiPriority w:val="99"/>
    <w:rsid w:val="00EF558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EF558D"/>
    <w:rPr>
      <w:rFonts w:ascii="Times New Roman" w:eastAsia="Times New Roman" w:hAnsi="Times New Roman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B753-AE66-45AC-96AB-FE238032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3087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12. jūlija noteikumos Nr. 459 "Aizsargātā lietotāja tirdzniecības pakalpojuma sniegšanas un sadales sistēmas pakalpojuma kompensēšanas kārtība"</vt:lpstr>
    </vt:vector>
  </TitlesOfParts>
  <Company>Ekonomikas ministrija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12. jūlija noteikumos Nr. 459 "Aizsargātā lietotāja tirdzniecības pakalpojuma sniegšanas un sadales sistēmas pakalpojuma kompensēšanas kārtība"</dc:title>
  <dc:subject>Noteikumu projekts</dc:subject>
  <dc:creator>Ina Freimane</dc:creator>
  <dc:description>670013229, ina.freimane@em.gov.lv</dc:description>
  <cp:lastModifiedBy>Laimdota Adlere</cp:lastModifiedBy>
  <cp:revision>4</cp:revision>
  <cp:lastPrinted>2017-12-12T12:17:00Z</cp:lastPrinted>
  <dcterms:created xsi:type="dcterms:W3CDTF">2017-12-13T11:24:00Z</dcterms:created>
  <dcterms:modified xsi:type="dcterms:W3CDTF">2017-12-13T11:25:00Z</dcterms:modified>
</cp:coreProperties>
</file>