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9F" w:rsidRPr="00AF4A7A" w:rsidRDefault="00A02B11" w:rsidP="00DF0D9F">
      <w:pPr>
        <w:pStyle w:val="Footer"/>
        <w:ind w:firstLine="0"/>
        <w:jc w:val="center"/>
        <w:rPr>
          <w:b/>
          <w:sz w:val="24"/>
          <w:szCs w:val="24"/>
        </w:rPr>
      </w:pPr>
      <w:r w:rsidRPr="00AF4A7A">
        <w:rPr>
          <w:b/>
          <w:sz w:val="24"/>
          <w:szCs w:val="24"/>
        </w:rPr>
        <w:tab/>
      </w:r>
      <w:r w:rsidR="00965309" w:rsidRPr="00AF4A7A">
        <w:rPr>
          <w:b/>
          <w:sz w:val="24"/>
          <w:szCs w:val="24"/>
        </w:rPr>
        <w:t>Ministru kabineta noteikumu projekta</w:t>
      </w:r>
      <w:r w:rsidR="000C6111" w:rsidRPr="00AF4A7A">
        <w:rPr>
          <w:b/>
          <w:sz w:val="24"/>
          <w:szCs w:val="24"/>
        </w:rPr>
        <w:t xml:space="preserve"> </w:t>
      </w:r>
      <w:r w:rsidR="00DF0D9F" w:rsidRPr="00AF4A7A">
        <w:rPr>
          <w:b/>
          <w:sz w:val="24"/>
          <w:szCs w:val="24"/>
        </w:rPr>
        <w:t>“</w:t>
      </w:r>
      <w:r w:rsidR="006E47C1" w:rsidRPr="006E47C1">
        <w:rPr>
          <w:b/>
          <w:sz w:val="24"/>
          <w:szCs w:val="24"/>
        </w:rPr>
        <w:t>Valsts civilās aizsardzības kontaktpunkta noteikumi</w:t>
      </w:r>
      <w:r w:rsidR="00DF0D9F" w:rsidRPr="00AF4A7A">
        <w:rPr>
          <w:b/>
          <w:sz w:val="24"/>
          <w:szCs w:val="24"/>
        </w:rPr>
        <w:t>” sākotnējās ietekmes novērtējuma ziņojums (anotācija)</w:t>
      </w:r>
    </w:p>
    <w:p w:rsidR="00965309" w:rsidRPr="00AF4A7A" w:rsidRDefault="00DF0D9F" w:rsidP="00DF0D9F">
      <w:pPr>
        <w:jc w:val="center"/>
        <w:rPr>
          <w:sz w:val="24"/>
          <w:szCs w:val="24"/>
        </w:rPr>
      </w:pPr>
      <w:r w:rsidRPr="00AF4A7A">
        <w:rPr>
          <w:b/>
          <w:bCs/>
          <w:sz w:val="24"/>
          <w:szCs w:val="24"/>
          <w:lang w:eastAsia="lv-LV"/>
        </w:rPr>
        <w:t xml:space="preserve"> </w:t>
      </w:r>
    </w:p>
    <w:tbl>
      <w:tblPr>
        <w:tblStyle w:val="TableGrid"/>
        <w:tblW w:w="5164" w:type="pct"/>
        <w:tblLook w:val="00A0" w:firstRow="1" w:lastRow="0" w:firstColumn="1" w:lastColumn="0" w:noHBand="0" w:noVBand="0"/>
      </w:tblPr>
      <w:tblGrid>
        <w:gridCol w:w="703"/>
        <w:gridCol w:w="2978"/>
        <w:gridCol w:w="5677"/>
      </w:tblGrid>
      <w:tr w:rsidR="00AF4A7A" w:rsidRPr="00AF4A7A" w:rsidTr="00394F72">
        <w:trPr>
          <w:trHeight w:val="405"/>
        </w:trPr>
        <w:tc>
          <w:tcPr>
            <w:tcW w:w="5000" w:type="pct"/>
            <w:gridSpan w:val="3"/>
          </w:tcPr>
          <w:p w:rsidR="00965309" w:rsidRPr="00AF4A7A" w:rsidRDefault="00965309" w:rsidP="00862D0F">
            <w:pPr>
              <w:spacing w:before="100" w:beforeAutospacing="1" w:after="100" w:afterAutospacing="1"/>
              <w:ind w:firstLine="0"/>
              <w:jc w:val="center"/>
              <w:rPr>
                <w:b/>
                <w:bCs/>
                <w:sz w:val="24"/>
                <w:szCs w:val="24"/>
                <w:lang w:eastAsia="lv-LV"/>
              </w:rPr>
            </w:pPr>
            <w:r w:rsidRPr="00AF4A7A">
              <w:rPr>
                <w:b/>
                <w:bCs/>
                <w:sz w:val="24"/>
                <w:szCs w:val="24"/>
                <w:lang w:eastAsia="lv-LV"/>
              </w:rPr>
              <w:t>I. Tiesību akta projekta izstrādes nepieciešamība</w:t>
            </w:r>
          </w:p>
        </w:tc>
      </w:tr>
      <w:tr w:rsidR="00AF4A7A" w:rsidRPr="00AF4A7A" w:rsidTr="00394F72">
        <w:trPr>
          <w:trHeight w:val="405"/>
        </w:trPr>
        <w:tc>
          <w:tcPr>
            <w:tcW w:w="376" w:type="pct"/>
          </w:tcPr>
          <w:p w:rsidR="00965309" w:rsidRPr="00AF4A7A" w:rsidRDefault="00965309" w:rsidP="00862D0F">
            <w:pPr>
              <w:spacing w:before="100" w:beforeAutospacing="1" w:after="100" w:afterAutospacing="1"/>
              <w:ind w:firstLine="0"/>
              <w:jc w:val="center"/>
              <w:rPr>
                <w:sz w:val="24"/>
                <w:szCs w:val="24"/>
                <w:lang w:eastAsia="lv-LV"/>
              </w:rPr>
            </w:pPr>
            <w:r w:rsidRPr="00AF4A7A">
              <w:rPr>
                <w:sz w:val="24"/>
                <w:szCs w:val="24"/>
                <w:lang w:eastAsia="lv-LV"/>
              </w:rPr>
              <w:t>1.</w:t>
            </w:r>
          </w:p>
        </w:tc>
        <w:tc>
          <w:tcPr>
            <w:tcW w:w="1591" w:type="pct"/>
          </w:tcPr>
          <w:p w:rsidR="00965309" w:rsidRPr="00AF4A7A" w:rsidRDefault="00965309" w:rsidP="00862D0F">
            <w:pPr>
              <w:ind w:firstLine="0"/>
              <w:jc w:val="left"/>
              <w:rPr>
                <w:sz w:val="24"/>
                <w:szCs w:val="24"/>
                <w:lang w:eastAsia="lv-LV"/>
              </w:rPr>
            </w:pPr>
            <w:r w:rsidRPr="00AF4A7A">
              <w:rPr>
                <w:sz w:val="24"/>
                <w:szCs w:val="24"/>
                <w:lang w:eastAsia="lv-LV"/>
              </w:rPr>
              <w:t>Pamatojums</w:t>
            </w:r>
          </w:p>
        </w:tc>
        <w:tc>
          <w:tcPr>
            <w:tcW w:w="3033" w:type="pct"/>
          </w:tcPr>
          <w:p w:rsidR="0054079E" w:rsidRPr="00AF4A7A" w:rsidRDefault="00CD6044" w:rsidP="002D60EE">
            <w:pPr>
              <w:pStyle w:val="Heading5"/>
              <w:ind w:firstLine="513"/>
              <w:jc w:val="both"/>
            </w:pPr>
            <w:r w:rsidRPr="00AF4A7A">
              <w:rPr>
                <w:b w:val="0"/>
                <w:sz w:val="24"/>
                <w:szCs w:val="24"/>
              </w:rPr>
              <w:t>Civilās aizsardzības un katastrofas pārvaldīšanas likum</w:t>
            </w:r>
            <w:r w:rsidR="003C3021" w:rsidRPr="00AF4A7A">
              <w:rPr>
                <w:b w:val="0"/>
                <w:sz w:val="24"/>
                <w:szCs w:val="24"/>
              </w:rPr>
              <w:t>a</w:t>
            </w:r>
            <w:r w:rsidR="004351E9" w:rsidRPr="00AF4A7A">
              <w:rPr>
                <w:b w:val="0"/>
                <w:sz w:val="24"/>
                <w:szCs w:val="24"/>
              </w:rPr>
              <w:t xml:space="preserve"> </w:t>
            </w:r>
            <w:r w:rsidR="00624BF2" w:rsidRPr="00AF4A7A">
              <w:rPr>
                <w:b w:val="0"/>
                <w:sz w:val="24"/>
                <w:szCs w:val="24"/>
              </w:rPr>
              <w:t>8.panta otrās daļas 6.punkt</w:t>
            </w:r>
            <w:r w:rsidR="005D527C" w:rsidRPr="00AF4A7A">
              <w:rPr>
                <w:b w:val="0"/>
                <w:sz w:val="24"/>
                <w:szCs w:val="24"/>
              </w:rPr>
              <w:t>s</w:t>
            </w:r>
            <w:r w:rsidR="003C3021" w:rsidRPr="00AF4A7A">
              <w:rPr>
                <w:b w:val="0"/>
                <w:sz w:val="24"/>
                <w:szCs w:val="24"/>
              </w:rPr>
              <w:t>.</w:t>
            </w:r>
            <w:r w:rsidRPr="00AF4A7A">
              <w:rPr>
                <w:b w:val="0"/>
                <w:sz w:val="24"/>
                <w:szCs w:val="24"/>
              </w:rPr>
              <w:t xml:space="preserve"> </w:t>
            </w:r>
          </w:p>
        </w:tc>
      </w:tr>
      <w:tr w:rsidR="00AF4A7A" w:rsidRPr="00AF4A7A" w:rsidTr="00394F72">
        <w:trPr>
          <w:trHeight w:val="465"/>
        </w:trPr>
        <w:tc>
          <w:tcPr>
            <w:tcW w:w="376" w:type="pct"/>
          </w:tcPr>
          <w:p w:rsidR="00965309" w:rsidRPr="00AF4A7A" w:rsidRDefault="00965309" w:rsidP="00862D0F">
            <w:pPr>
              <w:spacing w:before="100" w:beforeAutospacing="1" w:after="100" w:afterAutospacing="1"/>
              <w:ind w:firstLine="0"/>
              <w:jc w:val="center"/>
              <w:rPr>
                <w:sz w:val="24"/>
                <w:szCs w:val="24"/>
                <w:lang w:eastAsia="lv-LV"/>
              </w:rPr>
            </w:pPr>
            <w:r w:rsidRPr="00AF4A7A">
              <w:rPr>
                <w:sz w:val="24"/>
                <w:szCs w:val="24"/>
                <w:lang w:eastAsia="lv-LV"/>
              </w:rPr>
              <w:t>2.</w:t>
            </w:r>
          </w:p>
        </w:tc>
        <w:tc>
          <w:tcPr>
            <w:tcW w:w="1591" w:type="pct"/>
          </w:tcPr>
          <w:p w:rsidR="00965309" w:rsidRPr="00AF4A7A" w:rsidRDefault="00965309" w:rsidP="00C01A54">
            <w:pPr>
              <w:ind w:firstLine="0"/>
              <w:jc w:val="left"/>
              <w:rPr>
                <w:sz w:val="24"/>
                <w:szCs w:val="24"/>
                <w:lang w:eastAsia="lv-LV"/>
              </w:rPr>
            </w:pPr>
            <w:r w:rsidRPr="00AF4A7A">
              <w:rPr>
                <w:sz w:val="24"/>
                <w:szCs w:val="24"/>
                <w:lang w:eastAsia="lv-LV"/>
              </w:rPr>
              <w:t>Pašreizējā situācija un problēmas, kuru risināšanai tiesību akta projekts izstrādāts, tiesiskā regulējuma mērķis un būtība</w:t>
            </w:r>
          </w:p>
        </w:tc>
        <w:tc>
          <w:tcPr>
            <w:tcW w:w="3033" w:type="pct"/>
          </w:tcPr>
          <w:p w:rsidR="0054079E" w:rsidRPr="00AF4A7A" w:rsidRDefault="00AC62DD" w:rsidP="0041514E">
            <w:pPr>
              <w:ind w:firstLine="400"/>
              <w:rPr>
                <w:iCs/>
                <w:sz w:val="24"/>
                <w:szCs w:val="24"/>
              </w:rPr>
            </w:pPr>
            <w:r w:rsidRPr="00AF4A7A">
              <w:rPr>
                <w:iCs/>
                <w:sz w:val="24"/>
                <w:szCs w:val="24"/>
              </w:rPr>
              <w:t>2016.gada 1.oktobrī stājās spēkā Civilās aizsardzības un katastrofas pārvaldīšanas likums</w:t>
            </w:r>
            <w:r w:rsidR="00912AA0" w:rsidRPr="00AF4A7A">
              <w:rPr>
                <w:rStyle w:val="FootnoteReference"/>
                <w:sz w:val="24"/>
                <w:szCs w:val="24"/>
              </w:rPr>
              <w:footnoteReference w:id="1"/>
            </w:r>
            <w:r w:rsidR="00DD7343" w:rsidRPr="00AF4A7A">
              <w:rPr>
                <w:iCs/>
                <w:sz w:val="24"/>
                <w:szCs w:val="24"/>
              </w:rPr>
              <w:t xml:space="preserve">. Saskaņā ar </w:t>
            </w:r>
            <w:r w:rsidRPr="00AF4A7A">
              <w:rPr>
                <w:bCs/>
                <w:iCs/>
                <w:sz w:val="24"/>
                <w:szCs w:val="24"/>
              </w:rPr>
              <w:t>Civilās aizsardzības un kat</w:t>
            </w:r>
            <w:r w:rsidR="004351E9" w:rsidRPr="00AF4A7A">
              <w:rPr>
                <w:bCs/>
                <w:iCs/>
                <w:sz w:val="24"/>
                <w:szCs w:val="24"/>
              </w:rPr>
              <w:t xml:space="preserve">astrofas pārvaldīšanas likuma  </w:t>
            </w:r>
            <w:r w:rsidR="0041514E" w:rsidRPr="00AF4A7A">
              <w:rPr>
                <w:sz w:val="24"/>
                <w:szCs w:val="24"/>
              </w:rPr>
              <w:t>8.panta otrās daļas 6.punktu</w:t>
            </w:r>
            <w:r w:rsidR="00912AA0" w:rsidRPr="00AF4A7A">
              <w:rPr>
                <w:sz w:val="24"/>
                <w:szCs w:val="24"/>
              </w:rPr>
              <w:t xml:space="preserve"> </w:t>
            </w:r>
            <w:r w:rsidR="00DD7343" w:rsidRPr="00AF4A7A">
              <w:rPr>
                <w:bCs/>
                <w:iCs/>
                <w:sz w:val="24"/>
                <w:szCs w:val="24"/>
              </w:rPr>
              <w:t>Ministru kabinetam tiek dots uzdevums noteikt</w:t>
            </w:r>
            <w:r w:rsidR="0041514E" w:rsidRPr="00AF4A7A">
              <w:rPr>
                <w:bCs/>
                <w:iCs/>
                <w:sz w:val="24"/>
                <w:szCs w:val="24"/>
              </w:rPr>
              <w:t xml:space="preserve"> valsts civilās aizsardzības kontaktpunkta izveidošanas kārtību, tā uzdevumus un tiesības, un kārtību, kādā tas sadarbojas ar Ārkārtējo situāciju reaģēšanas un koordinēšanas centru, </w:t>
            </w:r>
            <w:proofErr w:type="spellStart"/>
            <w:r w:rsidR="0041514E" w:rsidRPr="00AF4A7A">
              <w:rPr>
                <w:bCs/>
                <w:iCs/>
                <w:sz w:val="24"/>
                <w:szCs w:val="24"/>
              </w:rPr>
              <w:t>Eiroatlantijas</w:t>
            </w:r>
            <w:proofErr w:type="spellEnd"/>
            <w:r w:rsidR="0041514E" w:rsidRPr="00AF4A7A">
              <w:rPr>
                <w:bCs/>
                <w:iCs/>
                <w:sz w:val="24"/>
                <w:szCs w:val="24"/>
              </w:rPr>
              <w:t xml:space="preserve"> katastrofu reaģēšanas un koordinēšanas centru un citām starptautiskajām organizācijām un ārvalstīm. </w:t>
            </w:r>
            <w:r w:rsidRPr="00AF4A7A">
              <w:rPr>
                <w:iCs/>
                <w:sz w:val="24"/>
                <w:szCs w:val="24"/>
              </w:rPr>
              <w:t>Ņemot vērā minēto, ir sagatavots Ministru kabineta noteikumu projekts</w:t>
            </w:r>
            <w:r w:rsidR="0041514E" w:rsidRPr="00AF4A7A">
              <w:rPr>
                <w:iCs/>
                <w:sz w:val="24"/>
                <w:szCs w:val="24"/>
              </w:rPr>
              <w:t xml:space="preserve"> </w:t>
            </w:r>
            <w:r w:rsidRPr="00AF4A7A">
              <w:rPr>
                <w:iCs/>
                <w:sz w:val="24"/>
                <w:szCs w:val="24"/>
              </w:rPr>
              <w:t>(turpmāk – Noteikumu projekts).</w:t>
            </w:r>
          </w:p>
          <w:p w:rsidR="003874A2" w:rsidRPr="00AF4A7A" w:rsidRDefault="00D37F78" w:rsidP="0041514E">
            <w:pPr>
              <w:ind w:firstLine="400"/>
              <w:rPr>
                <w:sz w:val="24"/>
                <w:szCs w:val="24"/>
                <w:shd w:val="clear" w:color="auto" w:fill="FFFFFF"/>
              </w:rPr>
            </w:pPr>
            <w:r w:rsidRPr="00AF4A7A">
              <w:rPr>
                <w:iCs/>
                <w:sz w:val="24"/>
                <w:szCs w:val="24"/>
              </w:rPr>
              <w:t xml:space="preserve">Sagatavojot Noteikumu projektu, izmantota Valsts ugunsdzēsības un glābšanas dienesta (turpmāk – VUGD) uzkrātā pieredze un zināšanas, kuras </w:t>
            </w:r>
            <w:r w:rsidR="005D527C" w:rsidRPr="00AF4A7A">
              <w:rPr>
                <w:iCs/>
                <w:sz w:val="24"/>
                <w:szCs w:val="24"/>
              </w:rPr>
              <w:t xml:space="preserve">veidojušās </w:t>
            </w:r>
            <w:r w:rsidR="005D527C" w:rsidRPr="00AF4A7A">
              <w:rPr>
                <w:bCs/>
                <w:iCs/>
                <w:sz w:val="24"/>
                <w:szCs w:val="24"/>
              </w:rPr>
              <w:t xml:space="preserve">sadarbības ietvaros ar </w:t>
            </w:r>
            <w:r w:rsidR="005D527C" w:rsidRPr="00AF4A7A">
              <w:rPr>
                <w:sz w:val="24"/>
                <w:szCs w:val="24"/>
              </w:rPr>
              <w:t xml:space="preserve">Ārkārtējo situāciju reaģēšanas un koordinēšanas centru (turpmāk – ES ERCC) un Ziemeļatlantijas līguma organizācijas </w:t>
            </w:r>
            <w:proofErr w:type="spellStart"/>
            <w:r w:rsidR="005D527C" w:rsidRPr="00AF4A7A">
              <w:rPr>
                <w:sz w:val="24"/>
                <w:szCs w:val="24"/>
              </w:rPr>
              <w:t>Eiroatlantijas</w:t>
            </w:r>
            <w:proofErr w:type="spellEnd"/>
            <w:r w:rsidR="005D527C" w:rsidRPr="00AF4A7A">
              <w:rPr>
                <w:sz w:val="24"/>
                <w:szCs w:val="24"/>
              </w:rPr>
              <w:t xml:space="preserve"> katastrofu reaģēšanas un koordinēšanas centru (turpmāk – NATO EADRCC) </w:t>
            </w:r>
            <w:r w:rsidR="005D527C" w:rsidRPr="00AF4A7A">
              <w:rPr>
                <w:bCs/>
                <w:iCs/>
                <w:sz w:val="24"/>
                <w:szCs w:val="24"/>
              </w:rPr>
              <w:t xml:space="preserve">un citām starptautiskajām organizācijām un ārvalstīm. Šī sadarbība, galvenokārt, veidojusies Latvijai sniedzot starptautisko palīdzību, piemēram, nosūtot ekspertus vai reaģēšanas resursus uz katastrofas skarto valsti, kā arī sniedzot humāno palīdzību. </w:t>
            </w:r>
            <w:r w:rsidRPr="00AF4A7A">
              <w:rPr>
                <w:iCs/>
                <w:sz w:val="24"/>
                <w:szCs w:val="24"/>
              </w:rPr>
              <w:t>Sniedzot humāno palīdzību un nod</w:t>
            </w:r>
            <w:r w:rsidR="005D527C" w:rsidRPr="00AF4A7A">
              <w:rPr>
                <w:iCs/>
                <w:sz w:val="24"/>
                <w:szCs w:val="24"/>
              </w:rPr>
              <w:t>rošinot starptautisko palīdzību</w:t>
            </w:r>
            <w:r w:rsidRPr="00AF4A7A">
              <w:rPr>
                <w:iCs/>
                <w:sz w:val="24"/>
                <w:szCs w:val="24"/>
              </w:rPr>
              <w:t xml:space="preserve"> VUGD nodrošināja </w:t>
            </w:r>
            <w:r w:rsidR="00F35070" w:rsidRPr="00AF4A7A">
              <w:rPr>
                <w:iCs/>
                <w:sz w:val="24"/>
                <w:szCs w:val="24"/>
              </w:rPr>
              <w:t xml:space="preserve">civilās aizsardzības </w:t>
            </w:r>
            <w:r w:rsidR="0072197E" w:rsidRPr="00AF4A7A">
              <w:rPr>
                <w:iCs/>
                <w:sz w:val="24"/>
                <w:szCs w:val="24"/>
              </w:rPr>
              <w:t xml:space="preserve">kontaktpunkta </w:t>
            </w:r>
            <w:r w:rsidR="009D1AE2" w:rsidRPr="00AF4A7A">
              <w:rPr>
                <w:iCs/>
                <w:sz w:val="24"/>
                <w:szCs w:val="24"/>
              </w:rPr>
              <w:t xml:space="preserve">(turpmāk – kontaktpunkts) </w:t>
            </w:r>
            <w:r w:rsidR="0072197E" w:rsidRPr="00AF4A7A">
              <w:rPr>
                <w:iCs/>
                <w:sz w:val="24"/>
                <w:szCs w:val="24"/>
              </w:rPr>
              <w:t>funkcijas, kuras bija saistītas ar sada</w:t>
            </w:r>
            <w:r w:rsidR="00EC70AE" w:rsidRPr="00AF4A7A">
              <w:rPr>
                <w:iCs/>
                <w:sz w:val="24"/>
                <w:szCs w:val="24"/>
              </w:rPr>
              <w:t xml:space="preserve">rbību un informācijas apriti ar </w:t>
            </w:r>
            <w:r w:rsidR="0072197E" w:rsidRPr="00AF4A7A">
              <w:rPr>
                <w:sz w:val="24"/>
                <w:szCs w:val="24"/>
              </w:rPr>
              <w:t>NATO EADRCC.</w:t>
            </w:r>
            <w:r w:rsidR="00D005D5" w:rsidRPr="00AF4A7A">
              <w:rPr>
                <w:sz w:val="24"/>
                <w:szCs w:val="24"/>
              </w:rPr>
              <w:t xml:space="preserve"> Piemēram, </w:t>
            </w:r>
            <w:r w:rsidR="00D005D5" w:rsidRPr="00AF4A7A">
              <w:rPr>
                <w:iCs/>
                <w:sz w:val="24"/>
                <w:szCs w:val="24"/>
              </w:rPr>
              <w:t>Latvija nodrošināja humāno palīdzību Gruzijai karadarbības izraisīto seku pārvarēšanai</w:t>
            </w:r>
            <w:r w:rsidR="00D005D5" w:rsidRPr="00AF4A7A">
              <w:rPr>
                <w:rStyle w:val="FootnoteReference"/>
                <w:iCs/>
                <w:sz w:val="24"/>
                <w:szCs w:val="24"/>
              </w:rPr>
              <w:footnoteReference w:id="2"/>
            </w:r>
            <w:r w:rsidR="00D005D5" w:rsidRPr="00AF4A7A">
              <w:rPr>
                <w:iCs/>
                <w:sz w:val="24"/>
                <w:szCs w:val="24"/>
              </w:rPr>
              <w:t xml:space="preserve"> un Ukrainai akūta respiratorā vīrusa saslimšanas un pandēmiskās gripas (H1N1) izraisīto seku ierobežošanai un likvidēšanai</w:t>
            </w:r>
            <w:r w:rsidR="00D005D5" w:rsidRPr="00AF4A7A">
              <w:rPr>
                <w:rStyle w:val="FootnoteReference"/>
                <w:iCs/>
                <w:sz w:val="24"/>
                <w:szCs w:val="24"/>
              </w:rPr>
              <w:footnoteReference w:id="3"/>
            </w:r>
            <w:r w:rsidR="00D005D5" w:rsidRPr="00AF4A7A">
              <w:rPr>
                <w:iCs/>
                <w:sz w:val="24"/>
                <w:szCs w:val="24"/>
              </w:rPr>
              <w:t xml:space="preserve">, kura laikā VUGD nodrošināja </w:t>
            </w:r>
            <w:r w:rsidR="009D1AE2" w:rsidRPr="00AF4A7A">
              <w:rPr>
                <w:iCs/>
                <w:sz w:val="24"/>
                <w:szCs w:val="24"/>
              </w:rPr>
              <w:t xml:space="preserve">kontaktpunkta uzdevumus – </w:t>
            </w:r>
            <w:r w:rsidR="00D005D5" w:rsidRPr="00AF4A7A">
              <w:rPr>
                <w:iCs/>
                <w:sz w:val="24"/>
                <w:szCs w:val="24"/>
              </w:rPr>
              <w:t>koordinē</w:t>
            </w:r>
            <w:r w:rsidR="009D1AE2" w:rsidRPr="00AF4A7A">
              <w:rPr>
                <w:iCs/>
                <w:sz w:val="24"/>
                <w:szCs w:val="24"/>
              </w:rPr>
              <w:t>ja</w:t>
            </w:r>
            <w:r w:rsidR="00D005D5" w:rsidRPr="00AF4A7A">
              <w:rPr>
                <w:iCs/>
                <w:sz w:val="24"/>
                <w:szCs w:val="24"/>
              </w:rPr>
              <w:t xml:space="preserve"> informācijas apmaiņu ar ES ERCC</w:t>
            </w:r>
            <w:r w:rsidR="00F35070" w:rsidRPr="00AF4A7A">
              <w:rPr>
                <w:iCs/>
                <w:sz w:val="24"/>
                <w:szCs w:val="24"/>
              </w:rPr>
              <w:t>.</w:t>
            </w:r>
            <w:r w:rsidR="00D005D5" w:rsidRPr="00AF4A7A">
              <w:rPr>
                <w:iCs/>
                <w:sz w:val="24"/>
                <w:szCs w:val="24"/>
              </w:rPr>
              <w:t xml:space="preserve"> </w:t>
            </w:r>
            <w:r w:rsidR="005D527C" w:rsidRPr="00AF4A7A">
              <w:rPr>
                <w:iCs/>
                <w:sz w:val="24"/>
                <w:szCs w:val="24"/>
              </w:rPr>
              <w:t xml:space="preserve">Savukārt starptautiskās palīdzības ietvaros 2014.gada maijā trīs Baltijas valstu glābšanas dienestu kopīgi veidotā plūdu seku likvidēšanas vienība (Augstas veiktspējas sūknēšanas modulis - </w:t>
            </w:r>
            <w:proofErr w:type="spellStart"/>
            <w:r w:rsidR="005D527C" w:rsidRPr="00AF4A7A">
              <w:rPr>
                <w:i/>
                <w:iCs/>
                <w:sz w:val="24"/>
                <w:szCs w:val="24"/>
              </w:rPr>
              <w:t>BaltFfloodCombat</w:t>
            </w:r>
            <w:proofErr w:type="spellEnd"/>
            <w:r w:rsidR="005D527C" w:rsidRPr="00AF4A7A">
              <w:rPr>
                <w:iCs/>
                <w:sz w:val="24"/>
                <w:szCs w:val="24"/>
              </w:rPr>
              <w:t xml:space="preserve">), 19 glābēju sastāvā, devās palīdzēt Bosnijai un Hercegovinai </w:t>
            </w:r>
            <w:r w:rsidR="005D527C" w:rsidRPr="00AF4A7A">
              <w:rPr>
                <w:iCs/>
                <w:sz w:val="24"/>
                <w:szCs w:val="24"/>
              </w:rPr>
              <w:lastRenderedPageBreak/>
              <w:t>lietusgāžu izraisīto plūdu seku likvidēšanā</w:t>
            </w:r>
            <w:r w:rsidR="005D527C" w:rsidRPr="00AF4A7A">
              <w:rPr>
                <w:rStyle w:val="FootnoteReference"/>
                <w:iCs/>
                <w:sz w:val="24"/>
                <w:szCs w:val="24"/>
              </w:rPr>
              <w:footnoteReference w:id="4"/>
            </w:r>
            <w:r w:rsidR="005D527C" w:rsidRPr="00AF4A7A">
              <w:rPr>
                <w:iCs/>
                <w:sz w:val="24"/>
                <w:szCs w:val="24"/>
              </w:rPr>
              <w:t>.</w:t>
            </w:r>
            <w:r w:rsidR="00715D14" w:rsidRPr="00AF4A7A">
              <w:rPr>
                <w:iCs/>
                <w:sz w:val="24"/>
                <w:szCs w:val="24"/>
              </w:rPr>
              <w:t xml:space="preserve"> Arī šajā situācijā VUGD nodrošināja koordinētu informācijas apmaiņu ar ES ERCC.</w:t>
            </w:r>
            <w:r w:rsidR="00715D14" w:rsidRPr="00AF4A7A">
              <w:rPr>
                <w:sz w:val="24"/>
                <w:szCs w:val="24"/>
              </w:rPr>
              <w:t xml:space="preserve"> </w:t>
            </w:r>
            <w:r w:rsidR="0072197E" w:rsidRPr="00AF4A7A">
              <w:rPr>
                <w:sz w:val="24"/>
                <w:szCs w:val="24"/>
              </w:rPr>
              <w:t xml:space="preserve">Informācija aprite ar citām starptautiskajām organizācijām ir notikušas tikai mācību ietvaros, </w:t>
            </w:r>
            <w:r w:rsidR="002E08B9" w:rsidRPr="00AF4A7A">
              <w:rPr>
                <w:sz w:val="24"/>
                <w:szCs w:val="24"/>
              </w:rPr>
              <w:t>simulējot katastrofas</w:t>
            </w:r>
            <w:r w:rsidR="00E65687" w:rsidRPr="00AF4A7A">
              <w:rPr>
                <w:sz w:val="24"/>
                <w:szCs w:val="24"/>
              </w:rPr>
              <w:t xml:space="preserve"> situācijas un </w:t>
            </w:r>
            <w:r w:rsidR="009D1AE2" w:rsidRPr="00AF4A7A">
              <w:rPr>
                <w:sz w:val="24"/>
                <w:szCs w:val="24"/>
              </w:rPr>
              <w:t xml:space="preserve">pārbaudot </w:t>
            </w:r>
            <w:r w:rsidR="00E65687" w:rsidRPr="00AF4A7A">
              <w:rPr>
                <w:sz w:val="24"/>
                <w:szCs w:val="24"/>
              </w:rPr>
              <w:t>palīdzības pieprasījum</w:t>
            </w:r>
            <w:r w:rsidR="009D1AE2" w:rsidRPr="00AF4A7A">
              <w:rPr>
                <w:sz w:val="24"/>
                <w:szCs w:val="24"/>
              </w:rPr>
              <w:t>a mehānismus</w:t>
            </w:r>
            <w:r w:rsidR="002E08B9" w:rsidRPr="00AF4A7A">
              <w:rPr>
                <w:sz w:val="24"/>
                <w:szCs w:val="24"/>
              </w:rPr>
              <w:t>. Piemēram, NATO katastrofas</w:t>
            </w:r>
            <w:r w:rsidR="00E65687" w:rsidRPr="00AF4A7A">
              <w:rPr>
                <w:sz w:val="24"/>
                <w:szCs w:val="24"/>
              </w:rPr>
              <w:t xml:space="preserve"> pārvaldīšanas mācībās “</w:t>
            </w:r>
            <w:proofErr w:type="spellStart"/>
            <w:r w:rsidR="00E65687" w:rsidRPr="00AF4A7A">
              <w:rPr>
                <w:i/>
                <w:sz w:val="24"/>
                <w:szCs w:val="24"/>
              </w:rPr>
              <w:t>Joint</w:t>
            </w:r>
            <w:proofErr w:type="spellEnd"/>
            <w:r w:rsidR="00E65687" w:rsidRPr="00AF4A7A">
              <w:rPr>
                <w:i/>
                <w:sz w:val="24"/>
                <w:szCs w:val="24"/>
              </w:rPr>
              <w:t xml:space="preserve"> </w:t>
            </w:r>
            <w:proofErr w:type="spellStart"/>
            <w:r w:rsidR="00E65687" w:rsidRPr="00AF4A7A">
              <w:rPr>
                <w:i/>
                <w:sz w:val="24"/>
                <w:szCs w:val="24"/>
              </w:rPr>
              <w:t>Assistance</w:t>
            </w:r>
            <w:proofErr w:type="spellEnd"/>
            <w:r w:rsidR="00E65687" w:rsidRPr="00AF4A7A">
              <w:rPr>
                <w:i/>
                <w:sz w:val="24"/>
                <w:szCs w:val="24"/>
              </w:rPr>
              <w:t xml:space="preserve"> 2005</w:t>
            </w:r>
            <w:r w:rsidR="00E65687" w:rsidRPr="00AF4A7A">
              <w:rPr>
                <w:sz w:val="24"/>
                <w:szCs w:val="24"/>
              </w:rPr>
              <w:t>”</w:t>
            </w:r>
            <w:r w:rsidR="00790B88" w:rsidRPr="00AF4A7A">
              <w:rPr>
                <w:rStyle w:val="FootnoteReference"/>
                <w:sz w:val="24"/>
                <w:szCs w:val="24"/>
              </w:rPr>
              <w:footnoteReference w:id="5"/>
            </w:r>
            <w:r w:rsidR="00E65687" w:rsidRPr="00AF4A7A">
              <w:rPr>
                <w:sz w:val="24"/>
                <w:szCs w:val="24"/>
              </w:rPr>
              <w:t xml:space="preserve">, kuras norisinājās Ukrainā, </w:t>
            </w:r>
            <w:r w:rsidR="00DB4565" w:rsidRPr="00AF4A7A">
              <w:rPr>
                <w:sz w:val="24"/>
                <w:szCs w:val="24"/>
              </w:rPr>
              <w:t>Latviju pārstāvēja VUGD meklēšanas un glābšanas komanda, kura bija aprīkota ar ķīmisko avāriju seku likvidēšanas aprīkojumu, ar ķīmisko vielu noteikšanas un atsārņošanas spējām. Tāpat Latviju pārstāvēja Katastrofu medicīnu centra mediķu komanda, kas notikuma vietā spēja veikt pirmo medicīnisko palīdzību, cietušo</w:t>
            </w:r>
            <w:r w:rsidR="00E65687" w:rsidRPr="00AF4A7A">
              <w:rPr>
                <w:sz w:val="24"/>
                <w:szCs w:val="24"/>
              </w:rPr>
              <w:t xml:space="preserve"> šķirošan</w:t>
            </w:r>
            <w:r w:rsidR="00DB4565" w:rsidRPr="00AF4A7A">
              <w:rPr>
                <w:sz w:val="24"/>
                <w:szCs w:val="24"/>
              </w:rPr>
              <w:t>u (triāžu), stabilizāciju</w:t>
            </w:r>
            <w:r w:rsidR="00E65687" w:rsidRPr="00AF4A7A">
              <w:rPr>
                <w:sz w:val="24"/>
                <w:szCs w:val="24"/>
              </w:rPr>
              <w:t xml:space="preserve"> uz vietas u</w:t>
            </w:r>
            <w:r w:rsidR="00DB4565" w:rsidRPr="00AF4A7A">
              <w:rPr>
                <w:sz w:val="24"/>
                <w:szCs w:val="24"/>
              </w:rPr>
              <w:t xml:space="preserve">.c. </w:t>
            </w:r>
            <w:r w:rsidR="00FE13A2" w:rsidRPr="00AF4A7A">
              <w:rPr>
                <w:sz w:val="24"/>
                <w:szCs w:val="24"/>
              </w:rPr>
              <w:t xml:space="preserve">neatliekamos </w:t>
            </w:r>
            <w:r w:rsidR="00DB4565" w:rsidRPr="00AF4A7A">
              <w:rPr>
                <w:sz w:val="24"/>
                <w:szCs w:val="24"/>
              </w:rPr>
              <w:t xml:space="preserve">pasākumus. Arī šajā situācijā </w:t>
            </w:r>
            <w:r w:rsidR="00FE13A2" w:rsidRPr="00AF4A7A">
              <w:rPr>
                <w:sz w:val="24"/>
                <w:szCs w:val="24"/>
              </w:rPr>
              <w:t xml:space="preserve">starptautiskās </w:t>
            </w:r>
            <w:r w:rsidR="00DB4565" w:rsidRPr="00AF4A7A">
              <w:rPr>
                <w:sz w:val="24"/>
                <w:szCs w:val="24"/>
              </w:rPr>
              <w:t>palīdzības koordinācijas un informācijas apmaiņu ar NATO EADRCC nodrošināja VUGD. S</w:t>
            </w:r>
            <w:r w:rsidR="0072197E" w:rsidRPr="00AF4A7A">
              <w:rPr>
                <w:sz w:val="24"/>
                <w:szCs w:val="24"/>
              </w:rPr>
              <w:t>avukārt ar ārvalstīm sadarbība īstenota divpusējo l</w:t>
            </w:r>
            <w:r w:rsidR="00D005D5" w:rsidRPr="00AF4A7A">
              <w:rPr>
                <w:sz w:val="24"/>
                <w:szCs w:val="24"/>
              </w:rPr>
              <w:t>īgumu ietvaros. P</w:t>
            </w:r>
            <w:r w:rsidR="0072197E" w:rsidRPr="00AF4A7A">
              <w:rPr>
                <w:sz w:val="24"/>
                <w:szCs w:val="24"/>
              </w:rPr>
              <w:t xml:space="preserve">iemēram, </w:t>
            </w:r>
            <w:r w:rsidR="0072197E" w:rsidRPr="00AF4A7A">
              <w:rPr>
                <w:sz w:val="24"/>
                <w:szCs w:val="24"/>
                <w:shd w:val="clear" w:color="auto" w:fill="FFFFFF"/>
              </w:rPr>
              <w:t>2007.gada 23.martā Baltkrievijas teritorijā notika naftas produktu cauruļvada avārija un tās radītais piesārņojums sasniedza Daugavu un nonāca arī Latvijas teritorijā, izraisot vides piesārņojuma draudus un apdraudot Daugavas ūdens lietošanu un zināmā mērā arī dzeramā ūdens apgādi atsevišķās pašvaldībās</w:t>
            </w:r>
            <w:r w:rsidR="00D005D5" w:rsidRPr="00AF4A7A">
              <w:rPr>
                <w:rStyle w:val="FootnoteReference"/>
                <w:sz w:val="24"/>
                <w:szCs w:val="24"/>
                <w:shd w:val="clear" w:color="auto" w:fill="FFFFFF"/>
              </w:rPr>
              <w:footnoteReference w:id="6"/>
            </w:r>
            <w:r w:rsidR="0072197E" w:rsidRPr="00AF4A7A">
              <w:rPr>
                <w:sz w:val="24"/>
                <w:szCs w:val="24"/>
                <w:shd w:val="clear" w:color="auto" w:fill="FFFFFF"/>
              </w:rPr>
              <w:t xml:space="preserve">. Ņemot vērā piesārņojuma apjomu un nepieciešamos operatīvās darbības resursus, tika lemts par divpusējo sadarbības līgumu aktivizēšanu, pieprasot no kaimiņvalstīm nepieciešamos reaģēšanas resursus (ierobežojošās un absorbējošās </w:t>
            </w:r>
            <w:proofErr w:type="spellStart"/>
            <w:r w:rsidR="0072197E" w:rsidRPr="00AF4A7A">
              <w:rPr>
                <w:sz w:val="24"/>
                <w:szCs w:val="24"/>
                <w:shd w:val="clear" w:color="auto" w:fill="FFFFFF"/>
              </w:rPr>
              <w:t>bonnas</w:t>
            </w:r>
            <w:proofErr w:type="spellEnd"/>
            <w:r w:rsidR="0072197E" w:rsidRPr="00AF4A7A">
              <w:rPr>
                <w:sz w:val="24"/>
                <w:szCs w:val="24"/>
                <w:shd w:val="clear" w:color="auto" w:fill="FFFFFF"/>
              </w:rPr>
              <w:t xml:space="preserve">, laivas un citus resursus). </w:t>
            </w:r>
            <w:r w:rsidR="00D005D5" w:rsidRPr="00AF4A7A">
              <w:rPr>
                <w:sz w:val="24"/>
                <w:szCs w:val="24"/>
                <w:shd w:val="clear" w:color="auto" w:fill="FFFFFF"/>
              </w:rPr>
              <w:t>Reaģēšanas seku likvidēšanā palīdzība tika saņemta no Zviedrijas, Igaunijas un Lietuvas. Ar šīm valstīm Latvijai ir noslēgti valdības līgumi par savstarpējo palīdzību dabas katastrofu un citu plaša mēroga nelaimes gadījumos</w:t>
            </w:r>
            <w:r w:rsidR="00D005D5" w:rsidRPr="00AF4A7A">
              <w:rPr>
                <w:rStyle w:val="FootnoteReference"/>
                <w:sz w:val="24"/>
                <w:szCs w:val="24"/>
                <w:shd w:val="clear" w:color="auto" w:fill="FFFFFF"/>
              </w:rPr>
              <w:footnoteReference w:id="7"/>
            </w:r>
            <w:r w:rsidR="00D005D5" w:rsidRPr="00AF4A7A">
              <w:rPr>
                <w:sz w:val="24"/>
                <w:szCs w:val="24"/>
                <w:shd w:val="clear" w:color="auto" w:fill="FFFFFF"/>
              </w:rPr>
              <w:t xml:space="preserve">. </w:t>
            </w:r>
            <w:r w:rsidR="00776030" w:rsidRPr="00AF4A7A">
              <w:rPr>
                <w:sz w:val="24"/>
                <w:szCs w:val="24"/>
                <w:shd w:val="clear" w:color="auto" w:fill="FFFFFF"/>
              </w:rPr>
              <w:t>Atbilstoši divpusējo līgumu noteiktajam, VUGD ir operatīvās informācijas apmaiņas un saziņas kontaktpunkts. Tādēļ arī Noteikumu projektā</w:t>
            </w:r>
            <w:r w:rsidR="00FE13A2" w:rsidRPr="00AF4A7A">
              <w:rPr>
                <w:sz w:val="24"/>
                <w:szCs w:val="24"/>
                <w:shd w:val="clear" w:color="auto" w:fill="FFFFFF"/>
              </w:rPr>
              <w:t xml:space="preserve"> paredzēts</w:t>
            </w:r>
            <w:r w:rsidR="00776030" w:rsidRPr="00AF4A7A">
              <w:rPr>
                <w:sz w:val="24"/>
                <w:szCs w:val="24"/>
                <w:shd w:val="clear" w:color="auto" w:fill="FFFFFF"/>
              </w:rPr>
              <w:t xml:space="preserve">, ka valsts civilās aizsardzības kontaktpunktu </w:t>
            </w:r>
            <w:r w:rsidR="00A043ED" w:rsidRPr="00AF4A7A">
              <w:rPr>
                <w:sz w:val="24"/>
                <w:szCs w:val="24"/>
                <w:shd w:val="clear" w:color="auto" w:fill="FFFFFF"/>
              </w:rPr>
              <w:t xml:space="preserve">nodrošina </w:t>
            </w:r>
            <w:r w:rsidR="00776030" w:rsidRPr="00AF4A7A">
              <w:rPr>
                <w:sz w:val="24"/>
                <w:szCs w:val="24"/>
                <w:shd w:val="clear" w:color="auto" w:fill="FFFFFF"/>
              </w:rPr>
              <w:t>VUGD. Ņemot vērā to, ka ikdienā VUGD nodrošina operatīvās darbības uzdevumus, tad VUGD arī spēj nodrošināt šī kontaktpunkta darbību 24 stundas diennaktī.</w:t>
            </w:r>
          </w:p>
          <w:p w:rsidR="00A44006" w:rsidRDefault="00776030" w:rsidP="00A44006">
            <w:pPr>
              <w:ind w:firstLine="400"/>
              <w:rPr>
                <w:sz w:val="24"/>
                <w:szCs w:val="24"/>
                <w:lang w:eastAsia="lv-LV"/>
              </w:rPr>
            </w:pPr>
            <w:r w:rsidRPr="00AF4A7A">
              <w:rPr>
                <w:sz w:val="24"/>
                <w:szCs w:val="24"/>
                <w:shd w:val="clear" w:color="auto" w:fill="FFFFFF"/>
              </w:rPr>
              <w:t xml:space="preserve">Noteikumu projekts paredz, ka </w:t>
            </w:r>
            <w:r w:rsidRPr="00AF4A7A">
              <w:rPr>
                <w:sz w:val="24"/>
                <w:szCs w:val="24"/>
              </w:rPr>
              <w:t xml:space="preserve">Iekšlietu ministrijas Informācijas centrs (turpmāk – IEM IC) nodrošina kontaktpunktu ar tehnisko nodrošinājumu, nepieciešamajām informācijas sistēmām, programmām, sakaru līdzekļiem un kanāliem. </w:t>
            </w:r>
            <w:r w:rsidR="007649D9" w:rsidRPr="00AF4A7A">
              <w:rPr>
                <w:sz w:val="24"/>
                <w:szCs w:val="24"/>
              </w:rPr>
              <w:t xml:space="preserve">Šīs sistēmas, programmas </w:t>
            </w:r>
            <w:r w:rsidR="007649D9" w:rsidRPr="00AF4A7A">
              <w:rPr>
                <w:sz w:val="24"/>
                <w:szCs w:val="24"/>
              </w:rPr>
              <w:lastRenderedPageBreak/>
              <w:t>un informācijas kanāli nepieciešami, lai veiktu pastāvīgu un koordinētu informācijas apmaiņu katastrof</w:t>
            </w:r>
            <w:r w:rsidR="005619DB" w:rsidRPr="00AF4A7A">
              <w:rPr>
                <w:sz w:val="24"/>
                <w:szCs w:val="24"/>
              </w:rPr>
              <w:t>u</w:t>
            </w:r>
            <w:r w:rsidR="007649D9" w:rsidRPr="00AF4A7A">
              <w:rPr>
                <w:sz w:val="24"/>
                <w:szCs w:val="24"/>
              </w:rPr>
              <w:t>, t</w:t>
            </w:r>
            <w:r w:rsidR="005619DB" w:rsidRPr="00AF4A7A">
              <w:rPr>
                <w:sz w:val="24"/>
                <w:szCs w:val="24"/>
              </w:rPr>
              <w:t>o</w:t>
            </w:r>
            <w:r w:rsidR="007649D9" w:rsidRPr="00AF4A7A">
              <w:rPr>
                <w:sz w:val="24"/>
                <w:szCs w:val="24"/>
              </w:rPr>
              <w:t xml:space="preserve"> draudu vai krīzes situācijās, kā arī ikdienas svarīgu informācijas aprites nodrošināšanai. </w:t>
            </w:r>
            <w:r w:rsidR="003879F4" w:rsidRPr="00AF4A7A">
              <w:rPr>
                <w:sz w:val="24"/>
                <w:szCs w:val="24"/>
              </w:rPr>
              <w:t>Atbilstoši Ministru ka</w:t>
            </w:r>
            <w:r w:rsidR="0054079E" w:rsidRPr="00AF4A7A">
              <w:rPr>
                <w:sz w:val="24"/>
                <w:szCs w:val="24"/>
              </w:rPr>
              <w:t>bineta 2016.gada 20.</w:t>
            </w:r>
            <w:r w:rsidR="003879F4" w:rsidRPr="00AF4A7A">
              <w:rPr>
                <w:sz w:val="24"/>
                <w:szCs w:val="24"/>
              </w:rPr>
              <w:t xml:space="preserve">septembra </w:t>
            </w:r>
            <w:r w:rsidR="0054079E" w:rsidRPr="00AF4A7A">
              <w:rPr>
                <w:sz w:val="24"/>
                <w:szCs w:val="24"/>
              </w:rPr>
              <w:t>noteikumu Nr.</w:t>
            </w:r>
            <w:r w:rsidR="003879F4" w:rsidRPr="00AF4A7A">
              <w:rPr>
                <w:sz w:val="24"/>
                <w:szCs w:val="24"/>
              </w:rPr>
              <w:t>616 “Iekšlietu ministrijas Informācijas centra nolikums”</w:t>
            </w:r>
            <w:r w:rsidR="003879F4" w:rsidRPr="00AF4A7A">
              <w:rPr>
                <w:rStyle w:val="FootnoteReference"/>
                <w:sz w:val="24"/>
                <w:szCs w:val="24"/>
              </w:rPr>
              <w:footnoteReference w:id="8"/>
            </w:r>
            <w:r w:rsidR="003879F4" w:rsidRPr="00AF4A7A">
              <w:rPr>
                <w:sz w:val="24"/>
                <w:szCs w:val="24"/>
              </w:rPr>
              <w:t xml:space="preserve"> 2.punktam, IEM IC nodrošina Iekšlietu ministriju un tās padotībā esošās iestādes ar informācijas un komunikācijas tehnoloģiju risinājumiem un ES prasībām atbilstošām operatīvo radiosakaru un privāto elektronisko sakaru tīklu sistēmām. </w:t>
            </w:r>
            <w:r w:rsidR="007649D9" w:rsidRPr="00AF4A7A">
              <w:rPr>
                <w:sz w:val="24"/>
                <w:szCs w:val="24"/>
              </w:rPr>
              <w:t xml:space="preserve">Esošajā situācijā IEM IC jau ir nodrošinājis </w:t>
            </w:r>
            <w:r w:rsidRPr="00AF4A7A">
              <w:rPr>
                <w:sz w:val="24"/>
                <w:szCs w:val="24"/>
              </w:rPr>
              <w:t xml:space="preserve">VUGD ar nepieciešamajiem tehniskajiem </w:t>
            </w:r>
            <w:r w:rsidR="003879F4" w:rsidRPr="00AF4A7A">
              <w:rPr>
                <w:sz w:val="24"/>
                <w:szCs w:val="24"/>
              </w:rPr>
              <w:t>risinājumiem</w:t>
            </w:r>
            <w:r w:rsidR="00631277" w:rsidRPr="00AF4A7A">
              <w:rPr>
                <w:sz w:val="24"/>
                <w:szCs w:val="24"/>
              </w:rPr>
              <w:t xml:space="preserve"> (sakariem, programmām un sakaru līdzekļiem)</w:t>
            </w:r>
            <w:r w:rsidRPr="00AF4A7A">
              <w:rPr>
                <w:sz w:val="24"/>
                <w:szCs w:val="24"/>
              </w:rPr>
              <w:t>, lai tas spētu veikt koordinētu informācijas apmaiņu ar ES ERCC</w:t>
            </w:r>
            <w:r w:rsidR="007649D9" w:rsidRPr="00AF4A7A">
              <w:rPr>
                <w:sz w:val="24"/>
                <w:szCs w:val="24"/>
              </w:rPr>
              <w:t>. Piemēram, ar ES ERCC informācijas apmaiņa tiek īstenota ar kopīgās ārkārtas situāciju sakaru un informācijas sistēmu (</w:t>
            </w:r>
            <w:r w:rsidR="00912AA0" w:rsidRPr="00AF4A7A">
              <w:rPr>
                <w:sz w:val="24"/>
                <w:szCs w:val="24"/>
              </w:rPr>
              <w:t xml:space="preserve">turpmāk – </w:t>
            </w:r>
            <w:r w:rsidR="007649D9" w:rsidRPr="00AF4A7A">
              <w:rPr>
                <w:sz w:val="24"/>
                <w:szCs w:val="24"/>
              </w:rPr>
              <w:t>CECIS), īpaši šim mērķim izveidot</w:t>
            </w:r>
            <w:r w:rsidR="00FE13A2" w:rsidRPr="00AF4A7A">
              <w:rPr>
                <w:sz w:val="24"/>
                <w:szCs w:val="24"/>
              </w:rPr>
              <w:t>u</w:t>
            </w:r>
            <w:r w:rsidR="007649D9" w:rsidRPr="00AF4A7A">
              <w:rPr>
                <w:sz w:val="24"/>
                <w:szCs w:val="24"/>
              </w:rPr>
              <w:t xml:space="preserve"> </w:t>
            </w:r>
            <w:r w:rsidR="00187BDA" w:rsidRPr="00AF4A7A">
              <w:rPr>
                <w:sz w:val="24"/>
                <w:szCs w:val="24"/>
              </w:rPr>
              <w:t>programm</w:t>
            </w:r>
            <w:r w:rsidR="00FE13A2" w:rsidRPr="00AF4A7A">
              <w:rPr>
                <w:sz w:val="24"/>
                <w:szCs w:val="24"/>
              </w:rPr>
              <w:t>u</w:t>
            </w:r>
            <w:r w:rsidR="00A043ED" w:rsidRPr="00AF4A7A">
              <w:rPr>
                <w:sz w:val="24"/>
                <w:szCs w:val="24"/>
              </w:rPr>
              <w:t xml:space="preserve"> (kuru uztur,</w:t>
            </w:r>
            <w:r w:rsidR="00631277" w:rsidRPr="00AF4A7A">
              <w:rPr>
                <w:sz w:val="24"/>
                <w:szCs w:val="24"/>
              </w:rPr>
              <w:t xml:space="preserve"> pilnveido un</w:t>
            </w:r>
            <w:r w:rsidR="00A043ED" w:rsidRPr="00AF4A7A">
              <w:rPr>
                <w:sz w:val="24"/>
                <w:szCs w:val="24"/>
              </w:rPr>
              <w:t xml:space="preserve"> atjaunina Eiropas Komisija)</w:t>
            </w:r>
            <w:r w:rsidR="007649D9" w:rsidRPr="00AF4A7A">
              <w:rPr>
                <w:sz w:val="24"/>
                <w:szCs w:val="24"/>
              </w:rPr>
              <w:t>, kurā</w:t>
            </w:r>
            <w:r w:rsidR="00187BDA" w:rsidRPr="00AF4A7A">
              <w:rPr>
                <w:sz w:val="24"/>
                <w:szCs w:val="24"/>
              </w:rPr>
              <w:t xml:space="preserve"> tiek </w:t>
            </w:r>
            <w:r w:rsidR="00FE13A2" w:rsidRPr="00AF4A7A">
              <w:rPr>
                <w:sz w:val="24"/>
                <w:szCs w:val="24"/>
              </w:rPr>
              <w:t xml:space="preserve">aktivizēts Kopienas civilās aizsardzības mehānisms, </w:t>
            </w:r>
            <w:r w:rsidR="00187BDA" w:rsidRPr="00AF4A7A">
              <w:rPr>
                <w:sz w:val="24"/>
                <w:szCs w:val="24"/>
              </w:rPr>
              <w:t xml:space="preserve">reģistrēts gan palīdzības pieprasītājs, gan palīdzības sniedzējs. </w:t>
            </w:r>
            <w:r w:rsidR="003D65A6" w:rsidRPr="00AF4A7A">
              <w:rPr>
                <w:sz w:val="24"/>
                <w:szCs w:val="24"/>
              </w:rPr>
              <w:t>ERCC ir izveidojis piekļuvi CECIS sistēmai gan kontaktpunktam (</w:t>
            </w:r>
            <w:r w:rsidR="003D65A6" w:rsidRPr="00AF4A7A">
              <w:rPr>
                <w:sz w:val="24"/>
                <w:szCs w:val="24"/>
                <w:lang w:eastAsia="lv-LV"/>
              </w:rPr>
              <w:t xml:space="preserve">VUGD), </w:t>
            </w:r>
            <w:r w:rsidR="00AB772F" w:rsidRPr="00AF4A7A">
              <w:rPr>
                <w:sz w:val="24"/>
                <w:szCs w:val="24"/>
                <w:lang w:eastAsia="lv-LV"/>
              </w:rPr>
              <w:t>gan</w:t>
            </w:r>
            <w:r w:rsidR="003D65A6" w:rsidRPr="00AF4A7A">
              <w:rPr>
                <w:sz w:val="24"/>
                <w:szCs w:val="24"/>
                <w:lang w:eastAsia="lv-LV"/>
              </w:rPr>
              <w:t xml:space="preserve"> </w:t>
            </w:r>
            <w:r w:rsidR="00A40CBC" w:rsidRPr="00AF4A7A">
              <w:rPr>
                <w:sz w:val="24"/>
                <w:szCs w:val="24"/>
                <w:lang w:eastAsia="lv-LV"/>
              </w:rPr>
              <w:t>Nacionālo bruņoto spēku Jūras spēku flotiles Krasta apsardzes dienesta Jūras meklēšanas un g</w:t>
            </w:r>
            <w:r w:rsidR="003D65A6" w:rsidRPr="00AF4A7A">
              <w:rPr>
                <w:sz w:val="24"/>
                <w:szCs w:val="24"/>
                <w:lang w:eastAsia="lv-LV"/>
              </w:rPr>
              <w:t xml:space="preserve">lābšanas koordinācijas centram </w:t>
            </w:r>
            <w:r w:rsidR="00A40CBC" w:rsidRPr="00AF4A7A">
              <w:rPr>
                <w:sz w:val="24"/>
                <w:szCs w:val="24"/>
                <w:lang w:eastAsia="lv-LV"/>
              </w:rPr>
              <w:t>(MRCC)</w:t>
            </w:r>
            <w:r w:rsidR="003D65A6" w:rsidRPr="00AF4A7A">
              <w:rPr>
                <w:sz w:val="24"/>
                <w:szCs w:val="24"/>
                <w:lang w:eastAsia="lv-LV"/>
              </w:rPr>
              <w:t xml:space="preserve">. </w:t>
            </w:r>
            <w:r w:rsidR="003D65A6" w:rsidRPr="00AF4A7A">
              <w:rPr>
                <w:sz w:val="24"/>
                <w:szCs w:val="24"/>
              </w:rPr>
              <w:t xml:space="preserve">Komisijas īstenošanas 2014.gada 16.oktobra lēmumā (2014/762/ES), ar kuru paredz noteikumus par to, kā īstenot Eiropas Parlamenta un Padomes lēmumu Nr.1313/2013/ES par Savienības civilās aizsardzības mehānismu, un atceļ Komisijas Lēmumu 2004/277/EK, Euratom un 2007/606/EK, Euratom paredz, ka dalībvalstis </w:t>
            </w:r>
            <w:r w:rsidR="003D65A6" w:rsidRPr="00AF4A7A">
              <w:rPr>
                <w:sz w:val="24"/>
                <w:szCs w:val="24"/>
                <w:shd w:val="clear" w:color="auto" w:fill="FFFFFF"/>
              </w:rPr>
              <w:t>sniedz informāciju par citiem dienestiem, kas reaģē uz dabas, tehnoloģiju un radiācijas izraisītām katastrofām vai vides avārijām, ieskaitot nejaušu jūras piesārņošanu.</w:t>
            </w:r>
            <w:r w:rsidR="003D65A6" w:rsidRPr="00AF4A7A">
              <w:rPr>
                <w:sz w:val="24"/>
                <w:szCs w:val="24"/>
              </w:rPr>
              <w:t xml:space="preserve"> </w:t>
            </w:r>
            <w:r w:rsidR="00AB772F" w:rsidRPr="00AF4A7A">
              <w:rPr>
                <w:sz w:val="24"/>
                <w:szCs w:val="24"/>
              </w:rPr>
              <w:t xml:space="preserve">Ņemot vērā </w:t>
            </w:r>
            <w:r w:rsidR="00594C00" w:rsidRPr="00AF4A7A">
              <w:rPr>
                <w:sz w:val="24"/>
                <w:szCs w:val="24"/>
              </w:rPr>
              <w:t xml:space="preserve">reaģēšana īpatnības  </w:t>
            </w:r>
            <w:r w:rsidR="00AB772F" w:rsidRPr="00AF4A7A">
              <w:rPr>
                <w:sz w:val="24"/>
                <w:szCs w:val="24"/>
              </w:rPr>
              <w:t>meklēšanas un glābšanas oper</w:t>
            </w:r>
            <w:r w:rsidR="00594C00" w:rsidRPr="00AF4A7A">
              <w:rPr>
                <w:sz w:val="24"/>
                <w:szCs w:val="24"/>
              </w:rPr>
              <w:t xml:space="preserve">ācijās, kā arī </w:t>
            </w:r>
            <w:r w:rsidR="00594C00" w:rsidRPr="00AF4A7A">
              <w:rPr>
                <w:sz w:val="24"/>
                <w:szCs w:val="24"/>
                <w:shd w:val="clear" w:color="auto" w:fill="FFFFFF"/>
              </w:rPr>
              <w:t xml:space="preserve">negadījumos ar </w:t>
            </w:r>
            <w:r w:rsidR="00AB772F" w:rsidRPr="00AF4A7A">
              <w:rPr>
                <w:sz w:val="24"/>
                <w:szCs w:val="24"/>
                <w:shd w:val="clear" w:color="auto" w:fill="FFFFFF"/>
              </w:rPr>
              <w:t>jūras piesārņošan</w:t>
            </w:r>
            <w:r w:rsidR="00594C00" w:rsidRPr="00AF4A7A">
              <w:rPr>
                <w:sz w:val="24"/>
                <w:szCs w:val="24"/>
                <w:shd w:val="clear" w:color="auto" w:fill="FFFFFF"/>
              </w:rPr>
              <w:t>u</w:t>
            </w:r>
            <w:r w:rsidR="00AB772F" w:rsidRPr="00AF4A7A">
              <w:rPr>
                <w:sz w:val="24"/>
                <w:szCs w:val="24"/>
                <w:shd w:val="clear" w:color="auto" w:fill="FFFFFF"/>
              </w:rPr>
              <w:t xml:space="preserve">, </w:t>
            </w:r>
            <w:r w:rsidR="00AB772F" w:rsidRPr="00AF4A7A">
              <w:rPr>
                <w:sz w:val="24"/>
                <w:szCs w:val="24"/>
              </w:rPr>
              <w:t xml:space="preserve">ERCC nodrošina </w:t>
            </w:r>
            <w:r w:rsidR="00594C00" w:rsidRPr="00AF4A7A">
              <w:rPr>
                <w:sz w:val="24"/>
                <w:szCs w:val="24"/>
              </w:rPr>
              <w:t>d</w:t>
            </w:r>
            <w:r w:rsidR="00594C00" w:rsidRPr="00AF4A7A">
              <w:rPr>
                <w:sz w:val="24"/>
                <w:szCs w:val="24"/>
                <w:shd w:val="clear" w:color="auto" w:fill="FFFFFF"/>
              </w:rPr>
              <w:t>alībvalstu institūcijām un Eiropas Jūras drošības aģentūrai</w:t>
            </w:r>
            <w:r w:rsidR="00594C00" w:rsidRPr="00AF4A7A">
              <w:rPr>
                <w:sz w:val="24"/>
                <w:szCs w:val="24"/>
              </w:rPr>
              <w:t xml:space="preserve"> </w:t>
            </w:r>
            <w:r w:rsidR="00AB772F" w:rsidRPr="00AF4A7A">
              <w:rPr>
                <w:sz w:val="24"/>
                <w:szCs w:val="24"/>
              </w:rPr>
              <w:t xml:space="preserve">piekļuvi </w:t>
            </w:r>
            <w:r w:rsidR="00AB772F" w:rsidRPr="00AF4A7A">
              <w:rPr>
                <w:sz w:val="24"/>
                <w:szCs w:val="24"/>
                <w:shd w:val="clear" w:color="auto" w:fill="FFFFFF"/>
              </w:rPr>
              <w:t>specializētai </w:t>
            </w:r>
            <w:r w:rsidR="00AB772F" w:rsidRPr="00AF4A7A">
              <w:rPr>
                <w:rStyle w:val="italic"/>
                <w:i/>
                <w:iCs/>
                <w:sz w:val="24"/>
                <w:szCs w:val="24"/>
                <w:bdr w:val="none" w:sz="0" w:space="0" w:color="auto" w:frame="1"/>
                <w:shd w:val="clear" w:color="auto" w:fill="FFFFFF"/>
              </w:rPr>
              <w:t>CECIS</w:t>
            </w:r>
            <w:r w:rsidR="00AB772F" w:rsidRPr="00AF4A7A">
              <w:rPr>
                <w:sz w:val="24"/>
                <w:szCs w:val="24"/>
                <w:shd w:val="clear" w:color="auto" w:fill="FFFFFF"/>
              </w:rPr>
              <w:t> lietojumprogrammai,</w:t>
            </w:r>
            <w:r w:rsidR="00594C00" w:rsidRPr="00AF4A7A">
              <w:rPr>
                <w:sz w:val="24"/>
                <w:szCs w:val="24"/>
                <w:shd w:val="clear" w:color="auto" w:fill="FFFFFF"/>
              </w:rPr>
              <w:t xml:space="preserve"> interneta vidē.</w:t>
            </w:r>
            <w:r w:rsidR="00A44006">
              <w:rPr>
                <w:sz w:val="24"/>
                <w:szCs w:val="24"/>
                <w:shd w:val="clear" w:color="auto" w:fill="FFFFFF"/>
              </w:rPr>
              <w:t xml:space="preserve"> </w:t>
            </w:r>
            <w:r w:rsidR="00A44006">
              <w:rPr>
                <w:sz w:val="24"/>
                <w:szCs w:val="24"/>
                <w:lang w:eastAsia="lv-LV"/>
              </w:rPr>
              <w:t xml:space="preserve">Piemēram, MRCC, kurš </w:t>
            </w:r>
            <w:r w:rsidR="00A44006" w:rsidRPr="00A44006">
              <w:rPr>
                <w:sz w:val="24"/>
                <w:szCs w:val="24"/>
              </w:rPr>
              <w:t>kopš 2002.gada nodrošina savu darbību 24 stundas diennaktī,</w:t>
            </w:r>
            <w:r w:rsidR="00A44006">
              <w:rPr>
                <w:sz w:val="24"/>
                <w:szCs w:val="24"/>
              </w:rPr>
              <w:t xml:space="preserve"> kur </w:t>
            </w:r>
            <w:r w:rsidR="00A44006" w:rsidRPr="00A44006">
              <w:rPr>
                <w:sz w:val="24"/>
                <w:szCs w:val="24"/>
              </w:rPr>
              <w:t>dež</w:t>
            </w:r>
            <w:r w:rsidR="00A44006">
              <w:rPr>
                <w:sz w:val="24"/>
                <w:szCs w:val="24"/>
              </w:rPr>
              <w:t xml:space="preserve">ūrdienesta vienā maiņā nodrošina vienotu komandu </w:t>
            </w:r>
            <w:r w:rsidR="00A44006" w:rsidRPr="00A44006">
              <w:rPr>
                <w:sz w:val="24"/>
                <w:szCs w:val="24"/>
              </w:rPr>
              <w:t>trīs amatperson</w:t>
            </w:r>
            <w:r w:rsidR="00A44006">
              <w:rPr>
                <w:sz w:val="24"/>
                <w:szCs w:val="24"/>
              </w:rPr>
              <w:t xml:space="preserve">u sastāvā </w:t>
            </w:r>
            <w:r w:rsidR="00A44006" w:rsidRPr="00A44006">
              <w:rPr>
                <w:sz w:val="24"/>
                <w:szCs w:val="24"/>
              </w:rPr>
              <w:t>– operāciju koordinator</w:t>
            </w:r>
            <w:r w:rsidR="00A44006">
              <w:rPr>
                <w:sz w:val="24"/>
                <w:szCs w:val="24"/>
              </w:rPr>
              <w:t>u</w:t>
            </w:r>
            <w:r w:rsidR="00A44006" w:rsidRPr="00A44006">
              <w:rPr>
                <w:sz w:val="24"/>
                <w:szCs w:val="24"/>
              </w:rPr>
              <w:t>, sakaru</w:t>
            </w:r>
            <w:r w:rsidR="00A44006">
              <w:rPr>
                <w:sz w:val="24"/>
                <w:szCs w:val="24"/>
              </w:rPr>
              <w:t xml:space="preserve"> virsnieku</w:t>
            </w:r>
            <w:r w:rsidR="00A44006" w:rsidRPr="00A44006">
              <w:rPr>
                <w:sz w:val="24"/>
                <w:szCs w:val="24"/>
              </w:rPr>
              <w:t xml:space="preserve"> un drošības virsniek</w:t>
            </w:r>
            <w:r w:rsidR="00A44006">
              <w:rPr>
                <w:sz w:val="24"/>
                <w:szCs w:val="24"/>
              </w:rPr>
              <w:t>u</w:t>
            </w:r>
            <w:r w:rsidR="00A44006" w:rsidRPr="00A44006">
              <w:rPr>
                <w:sz w:val="24"/>
                <w:szCs w:val="24"/>
              </w:rPr>
              <w:t>. Operāciju koordinators, katastrofas un to draudu gadījumā, nodrošina un vada operācijas norisi, kas saistīta ar uzdevumiem un lēmumiem par resursu iesaisti vai pieprasīšanu; sakaru virsnieks nodrošina informācijas apmaiņu, izejošo/ienākošo saraksti un komunikāciju</w:t>
            </w:r>
            <w:r w:rsidR="00A44006">
              <w:rPr>
                <w:sz w:val="24"/>
                <w:szCs w:val="24"/>
              </w:rPr>
              <w:t xml:space="preserve"> </w:t>
            </w:r>
            <w:r w:rsidR="00A44006" w:rsidRPr="00A44006">
              <w:rPr>
                <w:sz w:val="24"/>
                <w:szCs w:val="24"/>
              </w:rPr>
              <w:t>CECIS sist</w:t>
            </w:r>
            <w:r w:rsidR="00A44006">
              <w:rPr>
                <w:sz w:val="24"/>
                <w:szCs w:val="24"/>
              </w:rPr>
              <w:t>ēmā</w:t>
            </w:r>
            <w:r w:rsidR="00A44006" w:rsidRPr="00A44006">
              <w:rPr>
                <w:sz w:val="24"/>
                <w:szCs w:val="24"/>
              </w:rPr>
              <w:t xml:space="preserve"> </w:t>
            </w:r>
            <w:r w:rsidR="00A44006">
              <w:rPr>
                <w:sz w:val="24"/>
                <w:szCs w:val="24"/>
              </w:rPr>
              <w:t>(</w:t>
            </w:r>
            <w:r w:rsidR="00A44006" w:rsidRPr="00A44006">
              <w:rPr>
                <w:sz w:val="24"/>
                <w:szCs w:val="24"/>
              </w:rPr>
              <w:t>un citā</w:t>
            </w:r>
            <w:r w:rsidR="00A44006">
              <w:rPr>
                <w:sz w:val="24"/>
                <w:szCs w:val="24"/>
              </w:rPr>
              <w:t>s</w:t>
            </w:r>
            <w:r w:rsidR="00A44006" w:rsidRPr="00A44006">
              <w:rPr>
                <w:sz w:val="24"/>
                <w:szCs w:val="24"/>
              </w:rPr>
              <w:t xml:space="preserve"> sistēmā</w:t>
            </w:r>
            <w:r w:rsidR="00A44006">
              <w:rPr>
                <w:sz w:val="24"/>
                <w:szCs w:val="24"/>
              </w:rPr>
              <w:t>s)</w:t>
            </w:r>
            <w:r w:rsidR="00A44006" w:rsidRPr="00A44006">
              <w:rPr>
                <w:sz w:val="24"/>
                <w:szCs w:val="24"/>
              </w:rPr>
              <w:t xml:space="preserve">; bet drošības virsnieks analīzē informāciju </w:t>
            </w:r>
            <w:r w:rsidR="00A44006" w:rsidRPr="00A44006">
              <w:rPr>
                <w:sz w:val="24"/>
                <w:szCs w:val="24"/>
              </w:rPr>
              <w:lastRenderedPageBreak/>
              <w:t>negadījumu un nodrošina atbilstošas informācijas apkopošanu un apmaiņu, atbilstoši starptautiskiem līgumiem.</w:t>
            </w:r>
          </w:p>
          <w:p w:rsidR="003874A2" w:rsidRPr="00AF4A7A" w:rsidRDefault="00187BDA" w:rsidP="0041514E">
            <w:pPr>
              <w:ind w:firstLine="400"/>
              <w:rPr>
                <w:sz w:val="24"/>
                <w:szCs w:val="24"/>
                <w:shd w:val="clear" w:color="auto" w:fill="FFFFFF"/>
              </w:rPr>
            </w:pPr>
            <w:r w:rsidRPr="00AF4A7A">
              <w:rPr>
                <w:sz w:val="24"/>
                <w:szCs w:val="24"/>
              </w:rPr>
              <w:t>Papildus tam</w:t>
            </w:r>
            <w:r w:rsidR="00AB772F" w:rsidRPr="00AF4A7A">
              <w:rPr>
                <w:sz w:val="24"/>
                <w:szCs w:val="24"/>
              </w:rPr>
              <w:t>,</w:t>
            </w:r>
            <w:r w:rsidRPr="00AF4A7A">
              <w:rPr>
                <w:sz w:val="24"/>
                <w:szCs w:val="24"/>
              </w:rPr>
              <w:t xml:space="preserve"> CECIS sistēmā</w:t>
            </w:r>
            <w:r w:rsidR="007649D9" w:rsidRPr="00AF4A7A">
              <w:rPr>
                <w:sz w:val="24"/>
                <w:szCs w:val="24"/>
              </w:rPr>
              <w:t xml:space="preserve"> ES </w:t>
            </w:r>
            <w:r w:rsidRPr="00AF4A7A">
              <w:rPr>
                <w:sz w:val="24"/>
                <w:szCs w:val="24"/>
              </w:rPr>
              <w:t xml:space="preserve">Civilās aizsardzības mehānisma </w:t>
            </w:r>
            <w:r w:rsidR="007649D9" w:rsidRPr="00AF4A7A">
              <w:rPr>
                <w:sz w:val="24"/>
                <w:szCs w:val="24"/>
              </w:rPr>
              <w:t>dalībvalst</w:t>
            </w:r>
            <w:r w:rsidRPr="00AF4A7A">
              <w:rPr>
                <w:sz w:val="24"/>
                <w:szCs w:val="24"/>
              </w:rPr>
              <w:t>is</w:t>
            </w:r>
            <w:r w:rsidR="007649D9" w:rsidRPr="00AF4A7A">
              <w:rPr>
                <w:sz w:val="24"/>
                <w:szCs w:val="24"/>
              </w:rPr>
              <w:t xml:space="preserve"> </w:t>
            </w:r>
            <w:r w:rsidRPr="00AF4A7A">
              <w:rPr>
                <w:sz w:val="24"/>
                <w:szCs w:val="24"/>
              </w:rPr>
              <w:t>var reģistrēt arī savas katastrof</w:t>
            </w:r>
            <w:r w:rsidR="002E08B9" w:rsidRPr="00AF4A7A">
              <w:rPr>
                <w:sz w:val="24"/>
                <w:szCs w:val="24"/>
              </w:rPr>
              <w:t>as</w:t>
            </w:r>
            <w:r w:rsidRPr="00AF4A7A">
              <w:rPr>
                <w:sz w:val="24"/>
                <w:szCs w:val="24"/>
              </w:rPr>
              <w:t xml:space="preserve"> pārvaldīšanas </w:t>
            </w:r>
            <w:r w:rsidR="007649D9" w:rsidRPr="00AF4A7A">
              <w:rPr>
                <w:sz w:val="24"/>
                <w:szCs w:val="24"/>
              </w:rPr>
              <w:t>spējas (ekspert</w:t>
            </w:r>
            <w:r w:rsidRPr="00AF4A7A">
              <w:rPr>
                <w:sz w:val="24"/>
                <w:szCs w:val="24"/>
              </w:rPr>
              <w:t>us</w:t>
            </w:r>
            <w:r w:rsidR="007649D9" w:rsidRPr="00AF4A7A">
              <w:rPr>
                <w:sz w:val="24"/>
                <w:szCs w:val="24"/>
              </w:rPr>
              <w:t>, moduļ</w:t>
            </w:r>
            <w:r w:rsidRPr="00AF4A7A">
              <w:rPr>
                <w:sz w:val="24"/>
                <w:szCs w:val="24"/>
              </w:rPr>
              <w:t>us</w:t>
            </w:r>
            <w:r w:rsidR="007649D9" w:rsidRPr="00AF4A7A">
              <w:rPr>
                <w:sz w:val="24"/>
                <w:szCs w:val="24"/>
              </w:rPr>
              <w:t>, komandas, resurs</w:t>
            </w:r>
            <w:r w:rsidRPr="00AF4A7A">
              <w:rPr>
                <w:sz w:val="24"/>
                <w:szCs w:val="24"/>
              </w:rPr>
              <w:t>us</w:t>
            </w:r>
            <w:r w:rsidR="007649D9" w:rsidRPr="00AF4A7A">
              <w:rPr>
                <w:sz w:val="24"/>
                <w:szCs w:val="24"/>
              </w:rPr>
              <w:t xml:space="preserve"> un citas spējas). </w:t>
            </w:r>
            <w:r w:rsidR="00FE13A2" w:rsidRPr="00AF4A7A">
              <w:rPr>
                <w:sz w:val="24"/>
                <w:szCs w:val="24"/>
              </w:rPr>
              <w:t>Papildus CECIS sistēmai, i</w:t>
            </w:r>
            <w:r w:rsidR="007649D9" w:rsidRPr="00AF4A7A">
              <w:rPr>
                <w:sz w:val="24"/>
                <w:szCs w:val="24"/>
              </w:rPr>
              <w:t>nformācijas apmaiņa un situācijas koordinācija, ja nepieciešams, tiek veikta</w:t>
            </w:r>
            <w:r w:rsidRPr="00AF4A7A">
              <w:rPr>
                <w:sz w:val="24"/>
                <w:szCs w:val="24"/>
              </w:rPr>
              <w:t xml:space="preserve"> arī</w:t>
            </w:r>
            <w:r w:rsidR="007649D9" w:rsidRPr="00AF4A7A">
              <w:rPr>
                <w:sz w:val="24"/>
                <w:szCs w:val="24"/>
              </w:rPr>
              <w:t xml:space="preserve"> caur e-pastiem un telefoniski. </w:t>
            </w:r>
            <w:r w:rsidRPr="00AF4A7A">
              <w:rPr>
                <w:sz w:val="24"/>
                <w:szCs w:val="24"/>
              </w:rPr>
              <w:t>Savukārt i</w:t>
            </w:r>
            <w:r w:rsidR="007649D9" w:rsidRPr="00AF4A7A">
              <w:rPr>
                <w:sz w:val="24"/>
                <w:szCs w:val="24"/>
              </w:rPr>
              <w:t>nformācijas apmaiņa ikdienas situācijās, kā arī</w:t>
            </w:r>
            <w:r w:rsidR="002E08B9" w:rsidRPr="00AF4A7A">
              <w:rPr>
                <w:sz w:val="24"/>
                <w:szCs w:val="24"/>
              </w:rPr>
              <w:t xml:space="preserve"> katastrof</w:t>
            </w:r>
            <w:r w:rsidR="005619DB" w:rsidRPr="00AF4A7A">
              <w:rPr>
                <w:sz w:val="24"/>
                <w:szCs w:val="24"/>
              </w:rPr>
              <w:t>u</w:t>
            </w:r>
            <w:r w:rsidR="002E08B9" w:rsidRPr="00AF4A7A">
              <w:rPr>
                <w:sz w:val="24"/>
                <w:szCs w:val="24"/>
              </w:rPr>
              <w:t>, t</w:t>
            </w:r>
            <w:r w:rsidR="005619DB" w:rsidRPr="00AF4A7A">
              <w:rPr>
                <w:sz w:val="24"/>
                <w:szCs w:val="24"/>
              </w:rPr>
              <w:t>o</w:t>
            </w:r>
            <w:r w:rsidRPr="00AF4A7A">
              <w:rPr>
                <w:sz w:val="24"/>
                <w:szCs w:val="24"/>
              </w:rPr>
              <w:t xml:space="preserve"> draudu vai krīzes situācijās</w:t>
            </w:r>
            <w:r w:rsidR="007649D9" w:rsidRPr="00AF4A7A">
              <w:rPr>
                <w:sz w:val="24"/>
                <w:szCs w:val="24"/>
              </w:rPr>
              <w:t xml:space="preserve"> </w:t>
            </w:r>
            <w:r w:rsidRPr="00AF4A7A">
              <w:rPr>
                <w:sz w:val="24"/>
                <w:szCs w:val="24"/>
              </w:rPr>
              <w:t>a</w:t>
            </w:r>
            <w:r w:rsidR="007649D9" w:rsidRPr="00AF4A7A">
              <w:rPr>
                <w:sz w:val="24"/>
                <w:szCs w:val="24"/>
              </w:rPr>
              <w:t xml:space="preserve">r </w:t>
            </w:r>
            <w:r w:rsidR="00776030" w:rsidRPr="00AF4A7A">
              <w:rPr>
                <w:sz w:val="24"/>
                <w:szCs w:val="24"/>
              </w:rPr>
              <w:t>NATO EADRCC</w:t>
            </w:r>
            <w:r w:rsidRPr="00AF4A7A">
              <w:rPr>
                <w:sz w:val="24"/>
                <w:szCs w:val="24"/>
              </w:rPr>
              <w:t>,</w:t>
            </w:r>
            <w:r w:rsidR="00776030" w:rsidRPr="00AF4A7A">
              <w:rPr>
                <w:sz w:val="24"/>
                <w:szCs w:val="24"/>
              </w:rPr>
              <w:t xml:space="preserve"> </w:t>
            </w:r>
            <w:r w:rsidRPr="00AF4A7A">
              <w:rPr>
                <w:sz w:val="24"/>
                <w:szCs w:val="24"/>
              </w:rPr>
              <w:t xml:space="preserve">starptautiskajām organizācijām un ārvalstīm </w:t>
            </w:r>
            <w:r w:rsidR="00FE13A2" w:rsidRPr="00AF4A7A">
              <w:rPr>
                <w:sz w:val="24"/>
                <w:szCs w:val="24"/>
              </w:rPr>
              <w:t xml:space="preserve">(tajā skaitā divpusējo līgumu ietvaros) </w:t>
            </w:r>
            <w:r w:rsidRPr="00AF4A7A">
              <w:rPr>
                <w:sz w:val="24"/>
                <w:szCs w:val="24"/>
              </w:rPr>
              <w:t xml:space="preserve">tiek īstenota tikai ar e-pastu starpniecību un telefoniski, jo </w:t>
            </w:r>
            <w:r w:rsidR="00FE13A2" w:rsidRPr="00AF4A7A">
              <w:rPr>
                <w:sz w:val="24"/>
                <w:szCs w:val="24"/>
              </w:rPr>
              <w:t xml:space="preserve">citas savstarpēji pielāgotas </w:t>
            </w:r>
            <w:r w:rsidRPr="00AF4A7A">
              <w:rPr>
                <w:sz w:val="24"/>
                <w:szCs w:val="24"/>
              </w:rPr>
              <w:t xml:space="preserve">programmas vai sistēmas nav izveidotas. </w:t>
            </w:r>
          </w:p>
          <w:p w:rsidR="003874A2" w:rsidRPr="00AF4A7A" w:rsidRDefault="001504DD" w:rsidP="0041514E">
            <w:pPr>
              <w:ind w:firstLine="400"/>
              <w:rPr>
                <w:iCs/>
                <w:sz w:val="24"/>
                <w:szCs w:val="24"/>
              </w:rPr>
            </w:pPr>
            <w:r w:rsidRPr="00AF4A7A">
              <w:rPr>
                <w:sz w:val="24"/>
                <w:szCs w:val="24"/>
                <w:shd w:val="clear" w:color="auto" w:fill="FFFFFF"/>
              </w:rPr>
              <w:t>Noteikumu projektā izmantota terminoloģija “</w:t>
            </w:r>
            <w:r w:rsidRPr="00AF4A7A">
              <w:rPr>
                <w:iCs/>
                <w:sz w:val="24"/>
                <w:szCs w:val="24"/>
              </w:rPr>
              <w:t xml:space="preserve">humānā palīdzība”, “starptautiskā palīdzība”, </w:t>
            </w:r>
            <w:r w:rsidR="00A02B11" w:rsidRPr="00AF4A7A">
              <w:rPr>
                <w:iCs/>
                <w:sz w:val="24"/>
                <w:szCs w:val="24"/>
              </w:rPr>
              <w:t>“</w:t>
            </w:r>
            <w:r w:rsidRPr="00AF4A7A">
              <w:rPr>
                <w:iCs/>
                <w:sz w:val="24"/>
                <w:szCs w:val="24"/>
              </w:rPr>
              <w:t>krīzes situācija”. Termins “humānā palīdzība” šo noteikumu izpratn</w:t>
            </w:r>
            <w:r w:rsidR="00A02B11" w:rsidRPr="00AF4A7A">
              <w:rPr>
                <w:iCs/>
                <w:sz w:val="24"/>
                <w:szCs w:val="24"/>
              </w:rPr>
              <w:t>ē ir palīdzība cietušai valstij katastrofu, to draudu un krīzes situācijā, kura tiek nodrošināta finanšu, preču, pakalpojumu vai tehniskās</w:t>
            </w:r>
            <w:r w:rsidRPr="00AF4A7A">
              <w:rPr>
                <w:iCs/>
                <w:sz w:val="24"/>
                <w:szCs w:val="24"/>
              </w:rPr>
              <w:t xml:space="preserve"> palīdz</w:t>
            </w:r>
            <w:r w:rsidR="00A02B11" w:rsidRPr="00AF4A7A">
              <w:rPr>
                <w:iCs/>
                <w:sz w:val="24"/>
                <w:szCs w:val="24"/>
              </w:rPr>
              <w:t>ības veidā, un to sniedz cita valsts, starpvalstu organizācija, starptautiskā organizācijā vai nevalstiskā organizācija</w:t>
            </w:r>
            <w:r w:rsidRPr="00AF4A7A">
              <w:rPr>
                <w:iCs/>
                <w:sz w:val="24"/>
                <w:szCs w:val="24"/>
              </w:rPr>
              <w:t>. H</w:t>
            </w:r>
            <w:r w:rsidRPr="00AF4A7A">
              <w:rPr>
                <w:sz w:val="24"/>
                <w:szCs w:val="24"/>
              </w:rPr>
              <w:t>umānā palīdzība ir starptautiski īstenots atbalsta un palīdzības pasākumu kopums, ko palīdzības sniedzējs (valsts, starpvalstu organizācija vai starptautiska organizācija) brīvprātīgi un bez atlīdzības sniedz valstij, kuru ietekmē katastrofa, krīzes situācija vai to draudi</w:t>
            </w:r>
            <w:r w:rsidRPr="00AF4A7A">
              <w:rPr>
                <w:iCs/>
                <w:sz w:val="24"/>
                <w:szCs w:val="24"/>
              </w:rPr>
              <w:t xml:space="preserve">, </w:t>
            </w:r>
            <w:r w:rsidR="00F35070" w:rsidRPr="00AF4A7A">
              <w:rPr>
                <w:iCs/>
                <w:sz w:val="24"/>
                <w:szCs w:val="24"/>
              </w:rPr>
              <w:t xml:space="preserve">un </w:t>
            </w:r>
            <w:r w:rsidRPr="00AF4A7A">
              <w:rPr>
                <w:iCs/>
                <w:sz w:val="24"/>
                <w:szCs w:val="24"/>
              </w:rPr>
              <w:t xml:space="preserve">ja tā šo humāno palīdzību ir lūgusi. Attiecībā uz terminu “starptautiskā palīdzība”, atbilstoši Civilās aizsardzības un katastrofas pārvaldīšanas likuma izpratnei, ir pasākumu kopums, lai reaģētu uz katastrofām un likvidētu to sekas, respektīvi, nodrošinātu katastrofas sākuma stadijā nepieciešamo civilās aizsardzības atbalstu, piemēram, zemestrīces gadījumā no citām valstīm pieprasītu un saņemtu konstrukciju stabilitātes un novērtējuma ekspertus, atbilstoši </w:t>
            </w:r>
            <w:r w:rsidR="00521D5A" w:rsidRPr="00AF4A7A">
              <w:rPr>
                <w:sz w:val="24"/>
                <w:szCs w:val="24"/>
                <w:shd w:val="clear" w:color="auto" w:fill="FFFFFF"/>
              </w:rPr>
              <w:t>Starptautiskās meklēšanas un glābšanas padomdevēju grupas</w:t>
            </w:r>
            <w:r w:rsidR="00521D5A" w:rsidRPr="00AF4A7A">
              <w:rPr>
                <w:iCs/>
                <w:sz w:val="24"/>
                <w:szCs w:val="24"/>
              </w:rPr>
              <w:t xml:space="preserve"> (INSARAG) darbības vadlīnijām</w:t>
            </w:r>
            <w:r w:rsidR="00521D5A" w:rsidRPr="00AF4A7A">
              <w:rPr>
                <w:rStyle w:val="FootnoteReference"/>
                <w:iCs/>
                <w:sz w:val="24"/>
                <w:szCs w:val="24"/>
              </w:rPr>
              <w:footnoteReference w:id="9"/>
            </w:r>
            <w:r w:rsidR="00521D5A" w:rsidRPr="00AF4A7A">
              <w:rPr>
                <w:iCs/>
                <w:sz w:val="24"/>
                <w:szCs w:val="24"/>
              </w:rPr>
              <w:t xml:space="preserve"> </w:t>
            </w:r>
            <w:r w:rsidRPr="00AF4A7A">
              <w:rPr>
                <w:iCs/>
                <w:sz w:val="24"/>
                <w:szCs w:val="24"/>
              </w:rPr>
              <w:t xml:space="preserve">sertificētas meklēšanas un glābšanas vienības, Pasaules veselības organizācijas vadlīnijām sagatavotus medicīniskos punktus, kuri spēj veikt ķirurģiskas manipulācijas lauku apstākļos u.c. resursi, vienības un eksperti. </w:t>
            </w:r>
            <w:r w:rsidR="00EC07D9" w:rsidRPr="00AF4A7A">
              <w:rPr>
                <w:iCs/>
                <w:sz w:val="24"/>
                <w:szCs w:val="24"/>
              </w:rPr>
              <w:t xml:space="preserve">Savukārt </w:t>
            </w:r>
            <w:r w:rsidRPr="00AF4A7A">
              <w:rPr>
                <w:iCs/>
                <w:sz w:val="24"/>
                <w:szCs w:val="24"/>
              </w:rPr>
              <w:t>“</w:t>
            </w:r>
            <w:r w:rsidR="00EC07D9" w:rsidRPr="00AF4A7A">
              <w:rPr>
                <w:iCs/>
                <w:sz w:val="24"/>
                <w:szCs w:val="24"/>
              </w:rPr>
              <w:t>k</w:t>
            </w:r>
            <w:r w:rsidRPr="00AF4A7A">
              <w:rPr>
                <w:iCs/>
                <w:sz w:val="24"/>
                <w:szCs w:val="24"/>
              </w:rPr>
              <w:t xml:space="preserve">rīzes situācija” tiek lietota, apzīmējot karadarbības, pilsoņu nemieru un liela mēroga personu migrācijas vai pārvietošanas situācijas, kurām par cēloni bijušas sarežģīta vai nestabila politiskā, ekonomiskā vai drošības vide (citos gadījumos to  veicinājusi dabas katastrofa), un </w:t>
            </w:r>
            <w:r w:rsidRPr="00AF4A7A">
              <w:rPr>
                <w:iCs/>
                <w:sz w:val="24"/>
                <w:szCs w:val="24"/>
              </w:rPr>
              <w:lastRenderedPageBreak/>
              <w:t>tās radījušas draudus cilvēku dzīvībai. Par piemēru var minēt Ukrainas karadarbības konfliktu, Sīrijas pilsoņu kar</w:t>
            </w:r>
            <w:r w:rsidR="00EC07D9" w:rsidRPr="00AF4A7A">
              <w:rPr>
                <w:iCs/>
                <w:sz w:val="24"/>
                <w:szCs w:val="24"/>
              </w:rPr>
              <w:t>u</w:t>
            </w:r>
            <w:r w:rsidRPr="00AF4A7A">
              <w:rPr>
                <w:iCs/>
                <w:sz w:val="24"/>
                <w:szCs w:val="24"/>
              </w:rPr>
              <w:t xml:space="preserve"> un migrācijas situācijas</w:t>
            </w:r>
            <w:r w:rsidR="00122843" w:rsidRPr="00AF4A7A">
              <w:rPr>
                <w:iCs/>
                <w:sz w:val="24"/>
                <w:szCs w:val="24"/>
              </w:rPr>
              <w:t>,</w:t>
            </w:r>
            <w:r w:rsidR="00EC07D9" w:rsidRPr="00AF4A7A">
              <w:rPr>
                <w:iCs/>
                <w:sz w:val="24"/>
                <w:szCs w:val="24"/>
              </w:rPr>
              <w:t xml:space="preserve"> kā arī</w:t>
            </w:r>
            <w:r w:rsidR="00122843" w:rsidRPr="00AF4A7A">
              <w:rPr>
                <w:iCs/>
                <w:sz w:val="24"/>
                <w:szCs w:val="24"/>
              </w:rPr>
              <w:t xml:space="preserve"> 2010.gada  zemestrīc</w:t>
            </w:r>
            <w:r w:rsidR="00EC07D9" w:rsidRPr="00AF4A7A">
              <w:rPr>
                <w:iCs/>
                <w:sz w:val="24"/>
                <w:szCs w:val="24"/>
              </w:rPr>
              <w:t>i</w:t>
            </w:r>
            <w:r w:rsidR="00122843" w:rsidRPr="00AF4A7A">
              <w:rPr>
                <w:iCs/>
                <w:sz w:val="24"/>
                <w:szCs w:val="24"/>
              </w:rPr>
              <w:t xml:space="preserve"> Haiti – </w:t>
            </w:r>
            <w:r w:rsidRPr="00AF4A7A">
              <w:rPr>
                <w:iCs/>
                <w:sz w:val="24"/>
                <w:szCs w:val="24"/>
              </w:rPr>
              <w:t>visas šīs situācijas prasījušas masveida iedzīvotāju pārvietošanu vai migrāciju (valsts iekšienē vai ārpus tās robežām) un humānās palīdzības nepieciešamību.</w:t>
            </w:r>
          </w:p>
          <w:p w:rsidR="00EC70AE" w:rsidRPr="00AF4A7A" w:rsidRDefault="00F24FD3" w:rsidP="0041514E">
            <w:pPr>
              <w:ind w:firstLine="400"/>
              <w:rPr>
                <w:iCs/>
                <w:sz w:val="24"/>
                <w:szCs w:val="24"/>
              </w:rPr>
            </w:pPr>
            <w:r w:rsidRPr="00AF4A7A">
              <w:rPr>
                <w:iCs/>
                <w:sz w:val="24"/>
                <w:szCs w:val="24"/>
              </w:rPr>
              <w:t xml:space="preserve">Attiecībā uz Noteikumu projektā noteiktajiem kontaktpunkta uzdevumiem, VUGD ir ņēmis vērā zināšanas un pieredzi no sadarbības ar ES ERCC un NATO EADRCC, kurus var uzskatīt par </w:t>
            </w:r>
            <w:r w:rsidR="00CC6532" w:rsidRPr="00AF4A7A">
              <w:rPr>
                <w:iCs/>
                <w:sz w:val="24"/>
                <w:szCs w:val="24"/>
              </w:rPr>
              <w:t xml:space="preserve">civilās aizsardzības </w:t>
            </w:r>
            <w:r w:rsidRPr="00AF4A7A">
              <w:rPr>
                <w:iCs/>
                <w:sz w:val="24"/>
                <w:szCs w:val="24"/>
              </w:rPr>
              <w:t xml:space="preserve">kontaktpunkta paraugiem. </w:t>
            </w:r>
            <w:r w:rsidR="00036A7B" w:rsidRPr="00AF4A7A">
              <w:rPr>
                <w:iCs/>
                <w:sz w:val="24"/>
                <w:szCs w:val="24"/>
              </w:rPr>
              <w:t>Pašlaik VUGD nodrošina atsevišķus Noteikumu projektā minētos kontaktpunkta uzdevumus (informācijas apriti ar ES ERCC, NATO EADRCC, VUGD resursu un spēju reģistrēšanu un informācijas nosūtīšanu katastrof</w:t>
            </w:r>
            <w:r w:rsidR="002E08B9" w:rsidRPr="00AF4A7A">
              <w:rPr>
                <w:iCs/>
                <w:sz w:val="24"/>
                <w:szCs w:val="24"/>
              </w:rPr>
              <w:t>as</w:t>
            </w:r>
            <w:r w:rsidR="00036A7B" w:rsidRPr="00AF4A7A">
              <w:rPr>
                <w:iCs/>
                <w:sz w:val="24"/>
                <w:szCs w:val="24"/>
              </w:rPr>
              <w:t xml:space="preserve"> pārvaldīšanas subjektiem par ka</w:t>
            </w:r>
            <w:r w:rsidR="00B51FCA" w:rsidRPr="00AF4A7A">
              <w:rPr>
                <w:iCs/>
                <w:sz w:val="24"/>
                <w:szCs w:val="24"/>
              </w:rPr>
              <w:t>tastrofām un krīzes situācijām)</w:t>
            </w:r>
            <w:r w:rsidR="006A1814" w:rsidRPr="00AF4A7A">
              <w:rPr>
                <w:iCs/>
                <w:sz w:val="24"/>
                <w:szCs w:val="24"/>
              </w:rPr>
              <w:t>, bet, ņemot vērā starptautisko pieredzi, nepi</w:t>
            </w:r>
            <w:r w:rsidR="001E5492" w:rsidRPr="00AF4A7A">
              <w:rPr>
                <w:iCs/>
                <w:sz w:val="24"/>
                <w:szCs w:val="24"/>
              </w:rPr>
              <w:t xml:space="preserve">eciešams attīstīt un pilnveidot </w:t>
            </w:r>
            <w:r w:rsidR="006A1814" w:rsidRPr="00AF4A7A">
              <w:rPr>
                <w:iCs/>
                <w:sz w:val="24"/>
                <w:szCs w:val="24"/>
              </w:rPr>
              <w:t xml:space="preserve">kontaktpunkta darbību. </w:t>
            </w:r>
          </w:p>
          <w:p w:rsidR="003B702B" w:rsidRPr="00C55DE8" w:rsidRDefault="00A46172" w:rsidP="0041514E">
            <w:pPr>
              <w:ind w:firstLine="400"/>
              <w:rPr>
                <w:iCs/>
                <w:sz w:val="24"/>
                <w:szCs w:val="24"/>
              </w:rPr>
            </w:pPr>
            <w:r w:rsidRPr="00AF4A7A">
              <w:rPr>
                <w:iCs/>
                <w:sz w:val="24"/>
                <w:szCs w:val="24"/>
              </w:rPr>
              <w:t xml:space="preserve">Noteikumu projektā paredzēts, ka kontaktpunktam jānodrošina </w:t>
            </w:r>
            <w:r w:rsidR="006A1814" w:rsidRPr="00AF4A7A">
              <w:rPr>
                <w:iCs/>
                <w:sz w:val="24"/>
                <w:szCs w:val="24"/>
              </w:rPr>
              <w:t xml:space="preserve">patstāvīga un </w:t>
            </w:r>
            <w:r w:rsidRPr="00AF4A7A">
              <w:rPr>
                <w:iCs/>
                <w:sz w:val="24"/>
                <w:szCs w:val="24"/>
              </w:rPr>
              <w:t xml:space="preserve">koordinēta </w:t>
            </w:r>
            <w:r w:rsidR="006A1814" w:rsidRPr="00AF4A7A">
              <w:rPr>
                <w:iCs/>
                <w:sz w:val="24"/>
                <w:szCs w:val="24"/>
              </w:rPr>
              <w:t>informācijas apmaiņa gan ar katastrofas</w:t>
            </w:r>
            <w:r w:rsidR="003B702B" w:rsidRPr="00AF4A7A">
              <w:rPr>
                <w:iCs/>
                <w:sz w:val="24"/>
                <w:szCs w:val="24"/>
              </w:rPr>
              <w:t xml:space="preserve"> pārvaldīšanas subjekti</w:t>
            </w:r>
            <w:r w:rsidR="006A1814" w:rsidRPr="00AF4A7A">
              <w:rPr>
                <w:iCs/>
                <w:sz w:val="24"/>
                <w:szCs w:val="24"/>
              </w:rPr>
              <w:t xml:space="preserve">em, gan ar </w:t>
            </w:r>
            <w:r w:rsidR="003B702B" w:rsidRPr="00AF4A7A">
              <w:rPr>
                <w:iCs/>
                <w:sz w:val="24"/>
                <w:szCs w:val="24"/>
              </w:rPr>
              <w:t>ES ERCC, NATO EADRCC, starptautisk</w:t>
            </w:r>
            <w:r w:rsidR="006A1814" w:rsidRPr="00AF4A7A">
              <w:rPr>
                <w:iCs/>
                <w:sz w:val="24"/>
                <w:szCs w:val="24"/>
              </w:rPr>
              <w:t>aj</w:t>
            </w:r>
            <w:r w:rsidR="003B702B" w:rsidRPr="00AF4A7A">
              <w:rPr>
                <w:iCs/>
                <w:sz w:val="24"/>
                <w:szCs w:val="24"/>
              </w:rPr>
              <w:t>ā</w:t>
            </w:r>
            <w:r w:rsidR="006A1814" w:rsidRPr="00AF4A7A">
              <w:rPr>
                <w:iCs/>
                <w:sz w:val="24"/>
                <w:szCs w:val="24"/>
              </w:rPr>
              <w:t>m</w:t>
            </w:r>
            <w:r w:rsidR="003B702B" w:rsidRPr="00AF4A7A">
              <w:rPr>
                <w:iCs/>
                <w:sz w:val="24"/>
                <w:szCs w:val="24"/>
              </w:rPr>
              <w:t xml:space="preserve"> organizācij</w:t>
            </w:r>
            <w:r w:rsidR="006A1814" w:rsidRPr="00AF4A7A">
              <w:rPr>
                <w:iCs/>
                <w:sz w:val="24"/>
                <w:szCs w:val="24"/>
              </w:rPr>
              <w:t>ām vai citām ārv</w:t>
            </w:r>
            <w:r w:rsidR="003B702B" w:rsidRPr="00AF4A7A">
              <w:rPr>
                <w:iCs/>
                <w:sz w:val="24"/>
                <w:szCs w:val="24"/>
              </w:rPr>
              <w:t>alst</w:t>
            </w:r>
            <w:r w:rsidR="006A1814" w:rsidRPr="00AF4A7A">
              <w:rPr>
                <w:iCs/>
                <w:sz w:val="24"/>
                <w:szCs w:val="24"/>
              </w:rPr>
              <w:t>īm</w:t>
            </w:r>
            <w:r w:rsidRPr="00AF4A7A">
              <w:rPr>
                <w:iCs/>
                <w:sz w:val="24"/>
                <w:szCs w:val="24"/>
              </w:rPr>
              <w:t xml:space="preserve">. </w:t>
            </w:r>
            <w:r w:rsidR="003B702B" w:rsidRPr="00AF4A7A">
              <w:rPr>
                <w:iCs/>
                <w:sz w:val="24"/>
                <w:szCs w:val="24"/>
              </w:rPr>
              <w:t>Pirms k</w:t>
            </w:r>
            <w:r w:rsidRPr="00AF4A7A">
              <w:rPr>
                <w:iCs/>
                <w:sz w:val="24"/>
                <w:szCs w:val="24"/>
              </w:rPr>
              <w:t>atastrofas</w:t>
            </w:r>
            <w:r w:rsidR="00C55DE8">
              <w:rPr>
                <w:iCs/>
                <w:sz w:val="24"/>
                <w:szCs w:val="24"/>
              </w:rPr>
              <w:t xml:space="preserve">, </w:t>
            </w:r>
            <w:r w:rsidR="002E08B9" w:rsidRPr="00AF4A7A">
              <w:rPr>
                <w:iCs/>
                <w:sz w:val="24"/>
                <w:szCs w:val="24"/>
              </w:rPr>
              <w:t>tās</w:t>
            </w:r>
            <w:r w:rsidRPr="00AF4A7A">
              <w:rPr>
                <w:iCs/>
                <w:sz w:val="24"/>
                <w:szCs w:val="24"/>
              </w:rPr>
              <w:t xml:space="preserve"> draud</w:t>
            </w:r>
            <w:r w:rsidR="003B702B" w:rsidRPr="00AF4A7A">
              <w:rPr>
                <w:iCs/>
                <w:sz w:val="24"/>
                <w:szCs w:val="24"/>
              </w:rPr>
              <w:t>iem</w:t>
            </w:r>
            <w:r w:rsidRPr="00AF4A7A">
              <w:rPr>
                <w:iCs/>
                <w:sz w:val="24"/>
                <w:szCs w:val="24"/>
              </w:rPr>
              <w:t xml:space="preserve"> vai krīzes situācij</w:t>
            </w:r>
            <w:r w:rsidR="00C55DE8">
              <w:rPr>
                <w:iCs/>
                <w:sz w:val="24"/>
                <w:szCs w:val="24"/>
              </w:rPr>
              <w:t>ām</w:t>
            </w:r>
            <w:r w:rsidRPr="00AF4A7A">
              <w:rPr>
                <w:iCs/>
                <w:sz w:val="24"/>
                <w:szCs w:val="24"/>
              </w:rPr>
              <w:t xml:space="preserve"> jau iepriekš nepieciešams izveidot komunikācijas saikni</w:t>
            </w:r>
            <w:r w:rsidR="003B702B" w:rsidRPr="00AF4A7A">
              <w:rPr>
                <w:iCs/>
                <w:sz w:val="24"/>
                <w:szCs w:val="24"/>
              </w:rPr>
              <w:t xml:space="preserve"> un informācijas apmaiņas kārtību </w:t>
            </w:r>
            <w:r w:rsidR="00C55DE8">
              <w:rPr>
                <w:iCs/>
                <w:sz w:val="24"/>
                <w:szCs w:val="24"/>
              </w:rPr>
              <w:t xml:space="preserve">(informācijas iegūšanu un nodošanu) </w:t>
            </w:r>
            <w:r w:rsidR="003B702B" w:rsidRPr="00AF4A7A">
              <w:rPr>
                <w:iCs/>
                <w:sz w:val="24"/>
                <w:szCs w:val="24"/>
              </w:rPr>
              <w:t xml:space="preserve">starp </w:t>
            </w:r>
            <w:r w:rsidRPr="00AF4A7A">
              <w:rPr>
                <w:iCs/>
                <w:sz w:val="24"/>
                <w:szCs w:val="24"/>
              </w:rPr>
              <w:t>kontaktpunktu</w:t>
            </w:r>
            <w:r w:rsidR="00C55DE8">
              <w:rPr>
                <w:iCs/>
                <w:sz w:val="24"/>
                <w:szCs w:val="24"/>
              </w:rPr>
              <w:t>,</w:t>
            </w:r>
            <w:r w:rsidRPr="00AF4A7A">
              <w:rPr>
                <w:iCs/>
                <w:sz w:val="24"/>
                <w:szCs w:val="24"/>
              </w:rPr>
              <w:t xml:space="preserve"> </w:t>
            </w:r>
            <w:r w:rsidR="006A1814" w:rsidRPr="00AF4A7A">
              <w:rPr>
                <w:iCs/>
                <w:sz w:val="24"/>
                <w:szCs w:val="24"/>
              </w:rPr>
              <w:t>katastrofas</w:t>
            </w:r>
            <w:r w:rsidRPr="00AF4A7A">
              <w:rPr>
                <w:iCs/>
                <w:sz w:val="24"/>
                <w:szCs w:val="24"/>
              </w:rPr>
              <w:t xml:space="preserve"> pārvaldīšanas subjektiem</w:t>
            </w:r>
            <w:r w:rsidR="00C55DE8">
              <w:rPr>
                <w:iCs/>
                <w:sz w:val="24"/>
                <w:szCs w:val="24"/>
              </w:rPr>
              <w:t xml:space="preserve"> un citām valsts institūcijām</w:t>
            </w:r>
            <w:r w:rsidRPr="00AF4A7A">
              <w:rPr>
                <w:iCs/>
                <w:sz w:val="24"/>
                <w:szCs w:val="24"/>
              </w:rPr>
              <w:t xml:space="preserve">. Pieredze no </w:t>
            </w:r>
            <w:r w:rsidR="002E08B9" w:rsidRPr="00AF4A7A">
              <w:rPr>
                <w:iCs/>
                <w:sz w:val="24"/>
                <w:szCs w:val="24"/>
              </w:rPr>
              <w:t>mācībām (ES katastrofas</w:t>
            </w:r>
            <w:r w:rsidRPr="00AF4A7A">
              <w:rPr>
                <w:iCs/>
                <w:sz w:val="24"/>
                <w:szCs w:val="24"/>
              </w:rPr>
              <w:t xml:space="preserve"> </w:t>
            </w:r>
            <w:r w:rsidR="00A043ED" w:rsidRPr="00AF4A7A">
              <w:rPr>
                <w:iCs/>
                <w:sz w:val="24"/>
                <w:szCs w:val="24"/>
              </w:rPr>
              <w:t xml:space="preserve">reaģēšanas </w:t>
            </w:r>
            <w:r w:rsidRPr="00AF4A7A">
              <w:rPr>
                <w:iCs/>
                <w:sz w:val="24"/>
                <w:szCs w:val="24"/>
              </w:rPr>
              <w:t>mācības “EDREX 201</w:t>
            </w:r>
            <w:r w:rsidR="003B702B" w:rsidRPr="00AF4A7A">
              <w:rPr>
                <w:iCs/>
                <w:sz w:val="24"/>
                <w:szCs w:val="24"/>
              </w:rPr>
              <w:t>7”)</w:t>
            </w:r>
            <w:r w:rsidRPr="00AF4A7A">
              <w:rPr>
                <w:iCs/>
                <w:sz w:val="24"/>
                <w:szCs w:val="24"/>
              </w:rPr>
              <w:t xml:space="preserve"> ir parādījusi, ka komunikācijas trūkums starp institūcijām veicina darbības dublēšanu, traucē lēmuma pieņemšanai, kā arī nenodrošina visaptverošas situ</w:t>
            </w:r>
            <w:r w:rsidR="003B702B" w:rsidRPr="00AF4A7A">
              <w:rPr>
                <w:iCs/>
                <w:sz w:val="24"/>
                <w:szCs w:val="24"/>
              </w:rPr>
              <w:t xml:space="preserve">ācijas kopainu, piemēram, nav skaidrības, kas, ko, kad ir īstenojis, kam ziņojis, kādu atbildi vai informāciju saņēmis, kāds </w:t>
            </w:r>
            <w:r w:rsidR="003B702B" w:rsidRPr="00C55DE8">
              <w:rPr>
                <w:iCs/>
                <w:sz w:val="24"/>
                <w:szCs w:val="24"/>
              </w:rPr>
              <w:t xml:space="preserve">lēmums ir pieņemts u.c. pasākumi. </w:t>
            </w:r>
          </w:p>
          <w:p w:rsidR="00C55DE8" w:rsidRPr="005D394A" w:rsidRDefault="00C55DE8" w:rsidP="0041514E">
            <w:pPr>
              <w:ind w:firstLine="400"/>
              <w:rPr>
                <w:iCs/>
                <w:sz w:val="24"/>
                <w:szCs w:val="24"/>
              </w:rPr>
            </w:pPr>
            <w:r w:rsidRPr="00C55DE8">
              <w:rPr>
                <w:iCs/>
                <w:sz w:val="24"/>
                <w:szCs w:val="24"/>
              </w:rPr>
              <w:t xml:space="preserve">Noteikumu </w:t>
            </w:r>
            <w:r w:rsidRPr="005D394A">
              <w:rPr>
                <w:iCs/>
                <w:sz w:val="24"/>
                <w:szCs w:val="24"/>
              </w:rPr>
              <w:t>projekts paredz</w:t>
            </w:r>
            <w:r w:rsidR="005D394A" w:rsidRPr="005D394A">
              <w:rPr>
                <w:iCs/>
                <w:sz w:val="24"/>
                <w:szCs w:val="24"/>
              </w:rPr>
              <w:t xml:space="preserve">, </w:t>
            </w:r>
            <w:r w:rsidR="005D394A">
              <w:rPr>
                <w:iCs/>
                <w:sz w:val="24"/>
                <w:szCs w:val="24"/>
              </w:rPr>
              <w:t xml:space="preserve">ka kontaktpunkts </w:t>
            </w:r>
            <w:r w:rsidR="005D394A" w:rsidRPr="005D394A">
              <w:rPr>
                <w:sz w:val="24"/>
                <w:szCs w:val="24"/>
              </w:rPr>
              <w:t>izstrādā un saskaņo koordinētas informācijas apmaiņas mehānismus, lai katastrofu, to draudu vai krīzes situācijās nodrošinātu informācijas apmaiņu starp kontaktpunktu un citiem nacionāliem kontaktpunktiem, kuru darbību nodrošina valsts institūcijas</w:t>
            </w:r>
            <w:r w:rsidR="005D394A">
              <w:rPr>
                <w:sz w:val="24"/>
                <w:szCs w:val="24"/>
              </w:rPr>
              <w:t>. Šobrīd Latvijā vairākās institūcijas pilda vai nodrošina nacionālā kontaktpunkta funkcijas, kas iever savstarpēju informācijas apmaiņu</w:t>
            </w:r>
            <w:r w:rsidR="00416AAC">
              <w:rPr>
                <w:sz w:val="24"/>
                <w:szCs w:val="24"/>
              </w:rPr>
              <w:t xml:space="preserve"> savas nozares ietvaros. Ņemot vērā to, ka katras nozares nacionālajam kontaktpunktam katastrofas, to draudu vai krīzes situācijās var būt noteikta atšķirīga informācijas apmaiņa un darbības specifika, kontaktpunkts </w:t>
            </w:r>
            <w:r w:rsidR="00416AAC" w:rsidRPr="005D394A">
              <w:rPr>
                <w:sz w:val="24"/>
                <w:szCs w:val="24"/>
              </w:rPr>
              <w:t>izstrādā</w:t>
            </w:r>
            <w:r w:rsidR="00416AAC">
              <w:rPr>
                <w:sz w:val="24"/>
                <w:szCs w:val="24"/>
              </w:rPr>
              <w:t>s</w:t>
            </w:r>
            <w:r w:rsidR="00416AAC" w:rsidRPr="005D394A">
              <w:rPr>
                <w:sz w:val="24"/>
                <w:szCs w:val="24"/>
              </w:rPr>
              <w:t xml:space="preserve"> un saskaņo</w:t>
            </w:r>
            <w:r w:rsidR="00416AAC">
              <w:rPr>
                <w:sz w:val="24"/>
                <w:szCs w:val="24"/>
              </w:rPr>
              <w:t>s</w:t>
            </w:r>
            <w:r w:rsidR="00416AAC" w:rsidRPr="005D394A">
              <w:rPr>
                <w:sz w:val="24"/>
                <w:szCs w:val="24"/>
              </w:rPr>
              <w:t xml:space="preserve"> </w:t>
            </w:r>
            <w:r w:rsidR="00416AAC">
              <w:rPr>
                <w:sz w:val="24"/>
                <w:szCs w:val="24"/>
              </w:rPr>
              <w:t xml:space="preserve">pielāgotus </w:t>
            </w:r>
            <w:r w:rsidR="00416AAC" w:rsidRPr="005D394A">
              <w:rPr>
                <w:sz w:val="24"/>
                <w:szCs w:val="24"/>
              </w:rPr>
              <w:t>informācijas apmaiņas mehānismus</w:t>
            </w:r>
            <w:r w:rsidR="00416AAC">
              <w:rPr>
                <w:sz w:val="24"/>
                <w:szCs w:val="24"/>
              </w:rPr>
              <w:t xml:space="preserve"> (shēmas, algoritmus u.c.) ar katru valsts institūciju.</w:t>
            </w:r>
          </w:p>
          <w:p w:rsidR="00142A79" w:rsidRPr="00AF4A7A" w:rsidRDefault="003B702B" w:rsidP="00142A79">
            <w:pPr>
              <w:pStyle w:val="tv213"/>
              <w:shd w:val="clear" w:color="auto" w:fill="FFFFFF"/>
              <w:spacing w:before="0" w:beforeAutospacing="0" w:after="0" w:afterAutospacing="0"/>
              <w:ind w:right="-57" w:firstLine="720"/>
              <w:jc w:val="both"/>
            </w:pPr>
            <w:r w:rsidRPr="00C55DE8">
              <w:rPr>
                <w:iCs/>
              </w:rPr>
              <w:lastRenderedPageBreak/>
              <w:t>Noteikumu projekts</w:t>
            </w:r>
            <w:r w:rsidRPr="00AF4A7A">
              <w:rPr>
                <w:iCs/>
              </w:rPr>
              <w:t xml:space="preserve"> paredz, ka kontaktpunkts veic </w:t>
            </w:r>
            <w:r w:rsidRPr="00AF4A7A">
              <w:t>katastrof</w:t>
            </w:r>
            <w:r w:rsidR="005619DB" w:rsidRPr="00AF4A7A">
              <w:t xml:space="preserve">u, to </w:t>
            </w:r>
            <w:r w:rsidRPr="00AF4A7A">
              <w:t>draudu</w:t>
            </w:r>
            <w:r w:rsidR="005619DB" w:rsidRPr="00AF4A7A">
              <w:t xml:space="preserve"> </w:t>
            </w:r>
            <w:r w:rsidRPr="00AF4A7A">
              <w:t xml:space="preserve">vai krīzes situāciju </w:t>
            </w:r>
            <w:r w:rsidR="00657F3F" w:rsidRPr="00AF4A7A">
              <w:t xml:space="preserve">attīstības </w:t>
            </w:r>
            <w:r w:rsidRPr="00AF4A7A">
              <w:t>monitoringu. VUGD apzinājis pieredzi no ES ERCC, ka šāda uzdevuma veikšana nodrošina savlaicīgu gatavību. Piemēram, ja zemestrīce ir notikusi nakts laikā, tad kontaktpunktam ir iespēja savlaicīgi apkopot un sagatavot informāciju par iespējamo palīdzību</w:t>
            </w:r>
            <w:r w:rsidR="00657F3F" w:rsidRPr="00AF4A7A">
              <w:t xml:space="preserve"> savā valstī</w:t>
            </w:r>
            <w:r w:rsidRPr="00AF4A7A">
              <w:t xml:space="preserve">, apzināt iespējamos resursus, ekspertus u.c. pasākumus. </w:t>
            </w:r>
            <w:r w:rsidR="00657F3F" w:rsidRPr="00AF4A7A">
              <w:t>S</w:t>
            </w:r>
            <w:r w:rsidRPr="00AF4A7A">
              <w:t xml:space="preserve">avlaicīgs </w:t>
            </w:r>
            <w:r w:rsidR="00657F3F" w:rsidRPr="00AF4A7A">
              <w:t xml:space="preserve">situācijas attīstības </w:t>
            </w:r>
            <w:r w:rsidRPr="00AF4A7A">
              <w:t>monitorings ļauj arī apkopot visaptverošu informāciju</w:t>
            </w:r>
            <w:r w:rsidR="005E0C48" w:rsidRPr="00AF4A7A">
              <w:t xml:space="preserve"> par notikuma attīstību, katastrof</w:t>
            </w:r>
            <w:r w:rsidR="005619DB" w:rsidRPr="00AF4A7A">
              <w:t>u</w:t>
            </w:r>
            <w:r w:rsidR="005E0C48" w:rsidRPr="00AF4A7A">
              <w:t xml:space="preserve"> vai krīzes situācijas ietekmi uz dažādām nozarēm. </w:t>
            </w:r>
            <w:r w:rsidR="00142A79" w:rsidRPr="00AF4A7A">
              <w:t>Piemēram, pēc 2010.gada zemestrīces Haiti tika konstatēts holēras uzliesmojums, kas bija saistītas ar to, ka bija nepietiekama pieejamības medicīniskajiem preparātiem, esošie laika apstākļi pastiprināja slimības izplatīšanos, sabiedriskās nekārtības neļāva mediķiem droši strādāt ar pacientiem (tika apdraudētas mediķu dzīvības), esošā medicīnas sistēma bija vāji attīstīta, slimnīcas un ārstniecības iestādes pēc zemestrīces bija sagrautas, esošais medicīnas personāls bija maz izglītots, arī pirms zemestrīces Haiti holēras slimnieku skaits bija ievērojams, tāpat arī sabiedrības zināšanas un attieksme bija nepietiekamā līmenī.</w:t>
            </w:r>
            <w:r w:rsidR="008420BF" w:rsidRPr="00AF4A7A">
              <w:rPr>
                <w:rStyle w:val="FootnoteReference"/>
              </w:rPr>
              <w:footnoteReference w:id="10"/>
            </w:r>
            <w:r w:rsidR="00142A79" w:rsidRPr="00AF4A7A">
              <w:t xml:space="preserve"> Šī situācija no pieredzes ir parādījusi, ka civilās aizsardzības kontaktpunktiem jāanalizē un jāveic situācijas attīstības monitorings, lai varētu savlaicīgi prognozēt palīdzības nepieciešamība. </w:t>
            </w:r>
          </w:p>
          <w:p w:rsidR="009221AC" w:rsidRPr="00AF4A7A" w:rsidRDefault="005E0C48" w:rsidP="00AB337B">
            <w:pPr>
              <w:pStyle w:val="tv213"/>
              <w:shd w:val="clear" w:color="auto" w:fill="FFFFFF"/>
              <w:spacing w:before="0" w:beforeAutospacing="0" w:after="0" w:afterAutospacing="0"/>
              <w:ind w:right="-57" w:firstLine="720"/>
              <w:jc w:val="both"/>
            </w:pPr>
            <w:r w:rsidRPr="00AF4A7A">
              <w:t xml:space="preserve">Noteikumu projekts paredz, ka kontaktpunkts </w:t>
            </w:r>
            <w:r w:rsidR="003B702B" w:rsidRPr="00AF4A7A">
              <w:t xml:space="preserve"> veic informācijas uzkrāšanu un analīzi par notikušajām katastrofām</w:t>
            </w:r>
            <w:r w:rsidR="003A0101" w:rsidRPr="00AF4A7A">
              <w:t>, t</w:t>
            </w:r>
            <w:r w:rsidR="005619DB" w:rsidRPr="00AF4A7A">
              <w:t>o</w:t>
            </w:r>
            <w:r w:rsidR="00916293" w:rsidRPr="00AF4A7A">
              <w:t xml:space="preserve"> </w:t>
            </w:r>
            <w:r w:rsidR="003B702B" w:rsidRPr="00AF4A7A">
              <w:t>draudiem vai krīzes situācijām</w:t>
            </w:r>
            <w:r w:rsidR="009D1AE2" w:rsidRPr="00AF4A7A">
              <w:t>, kuru rezultātā iespējama humānās palīdzības un starptautiskās palīdzības saņemšana un sniegšana</w:t>
            </w:r>
            <w:r w:rsidRPr="00AF4A7A">
              <w:t>. VUGD apzinājis pieredzi no ES ERCC, ka šāda uzdevuma veikšana ļauj iepriekš plānot iespējamo sadarbīb</w:t>
            </w:r>
            <w:r w:rsidR="00916293" w:rsidRPr="00AF4A7A">
              <w:t>u</w:t>
            </w:r>
            <w:r w:rsidRPr="00AF4A7A">
              <w:t xml:space="preserve"> ar starptautiskām institūcijām un valstīm, paredzēt nepieciešamos resursus (</w:t>
            </w:r>
            <w:r w:rsidR="00916293" w:rsidRPr="00AF4A7A">
              <w:t xml:space="preserve">gadījumos, </w:t>
            </w:r>
            <w:r w:rsidRPr="00AF4A7A">
              <w:t>ja šāda katastrofa vai krīzes situācija atkārtojas), iepriekš sagatavot resursu un ekspertus, kuri var dod ieguldījumu situācijas risināšanā</w:t>
            </w:r>
            <w:r w:rsidR="009737DF" w:rsidRPr="00AF4A7A">
              <w:t>, kā arī paredzēt, kādi izaicinājumi vai problēmas varētu  rasties notikuma vietā</w:t>
            </w:r>
            <w:r w:rsidR="009737DF" w:rsidRPr="00AF4A7A">
              <w:rPr>
                <w:rStyle w:val="FootnoteReference"/>
              </w:rPr>
              <w:footnoteReference w:id="11"/>
            </w:r>
            <w:r w:rsidRPr="00AF4A7A">
              <w:t xml:space="preserve">. </w:t>
            </w:r>
            <w:r w:rsidR="009737DF" w:rsidRPr="00AF4A7A">
              <w:t xml:space="preserve">Piemēram, ES ERCC, izvērtējot sniegtās palīdzības efektivitāti </w:t>
            </w:r>
            <w:r w:rsidR="003529FA" w:rsidRPr="00AF4A7A">
              <w:t xml:space="preserve">Filipīnām, </w:t>
            </w:r>
            <w:r w:rsidR="009737DF" w:rsidRPr="00AF4A7A">
              <w:t xml:space="preserve">taifūna </w:t>
            </w:r>
            <w:proofErr w:type="spellStart"/>
            <w:r w:rsidR="009737DF" w:rsidRPr="00AF4A7A">
              <w:t>Haijans</w:t>
            </w:r>
            <w:proofErr w:type="spellEnd"/>
            <w:r w:rsidR="009737DF" w:rsidRPr="00AF4A7A">
              <w:t xml:space="preserve"> laikā, 2013.gadā, kas bija viens no spēcīgākajiem fiksētajiem tropiskajiem cikloniem meteoroloģisko novērojumu vēsturē, </w:t>
            </w:r>
            <w:r w:rsidR="003529FA" w:rsidRPr="00AF4A7A">
              <w:t xml:space="preserve">konstatēja, ka kontaktpunktam būtu jāveic informācijas analīze par līdzīgām situācijām un tajās pastāvošajiem riskiem. Šādās katastrofās nosūtot civilās aizsardzības koordinēšanas komandu, nepieciešams iekļaut arī humānās  palīdzības jautājuma ekspertus, jo </w:t>
            </w:r>
            <w:r w:rsidR="000B2331" w:rsidRPr="00AF4A7A">
              <w:t xml:space="preserve">katastrofas agrīnā stadijā bija nepieciešams risināt </w:t>
            </w:r>
            <w:r w:rsidR="003529FA" w:rsidRPr="00AF4A7A">
              <w:t>sadarbības jautājum</w:t>
            </w:r>
            <w:r w:rsidR="000B2331" w:rsidRPr="00AF4A7A">
              <w:t>us</w:t>
            </w:r>
            <w:r w:rsidR="003529FA" w:rsidRPr="00AF4A7A">
              <w:t xml:space="preserve"> ar Apvienoto Nāciju Organizāciju </w:t>
            </w:r>
            <w:r w:rsidR="003529FA" w:rsidRPr="00AF4A7A">
              <w:lastRenderedPageBreak/>
              <w:t>koordinācijas komandām</w:t>
            </w:r>
            <w:r w:rsidR="000B2331" w:rsidRPr="00AF4A7A">
              <w:t xml:space="preserve"> par humānās palīdzības aspektiem</w:t>
            </w:r>
            <w:r w:rsidR="000B2331" w:rsidRPr="00AF4A7A">
              <w:rPr>
                <w:rStyle w:val="FootnoteReference"/>
              </w:rPr>
              <w:footnoteReference w:id="12"/>
            </w:r>
            <w:r w:rsidR="000B2331" w:rsidRPr="00AF4A7A">
              <w:t>.</w:t>
            </w:r>
            <w:r w:rsidR="00AB337B" w:rsidRPr="00AF4A7A">
              <w:t xml:space="preserve"> Papildus tam, veicot informācijas analīzi, kontaktpunktam ir iespējams ņemt vērā </w:t>
            </w:r>
            <w:r w:rsidR="000B2331" w:rsidRPr="00AF4A7A">
              <w:t>katastrofas pārvaldīšanas subjektu prognoz</w:t>
            </w:r>
            <w:r w:rsidR="00AB337B" w:rsidRPr="00AF4A7A">
              <w:t>es</w:t>
            </w:r>
            <w:r w:rsidR="000B2331" w:rsidRPr="00AF4A7A">
              <w:t xml:space="preserve"> un izstrādāt</w:t>
            </w:r>
            <w:r w:rsidR="00AB337B" w:rsidRPr="00AF4A7A">
              <w:t>os</w:t>
            </w:r>
            <w:r w:rsidR="000B2331" w:rsidRPr="00AF4A7A">
              <w:t xml:space="preserve"> riska novērtējum</w:t>
            </w:r>
            <w:r w:rsidR="00AB337B" w:rsidRPr="00AF4A7A">
              <w:t>us</w:t>
            </w:r>
            <w:r w:rsidR="000B2331" w:rsidRPr="00AF4A7A">
              <w:t xml:space="preserve">, </w:t>
            </w:r>
            <w:r w:rsidR="00BA6540" w:rsidRPr="00AF4A7A">
              <w:t xml:space="preserve">kā arī </w:t>
            </w:r>
            <w:r w:rsidR="00AB337B" w:rsidRPr="00AF4A7A">
              <w:t xml:space="preserve">informāciju par </w:t>
            </w:r>
            <w:r w:rsidR="00BA6540" w:rsidRPr="00AF4A7A">
              <w:t xml:space="preserve">notikušām katastrofām un krīzes situācijām ārvalstīs. </w:t>
            </w:r>
            <w:r w:rsidR="00DF6C9C" w:rsidRPr="00AF4A7A">
              <w:t>Balstoties uz apzināto pieredzi no ES ERCC, š</w:t>
            </w:r>
            <w:r w:rsidR="00BA6540" w:rsidRPr="00AF4A7A">
              <w:t xml:space="preserve">āda </w:t>
            </w:r>
            <w:r w:rsidR="00DF6C9C" w:rsidRPr="00AF4A7A">
              <w:t>preventīva pasākumu īstenošana ļauj visaptveroši analizēt notikušās katastrofas un tā attīstības scenārijus, kā arī faktorus, kas ietekmējuši situācij</w:t>
            </w:r>
            <w:r w:rsidR="00AB337B" w:rsidRPr="00AF4A7A">
              <w:t>u</w:t>
            </w:r>
            <w:r w:rsidR="00DF6C9C" w:rsidRPr="00AF4A7A">
              <w:t>, kuras rezultātā ir biju nepieciešamība pieprasīt  starptautisko palīdzību vai humāno palīdzību. Piemēram, viens no spilgtākajiem piemēriem ir migrantu krīze Eiropā, kas sekmējušas procesus, ka arī attīstītās ES valstis katastrof</w:t>
            </w:r>
            <w:r w:rsidR="005619DB" w:rsidRPr="00AF4A7A">
              <w:t>u</w:t>
            </w:r>
            <w:r w:rsidR="00A043ED" w:rsidRPr="00AF4A7A">
              <w:t>, t</w:t>
            </w:r>
            <w:r w:rsidR="005619DB" w:rsidRPr="00AF4A7A">
              <w:t>o</w:t>
            </w:r>
            <w:r w:rsidR="00DF6C9C" w:rsidRPr="00AF4A7A">
              <w:t xml:space="preserve"> draudu vai krī</w:t>
            </w:r>
            <w:r w:rsidR="00A043ED" w:rsidRPr="00AF4A7A">
              <w:t>zes</w:t>
            </w:r>
            <w:r w:rsidR="00DF6C9C" w:rsidRPr="00AF4A7A">
              <w:t xml:space="preserve"> gadījumā var nonākt situācijās, kad ir nepieciešams lūgt starptautiskās sabiedrības atbalstu un pieprasīt humāno palīdzība. ES iepriekš šo problēmu uzskatīja tikai kā atsevišķu robežvalstu problēmu, bet situācijai attīstoties, tā kļuva par visas ES problēmu. </w:t>
            </w:r>
            <w:r w:rsidR="00DF6C9C" w:rsidRPr="00AF4A7A">
              <w:rPr>
                <w:iCs/>
              </w:rPr>
              <w:t>Piemēram, ES bēgļu krīzes ietvaros Latvija sniegusi humānās palīdzības atbalstu materiālā veidā citām ES dalībvalstīm – Slovēnijai</w:t>
            </w:r>
            <w:r w:rsidR="00DF6C9C" w:rsidRPr="00AF4A7A">
              <w:rPr>
                <w:rStyle w:val="FootnoteReference"/>
                <w:iCs/>
              </w:rPr>
              <w:footnoteReference w:id="13"/>
            </w:r>
            <w:r w:rsidR="00DF6C9C" w:rsidRPr="00AF4A7A">
              <w:rPr>
                <w:iCs/>
              </w:rPr>
              <w:t xml:space="preserve"> un Grieķijai</w:t>
            </w:r>
            <w:r w:rsidR="00DF6C9C" w:rsidRPr="00AF4A7A">
              <w:rPr>
                <w:rStyle w:val="FootnoteReference"/>
                <w:iCs/>
              </w:rPr>
              <w:footnoteReference w:id="14"/>
            </w:r>
            <w:r w:rsidR="00DF6C9C" w:rsidRPr="00AF4A7A">
              <w:rPr>
                <w:iCs/>
              </w:rPr>
              <w:t>.</w:t>
            </w:r>
          </w:p>
          <w:p w:rsidR="00E250FC" w:rsidRPr="00AF4A7A" w:rsidRDefault="00B31298" w:rsidP="00F76153">
            <w:pPr>
              <w:pStyle w:val="tv213"/>
              <w:shd w:val="clear" w:color="auto" w:fill="FFFFFF"/>
              <w:spacing w:before="0" w:beforeAutospacing="0" w:after="0" w:afterAutospacing="0"/>
              <w:ind w:right="-57" w:firstLine="720"/>
              <w:jc w:val="both"/>
            </w:pPr>
            <w:r w:rsidRPr="00AF4A7A">
              <w:t xml:space="preserve">Noteikumu projekts paredz, ka kontaktpunkts </w:t>
            </w:r>
            <w:r w:rsidR="00DC01EC" w:rsidRPr="00AF4A7A">
              <w:t>veic katastrofas pārvaldīšanas subjektu humānās palīdzības un starptautiskās palīdzības spēju apkopošanu, reģistrēšanu un informācijas atjaunošanu ES ERCC, NATO EADRCC un citu starptautisko organizāciju izveidotajās informācijas sistēmās.</w:t>
            </w:r>
            <w:r w:rsidR="00DC01EC" w:rsidRPr="00AF4A7A">
              <w:rPr>
                <w:sz w:val="28"/>
                <w:szCs w:val="28"/>
              </w:rPr>
              <w:t xml:space="preserve"> </w:t>
            </w:r>
            <w:r w:rsidR="009221AC" w:rsidRPr="00AF4A7A">
              <w:t>VUGD apzinājis pieredzi no ES ERCC, ka šāda uzdevuma veikšana ļauj iepriekš</w:t>
            </w:r>
            <w:r w:rsidR="00F76153" w:rsidRPr="00AF4A7A">
              <w:t xml:space="preserve"> </w:t>
            </w:r>
            <w:r w:rsidR="00DC01EC" w:rsidRPr="00AF4A7A">
              <w:t>sagatavoties iespējamām katastrofām, to draudiem vai krīzes situācijām. Piemēram, saņemot palīdzības pieprasījumu no katastrofas cietušās valsts, tā palīdzības lūgumā norāda savas vajadzības (resursus, palīdzības komandas, humānās palīdzības apmēru un veidu u.c. vajadzības). Iepriekš apzinot Latvijas katastrofas pārvaldīšanas subjektu humānās palīdzības un starptautiskās palīdzības spēja ir iespējams savlaicīgāk reaģēt uz palīdzības lūgumu, kā arī nodrošināt Latvijas</w:t>
            </w:r>
            <w:r w:rsidR="00E250FC" w:rsidRPr="00AF4A7A">
              <w:t xml:space="preserve"> atpazīstamību starptautiskā mērogā, kā valsti, kas solidāri  iesaistās palīdzības sniegšanā katastrofas cietušās valsts atbalstam. Piemēram, Zviedrijas ārkārtējo situāciju aģentūra (MSB), kas īsteno nacionālā kontaktpunkta funkcijas ir izveidojis ekspertu datu bāzi, kurā interesenti var reģistrēties, ja viņi vēlas ar savām profesionālajām zināšanām iesaistīties starptautiskās palīdzības misijās</w:t>
            </w:r>
            <w:r w:rsidR="00E250FC" w:rsidRPr="00AF4A7A">
              <w:rPr>
                <w:rStyle w:val="FootnoteReference"/>
              </w:rPr>
              <w:footnoteReference w:id="15"/>
            </w:r>
            <w:r w:rsidR="00E250FC" w:rsidRPr="00AF4A7A">
              <w:t xml:space="preserve">. Tādejādi nodrošinot dažādu nozaru ekspertu </w:t>
            </w:r>
            <w:r w:rsidR="00A043ED" w:rsidRPr="00AF4A7A">
              <w:t xml:space="preserve">pieejamību </w:t>
            </w:r>
            <w:r w:rsidR="00A043ED" w:rsidRPr="00AF4A7A">
              <w:lastRenderedPageBreak/>
              <w:t>dažādu katastrof</w:t>
            </w:r>
            <w:r w:rsidR="005619DB" w:rsidRPr="00AF4A7A">
              <w:t>u</w:t>
            </w:r>
            <w:r w:rsidR="00A043ED" w:rsidRPr="00AF4A7A">
              <w:t>, t</w:t>
            </w:r>
            <w:r w:rsidR="005619DB" w:rsidRPr="00AF4A7A">
              <w:t>o</w:t>
            </w:r>
            <w:r w:rsidR="00E250FC" w:rsidRPr="00AF4A7A">
              <w:t xml:space="preserve"> draudu vai krīzes situācijās. Arī ES ERCC pārvaldītajā CECIS sistēmā ES civilās aizsardzības mehānisma dalībvalstīm ir iespēja iepriekš reģistrēt savas spējas (ekspertus, komandas, civilās aizsardzības moduļus un citas spējas), lai veicinātu efektīvāku un prognozējamāku starptautiskās palīdzības un humānās palīdzības atbalstu</w:t>
            </w:r>
            <w:r w:rsidR="00E250FC" w:rsidRPr="00AF4A7A">
              <w:rPr>
                <w:rStyle w:val="FootnoteReference"/>
              </w:rPr>
              <w:footnoteReference w:id="16"/>
            </w:r>
            <w:r w:rsidR="00C01A54">
              <w:t>.</w:t>
            </w:r>
          </w:p>
          <w:p w:rsidR="00F76153" w:rsidRPr="00C01A54" w:rsidRDefault="00F76153" w:rsidP="00F76153">
            <w:pPr>
              <w:pStyle w:val="tv213"/>
              <w:shd w:val="clear" w:color="auto" w:fill="FFFFFF"/>
              <w:spacing w:before="0" w:beforeAutospacing="0" w:after="0" w:afterAutospacing="0"/>
              <w:ind w:right="-57" w:firstLine="720"/>
              <w:jc w:val="both"/>
            </w:pPr>
            <w:r w:rsidRPr="00AF4A7A">
              <w:t xml:space="preserve">Noteikumu projekts paredz, ka kontaktpunkts </w:t>
            </w:r>
            <w:r w:rsidR="00637F9B" w:rsidRPr="00AF4A7A">
              <w:t xml:space="preserve">sagatavo priekšlikumus </w:t>
            </w:r>
            <w:r w:rsidRPr="00AF4A7A">
              <w:t>Krīzes vadības padomes sekretariāt</w:t>
            </w:r>
            <w:r w:rsidR="00637F9B" w:rsidRPr="00AF4A7A">
              <w:t>am par katastrof</w:t>
            </w:r>
            <w:r w:rsidR="005619DB" w:rsidRPr="00AF4A7A">
              <w:t>u</w:t>
            </w:r>
            <w:r w:rsidR="00637F9B" w:rsidRPr="00AF4A7A">
              <w:t>,</w:t>
            </w:r>
            <w:r w:rsidRPr="00AF4A7A">
              <w:t xml:space="preserve"> </w:t>
            </w:r>
            <w:r w:rsidR="00A043ED" w:rsidRPr="00AF4A7A">
              <w:t>t</w:t>
            </w:r>
            <w:r w:rsidR="005619DB" w:rsidRPr="00AF4A7A">
              <w:t>o</w:t>
            </w:r>
            <w:r w:rsidR="00637F9B" w:rsidRPr="00AF4A7A">
              <w:t xml:space="preserve"> draudiem</w:t>
            </w:r>
            <w:r w:rsidRPr="00AF4A7A">
              <w:t xml:space="preserve"> vai krīzes situācijām, kurās nepieciešama starpnozaru koordinēta sadarbība</w:t>
            </w:r>
            <w:r w:rsidR="00637F9B" w:rsidRPr="00AF4A7A">
              <w:t xml:space="preserve"> katastrofas pārvaldīšanas pasākumu īstenošanai.</w:t>
            </w:r>
            <w:r w:rsidRPr="00AF4A7A">
              <w:t xml:space="preserve"> Ņemot vērā to, ka par katastrof</w:t>
            </w:r>
            <w:r w:rsidR="005619DB" w:rsidRPr="00AF4A7A">
              <w:t xml:space="preserve">u, to </w:t>
            </w:r>
            <w:r w:rsidRPr="00AF4A7A">
              <w:t xml:space="preserve">draudiem vai krīzes situācijām kontaktpunkts varētu </w:t>
            </w:r>
            <w:r w:rsidR="0083744E" w:rsidRPr="00AF4A7A">
              <w:t xml:space="preserve">uzzināt </w:t>
            </w:r>
            <w:r w:rsidRPr="00AF4A7A">
              <w:t xml:space="preserve">pirmais, </w:t>
            </w:r>
            <w:r w:rsidR="0083744E" w:rsidRPr="00AF4A7A">
              <w:t xml:space="preserve">jo </w:t>
            </w:r>
            <w:r w:rsidRPr="00AF4A7A">
              <w:t xml:space="preserve">šo informāciju saņem no citām starptautiskām organizācijām vai katastrofā cietušās valsts, </w:t>
            </w:r>
            <w:r w:rsidR="0083744E" w:rsidRPr="00AF4A7A">
              <w:t>b</w:t>
            </w:r>
            <w:r w:rsidRPr="00AF4A7A">
              <w:t>ūtiski ir nodrošināt pēc iespējas ātrāku visaptverošas informācijas sagatavošanu un nodošanu Krīzes vadības padomes sekretari</w:t>
            </w:r>
            <w:r w:rsidR="0083744E" w:rsidRPr="00AF4A7A">
              <w:t xml:space="preserve">ātam, kas atbilstoši </w:t>
            </w:r>
            <w:r w:rsidR="0083744E" w:rsidRPr="00AF4A7A">
              <w:rPr>
                <w:bCs/>
              </w:rPr>
              <w:t xml:space="preserve">Ministru kabineta 2011.gada 18.janvāra noteikumiem Nr.42 “Krīzes vadības padomes nolikums” noteiktajām tiesībām, sagatavos un sniegs Krīzes vadības padomes priekšsēdētājam priekšlikumus par </w:t>
            </w:r>
            <w:r w:rsidR="00637F9B" w:rsidRPr="00AF4A7A">
              <w:rPr>
                <w:bCs/>
              </w:rPr>
              <w:t xml:space="preserve">nepieciešamību izvērtēt un iekļaut jautājumu Krīzes vadības </w:t>
            </w:r>
            <w:r w:rsidR="00637F9B" w:rsidRPr="00C01A54">
              <w:rPr>
                <w:bCs/>
              </w:rPr>
              <w:t xml:space="preserve">padomes </w:t>
            </w:r>
            <w:r w:rsidR="0083744E" w:rsidRPr="00C01A54">
              <w:rPr>
                <w:bCs/>
              </w:rPr>
              <w:t>sēdes darba kārtīb</w:t>
            </w:r>
            <w:r w:rsidR="00637F9B" w:rsidRPr="00C01A54">
              <w:rPr>
                <w:bCs/>
              </w:rPr>
              <w:t>ā</w:t>
            </w:r>
            <w:r w:rsidR="000D3B4A" w:rsidRPr="00C01A54">
              <w:rPr>
                <w:rStyle w:val="FootnoteReference"/>
                <w:bCs/>
              </w:rPr>
              <w:footnoteReference w:id="17"/>
            </w:r>
            <w:r w:rsidR="0083744E" w:rsidRPr="00C01A54">
              <w:rPr>
                <w:bCs/>
              </w:rPr>
              <w:t>.</w:t>
            </w:r>
          </w:p>
          <w:p w:rsidR="0054079E" w:rsidRPr="00C01A54" w:rsidRDefault="00986AF6" w:rsidP="009B59B8">
            <w:pPr>
              <w:pStyle w:val="tv213"/>
              <w:shd w:val="clear" w:color="auto" w:fill="FFFFFF"/>
              <w:spacing w:before="0" w:beforeAutospacing="0" w:after="0" w:afterAutospacing="0"/>
              <w:ind w:right="-57" w:firstLine="720"/>
              <w:jc w:val="both"/>
            </w:pPr>
            <w:r w:rsidRPr="00C01A54">
              <w:t>Noteikumu projekt</w:t>
            </w:r>
            <w:r w:rsidR="00040FFC" w:rsidRPr="00C01A54">
              <w:t xml:space="preserve">ā paredzēts, ka, lai celtu kontaktpunkta darbinieku profesionālo darbības līmeni un  nodrošinātu efektīvu sadarbību gan nacionālā, gan starptautiskā līmenī, nepieciešams nodrošināt kontaktpunkta darbinieku kvalifikācijas celšanu un iesaisti civilās aizsardzības un katastrofas pārvaldīšanas mācībās. Ar mācībām tiek saprasts, ka kontaktpunkta darbinieki var tikt iesaistīti </w:t>
            </w:r>
            <w:r w:rsidR="009B59B8" w:rsidRPr="00C01A54">
              <w:t>mācībās, saskaņā ar normatīvajiem aktiem par civilās aizsardzības un katastrofas pārvaldīšanas mācību veidiem un organizēšanas kārtību</w:t>
            </w:r>
            <w:r w:rsidR="009B59B8" w:rsidRPr="00C01A54">
              <w:rPr>
                <w:rStyle w:val="FootnoteReference"/>
              </w:rPr>
              <w:footnoteReference w:id="18"/>
            </w:r>
            <w:r w:rsidR="009B59B8" w:rsidRPr="00C01A54">
              <w:t xml:space="preserve">, kā arī </w:t>
            </w:r>
            <w:r w:rsidRPr="00C01A54">
              <w:t xml:space="preserve">ES, NATO un citu organizāciju </w:t>
            </w:r>
            <w:r w:rsidR="009B59B8" w:rsidRPr="00C01A54">
              <w:t xml:space="preserve">īstenotajās ekspertu </w:t>
            </w:r>
            <w:r w:rsidRPr="00C01A54">
              <w:t>mācīb</w:t>
            </w:r>
            <w:r w:rsidR="009B59B8" w:rsidRPr="00C01A54">
              <w:t xml:space="preserve">ās. </w:t>
            </w:r>
            <w:r w:rsidR="005B1489" w:rsidRPr="00C01A54">
              <w:t xml:space="preserve">Piemēram, </w:t>
            </w:r>
            <w:r w:rsidR="007D4296" w:rsidRPr="00C01A54">
              <w:t xml:space="preserve">ES </w:t>
            </w:r>
            <w:r w:rsidR="009B59B8" w:rsidRPr="00C01A54">
              <w:t xml:space="preserve">ietvaros, kontaktpunkta </w:t>
            </w:r>
            <w:r w:rsidR="007D4296" w:rsidRPr="00C01A54">
              <w:t xml:space="preserve">darbiniekiem </w:t>
            </w:r>
            <w:r w:rsidR="003A4FB9" w:rsidRPr="00C01A54">
              <w:t>ir iespējams</w:t>
            </w:r>
            <w:r w:rsidR="005B1489" w:rsidRPr="00C01A54">
              <w:t xml:space="preserve"> </w:t>
            </w:r>
            <w:r w:rsidR="009B59B8" w:rsidRPr="00C01A54">
              <w:t xml:space="preserve">piedalīties Eiropas Komisijas ekspertu sanāksmēs un apmācībās, kurās ir iespējams </w:t>
            </w:r>
            <w:r w:rsidR="005B1489" w:rsidRPr="00C01A54">
              <w:t>pilnveidot zināšanas par ES ERCC informācijas apmaiņas sistēmas</w:t>
            </w:r>
            <w:r w:rsidR="007D4296" w:rsidRPr="00C01A54">
              <w:t xml:space="preserve"> (CECIS) </w:t>
            </w:r>
            <w:r w:rsidR="005B1489" w:rsidRPr="00C01A54">
              <w:t>izmanto</w:t>
            </w:r>
            <w:r w:rsidR="007D4296" w:rsidRPr="00C01A54">
              <w:t>šanu</w:t>
            </w:r>
            <w:r w:rsidR="009B59B8" w:rsidRPr="00C01A54">
              <w:t>. Tāpat arī par ES ERCC eso</w:t>
            </w:r>
            <w:r w:rsidR="00164B0C" w:rsidRPr="00C01A54">
              <w:t>š</w:t>
            </w:r>
            <w:r w:rsidR="009B59B8" w:rsidRPr="00C01A54">
              <w:t>o</w:t>
            </w:r>
            <w:r w:rsidR="005B1489" w:rsidRPr="00C01A54">
              <w:t xml:space="preserve"> analītisk</w:t>
            </w:r>
            <w:r w:rsidR="009B59B8" w:rsidRPr="00C01A54">
              <w:t>o</w:t>
            </w:r>
            <w:r w:rsidR="005B1489" w:rsidRPr="00C01A54">
              <w:t xml:space="preserve"> instrument</w:t>
            </w:r>
            <w:r w:rsidR="009B59B8" w:rsidRPr="00C01A54">
              <w:t>u (programm</w:t>
            </w:r>
            <w:r w:rsidR="00164B0C" w:rsidRPr="00C01A54">
              <w:t>u</w:t>
            </w:r>
            <w:r w:rsidR="009B59B8" w:rsidRPr="00C01A54">
              <w:t>)</w:t>
            </w:r>
            <w:r w:rsidR="00164B0C" w:rsidRPr="00C01A54">
              <w:t xml:space="preserve"> pielietojumu, </w:t>
            </w:r>
            <w:r w:rsidR="009B59B8" w:rsidRPr="00C01A54">
              <w:t xml:space="preserve">piemēram, </w:t>
            </w:r>
            <w:r w:rsidR="00CC7ED3" w:rsidRPr="00C01A54">
              <w:rPr>
                <w:lang w:eastAsia="en-US"/>
              </w:rPr>
              <w:t>Eiropas plūdu brīdināšanas sistēma-EFAS, Eiropas meža ugunsgrēku informācijas sistēma-EFFIS, Globālā katastrofas brīdināšanas un koordinēšanas sistēma-GDACS</w:t>
            </w:r>
            <w:r w:rsidR="005B1489" w:rsidRPr="00C01A54">
              <w:t xml:space="preserve"> u.c.</w:t>
            </w:r>
            <w:r w:rsidR="005B1489" w:rsidRPr="00C01A54">
              <w:rPr>
                <w:rStyle w:val="FootnoteReference"/>
              </w:rPr>
              <w:footnoteReference w:id="19"/>
            </w:r>
            <w:r w:rsidR="006278BA" w:rsidRPr="00C01A54">
              <w:t xml:space="preserve"> </w:t>
            </w:r>
            <w:r w:rsidR="007D4296" w:rsidRPr="00C01A54">
              <w:t xml:space="preserve">Papildus tam, </w:t>
            </w:r>
            <w:r w:rsidR="009B59B8" w:rsidRPr="00C01A54">
              <w:t xml:space="preserve">kontaktpunkta </w:t>
            </w:r>
            <w:r w:rsidR="007D4296" w:rsidRPr="00C01A54">
              <w:t xml:space="preserve">darbiniekiem </w:t>
            </w:r>
            <w:r w:rsidR="007D4296" w:rsidRPr="00C01A54">
              <w:lastRenderedPageBreak/>
              <w:t xml:space="preserve">ir iespēja </w:t>
            </w:r>
            <w:r w:rsidR="006278BA" w:rsidRPr="00C01A54">
              <w:t xml:space="preserve">apgūt </w:t>
            </w:r>
            <w:r w:rsidR="009B59B8" w:rsidRPr="00C01A54">
              <w:t xml:space="preserve">teorētiskās </w:t>
            </w:r>
            <w:r w:rsidR="006278BA" w:rsidRPr="00C01A54">
              <w:t>zināšanas ES civilās aizsardzības mehānisma apmācības programmā</w:t>
            </w:r>
            <w:r w:rsidR="006278BA" w:rsidRPr="00C01A54">
              <w:rPr>
                <w:rStyle w:val="FootnoteReference"/>
              </w:rPr>
              <w:footnoteReference w:id="20"/>
            </w:r>
            <w:r w:rsidR="007D4296" w:rsidRPr="00C01A54">
              <w:t>, kas ietver zināšanas par ES civilās aizsardzības mehānismu, sadarbību ar ANO, trešajām valstīm, ES ekspertu palīdzības sniegšanas misijām, padomdevēju misijām u.c</w:t>
            </w:r>
            <w:r w:rsidR="005B1489" w:rsidRPr="00C01A54">
              <w:t>.</w:t>
            </w:r>
            <w:r w:rsidR="008737BD" w:rsidRPr="00C01A54">
              <w:rPr>
                <w:lang w:eastAsia="en-US"/>
              </w:rPr>
              <w:t xml:space="preserve"> </w:t>
            </w:r>
            <w:r w:rsidR="009B59B8" w:rsidRPr="00C01A54">
              <w:rPr>
                <w:lang w:eastAsia="en-US"/>
              </w:rPr>
              <w:t>K</w:t>
            </w:r>
            <w:r w:rsidR="008737BD" w:rsidRPr="00C01A54">
              <w:rPr>
                <w:lang w:eastAsia="en-US"/>
              </w:rPr>
              <w:t>ontaktpunkta</w:t>
            </w:r>
            <w:r w:rsidR="008737BD" w:rsidRPr="00C01A54">
              <w:t xml:space="preserve"> </w:t>
            </w:r>
            <w:r w:rsidR="005B1489" w:rsidRPr="00C01A54">
              <w:t xml:space="preserve">darbinieku iesaiste </w:t>
            </w:r>
            <w:r w:rsidR="009B59B8" w:rsidRPr="00C01A54">
              <w:t>dažāda līmeņa</w:t>
            </w:r>
            <w:r w:rsidR="005B1489" w:rsidRPr="00C01A54">
              <w:t xml:space="preserve"> mācībās </w:t>
            </w:r>
            <w:r w:rsidR="007D4296" w:rsidRPr="00C01A54">
              <w:t>ļauj</w:t>
            </w:r>
            <w:r w:rsidR="006278BA" w:rsidRPr="00C01A54">
              <w:t xml:space="preserve"> praktiski pārbaudīt </w:t>
            </w:r>
            <w:r w:rsidR="009B59B8" w:rsidRPr="00C01A54">
              <w:t xml:space="preserve">un nostiprināt to </w:t>
            </w:r>
            <w:r w:rsidR="007D4296" w:rsidRPr="00C01A54">
              <w:t>zināšanas, lai</w:t>
            </w:r>
            <w:r w:rsidR="006278BA" w:rsidRPr="00C01A54">
              <w:t xml:space="preserve"> nodrošināt</w:t>
            </w:r>
            <w:r w:rsidR="007D4296" w:rsidRPr="00C01A54">
              <w:t>u</w:t>
            </w:r>
            <w:r w:rsidR="006278BA" w:rsidRPr="00C01A54">
              <w:t xml:space="preserve"> </w:t>
            </w:r>
            <w:r w:rsidR="008737BD" w:rsidRPr="00C01A54">
              <w:t xml:space="preserve">koordinētas </w:t>
            </w:r>
            <w:r w:rsidR="006278BA" w:rsidRPr="00C01A54">
              <w:t>informācijas apmaiņu starp institūcijām un valstīm, gan galvaspilsētās, gan notikuma viet</w:t>
            </w:r>
            <w:r w:rsidR="008737BD" w:rsidRPr="00C01A54">
              <w:t>ā, kā arī pārbaudīt noteiktās procedūras, kas ietver transporta līdzfinansēšanas pieprasīšanu, palīdzības un ekspertu atbalsta pieprasīšanu.</w:t>
            </w:r>
            <w:r w:rsidR="006278BA" w:rsidRPr="00C01A54">
              <w:t xml:space="preserve"> Piemēram, 2016.gadā tika organizētas praktiskās mācības civilās aizsardzības moduļiem, tehniskās palīdzības atbalsta vienībām un ES civilās aizsardzības komandām “</w:t>
            </w:r>
            <w:proofErr w:type="spellStart"/>
            <w:r w:rsidR="006278BA" w:rsidRPr="00C01A54">
              <w:t>LatModex</w:t>
            </w:r>
            <w:proofErr w:type="spellEnd"/>
            <w:r w:rsidR="006278BA" w:rsidRPr="00C01A54">
              <w:t xml:space="preserve"> 2016”</w:t>
            </w:r>
            <w:r w:rsidR="007D4296" w:rsidRPr="00C01A54">
              <w:rPr>
                <w:rStyle w:val="FootnoteReference"/>
              </w:rPr>
              <w:footnoteReference w:id="21"/>
            </w:r>
            <w:r w:rsidR="007D4296" w:rsidRPr="00C01A54">
              <w:t xml:space="preserve">. </w:t>
            </w:r>
            <w:r w:rsidR="006278BA" w:rsidRPr="00C01A54">
              <w:t>Mācību laikā VUGD (kontaktpunkts) nodrošināja informācijas apmai</w:t>
            </w:r>
            <w:r w:rsidR="007D4296" w:rsidRPr="00C01A54">
              <w:t xml:space="preserve">ņu ar ES ERCC, </w:t>
            </w:r>
            <w:r w:rsidR="006278BA" w:rsidRPr="00C01A54">
              <w:t>pieprasī</w:t>
            </w:r>
            <w:r w:rsidR="007D4296" w:rsidRPr="00C01A54">
              <w:t>ja</w:t>
            </w:r>
            <w:r w:rsidR="006278BA" w:rsidRPr="00C01A54">
              <w:t xml:space="preserve"> starptautisko palīdzību</w:t>
            </w:r>
            <w:r w:rsidR="007D4296" w:rsidRPr="00C01A54">
              <w:t xml:space="preserve">, </w:t>
            </w:r>
            <w:r w:rsidR="008737BD" w:rsidRPr="00C01A54">
              <w:t xml:space="preserve">izmantoja ERCC izstrādātos </w:t>
            </w:r>
            <w:r w:rsidR="00FB78E3" w:rsidRPr="00C01A54">
              <w:rPr>
                <w:lang w:eastAsia="en-US"/>
              </w:rPr>
              <w:t>analītiskos instruments.</w:t>
            </w:r>
          </w:p>
          <w:p w:rsidR="00EF6364" w:rsidRPr="00AF4A7A" w:rsidRDefault="00E52D85" w:rsidP="00E52D85">
            <w:pPr>
              <w:pStyle w:val="tv213"/>
              <w:shd w:val="clear" w:color="auto" w:fill="FFFFFF"/>
              <w:spacing w:before="0" w:beforeAutospacing="0" w:after="0" w:afterAutospacing="0"/>
              <w:ind w:right="-57" w:firstLine="720"/>
              <w:jc w:val="both"/>
            </w:pPr>
            <w:r w:rsidRPr="00C01A54">
              <w:t>Noteikumu projekts paredz, ka kontaktpunktam ir tiesības veikt noteiktas darbības</w:t>
            </w:r>
            <w:r w:rsidRPr="00AF4A7A">
              <w:t>, kuras nepieciešamas tā uzdevumu īstenošanai, tajā skaitā</w:t>
            </w:r>
            <w:r w:rsidR="00EF6364" w:rsidRPr="00AF4A7A">
              <w:t>:</w:t>
            </w:r>
          </w:p>
          <w:p w:rsidR="00EF6364" w:rsidRPr="00AF4A7A" w:rsidRDefault="003874A2" w:rsidP="003874A2">
            <w:pPr>
              <w:pStyle w:val="tv213"/>
              <w:shd w:val="clear" w:color="auto" w:fill="FFFFFF"/>
              <w:spacing w:before="0" w:beforeAutospacing="0" w:after="0" w:afterAutospacing="0"/>
              <w:ind w:right="-57"/>
              <w:jc w:val="both"/>
            </w:pPr>
            <w:r w:rsidRPr="00AF4A7A">
              <w:t xml:space="preserve">- </w:t>
            </w:r>
            <w:r w:rsidR="00E52D85" w:rsidRPr="00AF4A7A">
              <w:t xml:space="preserve">pieprasīt un saņemt informāciju par </w:t>
            </w:r>
            <w:r w:rsidR="003A4FB9" w:rsidRPr="00AF4A7A">
              <w:t xml:space="preserve">katastrofas pārvaldīšanas subjektu izmantotajiem </w:t>
            </w:r>
            <w:r w:rsidR="00E52D85" w:rsidRPr="00AF4A7A">
              <w:t>inf</w:t>
            </w:r>
            <w:r w:rsidR="003A4FB9" w:rsidRPr="00AF4A7A">
              <w:t xml:space="preserve">ormācijas apmaiņas mehānismiem un </w:t>
            </w:r>
            <w:r w:rsidR="00E52D85" w:rsidRPr="00AF4A7A">
              <w:t>agrīnās brīdināšanas tīkliem</w:t>
            </w:r>
            <w:r w:rsidR="003A4FB9" w:rsidRPr="00AF4A7A">
              <w:t>, kā arī nodrošināt aktuālākās informācijas apmaiņu ar kontak</w:t>
            </w:r>
            <w:r w:rsidR="00EF6364" w:rsidRPr="00AF4A7A">
              <w:t>t</w:t>
            </w:r>
            <w:r w:rsidR="003A4FB9" w:rsidRPr="00AF4A7A">
              <w:t>punktu, ja no</w:t>
            </w:r>
            <w:r w:rsidR="00A043ED" w:rsidRPr="00AF4A7A">
              <w:t>tikusi katastrofa, vai pastāv t</w:t>
            </w:r>
            <w:r w:rsidR="005619DB" w:rsidRPr="00AF4A7A">
              <w:t>o</w:t>
            </w:r>
            <w:r w:rsidR="003A4FB9" w:rsidRPr="00AF4A7A">
              <w:t xml:space="preserve"> draudi vai ir krīzes situācija</w:t>
            </w:r>
            <w:r w:rsidR="00E52D85" w:rsidRPr="00AF4A7A">
              <w:t xml:space="preserve">; </w:t>
            </w:r>
          </w:p>
          <w:p w:rsidR="00EF6364" w:rsidRPr="00C01A54" w:rsidRDefault="003874A2" w:rsidP="003874A2">
            <w:pPr>
              <w:pStyle w:val="tv213"/>
              <w:shd w:val="clear" w:color="auto" w:fill="FFFFFF"/>
              <w:spacing w:before="0" w:beforeAutospacing="0" w:after="0" w:afterAutospacing="0"/>
              <w:ind w:right="-57"/>
              <w:jc w:val="both"/>
            </w:pPr>
            <w:r w:rsidRPr="00AF4A7A">
              <w:t xml:space="preserve">- </w:t>
            </w:r>
            <w:r w:rsidR="00EF6364" w:rsidRPr="00AF4A7A">
              <w:t xml:space="preserve">pieprasīt un saņemt informāciju par katastrofas pārvaldīšanas subjektu apzinātajām humānās palīdzības </w:t>
            </w:r>
            <w:r w:rsidR="00EF6364" w:rsidRPr="00C01A54">
              <w:t>un starptautiskās palīdzības spējām (eksperti, moduļi, komandas, resursi un citas spējas);</w:t>
            </w:r>
          </w:p>
          <w:p w:rsidR="00EF6364" w:rsidRPr="00C01A54" w:rsidRDefault="003874A2" w:rsidP="003874A2">
            <w:pPr>
              <w:pStyle w:val="tv213"/>
              <w:shd w:val="clear" w:color="auto" w:fill="FFFFFF"/>
              <w:spacing w:before="0" w:beforeAutospacing="0" w:after="0" w:afterAutospacing="0"/>
              <w:ind w:right="-57"/>
              <w:jc w:val="both"/>
            </w:pPr>
            <w:r w:rsidRPr="00C01A54">
              <w:t xml:space="preserve">- </w:t>
            </w:r>
            <w:r w:rsidR="00EF6364" w:rsidRPr="00C01A54">
              <w:t xml:space="preserve">piedalīties nacionāla mēroga un starptautiska līmeņa mācībās; </w:t>
            </w:r>
          </w:p>
          <w:p w:rsidR="00E73EFB" w:rsidRPr="00AF4A7A" w:rsidRDefault="003874A2" w:rsidP="003874A2">
            <w:pPr>
              <w:pStyle w:val="tv213"/>
              <w:shd w:val="clear" w:color="auto" w:fill="FFFFFF"/>
              <w:spacing w:before="0" w:beforeAutospacing="0" w:after="0" w:afterAutospacing="0"/>
              <w:ind w:right="-57"/>
              <w:jc w:val="both"/>
            </w:pPr>
            <w:r w:rsidRPr="00AF4A7A">
              <w:t xml:space="preserve">- </w:t>
            </w:r>
            <w:r w:rsidR="00EF6364" w:rsidRPr="00AF4A7A">
              <w:t xml:space="preserve">un izstrādāt rekomendācijas katastrofas pārvaldīšanas subjektiem pastāvīgas un koordinētas informācijas apmaiņas nodrošināšanai. </w:t>
            </w:r>
            <w:r w:rsidR="00E52D85" w:rsidRPr="00AF4A7A">
              <w:t xml:space="preserve">Piemēram, lai veicinātu Noteikumu projektā noteikto uzdevumu īstenošanu, kas attiecas uz </w:t>
            </w:r>
            <w:r w:rsidR="00E52D85" w:rsidRPr="00AF4A7A">
              <w:rPr>
                <w:iCs/>
              </w:rPr>
              <w:t xml:space="preserve">koordinētas </w:t>
            </w:r>
            <w:r w:rsidR="00EF6364" w:rsidRPr="00AF4A7A">
              <w:rPr>
                <w:iCs/>
              </w:rPr>
              <w:t xml:space="preserve">informācijas apmaiņu ar </w:t>
            </w:r>
            <w:r w:rsidR="00EF6364" w:rsidRPr="00AF4A7A">
              <w:t>katastrofas pārvaldīšanas subjektiem</w:t>
            </w:r>
            <w:r w:rsidR="00EF6364" w:rsidRPr="00AF4A7A">
              <w:rPr>
                <w:iCs/>
              </w:rPr>
              <w:t xml:space="preserve"> (komunikācijas shēmas, kontakti, apziņošanas mehānismi)</w:t>
            </w:r>
            <w:r w:rsidR="00336B27" w:rsidRPr="00AF4A7A">
              <w:rPr>
                <w:iCs/>
              </w:rPr>
              <w:t>.</w:t>
            </w:r>
          </w:p>
          <w:p w:rsidR="00676714" w:rsidRPr="00AF4A7A" w:rsidRDefault="00E73EFB" w:rsidP="00676714">
            <w:pPr>
              <w:pStyle w:val="tv213"/>
              <w:shd w:val="clear" w:color="auto" w:fill="FFFFFF"/>
              <w:spacing w:before="0" w:beforeAutospacing="0" w:after="0" w:afterAutospacing="0"/>
              <w:ind w:right="-57" w:firstLine="720"/>
              <w:jc w:val="both"/>
            </w:pPr>
            <w:r w:rsidRPr="00AF4A7A">
              <w:t xml:space="preserve">Attiecībā uz kontaktpunkta sadarbību ar ES ERCC </w:t>
            </w:r>
            <w:r w:rsidR="00AD2A1F" w:rsidRPr="00AF4A7A">
              <w:t>Noteikumu projekts paredz,</w:t>
            </w:r>
            <w:r w:rsidR="003A0101" w:rsidRPr="00AF4A7A">
              <w:t xml:space="preserve"> ka tā tiek īstenota atbilstoši normatīvajiem aktiem, kas reglamentē sadarbību civilās aizsardzības un katastrofas pārvadīšanas jomā, kā arī pēc abu pušu </w:t>
            </w:r>
            <w:r w:rsidR="00AD2A1F" w:rsidRPr="00AF4A7A">
              <w:t xml:space="preserve">saskaņotiem sadarbības principiem un </w:t>
            </w:r>
            <w:r w:rsidR="00AD2A1F" w:rsidRPr="00AF4A7A">
              <w:lastRenderedPageBreak/>
              <w:t>procedūrām</w:t>
            </w:r>
            <w:r w:rsidR="003A0101" w:rsidRPr="00AF4A7A">
              <w:t xml:space="preserve">. Piemēram, </w:t>
            </w:r>
            <w:r w:rsidR="00AD2A1F" w:rsidRPr="00AF4A7A">
              <w:t>2009.gada 1.decembra Lisabonas līgum</w:t>
            </w:r>
            <w:r w:rsidR="003A0101" w:rsidRPr="00AF4A7A">
              <w:t>s</w:t>
            </w:r>
            <w:r w:rsidR="00AD2A1F" w:rsidRPr="00AF4A7A">
              <w:t>, ar ko groza līgumu par Eiropas Savienību un Eiropas Kopienas dibināšanas līgumu</w:t>
            </w:r>
            <w:r w:rsidR="00676714" w:rsidRPr="00AF4A7A">
              <w:rPr>
                <w:rStyle w:val="FootnoteReference"/>
              </w:rPr>
              <w:footnoteReference w:id="22"/>
            </w:r>
            <w:r w:rsidR="003A0101" w:rsidRPr="00AF4A7A">
              <w:t xml:space="preserve"> ir atsauce uz sadarbību civilās aizsardzības jomā. Lisabonas līguma </w:t>
            </w:r>
            <w:proofErr w:type="spellStart"/>
            <w:r w:rsidR="00676714" w:rsidRPr="00AF4A7A">
              <w:t>XXII.sadaļa</w:t>
            </w:r>
            <w:proofErr w:type="spellEnd"/>
            <w:r w:rsidR="00676714" w:rsidRPr="00AF4A7A">
              <w:t xml:space="preserve"> “Civilās aizsardzība” 176.C pants nosaka, ka Savienība veicina dalībvalstu sadarbību, lai uzlabotu sistēmu efektivitāti dabas vai cilvēka izraisītu katastrofu novēršanai vai aizsardzībai pret tām. Savukārt Savienības rīcības mērķos ir ietverts, ka tiek atbalstīta un papildināta dalībvalstu rīcību valsts, reģionālā vai vietējā līmenī civilās aizsardzības personāla sagatavošanā un reaģēšanā uz dabas vai cilvēku izraisītām katastrofām; sekmēta ātra un efektīva operatīvā sadarbība Savienībā valstu civilās aizsardzības dienestu starpā; kā arī sekmēta saskaņotība starptautiskajā civilās aizsardzības darbā. Attiecībā uz minēto Eiropas Parla</w:t>
            </w:r>
            <w:r w:rsidR="00456C11">
              <w:t>menta un Padomes 2013.gada 17.</w:t>
            </w:r>
            <w:r w:rsidR="00676714" w:rsidRPr="00AF4A7A">
              <w:t xml:space="preserve">decembra lēmumā Nr.1313/2013/ES “Par Savienības civilās aizsardzības mehānismu” noteikts, ka Komisija vada ES ERCC un CECIS, kā arī nodrošinātu saziņu un informācijas apmaiņu starp ERCC un dalībvalstu kontaktpunktiem. </w:t>
            </w:r>
          </w:p>
          <w:p w:rsidR="00AD2A1F" w:rsidRPr="00AF4A7A" w:rsidRDefault="00AD2A1F" w:rsidP="00E73EFB">
            <w:pPr>
              <w:pStyle w:val="tv213"/>
              <w:shd w:val="clear" w:color="auto" w:fill="FFFFFF"/>
              <w:spacing w:before="0" w:beforeAutospacing="0" w:after="0" w:afterAutospacing="0"/>
              <w:ind w:right="-57" w:firstLine="720"/>
              <w:jc w:val="both"/>
            </w:pPr>
            <w:r w:rsidRPr="00AF4A7A">
              <w:t xml:space="preserve">Attiecībā uz kontaktpunkta sadarbību ar </w:t>
            </w:r>
            <w:r w:rsidR="00E73EFB" w:rsidRPr="00AF4A7A">
              <w:t xml:space="preserve">NATO EADRCC </w:t>
            </w:r>
            <w:r w:rsidR="00676714" w:rsidRPr="00AF4A7A">
              <w:t xml:space="preserve">Noteikumu projekts paredz, ka tā tiek īstenota atbilstoši </w:t>
            </w:r>
            <w:r w:rsidR="003A0101" w:rsidRPr="00AF4A7A">
              <w:t>NATO darbību reglamentējošiem normatīvajiem aktiem par civilo aizsardz</w:t>
            </w:r>
            <w:r w:rsidR="00456C11">
              <w:t xml:space="preserve">ību un katastrofas pārvadīšanu. Piemēram, </w:t>
            </w:r>
            <w:r w:rsidR="00676714" w:rsidRPr="00AF4A7A">
              <w:t>atbilstoši 1949.gada 4.aprīļa Ziemeļatlantijas līguma</w:t>
            </w:r>
            <w:r w:rsidR="00676714" w:rsidRPr="00AF4A7A">
              <w:rPr>
                <w:rStyle w:val="FootnoteReference"/>
              </w:rPr>
              <w:footnoteReference w:id="23"/>
            </w:r>
            <w:r w:rsidR="00925ADA" w:rsidRPr="00AF4A7A">
              <w:t xml:space="preserve"> 9.</w:t>
            </w:r>
            <w:r w:rsidR="003874A2" w:rsidRPr="00AF4A7A">
              <w:t xml:space="preserve">pantam </w:t>
            </w:r>
            <w:r w:rsidR="00925ADA" w:rsidRPr="00AF4A7A">
              <w:t>noteikts, ka līgumslēdzēju puses izveido Ziemeļatlantijas Padomi, kurā ikviena no tām ir pārstāvēta, lai apspriestu jautājumus par Ziemeļatlantijas līguma īstenošanu, kā arī Ziemeļatlantijas Padomei jāizveido tādas pakļautas struktūras, kādas varētu būt nepieciešamas. NATO EADRCC tika izveidots jau 1998.gadā, balstoties uz Eiroatlantiskās partnerības padomes ierosinājuma, lai tas kalpotu par  partnerības instrumentu NATO civilās ārkārtas situācijas plānošanā un starptautiskās sadarbības katastrofu seku likvidēšanas jomā</w:t>
            </w:r>
            <w:r w:rsidR="00FE145C" w:rsidRPr="00AF4A7A">
              <w:rPr>
                <w:rStyle w:val="FootnoteReference"/>
              </w:rPr>
              <w:footnoteReference w:id="24"/>
            </w:r>
            <w:r w:rsidR="00925ADA" w:rsidRPr="00AF4A7A">
              <w:t xml:space="preserve">. 2004.gadā Ziemeļatlantijas Padome paplašināja EADRCC pilnvaras, lai varētu reaģēt un koordinēt katastrofas palīdzību dažādās dabas un cilvēku izraisītās katastrofu un krīžu situācijās.   </w:t>
            </w:r>
          </w:p>
          <w:p w:rsidR="003874A2" w:rsidRPr="00AF4A7A" w:rsidRDefault="00AD2A1F" w:rsidP="003874A2">
            <w:pPr>
              <w:pStyle w:val="tv213"/>
              <w:shd w:val="clear" w:color="auto" w:fill="FFFFFF"/>
              <w:spacing w:before="0" w:beforeAutospacing="0" w:after="0" w:afterAutospacing="0"/>
              <w:ind w:right="-57" w:firstLine="720"/>
              <w:jc w:val="both"/>
            </w:pPr>
            <w:r w:rsidRPr="00AF4A7A">
              <w:t xml:space="preserve">Attiecībā uz kontaktpunkta sadarbību ar </w:t>
            </w:r>
            <w:r w:rsidR="00E73EFB" w:rsidRPr="00AF4A7A">
              <w:t xml:space="preserve">citām starptautiskajām organizācijām </w:t>
            </w:r>
            <w:r w:rsidR="00FE145C" w:rsidRPr="00AF4A7A">
              <w:t>Noteikumu projekts paredz, ka tā tiek īstenota pamatojoties uz pieprasījuma pamata vai pašu iniciatīvas. Savukārt attiecībā uz sadarbību ar ārvalstīm, tā tiek īstenota pamatojoties uz divpusējiem vai daudzpusējiem līgumiem. Bet sadarbība ar ār</w:t>
            </w:r>
            <w:r w:rsidR="00A043ED" w:rsidRPr="00AF4A7A">
              <w:t xml:space="preserve">valstīm, ar kurām nav noslēgti </w:t>
            </w:r>
            <w:r w:rsidR="00FE145C" w:rsidRPr="00AF4A7A">
              <w:t xml:space="preserve">divpusējie vai </w:t>
            </w:r>
            <w:r w:rsidR="00FE145C" w:rsidRPr="00AF4A7A">
              <w:lastRenderedPageBreak/>
              <w:t>dau</w:t>
            </w:r>
            <w:r w:rsidR="00A043ED" w:rsidRPr="00AF4A7A">
              <w:t>dzpusējie līgumi katastrofas, tās</w:t>
            </w:r>
            <w:r w:rsidR="00FE145C" w:rsidRPr="00AF4A7A">
              <w:t xml:space="preserve"> draudu vai krīzes situācijās, kontaktpunkts sadarbojas pamatojoties uz pieprasījuma pamata vai pašu iniciatīvas.</w:t>
            </w:r>
          </w:p>
        </w:tc>
      </w:tr>
      <w:tr w:rsidR="00AF4A7A" w:rsidRPr="00AF4A7A" w:rsidTr="00394F72">
        <w:trPr>
          <w:trHeight w:val="465"/>
        </w:trPr>
        <w:tc>
          <w:tcPr>
            <w:tcW w:w="376" w:type="pct"/>
          </w:tcPr>
          <w:p w:rsidR="00965309" w:rsidRPr="00AF4A7A" w:rsidRDefault="00965309" w:rsidP="00862D0F">
            <w:pPr>
              <w:spacing w:before="100" w:beforeAutospacing="1" w:after="100" w:afterAutospacing="1"/>
              <w:ind w:firstLine="0"/>
              <w:jc w:val="center"/>
              <w:rPr>
                <w:sz w:val="24"/>
                <w:szCs w:val="24"/>
                <w:lang w:eastAsia="lv-LV"/>
              </w:rPr>
            </w:pPr>
            <w:r w:rsidRPr="00AF4A7A">
              <w:rPr>
                <w:sz w:val="24"/>
                <w:szCs w:val="24"/>
                <w:lang w:eastAsia="lv-LV"/>
              </w:rPr>
              <w:lastRenderedPageBreak/>
              <w:t>3.</w:t>
            </w:r>
          </w:p>
        </w:tc>
        <w:tc>
          <w:tcPr>
            <w:tcW w:w="1591" w:type="pct"/>
          </w:tcPr>
          <w:p w:rsidR="00965309" w:rsidRPr="00AF4A7A" w:rsidRDefault="00965309" w:rsidP="00862D0F">
            <w:pPr>
              <w:ind w:firstLine="0"/>
              <w:jc w:val="left"/>
              <w:rPr>
                <w:sz w:val="24"/>
                <w:szCs w:val="24"/>
                <w:lang w:eastAsia="lv-LV"/>
              </w:rPr>
            </w:pPr>
            <w:r w:rsidRPr="00AF4A7A">
              <w:rPr>
                <w:sz w:val="24"/>
                <w:szCs w:val="24"/>
                <w:lang w:eastAsia="lv-LV"/>
              </w:rPr>
              <w:t>Projekta izstrādē iesaistītās institūcijas</w:t>
            </w:r>
          </w:p>
        </w:tc>
        <w:tc>
          <w:tcPr>
            <w:tcW w:w="3033" w:type="pct"/>
          </w:tcPr>
          <w:p w:rsidR="003874A2" w:rsidRPr="00AF4A7A" w:rsidRDefault="00965309" w:rsidP="003874A2">
            <w:pPr>
              <w:ind w:firstLine="459"/>
              <w:jc w:val="left"/>
              <w:rPr>
                <w:sz w:val="24"/>
                <w:szCs w:val="24"/>
                <w:lang w:eastAsia="lv-LV"/>
              </w:rPr>
            </w:pPr>
            <w:r w:rsidRPr="00AF4A7A">
              <w:rPr>
                <w:sz w:val="24"/>
                <w:szCs w:val="24"/>
                <w:lang w:eastAsia="lv-LV"/>
              </w:rPr>
              <w:t>Iekšlietu ministrija</w:t>
            </w:r>
            <w:r w:rsidR="00390C55" w:rsidRPr="00AF4A7A">
              <w:rPr>
                <w:sz w:val="24"/>
                <w:szCs w:val="24"/>
                <w:lang w:eastAsia="lv-LV"/>
              </w:rPr>
              <w:t>, Valsts ugunsdzēsības un glābšanas dienests</w:t>
            </w:r>
            <w:r w:rsidRPr="00AF4A7A">
              <w:rPr>
                <w:sz w:val="24"/>
                <w:szCs w:val="24"/>
                <w:lang w:eastAsia="lv-LV"/>
              </w:rPr>
              <w:t>.</w:t>
            </w:r>
          </w:p>
        </w:tc>
      </w:tr>
      <w:tr w:rsidR="00AF4A7A" w:rsidRPr="00AF4A7A" w:rsidTr="00394F72">
        <w:tc>
          <w:tcPr>
            <w:tcW w:w="376" w:type="pct"/>
          </w:tcPr>
          <w:p w:rsidR="00965309" w:rsidRPr="00AF4A7A" w:rsidRDefault="00965309" w:rsidP="00862D0F">
            <w:pPr>
              <w:spacing w:before="100" w:beforeAutospacing="1" w:after="100" w:afterAutospacing="1"/>
              <w:ind w:firstLine="0"/>
              <w:jc w:val="center"/>
              <w:rPr>
                <w:sz w:val="24"/>
                <w:szCs w:val="24"/>
                <w:lang w:eastAsia="lv-LV"/>
              </w:rPr>
            </w:pPr>
            <w:r w:rsidRPr="00AF4A7A">
              <w:rPr>
                <w:sz w:val="24"/>
                <w:szCs w:val="24"/>
                <w:lang w:eastAsia="lv-LV"/>
              </w:rPr>
              <w:t>4.</w:t>
            </w:r>
          </w:p>
        </w:tc>
        <w:tc>
          <w:tcPr>
            <w:tcW w:w="1591" w:type="pct"/>
          </w:tcPr>
          <w:p w:rsidR="00965309" w:rsidRPr="00AF4A7A" w:rsidRDefault="00965309" w:rsidP="00862D0F">
            <w:pPr>
              <w:ind w:firstLine="0"/>
              <w:jc w:val="left"/>
              <w:rPr>
                <w:sz w:val="24"/>
                <w:szCs w:val="24"/>
                <w:lang w:eastAsia="lv-LV"/>
              </w:rPr>
            </w:pPr>
            <w:r w:rsidRPr="00AF4A7A">
              <w:rPr>
                <w:sz w:val="24"/>
                <w:szCs w:val="24"/>
                <w:lang w:eastAsia="lv-LV"/>
              </w:rPr>
              <w:t>Cita informācija</w:t>
            </w:r>
          </w:p>
        </w:tc>
        <w:tc>
          <w:tcPr>
            <w:tcW w:w="3033" w:type="pct"/>
          </w:tcPr>
          <w:p w:rsidR="00965309" w:rsidRPr="00AF4A7A" w:rsidRDefault="00A02F96" w:rsidP="003874A2">
            <w:pPr>
              <w:tabs>
                <w:tab w:val="center" w:pos="3516"/>
              </w:tabs>
              <w:spacing w:before="100" w:beforeAutospacing="1" w:after="100" w:afterAutospacing="1"/>
              <w:ind w:firstLine="459"/>
              <w:jc w:val="left"/>
              <w:rPr>
                <w:sz w:val="24"/>
                <w:szCs w:val="24"/>
                <w:lang w:eastAsia="lv-LV"/>
              </w:rPr>
            </w:pPr>
            <w:r w:rsidRPr="00AF4A7A">
              <w:rPr>
                <w:sz w:val="24"/>
                <w:szCs w:val="24"/>
                <w:lang w:eastAsia="lv-LV"/>
              </w:rPr>
              <w:t>Nav</w:t>
            </w:r>
            <w:r w:rsidR="00CC6532" w:rsidRPr="00AF4A7A">
              <w:rPr>
                <w:sz w:val="24"/>
                <w:szCs w:val="24"/>
                <w:lang w:eastAsia="lv-LV"/>
              </w:rPr>
              <w:t>.</w:t>
            </w:r>
            <w:r w:rsidR="00D52F89" w:rsidRPr="00AF4A7A">
              <w:rPr>
                <w:sz w:val="24"/>
                <w:szCs w:val="24"/>
                <w:lang w:eastAsia="lv-LV"/>
              </w:rPr>
              <w:tab/>
            </w:r>
          </w:p>
        </w:tc>
      </w:tr>
    </w:tbl>
    <w:p w:rsidR="003874A2" w:rsidRPr="00AF4A7A" w:rsidRDefault="00965309" w:rsidP="00F50C84">
      <w:pPr>
        <w:ind w:firstLine="0"/>
        <w:jc w:val="left"/>
        <w:rPr>
          <w:sz w:val="24"/>
          <w:szCs w:val="24"/>
          <w:lang w:eastAsia="lv-LV"/>
        </w:rPr>
      </w:pPr>
      <w:r w:rsidRPr="00AF4A7A">
        <w:rPr>
          <w:sz w:val="24"/>
          <w:szCs w:val="24"/>
          <w:lang w:eastAsia="lv-LV"/>
        </w:rPr>
        <w:t> </w:t>
      </w:r>
    </w:p>
    <w:tbl>
      <w:tblPr>
        <w:tblStyle w:val="TableGrid"/>
        <w:tblW w:w="9356" w:type="dxa"/>
        <w:tblLook w:val="04A0" w:firstRow="1" w:lastRow="0" w:firstColumn="1" w:lastColumn="0" w:noHBand="0" w:noVBand="1"/>
      </w:tblPr>
      <w:tblGrid>
        <w:gridCol w:w="704"/>
        <w:gridCol w:w="3119"/>
        <w:gridCol w:w="5533"/>
      </w:tblGrid>
      <w:tr w:rsidR="00AF4A7A" w:rsidRPr="00AF4A7A" w:rsidTr="00394F72">
        <w:tc>
          <w:tcPr>
            <w:tcW w:w="9356" w:type="dxa"/>
            <w:gridSpan w:val="3"/>
          </w:tcPr>
          <w:p w:rsidR="00D1691E" w:rsidRPr="00AF4A7A" w:rsidRDefault="00D1691E" w:rsidP="00B31298">
            <w:pPr>
              <w:pStyle w:val="NormalWeb"/>
              <w:tabs>
                <w:tab w:val="left" w:pos="552"/>
              </w:tabs>
              <w:spacing w:before="0" w:beforeAutospacing="0" w:after="0" w:afterAutospacing="0"/>
              <w:ind w:firstLine="525"/>
              <w:jc w:val="center"/>
              <w:rPr>
                <w:bCs/>
              </w:rPr>
            </w:pPr>
            <w:r w:rsidRPr="00AF4A7A">
              <w:rPr>
                <w:b/>
                <w:bCs/>
              </w:rPr>
              <w:t>II. Tiesību akta projekta ietekme uz sabiedrību, tautsaimniecības attīstību un administratīvo slogu</w:t>
            </w:r>
          </w:p>
        </w:tc>
      </w:tr>
      <w:tr w:rsidR="00AF4A7A" w:rsidRPr="00AF4A7A" w:rsidTr="002D60EE">
        <w:tc>
          <w:tcPr>
            <w:tcW w:w="704" w:type="dxa"/>
          </w:tcPr>
          <w:p w:rsidR="00D1691E" w:rsidRPr="00AF4A7A" w:rsidRDefault="00D1691E" w:rsidP="007A7ADE">
            <w:pPr>
              <w:spacing w:before="100" w:beforeAutospacing="1" w:after="100" w:afterAutospacing="1"/>
              <w:ind w:firstLine="0"/>
              <w:jc w:val="center"/>
              <w:rPr>
                <w:sz w:val="24"/>
                <w:szCs w:val="24"/>
              </w:rPr>
            </w:pPr>
            <w:r w:rsidRPr="00AF4A7A">
              <w:rPr>
                <w:sz w:val="24"/>
                <w:szCs w:val="24"/>
              </w:rPr>
              <w:t>1.</w:t>
            </w:r>
          </w:p>
        </w:tc>
        <w:tc>
          <w:tcPr>
            <w:tcW w:w="3119" w:type="dxa"/>
          </w:tcPr>
          <w:p w:rsidR="00D1691E" w:rsidRPr="00AF4A7A" w:rsidRDefault="00D1691E" w:rsidP="007A7ADE">
            <w:pPr>
              <w:spacing w:before="100" w:beforeAutospacing="1" w:after="100" w:afterAutospacing="1"/>
              <w:ind w:firstLine="136"/>
              <w:rPr>
                <w:sz w:val="24"/>
                <w:szCs w:val="24"/>
              </w:rPr>
            </w:pPr>
            <w:r w:rsidRPr="00AF4A7A">
              <w:rPr>
                <w:sz w:val="24"/>
                <w:szCs w:val="24"/>
              </w:rPr>
              <w:t xml:space="preserve">Sabiedrības </w:t>
            </w:r>
            <w:proofErr w:type="spellStart"/>
            <w:r w:rsidRPr="00AF4A7A">
              <w:rPr>
                <w:sz w:val="24"/>
                <w:szCs w:val="24"/>
              </w:rPr>
              <w:t>mērķgrupas</w:t>
            </w:r>
            <w:proofErr w:type="spellEnd"/>
            <w:r w:rsidRPr="00AF4A7A">
              <w:rPr>
                <w:sz w:val="24"/>
                <w:szCs w:val="24"/>
              </w:rPr>
              <w:t>, kuras tiesiskais regulējums ietekmē vai varētu ietekmēt</w:t>
            </w:r>
          </w:p>
        </w:tc>
        <w:tc>
          <w:tcPr>
            <w:tcW w:w="5533" w:type="dxa"/>
          </w:tcPr>
          <w:p w:rsidR="0054079E" w:rsidRPr="00AF4A7A" w:rsidRDefault="00E4106C" w:rsidP="005619DB">
            <w:pPr>
              <w:ind w:left="57" w:firstLine="284"/>
              <w:rPr>
                <w:sz w:val="24"/>
                <w:szCs w:val="24"/>
              </w:rPr>
            </w:pPr>
            <w:r w:rsidRPr="00AF4A7A">
              <w:rPr>
                <w:sz w:val="24"/>
                <w:szCs w:val="24"/>
              </w:rPr>
              <w:t xml:space="preserve">Noteikumu projekts ietekmēs </w:t>
            </w:r>
            <w:r w:rsidR="00D033D1" w:rsidRPr="00AF4A7A">
              <w:rPr>
                <w:sz w:val="24"/>
                <w:szCs w:val="24"/>
              </w:rPr>
              <w:t>valsts pārvaldes institūcijas, k</w:t>
            </w:r>
            <w:r w:rsidR="00B80A3E" w:rsidRPr="00AF4A7A">
              <w:rPr>
                <w:sz w:val="24"/>
                <w:szCs w:val="24"/>
              </w:rPr>
              <w:t xml:space="preserve">uras </w:t>
            </w:r>
            <w:r w:rsidR="00D033D1" w:rsidRPr="00AF4A7A">
              <w:rPr>
                <w:sz w:val="24"/>
                <w:szCs w:val="24"/>
              </w:rPr>
              <w:t xml:space="preserve">nodrošinās </w:t>
            </w:r>
            <w:r w:rsidR="00B80A3E" w:rsidRPr="00AF4A7A">
              <w:rPr>
                <w:sz w:val="24"/>
                <w:szCs w:val="24"/>
              </w:rPr>
              <w:t>koordinētu informācijas apmaiņu ar</w:t>
            </w:r>
            <w:r w:rsidR="00D033D1" w:rsidRPr="00AF4A7A">
              <w:rPr>
                <w:sz w:val="24"/>
                <w:szCs w:val="24"/>
              </w:rPr>
              <w:t xml:space="preserve"> </w:t>
            </w:r>
            <w:r w:rsidR="008674E2" w:rsidRPr="00AF4A7A">
              <w:rPr>
                <w:sz w:val="24"/>
                <w:szCs w:val="24"/>
              </w:rPr>
              <w:t>kontaktpunkt</w:t>
            </w:r>
            <w:r w:rsidR="00B80A3E" w:rsidRPr="00AF4A7A">
              <w:rPr>
                <w:sz w:val="24"/>
                <w:szCs w:val="24"/>
              </w:rPr>
              <w:t>u</w:t>
            </w:r>
            <w:r w:rsidR="00A043ED" w:rsidRPr="00AF4A7A">
              <w:rPr>
                <w:sz w:val="24"/>
                <w:szCs w:val="24"/>
              </w:rPr>
              <w:t xml:space="preserve"> par katastrof</w:t>
            </w:r>
            <w:r w:rsidR="005619DB" w:rsidRPr="00AF4A7A">
              <w:rPr>
                <w:sz w:val="24"/>
                <w:szCs w:val="24"/>
              </w:rPr>
              <w:t xml:space="preserve">u, to </w:t>
            </w:r>
            <w:r w:rsidR="005E2919" w:rsidRPr="00AF4A7A">
              <w:rPr>
                <w:sz w:val="24"/>
                <w:szCs w:val="24"/>
              </w:rPr>
              <w:t>draud</w:t>
            </w:r>
            <w:r w:rsidR="005619DB" w:rsidRPr="00AF4A7A">
              <w:rPr>
                <w:sz w:val="24"/>
                <w:szCs w:val="24"/>
              </w:rPr>
              <w:t>iem</w:t>
            </w:r>
            <w:r w:rsidR="005E2919" w:rsidRPr="00AF4A7A">
              <w:rPr>
                <w:sz w:val="24"/>
                <w:szCs w:val="24"/>
              </w:rPr>
              <w:t xml:space="preserve"> un krīzes situācijām</w:t>
            </w:r>
            <w:r w:rsidR="00B80A3E" w:rsidRPr="00AF4A7A">
              <w:rPr>
                <w:sz w:val="24"/>
                <w:szCs w:val="24"/>
              </w:rPr>
              <w:t>, kā arī nodrošinās informācijas sniegšanu kontaktpunktam par apzinātajām humānās palīdzības un starptautiskās palīdzības spējām un par to  izmantotajiem informācijas apmaiņas mehānismiem un agrīnās brīdināšanas tīkliem.</w:t>
            </w:r>
            <w:r w:rsidR="00562721" w:rsidRPr="00AF4A7A">
              <w:rPr>
                <w:sz w:val="24"/>
                <w:szCs w:val="24"/>
              </w:rPr>
              <w:t xml:space="preserve"> </w:t>
            </w:r>
          </w:p>
        </w:tc>
      </w:tr>
      <w:tr w:rsidR="00AF4A7A" w:rsidRPr="00AF4A7A" w:rsidTr="002D60EE">
        <w:trPr>
          <w:trHeight w:val="284"/>
        </w:trPr>
        <w:tc>
          <w:tcPr>
            <w:tcW w:w="704" w:type="dxa"/>
          </w:tcPr>
          <w:p w:rsidR="00D1691E" w:rsidRPr="00AF4A7A" w:rsidRDefault="00D1691E" w:rsidP="007A7ADE">
            <w:pPr>
              <w:spacing w:before="100" w:beforeAutospacing="1" w:after="100" w:afterAutospacing="1"/>
              <w:ind w:firstLine="0"/>
              <w:jc w:val="center"/>
              <w:rPr>
                <w:sz w:val="24"/>
                <w:szCs w:val="24"/>
              </w:rPr>
            </w:pPr>
            <w:r w:rsidRPr="00AF4A7A">
              <w:rPr>
                <w:sz w:val="24"/>
                <w:szCs w:val="24"/>
              </w:rPr>
              <w:t>2.</w:t>
            </w:r>
          </w:p>
        </w:tc>
        <w:tc>
          <w:tcPr>
            <w:tcW w:w="3119" w:type="dxa"/>
          </w:tcPr>
          <w:p w:rsidR="00D1691E" w:rsidRPr="00AF4A7A" w:rsidRDefault="00D1691E" w:rsidP="007A7ADE">
            <w:pPr>
              <w:spacing w:before="100" w:beforeAutospacing="1" w:after="100" w:afterAutospacing="1"/>
              <w:ind w:firstLine="136"/>
              <w:rPr>
                <w:sz w:val="24"/>
                <w:szCs w:val="24"/>
              </w:rPr>
            </w:pPr>
            <w:r w:rsidRPr="00AF4A7A">
              <w:rPr>
                <w:sz w:val="24"/>
                <w:szCs w:val="24"/>
              </w:rPr>
              <w:t>Tiesiskā regulējuma ietekme uz tautsaimniecību un administratīvo slogu</w:t>
            </w:r>
          </w:p>
        </w:tc>
        <w:tc>
          <w:tcPr>
            <w:tcW w:w="5533" w:type="dxa"/>
          </w:tcPr>
          <w:p w:rsidR="0054079E" w:rsidRPr="00AF4A7A" w:rsidRDefault="00B80A3E" w:rsidP="002D60EE">
            <w:pPr>
              <w:ind w:firstLine="340"/>
              <w:rPr>
                <w:sz w:val="24"/>
                <w:szCs w:val="24"/>
              </w:rPr>
            </w:pPr>
            <w:r w:rsidRPr="00AF4A7A">
              <w:rPr>
                <w:sz w:val="24"/>
                <w:szCs w:val="24"/>
              </w:rPr>
              <w:t>Administratīvais slogs nemainās un institūcijām projekta tiesiskais regulējums nemaina tiesības un pienākumus, kā arī veicamās darbības.</w:t>
            </w:r>
          </w:p>
        </w:tc>
      </w:tr>
      <w:tr w:rsidR="00AF4A7A" w:rsidRPr="00AF4A7A" w:rsidTr="002D60EE">
        <w:trPr>
          <w:trHeight w:val="284"/>
        </w:trPr>
        <w:tc>
          <w:tcPr>
            <w:tcW w:w="704" w:type="dxa"/>
          </w:tcPr>
          <w:p w:rsidR="00D1691E" w:rsidRPr="00AF4A7A" w:rsidRDefault="00D1691E" w:rsidP="007A7ADE">
            <w:pPr>
              <w:spacing w:before="100" w:beforeAutospacing="1" w:after="100" w:afterAutospacing="1"/>
              <w:ind w:firstLine="0"/>
              <w:jc w:val="center"/>
              <w:rPr>
                <w:sz w:val="24"/>
                <w:szCs w:val="24"/>
              </w:rPr>
            </w:pPr>
            <w:r w:rsidRPr="00AF4A7A">
              <w:rPr>
                <w:sz w:val="24"/>
                <w:szCs w:val="24"/>
              </w:rPr>
              <w:t>3.</w:t>
            </w:r>
          </w:p>
        </w:tc>
        <w:tc>
          <w:tcPr>
            <w:tcW w:w="3119" w:type="dxa"/>
          </w:tcPr>
          <w:p w:rsidR="00D1691E" w:rsidRPr="00AF4A7A" w:rsidRDefault="00D1691E" w:rsidP="007A7ADE">
            <w:pPr>
              <w:spacing w:before="100" w:beforeAutospacing="1" w:after="100" w:afterAutospacing="1"/>
              <w:ind w:firstLine="136"/>
              <w:rPr>
                <w:sz w:val="24"/>
                <w:szCs w:val="24"/>
              </w:rPr>
            </w:pPr>
            <w:r w:rsidRPr="00AF4A7A">
              <w:rPr>
                <w:sz w:val="24"/>
                <w:szCs w:val="24"/>
              </w:rPr>
              <w:t>Administratīvo izmaksu monetārs novērtējums</w:t>
            </w:r>
          </w:p>
        </w:tc>
        <w:tc>
          <w:tcPr>
            <w:tcW w:w="5533" w:type="dxa"/>
          </w:tcPr>
          <w:p w:rsidR="00D1691E" w:rsidRPr="00AF4A7A" w:rsidRDefault="00B80A3E" w:rsidP="00ED33B4">
            <w:pPr>
              <w:spacing w:before="100" w:beforeAutospacing="1" w:after="100" w:afterAutospacing="1"/>
              <w:ind w:firstLine="340"/>
              <w:rPr>
                <w:sz w:val="24"/>
                <w:szCs w:val="24"/>
              </w:rPr>
            </w:pPr>
            <w:r w:rsidRPr="00AF4A7A">
              <w:rPr>
                <w:sz w:val="24"/>
                <w:szCs w:val="24"/>
              </w:rPr>
              <w:t>Projekts šo jomu neskar.</w:t>
            </w:r>
          </w:p>
        </w:tc>
      </w:tr>
      <w:tr w:rsidR="003A0101" w:rsidRPr="00AF4A7A" w:rsidTr="002D60EE">
        <w:trPr>
          <w:trHeight w:val="284"/>
        </w:trPr>
        <w:tc>
          <w:tcPr>
            <w:tcW w:w="704" w:type="dxa"/>
          </w:tcPr>
          <w:p w:rsidR="00D1691E" w:rsidRPr="00AF4A7A" w:rsidRDefault="00D1691E" w:rsidP="007A7ADE">
            <w:pPr>
              <w:spacing w:before="100" w:beforeAutospacing="1" w:after="100" w:afterAutospacing="1"/>
              <w:ind w:firstLine="0"/>
              <w:jc w:val="center"/>
              <w:rPr>
                <w:sz w:val="24"/>
                <w:szCs w:val="24"/>
              </w:rPr>
            </w:pPr>
            <w:r w:rsidRPr="00AF4A7A">
              <w:rPr>
                <w:sz w:val="24"/>
                <w:szCs w:val="24"/>
              </w:rPr>
              <w:t>4.</w:t>
            </w:r>
          </w:p>
        </w:tc>
        <w:tc>
          <w:tcPr>
            <w:tcW w:w="3119" w:type="dxa"/>
          </w:tcPr>
          <w:p w:rsidR="00D1691E" w:rsidRPr="00AF4A7A" w:rsidRDefault="00D1691E" w:rsidP="001F5735">
            <w:pPr>
              <w:spacing w:before="100" w:beforeAutospacing="1" w:after="100" w:afterAutospacing="1"/>
              <w:ind w:firstLine="131"/>
              <w:rPr>
                <w:sz w:val="24"/>
                <w:szCs w:val="24"/>
              </w:rPr>
            </w:pPr>
            <w:r w:rsidRPr="00AF4A7A">
              <w:rPr>
                <w:sz w:val="24"/>
                <w:szCs w:val="24"/>
              </w:rPr>
              <w:t>Cita informācija</w:t>
            </w:r>
          </w:p>
        </w:tc>
        <w:tc>
          <w:tcPr>
            <w:tcW w:w="5533" w:type="dxa"/>
          </w:tcPr>
          <w:p w:rsidR="003874A2" w:rsidRPr="00AF4A7A" w:rsidRDefault="0054079E" w:rsidP="003874A2">
            <w:pPr>
              <w:spacing w:before="100" w:beforeAutospacing="1" w:after="100" w:afterAutospacing="1"/>
              <w:ind w:firstLine="340"/>
              <w:rPr>
                <w:sz w:val="24"/>
                <w:szCs w:val="24"/>
              </w:rPr>
            </w:pPr>
            <w:r w:rsidRPr="00AF4A7A">
              <w:rPr>
                <w:sz w:val="24"/>
                <w:szCs w:val="24"/>
              </w:rPr>
              <w:t>Nav.</w:t>
            </w:r>
          </w:p>
        </w:tc>
      </w:tr>
    </w:tbl>
    <w:p w:rsidR="00394F72" w:rsidRDefault="00394F72" w:rsidP="00F50C84">
      <w:pPr>
        <w:ind w:firstLine="0"/>
        <w:jc w:val="left"/>
        <w:rPr>
          <w:sz w:val="24"/>
          <w:szCs w:val="24"/>
          <w:lang w:eastAsia="lv-LV"/>
        </w:rPr>
      </w:pPr>
    </w:p>
    <w:p w:rsidR="0043310A" w:rsidRPr="00AF4A7A" w:rsidRDefault="0043310A" w:rsidP="00F50C84">
      <w:pPr>
        <w:ind w:firstLine="0"/>
        <w:jc w:val="left"/>
        <w:rPr>
          <w:sz w:val="24"/>
          <w:szCs w:val="24"/>
          <w:lang w:eastAsia="lv-LV"/>
        </w:rPr>
      </w:pPr>
    </w:p>
    <w:tbl>
      <w:tblPr>
        <w:tblStyle w:val="TableGrid"/>
        <w:tblW w:w="9356" w:type="dxa"/>
        <w:tblLook w:val="04A0" w:firstRow="1" w:lastRow="0" w:firstColumn="1" w:lastColumn="0" w:noHBand="0" w:noVBand="1"/>
      </w:tblPr>
      <w:tblGrid>
        <w:gridCol w:w="540"/>
        <w:gridCol w:w="3283"/>
        <w:gridCol w:w="5533"/>
      </w:tblGrid>
      <w:tr w:rsidR="00AF4A7A" w:rsidRPr="00AF4A7A" w:rsidTr="00600129">
        <w:tc>
          <w:tcPr>
            <w:tcW w:w="9356" w:type="dxa"/>
            <w:gridSpan w:val="3"/>
          </w:tcPr>
          <w:p w:rsidR="00DE04B7" w:rsidRPr="00AF4A7A" w:rsidRDefault="00DE04B7" w:rsidP="00DE04B7">
            <w:pPr>
              <w:pStyle w:val="NormalWeb"/>
              <w:tabs>
                <w:tab w:val="left" w:pos="552"/>
                <w:tab w:val="left" w:pos="2145"/>
                <w:tab w:val="center" w:pos="5043"/>
              </w:tabs>
              <w:spacing w:before="0" w:beforeAutospacing="0" w:after="0" w:afterAutospacing="0"/>
              <w:ind w:firstLine="525"/>
              <w:jc w:val="center"/>
              <w:rPr>
                <w:b/>
                <w:bCs/>
              </w:rPr>
            </w:pPr>
            <w:r w:rsidRPr="00AF4A7A">
              <w:rPr>
                <w:b/>
                <w:bCs/>
              </w:rPr>
              <w:t>V. Tiesību akta projekta atbilstība Latvijas Republikas starptautiskajām saistībām</w:t>
            </w:r>
          </w:p>
        </w:tc>
      </w:tr>
      <w:tr w:rsidR="00AF4A7A" w:rsidRPr="00AF4A7A" w:rsidTr="00600129">
        <w:tc>
          <w:tcPr>
            <w:tcW w:w="540" w:type="dxa"/>
          </w:tcPr>
          <w:p w:rsidR="00DE04B7" w:rsidRPr="00AF4A7A" w:rsidRDefault="00DE04B7" w:rsidP="00600129">
            <w:pPr>
              <w:spacing w:before="100" w:beforeAutospacing="1" w:after="100" w:afterAutospacing="1"/>
              <w:ind w:firstLine="29"/>
              <w:rPr>
                <w:sz w:val="24"/>
                <w:szCs w:val="24"/>
              </w:rPr>
            </w:pPr>
            <w:r w:rsidRPr="00AF4A7A">
              <w:rPr>
                <w:sz w:val="24"/>
                <w:szCs w:val="24"/>
              </w:rPr>
              <w:t>1.</w:t>
            </w:r>
          </w:p>
        </w:tc>
        <w:tc>
          <w:tcPr>
            <w:tcW w:w="3283" w:type="dxa"/>
          </w:tcPr>
          <w:p w:rsidR="00DE04B7" w:rsidRPr="00AF4A7A" w:rsidRDefault="00DE04B7" w:rsidP="00600129">
            <w:pPr>
              <w:spacing w:before="100" w:beforeAutospacing="1" w:after="100" w:afterAutospacing="1"/>
              <w:ind w:left="-86" w:firstLine="284"/>
              <w:rPr>
                <w:sz w:val="24"/>
                <w:szCs w:val="24"/>
              </w:rPr>
            </w:pPr>
            <w:r w:rsidRPr="00AF4A7A">
              <w:rPr>
                <w:sz w:val="24"/>
                <w:szCs w:val="24"/>
                <w:shd w:val="clear" w:color="auto" w:fill="FFFFFF"/>
              </w:rPr>
              <w:t>Saistības pret Eiropas Savienību</w:t>
            </w:r>
          </w:p>
        </w:tc>
        <w:tc>
          <w:tcPr>
            <w:tcW w:w="5533" w:type="dxa"/>
          </w:tcPr>
          <w:p w:rsidR="00DE04B7" w:rsidRPr="00AF4A7A" w:rsidRDefault="00DE04B7" w:rsidP="00DE04B7">
            <w:pPr>
              <w:ind w:left="57" w:firstLine="346"/>
              <w:rPr>
                <w:sz w:val="24"/>
                <w:szCs w:val="24"/>
              </w:rPr>
            </w:pPr>
            <w:r w:rsidRPr="00AF4A7A">
              <w:rPr>
                <w:sz w:val="24"/>
                <w:szCs w:val="24"/>
              </w:rPr>
              <w:t>Eiropas Parlamenta un Padomes 2013.gada 17.decembra lēmums Nr.1313/2013/ES par Savienības civilās aizsardzības mehānismu</w:t>
            </w:r>
            <w:r w:rsidR="0043092B" w:rsidRPr="00AF4A7A">
              <w:rPr>
                <w:sz w:val="24"/>
                <w:szCs w:val="24"/>
              </w:rPr>
              <w:t xml:space="preserve"> (turpmāk – Lēmums Nr.1313/2013/ES)</w:t>
            </w:r>
            <w:r w:rsidR="0043092B" w:rsidRPr="00AF4A7A">
              <w:rPr>
                <w:rStyle w:val="FootnoteReference"/>
                <w:sz w:val="24"/>
                <w:szCs w:val="24"/>
              </w:rPr>
              <w:footnoteReference w:id="25"/>
            </w:r>
            <w:r w:rsidRPr="00AF4A7A">
              <w:rPr>
                <w:sz w:val="24"/>
                <w:szCs w:val="24"/>
              </w:rPr>
              <w:t>.</w:t>
            </w:r>
            <w:r w:rsidR="00115E5A" w:rsidRPr="00AF4A7A">
              <w:rPr>
                <w:sz w:val="24"/>
                <w:szCs w:val="24"/>
              </w:rPr>
              <w:t xml:space="preserve"> Lēmumā Nr.1313/2013/ES nav noteikti konkrēti termiņi, kas jāpārņem vai jāievieš dalībvalstu kontaktpunkt</w:t>
            </w:r>
            <w:r w:rsidR="00A40CBC" w:rsidRPr="00AF4A7A">
              <w:rPr>
                <w:sz w:val="24"/>
                <w:szCs w:val="24"/>
              </w:rPr>
              <w:t>am</w:t>
            </w:r>
            <w:r w:rsidR="00115E5A" w:rsidRPr="00AF4A7A">
              <w:rPr>
                <w:sz w:val="24"/>
                <w:szCs w:val="24"/>
              </w:rPr>
              <w:t>.</w:t>
            </w:r>
          </w:p>
          <w:p w:rsidR="00E10359" w:rsidRPr="00AF4A7A" w:rsidRDefault="00E10359" w:rsidP="00A40CBC">
            <w:pPr>
              <w:ind w:left="57" w:firstLine="346"/>
              <w:rPr>
                <w:sz w:val="24"/>
                <w:szCs w:val="24"/>
              </w:rPr>
            </w:pPr>
            <w:r w:rsidRPr="00AF4A7A">
              <w:rPr>
                <w:sz w:val="24"/>
                <w:szCs w:val="24"/>
              </w:rPr>
              <w:t>Komisijas īstenošanas 2014.gada 16.oktobra lēmums (2014/762/ES), ar kuru paredz noteikumus par to, kā īstenot Eiropas Parlamenta un Padomes lēmumu Nr.1313/2013/ES par Savienības civilās aizsardzības mehānismu, un atceļ Komisijas Lēmumu 2004/277/EK, Euratom un 2007/606/EK, Euratom (turpmāk – Lēmums 2014/762/ES)</w:t>
            </w:r>
            <w:r w:rsidRPr="00AF4A7A">
              <w:rPr>
                <w:rStyle w:val="FootnoteReference"/>
                <w:sz w:val="24"/>
                <w:szCs w:val="24"/>
              </w:rPr>
              <w:footnoteReference w:id="26"/>
            </w:r>
            <w:r w:rsidRPr="00AF4A7A">
              <w:rPr>
                <w:sz w:val="24"/>
                <w:szCs w:val="24"/>
              </w:rPr>
              <w:t>.</w:t>
            </w:r>
            <w:r w:rsidR="00115E5A" w:rsidRPr="00AF4A7A">
              <w:rPr>
                <w:sz w:val="24"/>
                <w:szCs w:val="24"/>
              </w:rPr>
              <w:t xml:space="preserve"> Lēmumā 2014/762/ES nav noteikti konkrēti termiņi, kas jāpārņem vai jāievieš dalībvalstu kontaktpunkt</w:t>
            </w:r>
            <w:r w:rsidR="00A40CBC" w:rsidRPr="00AF4A7A">
              <w:rPr>
                <w:sz w:val="24"/>
                <w:szCs w:val="24"/>
              </w:rPr>
              <w:t>am</w:t>
            </w:r>
            <w:r w:rsidR="00115E5A" w:rsidRPr="00AF4A7A">
              <w:rPr>
                <w:sz w:val="24"/>
                <w:szCs w:val="24"/>
              </w:rPr>
              <w:t>.</w:t>
            </w:r>
          </w:p>
        </w:tc>
      </w:tr>
      <w:tr w:rsidR="00AF4A7A" w:rsidRPr="00AF4A7A" w:rsidTr="00600129">
        <w:trPr>
          <w:trHeight w:val="284"/>
        </w:trPr>
        <w:tc>
          <w:tcPr>
            <w:tcW w:w="540" w:type="dxa"/>
          </w:tcPr>
          <w:p w:rsidR="00DE04B7" w:rsidRPr="00AF4A7A" w:rsidRDefault="00DE04B7" w:rsidP="00600129">
            <w:pPr>
              <w:spacing w:before="100" w:beforeAutospacing="1" w:after="100" w:afterAutospacing="1"/>
              <w:ind w:firstLine="29"/>
              <w:rPr>
                <w:sz w:val="24"/>
                <w:szCs w:val="24"/>
              </w:rPr>
            </w:pPr>
            <w:r w:rsidRPr="00AF4A7A">
              <w:rPr>
                <w:sz w:val="24"/>
                <w:szCs w:val="24"/>
              </w:rPr>
              <w:t>2.</w:t>
            </w:r>
          </w:p>
        </w:tc>
        <w:tc>
          <w:tcPr>
            <w:tcW w:w="3283" w:type="dxa"/>
          </w:tcPr>
          <w:p w:rsidR="00DE04B7" w:rsidRPr="00AF4A7A" w:rsidRDefault="00DE04B7" w:rsidP="00600129">
            <w:pPr>
              <w:spacing w:before="100" w:beforeAutospacing="1" w:after="100" w:afterAutospacing="1"/>
              <w:ind w:left="-86" w:firstLine="284"/>
              <w:rPr>
                <w:sz w:val="24"/>
                <w:szCs w:val="24"/>
              </w:rPr>
            </w:pPr>
            <w:r w:rsidRPr="00AF4A7A">
              <w:rPr>
                <w:sz w:val="24"/>
                <w:szCs w:val="24"/>
                <w:shd w:val="clear" w:color="auto" w:fill="FFFFFF"/>
              </w:rPr>
              <w:t>Citas starptautiskās saistības</w:t>
            </w:r>
          </w:p>
        </w:tc>
        <w:tc>
          <w:tcPr>
            <w:tcW w:w="5533" w:type="dxa"/>
          </w:tcPr>
          <w:p w:rsidR="00DE04B7" w:rsidRPr="00AF4A7A" w:rsidRDefault="00DE04B7" w:rsidP="00DE04B7">
            <w:pPr>
              <w:ind w:left="57" w:firstLine="284"/>
              <w:rPr>
                <w:sz w:val="24"/>
                <w:szCs w:val="24"/>
              </w:rPr>
            </w:pPr>
            <w:r w:rsidRPr="00AF4A7A">
              <w:rPr>
                <w:rFonts w:eastAsia="Times New Roman"/>
                <w:sz w:val="24"/>
                <w:szCs w:val="24"/>
                <w:lang w:eastAsia="lv-LV"/>
              </w:rPr>
              <w:t>Nav.</w:t>
            </w:r>
          </w:p>
        </w:tc>
      </w:tr>
      <w:tr w:rsidR="003A0101" w:rsidRPr="00AF4A7A" w:rsidTr="00600129">
        <w:trPr>
          <w:trHeight w:val="284"/>
        </w:trPr>
        <w:tc>
          <w:tcPr>
            <w:tcW w:w="540" w:type="dxa"/>
          </w:tcPr>
          <w:p w:rsidR="00DE04B7" w:rsidRPr="00AF4A7A" w:rsidRDefault="00DE04B7" w:rsidP="00600129">
            <w:pPr>
              <w:spacing w:before="100" w:beforeAutospacing="1" w:after="100" w:afterAutospacing="1"/>
              <w:ind w:firstLine="29"/>
              <w:rPr>
                <w:sz w:val="24"/>
                <w:szCs w:val="24"/>
              </w:rPr>
            </w:pPr>
            <w:r w:rsidRPr="00AF4A7A">
              <w:rPr>
                <w:sz w:val="24"/>
                <w:szCs w:val="24"/>
              </w:rPr>
              <w:t>3.</w:t>
            </w:r>
          </w:p>
        </w:tc>
        <w:tc>
          <w:tcPr>
            <w:tcW w:w="3283" w:type="dxa"/>
          </w:tcPr>
          <w:p w:rsidR="00DE04B7" w:rsidRPr="00AF4A7A" w:rsidRDefault="00DE04B7" w:rsidP="00600129">
            <w:pPr>
              <w:spacing w:before="100" w:beforeAutospacing="1" w:after="100" w:afterAutospacing="1"/>
              <w:ind w:left="-86" w:firstLine="284"/>
              <w:rPr>
                <w:sz w:val="24"/>
                <w:szCs w:val="24"/>
              </w:rPr>
            </w:pPr>
            <w:r w:rsidRPr="00AF4A7A">
              <w:rPr>
                <w:rFonts w:eastAsia="Times New Roman"/>
                <w:sz w:val="24"/>
                <w:szCs w:val="24"/>
                <w:lang w:eastAsia="lv-LV"/>
              </w:rPr>
              <w:t>Cita informācija</w:t>
            </w:r>
          </w:p>
        </w:tc>
        <w:tc>
          <w:tcPr>
            <w:tcW w:w="5533" w:type="dxa"/>
          </w:tcPr>
          <w:p w:rsidR="00DE04B7" w:rsidRDefault="0043092B" w:rsidP="005619DB">
            <w:pPr>
              <w:ind w:left="57" w:firstLine="284"/>
              <w:rPr>
                <w:sz w:val="24"/>
                <w:szCs w:val="24"/>
              </w:rPr>
            </w:pPr>
            <w:r w:rsidRPr="00AF4A7A">
              <w:rPr>
                <w:sz w:val="24"/>
                <w:szCs w:val="24"/>
              </w:rPr>
              <w:t>Latvija ir parakstījusi starpvaldību vienošanos</w:t>
            </w:r>
            <w:r w:rsidR="0093475E" w:rsidRPr="00AF4A7A">
              <w:rPr>
                <w:sz w:val="24"/>
                <w:szCs w:val="24"/>
              </w:rPr>
              <w:t xml:space="preserve"> (līgumus) </w:t>
            </w:r>
            <w:r w:rsidRPr="00AF4A7A">
              <w:rPr>
                <w:sz w:val="24"/>
                <w:szCs w:val="24"/>
              </w:rPr>
              <w:t xml:space="preserve"> ar Igaunijas Republiku, Lietuvas Republiku, Baltkrievijas Republiku</w:t>
            </w:r>
            <w:r w:rsidR="0093475E" w:rsidRPr="00AF4A7A">
              <w:rPr>
                <w:sz w:val="24"/>
                <w:szCs w:val="24"/>
              </w:rPr>
              <w:t>,</w:t>
            </w:r>
            <w:r w:rsidRPr="00AF4A7A">
              <w:rPr>
                <w:sz w:val="24"/>
                <w:szCs w:val="24"/>
              </w:rPr>
              <w:t xml:space="preserve"> Krievijas Federāciju, Zviedrijas Karalistes valdību, Ungārijas Republiku, Uzbekistānas Republiku, Azerbaidžānas Republiku un Ukrainas Ministru kabinetu par </w:t>
            </w:r>
            <w:r w:rsidR="0093475E" w:rsidRPr="00AF4A7A">
              <w:rPr>
                <w:sz w:val="24"/>
                <w:szCs w:val="24"/>
              </w:rPr>
              <w:t xml:space="preserve">savstarpējo sadarbību </w:t>
            </w:r>
            <w:r w:rsidR="0093475E" w:rsidRPr="00AF4A7A">
              <w:rPr>
                <w:sz w:val="24"/>
                <w:szCs w:val="24"/>
              </w:rPr>
              <w:lastRenderedPageBreak/>
              <w:t>un palīdzību katastrof</w:t>
            </w:r>
            <w:r w:rsidR="005619DB" w:rsidRPr="00AF4A7A">
              <w:rPr>
                <w:sz w:val="24"/>
                <w:szCs w:val="24"/>
              </w:rPr>
              <w:t>u</w:t>
            </w:r>
            <w:r w:rsidR="0093475E" w:rsidRPr="00AF4A7A">
              <w:rPr>
                <w:sz w:val="24"/>
                <w:szCs w:val="24"/>
              </w:rPr>
              <w:t>, dabas stihiju un citu ārkārtējo situāciju novēršanā, kā arī to seku likvidēšanā</w:t>
            </w:r>
            <w:r w:rsidR="00D1731B" w:rsidRPr="00AF4A7A">
              <w:rPr>
                <w:rStyle w:val="FootnoteReference"/>
                <w:sz w:val="24"/>
                <w:szCs w:val="24"/>
              </w:rPr>
              <w:footnoteReference w:id="27"/>
            </w:r>
            <w:r w:rsidR="00DE04B7" w:rsidRPr="00AF4A7A">
              <w:rPr>
                <w:sz w:val="24"/>
                <w:szCs w:val="24"/>
              </w:rPr>
              <w:t>.</w:t>
            </w:r>
            <w:r w:rsidR="0093475E" w:rsidRPr="00AF4A7A">
              <w:rPr>
                <w:sz w:val="24"/>
                <w:szCs w:val="24"/>
              </w:rPr>
              <w:t xml:space="preserve"> Šo starpvaldību vienošanās (līgumos) </w:t>
            </w:r>
            <w:r w:rsidR="00D1731B" w:rsidRPr="00AF4A7A">
              <w:rPr>
                <w:sz w:val="24"/>
                <w:szCs w:val="24"/>
              </w:rPr>
              <w:t xml:space="preserve">kā </w:t>
            </w:r>
            <w:r w:rsidR="0093475E" w:rsidRPr="00AF4A7A">
              <w:rPr>
                <w:sz w:val="24"/>
                <w:szCs w:val="24"/>
              </w:rPr>
              <w:t xml:space="preserve">kompetentās institūcijas ir noteiktas Iekšlietu ministrija, bet citos gadījumos arī Valsts ugunsdzēsības un glābšanas dienests, kas nodrošina </w:t>
            </w:r>
            <w:r w:rsidR="00D1731B" w:rsidRPr="00AF4A7A">
              <w:rPr>
                <w:sz w:val="24"/>
                <w:szCs w:val="24"/>
              </w:rPr>
              <w:t>savstarpēju</w:t>
            </w:r>
            <w:r w:rsidR="0093475E" w:rsidRPr="00AF4A7A">
              <w:rPr>
                <w:sz w:val="24"/>
                <w:szCs w:val="24"/>
              </w:rPr>
              <w:t xml:space="preserve"> informācijas apmaiņu un paziņošanu par </w:t>
            </w:r>
            <w:r w:rsidR="00D1731B" w:rsidRPr="00AF4A7A">
              <w:rPr>
                <w:sz w:val="24"/>
                <w:szCs w:val="24"/>
              </w:rPr>
              <w:t>katastrof</w:t>
            </w:r>
            <w:r w:rsidR="005619DB" w:rsidRPr="00AF4A7A">
              <w:rPr>
                <w:sz w:val="24"/>
                <w:szCs w:val="24"/>
              </w:rPr>
              <w:t>u</w:t>
            </w:r>
            <w:r w:rsidR="00D1731B" w:rsidRPr="00AF4A7A">
              <w:rPr>
                <w:sz w:val="24"/>
                <w:szCs w:val="24"/>
              </w:rPr>
              <w:t>, dabas stihijas un citus ārkārtējo situāciju, kā arī nepieciešamības gadījumā pieprasa palīdzību caur kompetentām institūcij</w:t>
            </w:r>
            <w:r w:rsidR="00113225" w:rsidRPr="00AF4A7A">
              <w:rPr>
                <w:sz w:val="24"/>
                <w:szCs w:val="24"/>
              </w:rPr>
              <w:t>ām.</w:t>
            </w:r>
          </w:p>
          <w:p w:rsidR="006E47C1" w:rsidRPr="00AF4A7A" w:rsidRDefault="006E47C1" w:rsidP="006E47C1">
            <w:pPr>
              <w:ind w:left="57" w:firstLine="284"/>
              <w:rPr>
                <w:sz w:val="24"/>
                <w:szCs w:val="24"/>
              </w:rPr>
            </w:pPr>
            <w:r w:rsidRPr="006E47C1">
              <w:rPr>
                <w:sz w:val="24"/>
                <w:szCs w:val="24"/>
              </w:rPr>
              <w:t xml:space="preserve">Noteikumu projektā nav ietverta </w:t>
            </w:r>
            <w:r>
              <w:rPr>
                <w:sz w:val="24"/>
                <w:szCs w:val="24"/>
              </w:rPr>
              <w:t xml:space="preserve">tieša </w:t>
            </w:r>
            <w:r w:rsidRPr="006E47C1">
              <w:rPr>
                <w:sz w:val="24"/>
                <w:szCs w:val="24"/>
              </w:rPr>
              <w:t xml:space="preserve">atsauce uz kontaktpunkta sadarbība ar Ziemeļatlantijas līguma organizāciju, jo, piemēram, NATO EADRCC tika izveidots balstoties uz Eiroatlantiskās partnerības padomes ierosinājuma (iniciatīvas),  lai veicinātu NATO dalībvalstu un partnervalstu sadarbību civilās ārkārtas situācijas plānošanā un katastrofu seku likvidēšanas jomā. Praktiski, NATO dalībvalstu un partnervalstu sadarbība ar NATO EADRCC notiek pēc pašu iniciatīvas un nepieciešamības. </w:t>
            </w:r>
          </w:p>
        </w:tc>
      </w:tr>
    </w:tbl>
    <w:p w:rsidR="0054079E" w:rsidRDefault="0054079E" w:rsidP="00F50C84">
      <w:pPr>
        <w:ind w:firstLine="0"/>
        <w:jc w:val="left"/>
        <w:rPr>
          <w:sz w:val="24"/>
          <w:szCs w:val="24"/>
          <w:lang w:eastAsia="lv-LV"/>
        </w:rPr>
      </w:pPr>
    </w:p>
    <w:p w:rsidR="0043310A" w:rsidRPr="00AF4A7A" w:rsidRDefault="0043310A" w:rsidP="00F50C84">
      <w:pPr>
        <w:ind w:firstLine="0"/>
        <w:jc w:val="left"/>
        <w:rPr>
          <w:sz w:val="24"/>
          <w:szCs w:val="24"/>
          <w:lang w:eastAsia="lv-LV"/>
        </w:rPr>
      </w:pPr>
    </w:p>
    <w:tbl>
      <w:tblPr>
        <w:tblStyle w:val="TableGrid"/>
        <w:tblW w:w="9351" w:type="dxa"/>
        <w:tblLook w:val="04A0" w:firstRow="1" w:lastRow="0" w:firstColumn="1" w:lastColumn="0" w:noHBand="0" w:noVBand="1"/>
      </w:tblPr>
      <w:tblGrid>
        <w:gridCol w:w="2547"/>
        <w:gridCol w:w="1843"/>
        <w:gridCol w:w="1701"/>
        <w:gridCol w:w="3260"/>
      </w:tblGrid>
      <w:tr w:rsidR="00AF4A7A" w:rsidRPr="00AF4A7A" w:rsidTr="00DE04B7">
        <w:tc>
          <w:tcPr>
            <w:tcW w:w="9351" w:type="dxa"/>
            <w:gridSpan w:val="4"/>
          </w:tcPr>
          <w:p w:rsidR="00DE04B7" w:rsidRPr="00AF4A7A" w:rsidRDefault="00DE04B7" w:rsidP="00DE04B7">
            <w:pPr>
              <w:pStyle w:val="NormalWeb"/>
              <w:tabs>
                <w:tab w:val="left" w:pos="552"/>
                <w:tab w:val="left" w:pos="2145"/>
                <w:tab w:val="center" w:pos="5043"/>
              </w:tabs>
              <w:spacing w:before="0" w:beforeAutospacing="0" w:after="0" w:afterAutospacing="0"/>
              <w:ind w:firstLine="525"/>
              <w:jc w:val="center"/>
              <w:rPr>
                <w:b/>
                <w:bCs/>
              </w:rPr>
            </w:pPr>
            <w:r w:rsidRPr="00AF4A7A">
              <w:rPr>
                <w:b/>
                <w:bCs/>
              </w:rPr>
              <w:t>1.tabula</w:t>
            </w:r>
          </w:p>
          <w:p w:rsidR="00DE04B7" w:rsidRPr="00AF4A7A" w:rsidRDefault="00DE04B7" w:rsidP="00DE04B7">
            <w:pPr>
              <w:ind w:firstLine="0"/>
              <w:jc w:val="center"/>
              <w:rPr>
                <w:sz w:val="24"/>
                <w:szCs w:val="24"/>
                <w:lang w:eastAsia="lv-LV"/>
              </w:rPr>
            </w:pPr>
            <w:r w:rsidRPr="00AF4A7A">
              <w:rPr>
                <w:b/>
                <w:bCs/>
                <w:sz w:val="24"/>
                <w:szCs w:val="24"/>
              </w:rPr>
              <w:t>Tiesību akta projekta atbilstība ES tiesību aktiem</w:t>
            </w:r>
          </w:p>
        </w:tc>
      </w:tr>
      <w:tr w:rsidR="00AF4A7A" w:rsidRPr="00AF4A7A" w:rsidTr="004E3134">
        <w:tc>
          <w:tcPr>
            <w:tcW w:w="2547" w:type="dxa"/>
          </w:tcPr>
          <w:p w:rsidR="00DE04B7" w:rsidRPr="00AF4A7A" w:rsidRDefault="00DE04B7" w:rsidP="00E10359">
            <w:pPr>
              <w:ind w:firstLine="0"/>
              <w:rPr>
                <w:sz w:val="24"/>
                <w:szCs w:val="24"/>
                <w:lang w:eastAsia="lv-LV"/>
              </w:rPr>
            </w:pPr>
            <w:r w:rsidRPr="00AF4A7A">
              <w:rPr>
                <w:rFonts w:eastAsia="Times New Roman"/>
                <w:sz w:val="24"/>
                <w:szCs w:val="24"/>
                <w:lang w:eastAsia="lv-LV"/>
              </w:rPr>
              <w:t>Attiecīgā ES tiesību akta datums, numurs un nosaukums</w:t>
            </w:r>
          </w:p>
        </w:tc>
        <w:tc>
          <w:tcPr>
            <w:tcW w:w="6804" w:type="dxa"/>
            <w:gridSpan w:val="3"/>
          </w:tcPr>
          <w:p w:rsidR="00DE04B7" w:rsidRPr="00AF4A7A" w:rsidRDefault="00DE04B7" w:rsidP="00E10359">
            <w:pPr>
              <w:ind w:firstLine="0"/>
              <w:rPr>
                <w:sz w:val="24"/>
                <w:szCs w:val="24"/>
                <w:lang w:eastAsia="lv-LV"/>
              </w:rPr>
            </w:pPr>
            <w:r w:rsidRPr="00AF4A7A">
              <w:rPr>
                <w:sz w:val="24"/>
                <w:szCs w:val="24"/>
              </w:rPr>
              <w:t>Eiropas Parlamenta un Padomes 2013.gada 17.decembra lēmum</w:t>
            </w:r>
            <w:r w:rsidR="0043092B" w:rsidRPr="00AF4A7A">
              <w:rPr>
                <w:sz w:val="24"/>
                <w:szCs w:val="24"/>
              </w:rPr>
              <w:t>s</w:t>
            </w:r>
            <w:r w:rsidRPr="00AF4A7A">
              <w:rPr>
                <w:sz w:val="24"/>
                <w:szCs w:val="24"/>
              </w:rPr>
              <w:t xml:space="preserve"> Nr.1313/2013/ES par Savienības civilās aizsardzības mehānismu</w:t>
            </w:r>
          </w:p>
        </w:tc>
      </w:tr>
      <w:tr w:rsidR="00AF4A7A" w:rsidRPr="00AF4A7A" w:rsidTr="004E3134">
        <w:tc>
          <w:tcPr>
            <w:tcW w:w="2547" w:type="dxa"/>
          </w:tcPr>
          <w:p w:rsidR="00DE04B7" w:rsidRPr="00AF4A7A" w:rsidRDefault="0043092B" w:rsidP="0043092B">
            <w:pPr>
              <w:ind w:firstLine="0"/>
              <w:jc w:val="center"/>
              <w:rPr>
                <w:sz w:val="24"/>
                <w:szCs w:val="24"/>
                <w:lang w:eastAsia="lv-LV"/>
              </w:rPr>
            </w:pPr>
            <w:r w:rsidRPr="00AF4A7A">
              <w:rPr>
                <w:sz w:val="24"/>
                <w:szCs w:val="24"/>
                <w:lang w:eastAsia="lv-LV"/>
              </w:rPr>
              <w:t>A</w:t>
            </w:r>
          </w:p>
        </w:tc>
        <w:tc>
          <w:tcPr>
            <w:tcW w:w="1843" w:type="dxa"/>
          </w:tcPr>
          <w:p w:rsidR="00DE04B7" w:rsidRPr="00AF4A7A" w:rsidRDefault="0043092B" w:rsidP="0043092B">
            <w:pPr>
              <w:ind w:firstLine="0"/>
              <w:jc w:val="center"/>
              <w:rPr>
                <w:sz w:val="24"/>
                <w:szCs w:val="24"/>
                <w:lang w:eastAsia="lv-LV"/>
              </w:rPr>
            </w:pPr>
            <w:r w:rsidRPr="00AF4A7A">
              <w:rPr>
                <w:sz w:val="24"/>
                <w:szCs w:val="24"/>
                <w:lang w:eastAsia="lv-LV"/>
              </w:rPr>
              <w:t>B</w:t>
            </w:r>
          </w:p>
        </w:tc>
        <w:tc>
          <w:tcPr>
            <w:tcW w:w="1701" w:type="dxa"/>
          </w:tcPr>
          <w:p w:rsidR="00DE04B7" w:rsidRPr="00AF4A7A" w:rsidRDefault="0043092B" w:rsidP="0043092B">
            <w:pPr>
              <w:ind w:firstLine="0"/>
              <w:jc w:val="center"/>
              <w:rPr>
                <w:sz w:val="24"/>
                <w:szCs w:val="24"/>
                <w:lang w:eastAsia="lv-LV"/>
              </w:rPr>
            </w:pPr>
            <w:r w:rsidRPr="00AF4A7A">
              <w:rPr>
                <w:sz w:val="24"/>
                <w:szCs w:val="24"/>
                <w:lang w:eastAsia="lv-LV"/>
              </w:rPr>
              <w:t>C</w:t>
            </w:r>
          </w:p>
        </w:tc>
        <w:tc>
          <w:tcPr>
            <w:tcW w:w="3260" w:type="dxa"/>
          </w:tcPr>
          <w:p w:rsidR="00DE04B7" w:rsidRPr="00AF4A7A" w:rsidRDefault="0043092B" w:rsidP="0043092B">
            <w:pPr>
              <w:ind w:firstLine="0"/>
              <w:jc w:val="center"/>
              <w:rPr>
                <w:sz w:val="24"/>
                <w:szCs w:val="24"/>
                <w:lang w:eastAsia="lv-LV"/>
              </w:rPr>
            </w:pPr>
            <w:r w:rsidRPr="00AF4A7A">
              <w:rPr>
                <w:sz w:val="24"/>
                <w:szCs w:val="24"/>
                <w:lang w:eastAsia="lv-LV"/>
              </w:rPr>
              <w:t>D</w:t>
            </w:r>
          </w:p>
        </w:tc>
      </w:tr>
      <w:tr w:rsidR="00AF4A7A" w:rsidRPr="00AF4A7A" w:rsidTr="004E3134">
        <w:tc>
          <w:tcPr>
            <w:tcW w:w="2547" w:type="dxa"/>
          </w:tcPr>
          <w:p w:rsidR="00DE04B7" w:rsidRPr="00AF4A7A" w:rsidRDefault="0043092B" w:rsidP="00A2355B">
            <w:pPr>
              <w:ind w:firstLine="0"/>
              <w:jc w:val="left"/>
              <w:rPr>
                <w:sz w:val="24"/>
                <w:szCs w:val="24"/>
                <w:lang w:eastAsia="lv-LV"/>
              </w:rPr>
            </w:pPr>
            <w:r w:rsidRPr="00AF4A7A">
              <w:rPr>
                <w:sz w:val="24"/>
                <w:szCs w:val="24"/>
              </w:rPr>
              <w:t>Lēmums Nr.1313/2013/ES</w:t>
            </w:r>
            <w:r w:rsidR="00E10359" w:rsidRPr="00AF4A7A">
              <w:rPr>
                <w:sz w:val="24"/>
                <w:szCs w:val="24"/>
              </w:rPr>
              <w:t>,</w:t>
            </w:r>
            <w:r w:rsidRPr="00AF4A7A">
              <w:rPr>
                <w:sz w:val="24"/>
                <w:szCs w:val="24"/>
              </w:rPr>
              <w:t xml:space="preserve"> 9.pant</w:t>
            </w:r>
            <w:r w:rsidR="00A2355B" w:rsidRPr="00AF4A7A">
              <w:rPr>
                <w:sz w:val="24"/>
                <w:szCs w:val="24"/>
              </w:rPr>
              <w:t>a 7.punkts</w:t>
            </w:r>
          </w:p>
        </w:tc>
        <w:tc>
          <w:tcPr>
            <w:tcW w:w="1843" w:type="dxa"/>
          </w:tcPr>
          <w:p w:rsidR="00DE04B7" w:rsidRPr="00AF4A7A" w:rsidRDefault="00A2355B" w:rsidP="00F50C84">
            <w:pPr>
              <w:ind w:firstLine="0"/>
              <w:jc w:val="left"/>
              <w:rPr>
                <w:sz w:val="24"/>
                <w:szCs w:val="24"/>
                <w:lang w:eastAsia="lv-LV"/>
              </w:rPr>
            </w:pPr>
            <w:r w:rsidRPr="00AF4A7A">
              <w:rPr>
                <w:sz w:val="24"/>
                <w:szCs w:val="24"/>
                <w:lang w:eastAsia="lv-LV"/>
              </w:rPr>
              <w:t>2</w:t>
            </w:r>
            <w:r w:rsidR="0043092B" w:rsidRPr="00AF4A7A">
              <w:rPr>
                <w:sz w:val="24"/>
                <w:szCs w:val="24"/>
                <w:lang w:eastAsia="lv-LV"/>
              </w:rPr>
              <w:t>.punkts</w:t>
            </w:r>
          </w:p>
        </w:tc>
        <w:tc>
          <w:tcPr>
            <w:tcW w:w="1701" w:type="dxa"/>
          </w:tcPr>
          <w:p w:rsidR="00DE04B7" w:rsidRPr="00AF4A7A" w:rsidRDefault="0043092B" w:rsidP="00F50C84">
            <w:pPr>
              <w:ind w:firstLine="0"/>
              <w:jc w:val="left"/>
              <w:rPr>
                <w:sz w:val="24"/>
                <w:szCs w:val="24"/>
                <w:lang w:eastAsia="lv-LV"/>
              </w:rPr>
            </w:pPr>
            <w:r w:rsidRPr="00AF4A7A">
              <w:rPr>
                <w:sz w:val="24"/>
                <w:szCs w:val="24"/>
                <w:lang w:eastAsia="lv-LV"/>
              </w:rPr>
              <w:t>Ieviests pilnībā</w:t>
            </w:r>
          </w:p>
        </w:tc>
        <w:tc>
          <w:tcPr>
            <w:tcW w:w="3260" w:type="dxa"/>
          </w:tcPr>
          <w:p w:rsidR="00DE04B7" w:rsidRPr="00AF4A7A" w:rsidRDefault="0043092B" w:rsidP="00F50C84">
            <w:pPr>
              <w:ind w:firstLine="0"/>
              <w:jc w:val="left"/>
              <w:rPr>
                <w:sz w:val="24"/>
                <w:szCs w:val="24"/>
                <w:lang w:eastAsia="lv-LV"/>
              </w:rPr>
            </w:pPr>
            <w:r w:rsidRPr="00AF4A7A">
              <w:rPr>
                <w:sz w:val="24"/>
                <w:szCs w:val="24"/>
                <w:lang w:eastAsia="lv-LV"/>
              </w:rPr>
              <w:t>Projekts stingrākas prasības neparedz</w:t>
            </w:r>
          </w:p>
        </w:tc>
      </w:tr>
      <w:tr w:rsidR="00AF4A7A" w:rsidRPr="00AF4A7A" w:rsidTr="004E3134">
        <w:tc>
          <w:tcPr>
            <w:tcW w:w="2547" w:type="dxa"/>
          </w:tcPr>
          <w:p w:rsidR="00E10359" w:rsidRPr="00AF4A7A" w:rsidRDefault="00E10359" w:rsidP="0043092B">
            <w:pPr>
              <w:ind w:firstLine="0"/>
              <w:jc w:val="left"/>
              <w:rPr>
                <w:sz w:val="24"/>
                <w:szCs w:val="24"/>
              </w:rPr>
            </w:pPr>
            <w:r w:rsidRPr="00AF4A7A">
              <w:rPr>
                <w:sz w:val="24"/>
                <w:szCs w:val="24"/>
              </w:rPr>
              <w:t>Lēmums 2014/762/ES, 3.pant</w:t>
            </w:r>
            <w:r w:rsidR="00A2355B" w:rsidRPr="00AF4A7A">
              <w:rPr>
                <w:sz w:val="24"/>
                <w:szCs w:val="24"/>
              </w:rPr>
              <w:t>a 1.punkts</w:t>
            </w:r>
          </w:p>
        </w:tc>
        <w:tc>
          <w:tcPr>
            <w:tcW w:w="1843" w:type="dxa"/>
          </w:tcPr>
          <w:p w:rsidR="00E10359" w:rsidRPr="00AF4A7A" w:rsidRDefault="00A2355B" w:rsidP="00F50C84">
            <w:pPr>
              <w:ind w:firstLine="0"/>
              <w:jc w:val="left"/>
              <w:rPr>
                <w:sz w:val="24"/>
                <w:szCs w:val="24"/>
                <w:lang w:eastAsia="lv-LV"/>
              </w:rPr>
            </w:pPr>
            <w:r w:rsidRPr="00AF4A7A">
              <w:rPr>
                <w:sz w:val="24"/>
                <w:szCs w:val="24"/>
                <w:lang w:eastAsia="lv-LV"/>
              </w:rPr>
              <w:t>2</w:t>
            </w:r>
            <w:r w:rsidR="00E10359" w:rsidRPr="00AF4A7A">
              <w:rPr>
                <w:sz w:val="24"/>
                <w:szCs w:val="24"/>
                <w:lang w:eastAsia="lv-LV"/>
              </w:rPr>
              <w:t>.punkts</w:t>
            </w:r>
          </w:p>
        </w:tc>
        <w:tc>
          <w:tcPr>
            <w:tcW w:w="1701" w:type="dxa"/>
          </w:tcPr>
          <w:p w:rsidR="00E10359" w:rsidRPr="00AF4A7A" w:rsidRDefault="00E10359" w:rsidP="00F50C84">
            <w:pPr>
              <w:ind w:firstLine="0"/>
              <w:jc w:val="left"/>
              <w:rPr>
                <w:sz w:val="24"/>
                <w:szCs w:val="24"/>
                <w:lang w:eastAsia="lv-LV"/>
              </w:rPr>
            </w:pPr>
            <w:r w:rsidRPr="00AF4A7A">
              <w:rPr>
                <w:sz w:val="24"/>
                <w:szCs w:val="24"/>
                <w:lang w:eastAsia="lv-LV"/>
              </w:rPr>
              <w:t>Ieviests pilnībā</w:t>
            </w:r>
          </w:p>
        </w:tc>
        <w:tc>
          <w:tcPr>
            <w:tcW w:w="3260" w:type="dxa"/>
          </w:tcPr>
          <w:p w:rsidR="00E10359" w:rsidRPr="00AF4A7A" w:rsidRDefault="00E10359" w:rsidP="00C913B8">
            <w:pPr>
              <w:ind w:firstLine="0"/>
              <w:jc w:val="left"/>
              <w:rPr>
                <w:sz w:val="24"/>
                <w:szCs w:val="24"/>
                <w:lang w:eastAsia="lv-LV"/>
              </w:rPr>
            </w:pPr>
            <w:r w:rsidRPr="00AF4A7A">
              <w:rPr>
                <w:sz w:val="24"/>
                <w:szCs w:val="24"/>
                <w:lang w:eastAsia="lv-LV"/>
              </w:rPr>
              <w:t>Projekts stingrākas prasības neparedz</w:t>
            </w:r>
            <w:r w:rsidR="00A2355B" w:rsidRPr="00AF4A7A">
              <w:rPr>
                <w:sz w:val="24"/>
                <w:szCs w:val="24"/>
                <w:lang w:eastAsia="lv-LV"/>
              </w:rPr>
              <w:t xml:space="preserve">. VUGD jau šobrīd </w:t>
            </w:r>
            <w:r w:rsidR="00C913B8" w:rsidRPr="00AF4A7A">
              <w:rPr>
                <w:sz w:val="24"/>
                <w:szCs w:val="24"/>
                <w:lang w:eastAsia="lv-LV"/>
              </w:rPr>
              <w:t>īsteno valsts</w:t>
            </w:r>
            <w:r w:rsidR="00A2355B" w:rsidRPr="00AF4A7A">
              <w:rPr>
                <w:sz w:val="24"/>
                <w:szCs w:val="24"/>
                <w:lang w:eastAsia="lv-LV"/>
              </w:rPr>
              <w:t xml:space="preserve"> kontaktpunkta sadarbību ar ERCC, tādēļ </w:t>
            </w:r>
            <w:r w:rsidR="00C913B8" w:rsidRPr="00AF4A7A">
              <w:rPr>
                <w:sz w:val="24"/>
                <w:szCs w:val="24"/>
                <w:lang w:eastAsia="lv-LV"/>
              </w:rPr>
              <w:t>valsts</w:t>
            </w:r>
            <w:r w:rsidR="00A2355B" w:rsidRPr="00AF4A7A">
              <w:rPr>
                <w:sz w:val="24"/>
                <w:szCs w:val="24"/>
                <w:lang w:eastAsia="lv-LV"/>
              </w:rPr>
              <w:t xml:space="preserve"> kontaktpunktam jauna reģistrēšanas </w:t>
            </w:r>
            <w:r w:rsidR="00C913B8" w:rsidRPr="00AF4A7A">
              <w:rPr>
                <w:sz w:val="24"/>
                <w:szCs w:val="24"/>
                <w:lang w:eastAsia="lv-LV"/>
              </w:rPr>
              <w:t xml:space="preserve">ERCC </w:t>
            </w:r>
            <w:r w:rsidR="00A2355B" w:rsidRPr="00AF4A7A">
              <w:rPr>
                <w:sz w:val="24"/>
                <w:szCs w:val="24"/>
                <w:lang w:eastAsia="lv-LV"/>
              </w:rPr>
              <w:t>nav nepieciešama.</w:t>
            </w:r>
          </w:p>
        </w:tc>
      </w:tr>
      <w:tr w:rsidR="00AF4A7A" w:rsidRPr="00AF4A7A" w:rsidTr="004E3134">
        <w:tc>
          <w:tcPr>
            <w:tcW w:w="2547" w:type="dxa"/>
          </w:tcPr>
          <w:p w:rsidR="00E10359" w:rsidRPr="00AF4A7A" w:rsidRDefault="00E10359" w:rsidP="00C913B8">
            <w:pPr>
              <w:ind w:firstLine="0"/>
              <w:jc w:val="left"/>
              <w:rPr>
                <w:sz w:val="24"/>
                <w:szCs w:val="24"/>
              </w:rPr>
            </w:pPr>
            <w:r w:rsidRPr="00AF4A7A">
              <w:rPr>
                <w:sz w:val="24"/>
                <w:szCs w:val="24"/>
              </w:rPr>
              <w:t>Lēmums 2014/762/ES, 6.pant</w:t>
            </w:r>
            <w:r w:rsidR="00C913B8" w:rsidRPr="00AF4A7A">
              <w:rPr>
                <w:sz w:val="24"/>
                <w:szCs w:val="24"/>
              </w:rPr>
              <w:t>a 2.punkts</w:t>
            </w:r>
          </w:p>
        </w:tc>
        <w:tc>
          <w:tcPr>
            <w:tcW w:w="1843" w:type="dxa"/>
          </w:tcPr>
          <w:p w:rsidR="00E10359" w:rsidRPr="00AF4A7A" w:rsidRDefault="00C913B8" w:rsidP="00C913B8">
            <w:pPr>
              <w:ind w:firstLine="0"/>
              <w:jc w:val="left"/>
              <w:rPr>
                <w:sz w:val="24"/>
                <w:szCs w:val="24"/>
                <w:lang w:eastAsia="lv-LV"/>
              </w:rPr>
            </w:pPr>
            <w:r w:rsidRPr="00AF4A7A">
              <w:rPr>
                <w:sz w:val="24"/>
                <w:szCs w:val="24"/>
                <w:lang w:eastAsia="lv-LV"/>
              </w:rPr>
              <w:t>4.5.apakšpunkts un 6</w:t>
            </w:r>
            <w:r w:rsidR="00115E5A" w:rsidRPr="00AF4A7A">
              <w:rPr>
                <w:sz w:val="24"/>
                <w:szCs w:val="24"/>
                <w:lang w:eastAsia="lv-LV"/>
              </w:rPr>
              <w:t>.</w:t>
            </w:r>
            <w:r w:rsidR="00E10359" w:rsidRPr="00AF4A7A">
              <w:rPr>
                <w:sz w:val="24"/>
                <w:szCs w:val="24"/>
                <w:lang w:eastAsia="lv-LV"/>
              </w:rPr>
              <w:t>punkts</w:t>
            </w:r>
          </w:p>
        </w:tc>
        <w:tc>
          <w:tcPr>
            <w:tcW w:w="1701" w:type="dxa"/>
          </w:tcPr>
          <w:p w:rsidR="00E10359" w:rsidRPr="00AF4A7A" w:rsidRDefault="00E10359" w:rsidP="00E10359">
            <w:pPr>
              <w:ind w:firstLine="0"/>
              <w:jc w:val="left"/>
              <w:rPr>
                <w:sz w:val="24"/>
                <w:szCs w:val="24"/>
                <w:lang w:eastAsia="lv-LV"/>
              </w:rPr>
            </w:pPr>
            <w:r w:rsidRPr="00AF4A7A">
              <w:rPr>
                <w:sz w:val="24"/>
                <w:szCs w:val="24"/>
                <w:lang w:eastAsia="lv-LV"/>
              </w:rPr>
              <w:t>Ieviests pilnībā</w:t>
            </w:r>
          </w:p>
        </w:tc>
        <w:tc>
          <w:tcPr>
            <w:tcW w:w="3260" w:type="dxa"/>
          </w:tcPr>
          <w:p w:rsidR="00E10359" w:rsidRPr="00AF4A7A" w:rsidRDefault="00E10359" w:rsidP="00C913B8">
            <w:pPr>
              <w:ind w:firstLine="0"/>
              <w:jc w:val="left"/>
              <w:rPr>
                <w:sz w:val="24"/>
                <w:szCs w:val="24"/>
                <w:lang w:eastAsia="lv-LV"/>
              </w:rPr>
            </w:pPr>
            <w:r w:rsidRPr="00AF4A7A">
              <w:rPr>
                <w:sz w:val="24"/>
                <w:szCs w:val="24"/>
                <w:lang w:eastAsia="lv-LV"/>
              </w:rPr>
              <w:t>Projekts stingrākas prasības neparedz</w:t>
            </w:r>
            <w:r w:rsidR="00C913B8" w:rsidRPr="00AF4A7A">
              <w:rPr>
                <w:sz w:val="24"/>
                <w:szCs w:val="24"/>
                <w:lang w:eastAsia="lv-LV"/>
              </w:rPr>
              <w:t xml:space="preserve">. VUGD (kontaktpunkts) jau šobrīd ir nodrošinājis informāciju ERCC par citiem dienestiem, kas reaģē uz dabas, tehnoloģiju un radiācijas izraisītām katastrofām vai vides avārijām, ieskaitot nejaušu jūras piesārņošanu. Nacionālo bruņoto spēku Jūras spēku </w:t>
            </w:r>
            <w:r w:rsidR="00C913B8" w:rsidRPr="00AF4A7A">
              <w:rPr>
                <w:sz w:val="24"/>
                <w:szCs w:val="24"/>
                <w:lang w:eastAsia="lv-LV"/>
              </w:rPr>
              <w:lastRenderedPageBreak/>
              <w:t xml:space="preserve">flotiles Krasta apsardzes dienesta Jūras meklēšanas un glābšanas koordinācijas centram (MRCC) jau ir izveidota piekļuve ERCC Kopīgai ārkārtējo situāciju sakaru un informācijas sistēmai (CECIS), lai varētu apmainīties ar informāciju katastrofas vai to draudu gadījumā, kā arī pieprasīt un saņemt civilās aizsardzības mehānisma dalībvalstu resursus reaģēšanai un seku likvidēšanai.  </w:t>
            </w:r>
          </w:p>
        </w:tc>
      </w:tr>
    </w:tbl>
    <w:p w:rsidR="0043092B" w:rsidRDefault="0043092B" w:rsidP="00F50C84">
      <w:pPr>
        <w:ind w:firstLine="0"/>
        <w:jc w:val="left"/>
        <w:rPr>
          <w:sz w:val="24"/>
          <w:szCs w:val="24"/>
          <w:lang w:eastAsia="lv-LV"/>
        </w:rPr>
      </w:pPr>
    </w:p>
    <w:p w:rsidR="000E1DC6" w:rsidRPr="00AF4A7A" w:rsidRDefault="000E1DC6" w:rsidP="00F50C84">
      <w:pPr>
        <w:ind w:firstLine="0"/>
        <w:jc w:val="left"/>
        <w:rPr>
          <w:sz w:val="24"/>
          <w:szCs w:val="24"/>
          <w:lang w:eastAsia="lv-LV"/>
        </w:rPr>
      </w:pPr>
    </w:p>
    <w:tbl>
      <w:tblPr>
        <w:tblStyle w:val="TableGrid"/>
        <w:tblW w:w="9356" w:type="dxa"/>
        <w:tblLook w:val="04A0" w:firstRow="1" w:lastRow="0" w:firstColumn="1" w:lastColumn="0" w:noHBand="0" w:noVBand="1"/>
      </w:tblPr>
      <w:tblGrid>
        <w:gridCol w:w="540"/>
        <w:gridCol w:w="3283"/>
        <w:gridCol w:w="5533"/>
      </w:tblGrid>
      <w:tr w:rsidR="00AF4A7A" w:rsidRPr="00AF4A7A" w:rsidTr="00592E2E">
        <w:tc>
          <w:tcPr>
            <w:tcW w:w="9356" w:type="dxa"/>
            <w:gridSpan w:val="3"/>
          </w:tcPr>
          <w:p w:rsidR="00394F72" w:rsidRPr="00AF4A7A" w:rsidRDefault="00394F72" w:rsidP="00B31298">
            <w:pPr>
              <w:pStyle w:val="NormalWeb"/>
              <w:tabs>
                <w:tab w:val="left" w:pos="552"/>
                <w:tab w:val="left" w:pos="2145"/>
                <w:tab w:val="center" w:pos="5043"/>
              </w:tabs>
              <w:spacing w:before="0" w:beforeAutospacing="0" w:after="0" w:afterAutospacing="0"/>
              <w:ind w:firstLine="525"/>
              <w:jc w:val="center"/>
              <w:rPr>
                <w:b/>
                <w:bCs/>
              </w:rPr>
            </w:pPr>
            <w:r w:rsidRPr="00AF4A7A">
              <w:rPr>
                <w:b/>
                <w:bCs/>
              </w:rPr>
              <w:t>VI. Sabiedrības līdzdalība un komunikācijas aktivitātes</w:t>
            </w:r>
          </w:p>
        </w:tc>
      </w:tr>
      <w:tr w:rsidR="00AF4A7A" w:rsidRPr="00AF4A7A" w:rsidTr="002D60EE">
        <w:tc>
          <w:tcPr>
            <w:tcW w:w="540" w:type="dxa"/>
          </w:tcPr>
          <w:p w:rsidR="00394F72" w:rsidRPr="00AF4A7A" w:rsidRDefault="00394F72" w:rsidP="00592E2E">
            <w:pPr>
              <w:spacing w:before="100" w:beforeAutospacing="1" w:after="100" w:afterAutospacing="1"/>
              <w:ind w:firstLine="29"/>
              <w:rPr>
                <w:sz w:val="24"/>
                <w:szCs w:val="24"/>
              </w:rPr>
            </w:pPr>
            <w:r w:rsidRPr="00AF4A7A">
              <w:rPr>
                <w:sz w:val="24"/>
                <w:szCs w:val="24"/>
              </w:rPr>
              <w:t>1.</w:t>
            </w:r>
          </w:p>
        </w:tc>
        <w:tc>
          <w:tcPr>
            <w:tcW w:w="3283" w:type="dxa"/>
          </w:tcPr>
          <w:p w:rsidR="00394F72" w:rsidRPr="00AF4A7A" w:rsidRDefault="00394F72" w:rsidP="00592E2E">
            <w:pPr>
              <w:spacing w:before="100" w:beforeAutospacing="1" w:after="100" w:afterAutospacing="1"/>
              <w:ind w:left="-86" w:firstLine="284"/>
              <w:rPr>
                <w:sz w:val="24"/>
                <w:szCs w:val="24"/>
              </w:rPr>
            </w:pPr>
            <w:r w:rsidRPr="00AF4A7A">
              <w:rPr>
                <w:sz w:val="24"/>
                <w:szCs w:val="24"/>
                <w:shd w:val="clear" w:color="auto" w:fill="FFFFFF"/>
              </w:rPr>
              <w:t>Plānotās sabiedrības līdzdalības un komunikācijas aktivitātes saistībā ar projektu</w:t>
            </w:r>
          </w:p>
        </w:tc>
        <w:tc>
          <w:tcPr>
            <w:tcW w:w="5533" w:type="dxa"/>
          </w:tcPr>
          <w:p w:rsidR="0054079E" w:rsidRPr="00AF4A7A" w:rsidRDefault="00787F59" w:rsidP="002D60EE">
            <w:pPr>
              <w:ind w:left="57" w:firstLine="346"/>
              <w:rPr>
                <w:sz w:val="24"/>
                <w:szCs w:val="24"/>
              </w:rPr>
            </w:pPr>
            <w:r w:rsidRPr="00AF4A7A">
              <w:rPr>
                <w:sz w:val="24"/>
                <w:szCs w:val="24"/>
              </w:rPr>
              <w:t xml:space="preserve">Sabiedrības līdzdalība tika nodrošināta saskaņā ar Ministru kabineta 2009.gada 25.augusta noteikumiem Nr.970 “Sabiedrības līdzdalības kārtība attīstības plānošanas procesā”, sagatavojot un publicējot paziņojumu par līdzdalības procesu. </w:t>
            </w:r>
            <w:r w:rsidR="00592E2E" w:rsidRPr="00AF4A7A">
              <w:rPr>
                <w:sz w:val="24"/>
                <w:szCs w:val="24"/>
              </w:rPr>
              <w:t>Projekts ir publicēts Iekšlietu ministrijas tīmekļa vietnē sadaļā „Sabiedrības līdzdalība”.</w:t>
            </w:r>
          </w:p>
        </w:tc>
      </w:tr>
      <w:tr w:rsidR="00AF4A7A" w:rsidRPr="00AF4A7A" w:rsidTr="002D60EE">
        <w:trPr>
          <w:trHeight w:val="284"/>
        </w:trPr>
        <w:tc>
          <w:tcPr>
            <w:tcW w:w="540" w:type="dxa"/>
          </w:tcPr>
          <w:p w:rsidR="00394F72" w:rsidRPr="00AF4A7A" w:rsidRDefault="00394F72" w:rsidP="00592E2E">
            <w:pPr>
              <w:spacing w:before="100" w:beforeAutospacing="1" w:after="100" w:afterAutospacing="1"/>
              <w:ind w:firstLine="29"/>
              <w:rPr>
                <w:sz w:val="24"/>
                <w:szCs w:val="24"/>
              </w:rPr>
            </w:pPr>
            <w:r w:rsidRPr="00AF4A7A">
              <w:rPr>
                <w:sz w:val="24"/>
                <w:szCs w:val="24"/>
              </w:rPr>
              <w:t>2.</w:t>
            </w:r>
          </w:p>
        </w:tc>
        <w:tc>
          <w:tcPr>
            <w:tcW w:w="3283" w:type="dxa"/>
          </w:tcPr>
          <w:p w:rsidR="00394F72" w:rsidRPr="00AF4A7A" w:rsidRDefault="00394F72" w:rsidP="00592E2E">
            <w:pPr>
              <w:spacing w:before="100" w:beforeAutospacing="1" w:after="100" w:afterAutospacing="1"/>
              <w:ind w:left="-86" w:firstLine="284"/>
              <w:rPr>
                <w:sz w:val="24"/>
                <w:szCs w:val="24"/>
              </w:rPr>
            </w:pPr>
            <w:r w:rsidRPr="00AF4A7A">
              <w:rPr>
                <w:sz w:val="24"/>
                <w:szCs w:val="24"/>
                <w:shd w:val="clear" w:color="auto" w:fill="FFFFFF"/>
              </w:rPr>
              <w:t>Sabiedrības līdzdalība projekta izstrādē</w:t>
            </w:r>
          </w:p>
        </w:tc>
        <w:tc>
          <w:tcPr>
            <w:tcW w:w="5533" w:type="dxa"/>
          </w:tcPr>
          <w:p w:rsidR="0054079E" w:rsidRPr="00AF4A7A" w:rsidRDefault="00D85359" w:rsidP="00D85359">
            <w:pPr>
              <w:ind w:left="57" w:firstLine="284"/>
              <w:rPr>
                <w:sz w:val="24"/>
                <w:szCs w:val="24"/>
              </w:rPr>
            </w:pPr>
            <w:r>
              <w:rPr>
                <w:rFonts w:eastAsia="Times New Roman"/>
                <w:sz w:val="24"/>
                <w:szCs w:val="24"/>
                <w:lang w:eastAsia="lv-LV"/>
              </w:rPr>
              <w:t>Noteikumu p</w:t>
            </w:r>
            <w:r w:rsidR="00BA1087" w:rsidRPr="00AF4A7A">
              <w:rPr>
                <w:rFonts w:eastAsia="Times New Roman"/>
                <w:sz w:val="24"/>
                <w:szCs w:val="24"/>
                <w:lang w:eastAsia="lv-LV"/>
              </w:rPr>
              <w:t xml:space="preserve">rojekts un tā sākotnējās ietekmes novērtējuma ziņojums (anotācija) tiks ievietots Iekšlietu ministrijas tīmekļvietnē </w:t>
            </w:r>
            <w:hyperlink r:id="rId8" w:history="1">
              <w:r w:rsidR="00BA1087" w:rsidRPr="00AF4A7A">
                <w:rPr>
                  <w:rFonts w:eastAsia="Times New Roman"/>
                  <w:sz w:val="24"/>
                  <w:szCs w:val="24"/>
                  <w:lang w:eastAsia="lv-LV"/>
                </w:rPr>
                <w:t>www.iem.gov.lv</w:t>
              </w:r>
            </w:hyperlink>
            <w:r w:rsidR="00BA1087" w:rsidRPr="00AF4A7A">
              <w:rPr>
                <w:rFonts w:eastAsia="Times New Roman"/>
                <w:sz w:val="24"/>
                <w:szCs w:val="24"/>
                <w:lang w:eastAsia="lv-LV"/>
              </w:rPr>
              <w:t xml:space="preserve"> sadaļā “Sabiedrības līdzdalība”, aicinot sabiedrību rakstveidā izteikt savu viedokli par projektu.</w:t>
            </w:r>
          </w:p>
        </w:tc>
      </w:tr>
      <w:tr w:rsidR="00AF4A7A" w:rsidRPr="00AF4A7A" w:rsidTr="002D60EE">
        <w:trPr>
          <w:trHeight w:val="284"/>
        </w:trPr>
        <w:tc>
          <w:tcPr>
            <w:tcW w:w="540" w:type="dxa"/>
          </w:tcPr>
          <w:p w:rsidR="00394F72" w:rsidRPr="00AF4A7A" w:rsidRDefault="00394F72" w:rsidP="00592E2E">
            <w:pPr>
              <w:spacing w:before="100" w:beforeAutospacing="1" w:after="100" w:afterAutospacing="1"/>
              <w:ind w:firstLine="29"/>
              <w:rPr>
                <w:sz w:val="24"/>
                <w:szCs w:val="24"/>
              </w:rPr>
            </w:pPr>
            <w:r w:rsidRPr="00AF4A7A">
              <w:rPr>
                <w:sz w:val="24"/>
                <w:szCs w:val="24"/>
              </w:rPr>
              <w:t>3.</w:t>
            </w:r>
          </w:p>
        </w:tc>
        <w:tc>
          <w:tcPr>
            <w:tcW w:w="3283" w:type="dxa"/>
          </w:tcPr>
          <w:p w:rsidR="00394F72" w:rsidRPr="00AF4A7A" w:rsidRDefault="00394F72" w:rsidP="00592E2E">
            <w:pPr>
              <w:spacing w:before="100" w:beforeAutospacing="1" w:after="100" w:afterAutospacing="1"/>
              <w:ind w:left="-86" w:firstLine="284"/>
              <w:rPr>
                <w:sz w:val="24"/>
                <w:szCs w:val="24"/>
              </w:rPr>
            </w:pPr>
            <w:r w:rsidRPr="00AF4A7A">
              <w:rPr>
                <w:sz w:val="24"/>
                <w:szCs w:val="24"/>
                <w:shd w:val="clear" w:color="auto" w:fill="FFFFFF"/>
              </w:rPr>
              <w:t>Sabiedrības līdzdalības rezultāti</w:t>
            </w:r>
          </w:p>
        </w:tc>
        <w:tc>
          <w:tcPr>
            <w:tcW w:w="5533" w:type="dxa"/>
          </w:tcPr>
          <w:p w:rsidR="0054079E" w:rsidRPr="00AF4A7A" w:rsidRDefault="005E2919" w:rsidP="002D60EE">
            <w:pPr>
              <w:ind w:left="57" w:firstLine="284"/>
              <w:rPr>
                <w:sz w:val="24"/>
                <w:szCs w:val="24"/>
              </w:rPr>
            </w:pPr>
            <w:r w:rsidRPr="00AF4A7A">
              <w:rPr>
                <w:sz w:val="24"/>
                <w:szCs w:val="24"/>
              </w:rPr>
              <w:t>Noteikumu projekts 2017.gada 6.jūnijā publicēts Iekšlietu ministrijas mājas lapā, sadaļā  Sabiedrības līdzdalība</w:t>
            </w:r>
            <w:r w:rsidRPr="00AF4A7A">
              <w:rPr>
                <w:rStyle w:val="FootnoteReference"/>
                <w:sz w:val="24"/>
                <w:szCs w:val="24"/>
              </w:rPr>
              <w:footnoteReference w:id="28"/>
            </w:r>
            <w:r w:rsidRPr="00AF4A7A">
              <w:rPr>
                <w:sz w:val="24"/>
                <w:szCs w:val="24"/>
              </w:rPr>
              <w:t>. Par Noteikumu projektu elektroniski un rakstiski netika saņemti priekšlikumi un iebildumi no sabiedrības.</w:t>
            </w:r>
          </w:p>
        </w:tc>
      </w:tr>
      <w:tr w:rsidR="00D85359" w:rsidRPr="00D85359" w:rsidTr="002D60EE">
        <w:trPr>
          <w:trHeight w:val="284"/>
        </w:trPr>
        <w:tc>
          <w:tcPr>
            <w:tcW w:w="540" w:type="dxa"/>
          </w:tcPr>
          <w:p w:rsidR="00394F72" w:rsidRPr="00D85359" w:rsidRDefault="00394F72" w:rsidP="00592E2E">
            <w:pPr>
              <w:spacing w:before="100" w:beforeAutospacing="1" w:after="100" w:afterAutospacing="1"/>
              <w:ind w:firstLine="29"/>
              <w:rPr>
                <w:sz w:val="24"/>
                <w:szCs w:val="24"/>
              </w:rPr>
            </w:pPr>
            <w:r w:rsidRPr="00D85359">
              <w:rPr>
                <w:sz w:val="24"/>
                <w:szCs w:val="24"/>
              </w:rPr>
              <w:t>4.</w:t>
            </w:r>
          </w:p>
        </w:tc>
        <w:tc>
          <w:tcPr>
            <w:tcW w:w="3283" w:type="dxa"/>
          </w:tcPr>
          <w:p w:rsidR="00394F72" w:rsidRPr="00D85359" w:rsidRDefault="00394F72" w:rsidP="00592E2E">
            <w:pPr>
              <w:spacing w:before="100" w:beforeAutospacing="1" w:after="100" w:afterAutospacing="1"/>
              <w:ind w:left="-86" w:firstLine="284"/>
              <w:rPr>
                <w:sz w:val="24"/>
                <w:szCs w:val="24"/>
              </w:rPr>
            </w:pPr>
            <w:r w:rsidRPr="00D85359">
              <w:rPr>
                <w:sz w:val="24"/>
                <w:szCs w:val="24"/>
                <w:shd w:val="clear" w:color="auto" w:fill="FFFFFF"/>
              </w:rPr>
              <w:t>Cita informācija</w:t>
            </w:r>
          </w:p>
        </w:tc>
        <w:tc>
          <w:tcPr>
            <w:tcW w:w="5533" w:type="dxa"/>
          </w:tcPr>
          <w:p w:rsidR="0043092B" w:rsidRPr="00D85359" w:rsidRDefault="008F040D" w:rsidP="009A1D0F">
            <w:pPr>
              <w:spacing w:before="100" w:beforeAutospacing="1" w:after="100" w:afterAutospacing="1"/>
              <w:ind w:firstLine="345"/>
              <w:rPr>
                <w:sz w:val="24"/>
                <w:szCs w:val="24"/>
              </w:rPr>
            </w:pPr>
            <w:r w:rsidRPr="008F040D">
              <w:rPr>
                <w:sz w:val="24"/>
                <w:szCs w:val="24"/>
              </w:rPr>
              <w:t>Ministru kabineta noteikumu projekts „Starptautiskās palīdzības pieprasīšanas kārtība” (VSS-802) un Ministru kabineta noteikumu projekts “Humanas palīdzības saņemšanas un sniegšanas kartība” (VSS-855), kuri pašlaik ir saskaņošanas procesā, tiks virzīti vienlaikus ar Noteikumu projektu izskatīšanai Ministru kabinetā vienotā dokumentu paketē.</w:t>
            </w:r>
          </w:p>
        </w:tc>
      </w:tr>
    </w:tbl>
    <w:p w:rsidR="0043092B" w:rsidRPr="00AF4A7A" w:rsidRDefault="0043092B" w:rsidP="00F50C84">
      <w:pPr>
        <w:ind w:firstLine="0"/>
        <w:jc w:val="left"/>
        <w:rPr>
          <w:sz w:val="24"/>
          <w:szCs w:val="24"/>
          <w:lang w:eastAsia="lv-LV"/>
        </w:rPr>
      </w:pPr>
    </w:p>
    <w:tbl>
      <w:tblPr>
        <w:tblStyle w:val="TableGrid"/>
        <w:tblW w:w="5160" w:type="pct"/>
        <w:tblLook w:val="00A0" w:firstRow="1" w:lastRow="0" w:firstColumn="1" w:lastColumn="0" w:noHBand="0" w:noVBand="0"/>
      </w:tblPr>
      <w:tblGrid>
        <w:gridCol w:w="651"/>
        <w:gridCol w:w="3172"/>
        <w:gridCol w:w="5528"/>
      </w:tblGrid>
      <w:tr w:rsidR="00AF4A7A" w:rsidRPr="00AF4A7A" w:rsidTr="0039002B">
        <w:trPr>
          <w:trHeight w:val="375"/>
        </w:trPr>
        <w:tc>
          <w:tcPr>
            <w:tcW w:w="5000" w:type="pct"/>
            <w:gridSpan w:val="3"/>
          </w:tcPr>
          <w:p w:rsidR="00965309" w:rsidRPr="00AF4A7A" w:rsidRDefault="00510DE8" w:rsidP="00862D0F">
            <w:pPr>
              <w:spacing w:before="100" w:beforeAutospacing="1" w:after="100" w:afterAutospacing="1"/>
              <w:ind w:firstLine="0"/>
              <w:jc w:val="center"/>
              <w:rPr>
                <w:b/>
                <w:bCs/>
                <w:sz w:val="24"/>
                <w:szCs w:val="24"/>
                <w:lang w:eastAsia="lv-LV"/>
              </w:rPr>
            </w:pPr>
            <w:r w:rsidRPr="00AF4A7A">
              <w:rPr>
                <w:b/>
                <w:bCs/>
                <w:sz w:val="24"/>
                <w:szCs w:val="24"/>
                <w:lang w:eastAsia="lv-LV"/>
              </w:rPr>
              <w:t>VII</w:t>
            </w:r>
            <w:r w:rsidR="00965309" w:rsidRPr="00AF4A7A">
              <w:rPr>
                <w:b/>
                <w:bCs/>
                <w:sz w:val="24"/>
                <w:szCs w:val="24"/>
                <w:lang w:eastAsia="lv-LV"/>
              </w:rPr>
              <w:t>. Tiesību akta projekta izpildes nodrošināšana un tās ietekme uz institūcijām</w:t>
            </w:r>
          </w:p>
        </w:tc>
      </w:tr>
      <w:tr w:rsidR="00AF4A7A" w:rsidRPr="00AF4A7A" w:rsidTr="002D60EE">
        <w:trPr>
          <w:trHeight w:val="420"/>
        </w:trPr>
        <w:tc>
          <w:tcPr>
            <w:tcW w:w="348" w:type="pct"/>
          </w:tcPr>
          <w:p w:rsidR="00965309" w:rsidRPr="00AF4A7A" w:rsidRDefault="00965309" w:rsidP="00BA1087">
            <w:pPr>
              <w:ind w:firstLine="0"/>
              <w:rPr>
                <w:sz w:val="24"/>
                <w:szCs w:val="24"/>
                <w:lang w:eastAsia="lv-LV"/>
              </w:rPr>
            </w:pPr>
            <w:r w:rsidRPr="00AF4A7A">
              <w:rPr>
                <w:sz w:val="24"/>
                <w:szCs w:val="24"/>
                <w:lang w:eastAsia="lv-LV"/>
              </w:rPr>
              <w:t>1.</w:t>
            </w:r>
          </w:p>
        </w:tc>
        <w:tc>
          <w:tcPr>
            <w:tcW w:w="1696" w:type="pct"/>
          </w:tcPr>
          <w:p w:rsidR="00965309" w:rsidRPr="00AF4A7A" w:rsidRDefault="00965309" w:rsidP="00BA1087">
            <w:pPr>
              <w:ind w:firstLine="0"/>
              <w:rPr>
                <w:sz w:val="24"/>
                <w:szCs w:val="24"/>
                <w:lang w:eastAsia="lv-LV"/>
              </w:rPr>
            </w:pPr>
            <w:r w:rsidRPr="00AF4A7A">
              <w:rPr>
                <w:sz w:val="24"/>
                <w:szCs w:val="24"/>
                <w:lang w:eastAsia="lv-LV"/>
              </w:rPr>
              <w:t>Projekta izpildē iesaistītās institūcijas</w:t>
            </w:r>
          </w:p>
        </w:tc>
        <w:tc>
          <w:tcPr>
            <w:tcW w:w="2956" w:type="pct"/>
          </w:tcPr>
          <w:p w:rsidR="0054079E" w:rsidRPr="00AF4A7A" w:rsidRDefault="00BA1087" w:rsidP="002D60EE">
            <w:pPr>
              <w:ind w:hanging="105"/>
              <w:rPr>
                <w:sz w:val="24"/>
                <w:szCs w:val="24"/>
                <w:lang w:eastAsia="lv-LV"/>
              </w:rPr>
            </w:pPr>
            <w:r w:rsidRPr="00AF4A7A">
              <w:rPr>
                <w:sz w:val="24"/>
                <w:szCs w:val="24"/>
                <w:lang w:eastAsia="lv-LV"/>
              </w:rPr>
              <w:t xml:space="preserve">       </w:t>
            </w:r>
            <w:r w:rsidR="00E4106C" w:rsidRPr="00AF4A7A">
              <w:rPr>
                <w:sz w:val="24"/>
                <w:szCs w:val="24"/>
                <w:lang w:eastAsia="lv-LV"/>
              </w:rPr>
              <w:t>Noteikumu projekta iz</w:t>
            </w:r>
            <w:r w:rsidR="005E2919" w:rsidRPr="00AF4A7A">
              <w:rPr>
                <w:sz w:val="24"/>
                <w:szCs w:val="24"/>
                <w:lang w:eastAsia="lv-LV"/>
              </w:rPr>
              <w:t xml:space="preserve">pildē tiks iesaistītas </w:t>
            </w:r>
            <w:r w:rsidR="005E2919" w:rsidRPr="00AF4A7A">
              <w:rPr>
                <w:sz w:val="24"/>
                <w:szCs w:val="24"/>
              </w:rPr>
              <w:t>valsts pārvaldes institūcijas.</w:t>
            </w:r>
            <w:r w:rsidR="0054079E" w:rsidRPr="00AF4A7A">
              <w:rPr>
                <w:sz w:val="24"/>
                <w:szCs w:val="24"/>
              </w:rPr>
              <w:t xml:space="preserve"> </w:t>
            </w:r>
          </w:p>
        </w:tc>
      </w:tr>
      <w:tr w:rsidR="00AF4A7A" w:rsidRPr="00AF4A7A" w:rsidTr="002D60EE">
        <w:trPr>
          <w:trHeight w:val="450"/>
        </w:trPr>
        <w:tc>
          <w:tcPr>
            <w:tcW w:w="348" w:type="pct"/>
          </w:tcPr>
          <w:p w:rsidR="00965309" w:rsidRPr="00AF4A7A" w:rsidRDefault="00965309" w:rsidP="00BA1087">
            <w:pPr>
              <w:ind w:firstLine="0"/>
              <w:rPr>
                <w:sz w:val="24"/>
                <w:szCs w:val="24"/>
                <w:lang w:eastAsia="lv-LV"/>
              </w:rPr>
            </w:pPr>
            <w:r w:rsidRPr="00AF4A7A">
              <w:rPr>
                <w:sz w:val="24"/>
                <w:szCs w:val="24"/>
                <w:lang w:eastAsia="lv-LV"/>
              </w:rPr>
              <w:t>2.</w:t>
            </w:r>
          </w:p>
        </w:tc>
        <w:tc>
          <w:tcPr>
            <w:tcW w:w="1696" w:type="pct"/>
          </w:tcPr>
          <w:p w:rsidR="00965309" w:rsidRPr="00AF4A7A" w:rsidRDefault="00965309" w:rsidP="00BA1087">
            <w:pPr>
              <w:ind w:firstLine="0"/>
              <w:rPr>
                <w:sz w:val="24"/>
                <w:szCs w:val="24"/>
                <w:lang w:eastAsia="lv-LV"/>
              </w:rPr>
            </w:pPr>
            <w:r w:rsidRPr="00AF4A7A">
              <w:rPr>
                <w:sz w:val="24"/>
                <w:szCs w:val="24"/>
                <w:lang w:eastAsia="lv-LV"/>
              </w:rPr>
              <w:t>Projekta izpildes ietekme uz pārvaldes funkcijām un institucionālo struktūru.</w:t>
            </w:r>
            <w:r w:rsidR="00FF7CC5" w:rsidRPr="00AF4A7A">
              <w:rPr>
                <w:sz w:val="24"/>
                <w:szCs w:val="24"/>
                <w:lang w:eastAsia="lv-LV"/>
              </w:rPr>
              <w:t xml:space="preserve"> </w:t>
            </w:r>
            <w:r w:rsidRPr="00AF4A7A">
              <w:rPr>
                <w:sz w:val="24"/>
                <w:szCs w:val="24"/>
                <w:lang w:eastAsia="lv-LV"/>
              </w:rPr>
              <w:t xml:space="preserve">Jaunu </w:t>
            </w:r>
            <w:r w:rsidRPr="00AF4A7A">
              <w:rPr>
                <w:sz w:val="24"/>
                <w:szCs w:val="24"/>
                <w:lang w:eastAsia="lv-LV"/>
              </w:rPr>
              <w:lastRenderedPageBreak/>
              <w:t>institūciju izveide, esošu institūciju likvidācija vai reorganizācija, to ietekme uz institūcijas cilvēkresursiem.</w:t>
            </w:r>
          </w:p>
        </w:tc>
        <w:tc>
          <w:tcPr>
            <w:tcW w:w="2956" w:type="pct"/>
          </w:tcPr>
          <w:p w:rsidR="0054079E" w:rsidRPr="00AF4A7A" w:rsidRDefault="00BA1087" w:rsidP="002D60EE">
            <w:pPr>
              <w:ind w:firstLine="400"/>
              <w:rPr>
                <w:sz w:val="24"/>
                <w:szCs w:val="24"/>
              </w:rPr>
            </w:pPr>
            <w:r w:rsidRPr="00AF4A7A">
              <w:rPr>
                <w:rFonts w:eastAsia="Times New Roman"/>
                <w:bCs/>
                <w:sz w:val="24"/>
                <w:szCs w:val="24"/>
                <w:lang w:eastAsia="lv-LV"/>
              </w:rPr>
              <w:lastRenderedPageBreak/>
              <w:t xml:space="preserve">  </w:t>
            </w:r>
            <w:r w:rsidR="0054079E" w:rsidRPr="00AF4A7A">
              <w:rPr>
                <w:sz w:val="24"/>
                <w:szCs w:val="24"/>
              </w:rPr>
              <w:t xml:space="preserve">Kontaktpunkta uzdevumus nodrošinās VUGD, atbilstoši esošo funkciju un uzdevumu ietvaros. Kontaktpunkta izveidošana neietekmēs un nemainīs </w:t>
            </w:r>
            <w:r w:rsidR="0054079E" w:rsidRPr="00AF4A7A">
              <w:rPr>
                <w:sz w:val="24"/>
                <w:szCs w:val="24"/>
              </w:rPr>
              <w:lastRenderedPageBreak/>
              <w:t>esošo VUGD struktūru. Kontaktpunkta darbiniekus paredzēts komplektēt no VUGD vakantajām amata vietām (pārdalot vakantās amata vietas un atvēlot tās kontaktpunkta darbinieku amatiem).</w:t>
            </w:r>
          </w:p>
        </w:tc>
      </w:tr>
      <w:tr w:rsidR="00ED33B4" w:rsidRPr="00AF4A7A" w:rsidTr="002D60EE">
        <w:trPr>
          <w:trHeight w:val="390"/>
        </w:trPr>
        <w:tc>
          <w:tcPr>
            <w:tcW w:w="348" w:type="pct"/>
          </w:tcPr>
          <w:p w:rsidR="00965309" w:rsidRPr="00AF4A7A" w:rsidRDefault="00965309" w:rsidP="00862D0F">
            <w:pPr>
              <w:ind w:firstLine="0"/>
              <w:jc w:val="left"/>
              <w:rPr>
                <w:sz w:val="24"/>
                <w:szCs w:val="24"/>
                <w:lang w:eastAsia="lv-LV"/>
              </w:rPr>
            </w:pPr>
            <w:r w:rsidRPr="00AF4A7A">
              <w:rPr>
                <w:sz w:val="24"/>
                <w:szCs w:val="24"/>
                <w:lang w:eastAsia="lv-LV"/>
              </w:rPr>
              <w:lastRenderedPageBreak/>
              <w:t>3.</w:t>
            </w:r>
          </w:p>
        </w:tc>
        <w:tc>
          <w:tcPr>
            <w:tcW w:w="1696" w:type="pct"/>
          </w:tcPr>
          <w:p w:rsidR="00965309" w:rsidRPr="00AF4A7A" w:rsidRDefault="00965309" w:rsidP="00862D0F">
            <w:pPr>
              <w:ind w:firstLine="0"/>
              <w:jc w:val="left"/>
              <w:rPr>
                <w:sz w:val="24"/>
                <w:szCs w:val="24"/>
                <w:lang w:eastAsia="lv-LV"/>
              </w:rPr>
            </w:pPr>
            <w:r w:rsidRPr="00AF4A7A">
              <w:rPr>
                <w:sz w:val="24"/>
                <w:szCs w:val="24"/>
                <w:lang w:eastAsia="lv-LV"/>
              </w:rPr>
              <w:t>Cita informācija</w:t>
            </w:r>
          </w:p>
        </w:tc>
        <w:tc>
          <w:tcPr>
            <w:tcW w:w="2956" w:type="pct"/>
          </w:tcPr>
          <w:p w:rsidR="00965309" w:rsidRPr="00AF4A7A" w:rsidRDefault="008674E2" w:rsidP="0054079E">
            <w:pPr>
              <w:spacing w:before="100" w:beforeAutospacing="1" w:after="100" w:afterAutospacing="1"/>
              <w:jc w:val="left"/>
              <w:rPr>
                <w:sz w:val="24"/>
                <w:szCs w:val="24"/>
                <w:lang w:eastAsia="lv-LV"/>
              </w:rPr>
            </w:pPr>
            <w:r w:rsidRPr="00AF4A7A">
              <w:rPr>
                <w:sz w:val="24"/>
                <w:szCs w:val="24"/>
                <w:lang w:eastAsia="lv-LV"/>
              </w:rPr>
              <w:t>Nav</w:t>
            </w:r>
            <w:r w:rsidR="003C4613" w:rsidRPr="00AF4A7A">
              <w:rPr>
                <w:sz w:val="24"/>
                <w:szCs w:val="24"/>
                <w:lang w:eastAsia="lv-LV"/>
              </w:rPr>
              <w:t>.</w:t>
            </w:r>
          </w:p>
        </w:tc>
      </w:tr>
    </w:tbl>
    <w:p w:rsidR="00965309" w:rsidRPr="00AF4A7A" w:rsidRDefault="00965309" w:rsidP="00226A78">
      <w:pPr>
        <w:ind w:firstLine="0"/>
        <w:rPr>
          <w:sz w:val="24"/>
          <w:szCs w:val="24"/>
        </w:rPr>
      </w:pPr>
    </w:p>
    <w:p w:rsidR="00965309" w:rsidRPr="00AF4A7A" w:rsidRDefault="00DE04B7" w:rsidP="00226A78">
      <w:pPr>
        <w:ind w:firstLine="0"/>
        <w:rPr>
          <w:sz w:val="24"/>
          <w:szCs w:val="24"/>
        </w:rPr>
      </w:pPr>
      <w:r w:rsidRPr="00AF4A7A">
        <w:rPr>
          <w:sz w:val="24"/>
          <w:szCs w:val="24"/>
        </w:rPr>
        <w:t>Anotācijas III, IV</w:t>
      </w:r>
      <w:r w:rsidR="00965309" w:rsidRPr="00AF4A7A">
        <w:rPr>
          <w:sz w:val="24"/>
          <w:szCs w:val="24"/>
        </w:rPr>
        <w:t xml:space="preserve"> – projekts šīs jomas neskar.</w:t>
      </w:r>
    </w:p>
    <w:p w:rsidR="00965309" w:rsidRPr="00AF4A7A" w:rsidRDefault="00965309" w:rsidP="00226A78">
      <w:pPr>
        <w:ind w:firstLine="0"/>
        <w:rPr>
          <w:sz w:val="24"/>
          <w:szCs w:val="24"/>
        </w:rPr>
      </w:pPr>
    </w:p>
    <w:p w:rsidR="00A02F96" w:rsidRPr="00AF4A7A" w:rsidRDefault="00A02F96" w:rsidP="00226A78">
      <w:pPr>
        <w:ind w:firstLine="0"/>
        <w:rPr>
          <w:sz w:val="24"/>
          <w:szCs w:val="24"/>
        </w:rPr>
      </w:pPr>
    </w:p>
    <w:p w:rsidR="00965309" w:rsidRPr="00AF4A7A" w:rsidRDefault="003C4613" w:rsidP="00226A78">
      <w:pPr>
        <w:tabs>
          <w:tab w:val="right" w:pos="9071"/>
        </w:tabs>
        <w:ind w:firstLine="0"/>
        <w:rPr>
          <w:szCs w:val="28"/>
        </w:rPr>
      </w:pPr>
      <w:r w:rsidRPr="00AF4A7A">
        <w:rPr>
          <w:szCs w:val="28"/>
        </w:rPr>
        <w:t xml:space="preserve">Iekšlietu ministrs </w:t>
      </w:r>
      <w:r w:rsidRPr="00AF4A7A">
        <w:rPr>
          <w:szCs w:val="28"/>
        </w:rPr>
        <w:tab/>
      </w:r>
      <w:proofErr w:type="spellStart"/>
      <w:r w:rsidR="00965309" w:rsidRPr="00AF4A7A">
        <w:rPr>
          <w:szCs w:val="28"/>
        </w:rPr>
        <w:t>R.Kozlovskis</w:t>
      </w:r>
      <w:proofErr w:type="spellEnd"/>
    </w:p>
    <w:p w:rsidR="00965309" w:rsidRDefault="00965309" w:rsidP="00140597">
      <w:pPr>
        <w:ind w:firstLine="0"/>
        <w:rPr>
          <w:szCs w:val="28"/>
        </w:rPr>
      </w:pPr>
      <w:bookmarkStart w:id="0" w:name="_GoBack"/>
      <w:bookmarkEnd w:id="0"/>
    </w:p>
    <w:p w:rsidR="004E3134" w:rsidRPr="00AF4A7A" w:rsidRDefault="004E3134" w:rsidP="00140597">
      <w:pPr>
        <w:ind w:firstLine="0"/>
        <w:rPr>
          <w:szCs w:val="28"/>
        </w:rPr>
      </w:pPr>
    </w:p>
    <w:p w:rsidR="00965309" w:rsidRPr="00AF4A7A" w:rsidRDefault="008A427F" w:rsidP="00226A78">
      <w:pPr>
        <w:tabs>
          <w:tab w:val="right" w:pos="9071"/>
        </w:tabs>
        <w:ind w:firstLine="0"/>
        <w:rPr>
          <w:sz w:val="24"/>
          <w:szCs w:val="24"/>
        </w:rPr>
      </w:pPr>
      <w:r w:rsidRPr="00AF4A7A">
        <w:rPr>
          <w:szCs w:val="28"/>
        </w:rPr>
        <w:t xml:space="preserve">Vīza: </w:t>
      </w:r>
      <w:r w:rsidR="003C4613" w:rsidRPr="00AF4A7A">
        <w:rPr>
          <w:szCs w:val="28"/>
        </w:rPr>
        <w:t>Valsts sekretār</w:t>
      </w:r>
      <w:r w:rsidR="00E34382" w:rsidRPr="00AF4A7A">
        <w:rPr>
          <w:szCs w:val="28"/>
        </w:rPr>
        <w:t>s</w:t>
      </w:r>
      <w:r w:rsidR="003C4613" w:rsidRPr="00AF4A7A">
        <w:rPr>
          <w:szCs w:val="28"/>
        </w:rPr>
        <w:tab/>
      </w:r>
      <w:proofErr w:type="spellStart"/>
      <w:r w:rsidR="003C4613" w:rsidRPr="00AF4A7A">
        <w:rPr>
          <w:szCs w:val="28"/>
        </w:rPr>
        <w:t>D.Trofimovs</w:t>
      </w:r>
      <w:proofErr w:type="spellEnd"/>
    </w:p>
    <w:p w:rsidR="00965309" w:rsidRPr="00AF4A7A" w:rsidRDefault="00965309" w:rsidP="00140597">
      <w:pPr>
        <w:ind w:firstLine="0"/>
        <w:rPr>
          <w:sz w:val="24"/>
          <w:szCs w:val="24"/>
        </w:rPr>
      </w:pPr>
    </w:p>
    <w:p w:rsidR="00AF4A7A" w:rsidRDefault="00AF4A7A"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3310A" w:rsidRDefault="0043310A"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416AAC" w:rsidRDefault="00416AAC" w:rsidP="00140597">
      <w:pPr>
        <w:ind w:firstLine="0"/>
        <w:rPr>
          <w:sz w:val="20"/>
          <w:szCs w:val="20"/>
        </w:rPr>
      </w:pPr>
    </w:p>
    <w:p w:rsidR="00AF4A7A" w:rsidRPr="00AF4A7A" w:rsidRDefault="00AF4A7A" w:rsidP="00140597">
      <w:pPr>
        <w:ind w:firstLine="0"/>
        <w:rPr>
          <w:sz w:val="20"/>
          <w:szCs w:val="20"/>
        </w:rPr>
      </w:pPr>
    </w:p>
    <w:p w:rsidR="00390C55" w:rsidRPr="00AF4A7A" w:rsidRDefault="0061416C" w:rsidP="00390C55">
      <w:pPr>
        <w:ind w:firstLine="0"/>
        <w:jc w:val="left"/>
        <w:rPr>
          <w:rFonts w:eastAsia="Times New Roman"/>
          <w:sz w:val="20"/>
          <w:szCs w:val="20"/>
          <w:lang w:eastAsia="lv-LV"/>
        </w:rPr>
      </w:pPr>
      <w:proofErr w:type="spellStart"/>
      <w:r w:rsidRPr="00AF4A7A">
        <w:rPr>
          <w:sz w:val="20"/>
          <w:szCs w:val="20"/>
        </w:rPr>
        <w:t>I.Nakurts</w:t>
      </w:r>
      <w:proofErr w:type="spellEnd"/>
      <w:r w:rsidR="00390C55" w:rsidRPr="00AF4A7A">
        <w:rPr>
          <w:sz w:val="20"/>
          <w:szCs w:val="20"/>
        </w:rPr>
        <w:t xml:space="preserve">, </w:t>
      </w:r>
      <w:r w:rsidRPr="00AF4A7A">
        <w:rPr>
          <w:rFonts w:eastAsia="Times New Roman"/>
          <w:sz w:val="20"/>
          <w:szCs w:val="20"/>
          <w:lang w:eastAsia="lv-LV"/>
        </w:rPr>
        <w:t>67075922</w:t>
      </w:r>
    </w:p>
    <w:p w:rsidR="00965309" w:rsidRPr="00AF4A7A" w:rsidRDefault="00C02BCA" w:rsidP="00140597">
      <w:pPr>
        <w:ind w:firstLine="0"/>
        <w:rPr>
          <w:sz w:val="20"/>
          <w:szCs w:val="20"/>
        </w:rPr>
      </w:pPr>
      <w:hyperlink r:id="rId9" w:history="1">
        <w:r w:rsidR="0061416C" w:rsidRPr="00AF4A7A">
          <w:rPr>
            <w:rStyle w:val="Hyperlink"/>
            <w:rFonts w:eastAsia="Times New Roman"/>
            <w:color w:val="auto"/>
            <w:sz w:val="20"/>
            <w:szCs w:val="20"/>
            <w:lang w:eastAsia="lv-LV"/>
          </w:rPr>
          <w:t>ivars.nakurts@vugd.gov.lv</w:t>
        </w:r>
      </w:hyperlink>
    </w:p>
    <w:sectPr w:rsidR="00965309" w:rsidRPr="00AF4A7A" w:rsidSect="00E86A6C">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CA" w:rsidRDefault="00C02BCA" w:rsidP="00F3628F">
      <w:r>
        <w:separator/>
      </w:r>
    </w:p>
  </w:endnote>
  <w:endnote w:type="continuationSeparator" w:id="0">
    <w:p w:rsidR="00C02BCA" w:rsidRDefault="00C02BCA"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29" w:rsidRPr="00E86A6C" w:rsidRDefault="00600129" w:rsidP="00FF7CC5">
    <w:pPr>
      <w:pStyle w:val="Footer"/>
      <w:ind w:firstLine="0"/>
      <w:rPr>
        <w:sz w:val="20"/>
        <w:szCs w:val="20"/>
      </w:rPr>
    </w:pPr>
    <w:r>
      <w:rPr>
        <w:sz w:val="20"/>
        <w:szCs w:val="20"/>
      </w:rPr>
      <w:t xml:space="preserve"> </w:t>
    </w:r>
  </w:p>
  <w:p w:rsidR="00600129" w:rsidRPr="00E86A6C" w:rsidRDefault="00600129" w:rsidP="00594922">
    <w:pPr>
      <w:pStyle w:val="Footer"/>
      <w:ind w:firstLine="0"/>
    </w:pPr>
    <w:r w:rsidRPr="00E86A6C">
      <w:rPr>
        <w:sz w:val="20"/>
        <w:szCs w:val="20"/>
      </w:rPr>
      <w:t>IEMAnot_</w:t>
    </w:r>
    <w:r w:rsidR="00594922">
      <w:rPr>
        <w:sz w:val="20"/>
        <w:szCs w:val="20"/>
      </w:rPr>
      <w:t>0611</w:t>
    </w:r>
    <w:r>
      <w:rPr>
        <w:sz w:val="20"/>
        <w:szCs w:val="20"/>
      </w:rPr>
      <w:t>17_</w:t>
    </w:r>
    <w:r w:rsidR="00594922">
      <w:rPr>
        <w:sz w:val="20"/>
        <w:szCs w:val="20"/>
      </w:rPr>
      <w:t>KP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29" w:rsidRPr="0061416C" w:rsidRDefault="00600129" w:rsidP="0061416C">
    <w:pPr>
      <w:pStyle w:val="Footer"/>
      <w:ind w:firstLine="0"/>
      <w:rPr>
        <w:sz w:val="20"/>
        <w:szCs w:val="20"/>
      </w:rPr>
    </w:pPr>
    <w:r w:rsidRPr="00E86A6C">
      <w:rPr>
        <w:sz w:val="20"/>
        <w:szCs w:val="20"/>
      </w:rPr>
      <w:t>IEMAnot_</w:t>
    </w:r>
    <w:r w:rsidR="00594922">
      <w:rPr>
        <w:sz w:val="20"/>
        <w:szCs w:val="20"/>
      </w:rPr>
      <w:t>0611</w:t>
    </w:r>
    <w:r>
      <w:rPr>
        <w:sz w:val="20"/>
        <w:szCs w:val="20"/>
      </w:rPr>
      <w:t>17_</w:t>
    </w:r>
    <w:r w:rsidR="00594922">
      <w:rPr>
        <w:sz w:val="20"/>
        <w:szCs w:val="20"/>
      </w:rPr>
      <w:t>KP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CA" w:rsidRDefault="00C02BCA" w:rsidP="00F3628F">
      <w:r>
        <w:separator/>
      </w:r>
    </w:p>
  </w:footnote>
  <w:footnote w:type="continuationSeparator" w:id="0">
    <w:p w:rsidR="00C02BCA" w:rsidRDefault="00C02BCA" w:rsidP="00F3628F">
      <w:r>
        <w:continuationSeparator/>
      </w:r>
    </w:p>
  </w:footnote>
  <w:footnote w:id="1">
    <w:p w:rsidR="00600129" w:rsidRDefault="00600129" w:rsidP="00912AA0">
      <w:pPr>
        <w:pStyle w:val="FootnoteText"/>
      </w:pPr>
      <w:r>
        <w:rPr>
          <w:rStyle w:val="FootnoteReference"/>
        </w:rPr>
        <w:footnoteRef/>
      </w:r>
      <w:r>
        <w:t xml:space="preserve"> Tiešsaite: </w:t>
      </w:r>
      <w:hyperlink r:id="rId1" w:history="1">
        <w:r w:rsidRPr="002B0582">
          <w:rPr>
            <w:rStyle w:val="Hyperlink"/>
          </w:rPr>
          <w:t>https://likumi.lv/ta/id/282333-civilas-aizsardzibas-un-katastrofas-parvaldisanas-likums</w:t>
        </w:r>
      </w:hyperlink>
      <w:r>
        <w:t xml:space="preserve"> </w:t>
      </w:r>
    </w:p>
  </w:footnote>
  <w:footnote w:id="2">
    <w:p w:rsidR="00600129" w:rsidRDefault="00600129" w:rsidP="00D005D5">
      <w:pPr>
        <w:pStyle w:val="FootnoteText"/>
      </w:pPr>
      <w:r>
        <w:rPr>
          <w:rStyle w:val="FootnoteReference"/>
        </w:rPr>
        <w:footnoteRef/>
      </w:r>
      <w:r>
        <w:t xml:space="preserve"> Tiešsaite: </w:t>
      </w:r>
      <w:hyperlink r:id="rId2" w:history="1">
        <w:r w:rsidRPr="007A41AC">
          <w:rPr>
            <w:rStyle w:val="Hyperlink"/>
          </w:rPr>
          <w:t>https://likumi.lv/ta/id/180281-par-humanas-palidzibas-sniegsanu-gruzijai</w:t>
        </w:r>
      </w:hyperlink>
      <w:r>
        <w:t xml:space="preserve"> </w:t>
      </w:r>
    </w:p>
  </w:footnote>
  <w:footnote w:id="3">
    <w:p w:rsidR="00600129" w:rsidRDefault="00600129" w:rsidP="00D005D5">
      <w:pPr>
        <w:pStyle w:val="FootnoteText"/>
      </w:pPr>
      <w:r>
        <w:rPr>
          <w:rStyle w:val="FootnoteReference"/>
        </w:rPr>
        <w:footnoteRef/>
      </w:r>
      <w:r>
        <w:t xml:space="preserve"> Tiešsaite: </w:t>
      </w:r>
      <w:hyperlink r:id="rId3" w:history="1">
        <w:r w:rsidRPr="007A41AC">
          <w:rPr>
            <w:rStyle w:val="Hyperlink"/>
          </w:rPr>
          <w:t>https://likumi.lv/doc.php?id=201131&amp;version_date=26.11.2009</w:t>
        </w:r>
      </w:hyperlink>
      <w:r>
        <w:t xml:space="preserve"> </w:t>
      </w:r>
    </w:p>
  </w:footnote>
  <w:footnote w:id="4">
    <w:p w:rsidR="00600129" w:rsidRDefault="00600129">
      <w:pPr>
        <w:pStyle w:val="FootnoteText"/>
      </w:pPr>
      <w:r>
        <w:rPr>
          <w:rStyle w:val="FootnoteReference"/>
        </w:rPr>
        <w:footnoteRef/>
      </w:r>
      <w:r>
        <w:t xml:space="preserve"> Tiešsaiste: </w:t>
      </w:r>
      <w:hyperlink r:id="rId4" w:history="1">
        <w:r w:rsidRPr="00EB1921">
          <w:rPr>
            <w:rStyle w:val="Hyperlink"/>
          </w:rPr>
          <w:t>http://www.baltfloodcombat.eu/2015/index.php/auto-generate-from-title/7-mission-to-bosnia-and-herzegovina</w:t>
        </w:r>
      </w:hyperlink>
      <w:r>
        <w:t xml:space="preserve"> </w:t>
      </w:r>
    </w:p>
  </w:footnote>
  <w:footnote w:id="5">
    <w:p w:rsidR="00600129" w:rsidRDefault="00600129">
      <w:pPr>
        <w:pStyle w:val="FootnoteText"/>
      </w:pPr>
      <w:r>
        <w:rPr>
          <w:rStyle w:val="FootnoteReference"/>
        </w:rPr>
        <w:footnoteRef/>
      </w:r>
      <w:r>
        <w:t xml:space="preserve"> Tiešsaite: </w:t>
      </w:r>
      <w:hyperlink r:id="rId5" w:history="1">
        <w:r w:rsidRPr="00EB1921">
          <w:rPr>
            <w:rStyle w:val="Hyperlink"/>
          </w:rPr>
          <w:t>http://www.nato.int/eadrcc/2005/ukraine/jae2005/latvian_participation.html</w:t>
        </w:r>
      </w:hyperlink>
      <w:r>
        <w:t xml:space="preserve"> </w:t>
      </w:r>
    </w:p>
  </w:footnote>
  <w:footnote w:id="6">
    <w:p w:rsidR="00600129" w:rsidRDefault="00600129">
      <w:pPr>
        <w:pStyle w:val="FootnoteText"/>
      </w:pPr>
      <w:r>
        <w:rPr>
          <w:rStyle w:val="FootnoteReference"/>
        </w:rPr>
        <w:footnoteRef/>
      </w:r>
      <w:r>
        <w:t xml:space="preserve"> Tiešsaite: </w:t>
      </w:r>
      <w:hyperlink r:id="rId6" w:history="1">
        <w:r w:rsidRPr="00354957">
          <w:rPr>
            <w:rStyle w:val="Hyperlink"/>
          </w:rPr>
          <w:t>https://www.vestnesis.lv/ta/id/175264</w:t>
        </w:r>
      </w:hyperlink>
      <w:r>
        <w:t xml:space="preserve"> </w:t>
      </w:r>
    </w:p>
  </w:footnote>
  <w:footnote w:id="7">
    <w:p w:rsidR="00600129" w:rsidRDefault="00600129">
      <w:pPr>
        <w:pStyle w:val="FootnoteText"/>
      </w:pPr>
      <w:r>
        <w:rPr>
          <w:rStyle w:val="FootnoteReference"/>
        </w:rPr>
        <w:footnoteRef/>
      </w:r>
      <w:r>
        <w:t xml:space="preserve"> Tiešsaite: </w:t>
      </w:r>
      <w:hyperlink r:id="rId7" w:history="1">
        <w:r w:rsidRPr="00354957">
          <w:rPr>
            <w:rStyle w:val="Hyperlink"/>
          </w:rPr>
          <w:t>http://vugd.gov.lv/lat/par_vugd/starptautiska_sadarbiba/divpuseja_sadarbiba</w:t>
        </w:r>
      </w:hyperlink>
      <w:r>
        <w:t xml:space="preserve"> </w:t>
      </w:r>
    </w:p>
  </w:footnote>
  <w:footnote w:id="8">
    <w:p w:rsidR="00600129" w:rsidRDefault="00600129">
      <w:pPr>
        <w:pStyle w:val="FootnoteText"/>
      </w:pPr>
      <w:r>
        <w:rPr>
          <w:rStyle w:val="FootnoteReference"/>
        </w:rPr>
        <w:footnoteRef/>
      </w:r>
      <w:r>
        <w:t xml:space="preserve"> Tiešsaite: </w:t>
      </w:r>
      <w:hyperlink r:id="rId8" w:history="1">
        <w:r w:rsidRPr="00EB1921">
          <w:rPr>
            <w:rStyle w:val="Hyperlink"/>
          </w:rPr>
          <w:t>https://likumi.lv/doc.php?id=284898</w:t>
        </w:r>
      </w:hyperlink>
      <w:r>
        <w:t xml:space="preserve"> </w:t>
      </w:r>
    </w:p>
  </w:footnote>
  <w:footnote w:id="9">
    <w:p w:rsidR="00600129" w:rsidRDefault="00600129" w:rsidP="00521D5A">
      <w:pPr>
        <w:pStyle w:val="FootnoteText"/>
      </w:pPr>
      <w:r>
        <w:rPr>
          <w:rStyle w:val="FootnoteReference"/>
        </w:rPr>
        <w:footnoteRef/>
      </w:r>
      <w:r>
        <w:t xml:space="preserve"> Tiešsaite: </w:t>
      </w:r>
      <w:hyperlink r:id="rId9" w:history="1">
        <w:r w:rsidRPr="00E90FFD">
          <w:rPr>
            <w:rStyle w:val="Hyperlink"/>
          </w:rPr>
          <w:t>https://www.unocha.org/our-work/coordination/international-search-and-rescue-advisory-group-insarag</w:t>
        </w:r>
      </w:hyperlink>
      <w:r>
        <w:t xml:space="preserve"> </w:t>
      </w:r>
    </w:p>
  </w:footnote>
  <w:footnote w:id="10">
    <w:p w:rsidR="00600129" w:rsidRDefault="00600129">
      <w:pPr>
        <w:pStyle w:val="FootnoteText"/>
      </w:pPr>
      <w:r>
        <w:rPr>
          <w:rStyle w:val="FootnoteReference"/>
        </w:rPr>
        <w:footnoteRef/>
      </w:r>
      <w:r>
        <w:t xml:space="preserve"> </w:t>
      </w:r>
      <w:r>
        <w:t xml:space="preserve">Tiešsaite: </w:t>
      </w:r>
      <w:hyperlink r:id="rId10" w:history="1">
        <w:r w:rsidRPr="00EB1921">
          <w:rPr>
            <w:rStyle w:val="Hyperlink"/>
          </w:rPr>
          <w:t>http://www.who.int/hac/crises/hti/earthquake/en/</w:t>
        </w:r>
      </w:hyperlink>
      <w:r>
        <w:t xml:space="preserve"> </w:t>
      </w:r>
      <w:hyperlink r:id="rId11" w:history="1"/>
      <w:r>
        <w:t xml:space="preserve"> </w:t>
      </w:r>
    </w:p>
  </w:footnote>
  <w:footnote w:id="11">
    <w:p w:rsidR="00600129" w:rsidRDefault="00600129">
      <w:pPr>
        <w:pStyle w:val="FootnoteText"/>
      </w:pPr>
      <w:r>
        <w:rPr>
          <w:rStyle w:val="FootnoteReference"/>
        </w:rPr>
        <w:footnoteRef/>
      </w:r>
      <w:r>
        <w:t xml:space="preserve"> Tiešsaiste: </w:t>
      </w:r>
      <w:hyperlink r:id="rId12" w:history="1">
        <w:r w:rsidRPr="002B0582">
          <w:rPr>
            <w:rStyle w:val="Hyperlink"/>
          </w:rPr>
          <w:t>http://erccportal.jrc.ec.europa.eu/About-ERCC</w:t>
        </w:r>
      </w:hyperlink>
      <w:r>
        <w:t xml:space="preserve"> </w:t>
      </w:r>
    </w:p>
  </w:footnote>
  <w:footnote w:id="12">
    <w:p w:rsidR="00600129" w:rsidRDefault="00600129">
      <w:pPr>
        <w:pStyle w:val="FootnoteText"/>
      </w:pPr>
      <w:r>
        <w:rPr>
          <w:rStyle w:val="FootnoteReference"/>
        </w:rPr>
        <w:footnoteRef/>
      </w:r>
      <w:r>
        <w:t xml:space="preserve"> Tiešsaiste: </w:t>
      </w:r>
      <w:hyperlink r:id="rId13" w:history="1">
        <w:r w:rsidRPr="002B0582">
          <w:rPr>
            <w:rStyle w:val="Hyperlink"/>
          </w:rPr>
          <w:t>https://ec.europa.eu/echo/files/evaluation/2015/CPM_case_study_philippines_en.pdf</w:t>
        </w:r>
      </w:hyperlink>
      <w:r>
        <w:t xml:space="preserve"> </w:t>
      </w:r>
    </w:p>
  </w:footnote>
  <w:footnote w:id="13">
    <w:p w:rsidR="00600129" w:rsidRDefault="00600129" w:rsidP="00DF6C9C">
      <w:pPr>
        <w:pStyle w:val="FootnoteText"/>
      </w:pPr>
      <w:r>
        <w:rPr>
          <w:rStyle w:val="FootnoteReference"/>
        </w:rPr>
        <w:footnoteRef/>
      </w:r>
      <w:r>
        <w:t xml:space="preserve"> Tiešsaite: </w:t>
      </w:r>
      <w:hyperlink r:id="rId14" w:history="1">
        <w:r w:rsidRPr="007A41AC">
          <w:rPr>
            <w:rStyle w:val="Hyperlink"/>
          </w:rPr>
          <w:t>https://likumi.lv/ta/id/277099-par-iespejamo-humano-palidzibu-beglu-krizes-risinasana</w:t>
        </w:r>
      </w:hyperlink>
      <w:r>
        <w:t xml:space="preserve"> </w:t>
      </w:r>
    </w:p>
  </w:footnote>
  <w:footnote w:id="14">
    <w:p w:rsidR="00600129" w:rsidRDefault="00600129" w:rsidP="00DF6C9C">
      <w:pPr>
        <w:pStyle w:val="FootnoteText"/>
      </w:pPr>
      <w:r>
        <w:rPr>
          <w:rStyle w:val="FootnoteReference"/>
        </w:rPr>
        <w:footnoteRef/>
      </w:r>
      <w:r>
        <w:t xml:space="preserve"> Tiešsaite: </w:t>
      </w:r>
      <w:hyperlink r:id="rId15" w:history="1">
        <w:r w:rsidRPr="007A41AC">
          <w:rPr>
            <w:rStyle w:val="Hyperlink"/>
          </w:rPr>
          <w:t>https://likumi.lv/ta/id/281222-par-humanas-palidzibas-sniegsanu-griekijai-migracijas-krizes-risinasanai</w:t>
        </w:r>
      </w:hyperlink>
      <w:r>
        <w:t xml:space="preserve"> </w:t>
      </w:r>
    </w:p>
  </w:footnote>
  <w:footnote w:id="15">
    <w:p w:rsidR="00600129" w:rsidRDefault="00600129">
      <w:pPr>
        <w:pStyle w:val="FootnoteText"/>
      </w:pPr>
      <w:r>
        <w:rPr>
          <w:rStyle w:val="FootnoteReference"/>
        </w:rPr>
        <w:footnoteRef/>
      </w:r>
      <w:r>
        <w:t xml:space="preserve"> Tiešsaite: </w:t>
      </w:r>
      <w:hyperlink r:id="rId16" w:history="1">
        <w:r w:rsidRPr="002B0582">
          <w:rPr>
            <w:rStyle w:val="Hyperlink"/>
          </w:rPr>
          <w:t>https://www.msb.se/en/OpsPreparedness/Taking-part-in-a-mission/MyPages-Field-Staff-Roster/</w:t>
        </w:r>
      </w:hyperlink>
      <w:r>
        <w:t xml:space="preserve"> </w:t>
      </w:r>
    </w:p>
  </w:footnote>
  <w:footnote w:id="16">
    <w:p w:rsidR="00600129" w:rsidRDefault="00600129">
      <w:pPr>
        <w:pStyle w:val="FootnoteText"/>
      </w:pPr>
      <w:r>
        <w:rPr>
          <w:rStyle w:val="FootnoteReference"/>
        </w:rPr>
        <w:footnoteRef/>
      </w:r>
      <w:r>
        <w:t xml:space="preserve"> Tiešsaite: </w:t>
      </w:r>
      <w:hyperlink r:id="rId17" w:history="1">
        <w:r w:rsidRPr="002B0582">
          <w:rPr>
            <w:rStyle w:val="Hyperlink"/>
          </w:rPr>
          <w:t>http://eur-lex.europa.eu/legal-content/EN/TXT/?uri=celex%3A32013D1313</w:t>
        </w:r>
      </w:hyperlink>
      <w:r>
        <w:t xml:space="preserve"> </w:t>
      </w:r>
    </w:p>
  </w:footnote>
  <w:footnote w:id="17">
    <w:p w:rsidR="00600129" w:rsidRDefault="00600129">
      <w:pPr>
        <w:pStyle w:val="FootnoteText"/>
      </w:pPr>
      <w:r>
        <w:rPr>
          <w:rStyle w:val="FootnoteReference"/>
        </w:rPr>
        <w:footnoteRef/>
      </w:r>
      <w:r>
        <w:t xml:space="preserve"> Tiešsaite: </w:t>
      </w:r>
      <w:hyperlink r:id="rId18" w:history="1">
        <w:r w:rsidRPr="002B0582">
          <w:rPr>
            <w:rStyle w:val="Hyperlink"/>
          </w:rPr>
          <w:t>https://likumi.lv/doc.php?id=224553</w:t>
        </w:r>
      </w:hyperlink>
      <w:r>
        <w:t xml:space="preserve"> </w:t>
      </w:r>
    </w:p>
  </w:footnote>
  <w:footnote w:id="18">
    <w:p w:rsidR="009B59B8" w:rsidRDefault="009B59B8">
      <w:pPr>
        <w:pStyle w:val="FootnoteText"/>
      </w:pPr>
      <w:r>
        <w:rPr>
          <w:rStyle w:val="FootnoteReference"/>
        </w:rPr>
        <w:footnoteRef/>
      </w:r>
      <w:r>
        <w:t xml:space="preserve"> Tiešsaite: </w:t>
      </w:r>
      <w:hyperlink r:id="rId19" w:history="1">
        <w:r w:rsidRPr="0025709B">
          <w:rPr>
            <w:rStyle w:val="Hyperlink"/>
          </w:rPr>
          <w:t>https://likumi.lv/ta/id/291706-noteikumi-par-civilas-aizsardzibas-un-katastrofas-parvaldisanas-macibu-veidiem-un-organizesanas-kartibu</w:t>
        </w:r>
      </w:hyperlink>
      <w:r>
        <w:t xml:space="preserve"> </w:t>
      </w:r>
    </w:p>
  </w:footnote>
  <w:footnote w:id="19">
    <w:p w:rsidR="00600129" w:rsidRDefault="00600129">
      <w:pPr>
        <w:pStyle w:val="FootnoteText"/>
      </w:pPr>
      <w:r>
        <w:rPr>
          <w:rStyle w:val="FootnoteReference"/>
        </w:rPr>
        <w:footnoteRef/>
      </w:r>
      <w:r>
        <w:t xml:space="preserve"> Tiešsaite: </w:t>
      </w:r>
      <w:hyperlink r:id="rId20" w:history="1">
        <w:r w:rsidRPr="00496BF3">
          <w:rPr>
            <w:rStyle w:val="Hyperlink"/>
          </w:rPr>
          <w:t>http://erccportal.jrc.ec.europa.eu/Useful-links</w:t>
        </w:r>
      </w:hyperlink>
      <w:r>
        <w:t xml:space="preserve"> </w:t>
      </w:r>
    </w:p>
  </w:footnote>
  <w:footnote w:id="20">
    <w:p w:rsidR="00600129" w:rsidRDefault="00600129">
      <w:pPr>
        <w:pStyle w:val="FootnoteText"/>
      </w:pPr>
      <w:r>
        <w:rPr>
          <w:rStyle w:val="FootnoteReference"/>
        </w:rPr>
        <w:footnoteRef/>
      </w:r>
      <w:r>
        <w:t xml:space="preserve"> Tiešsaite: </w:t>
      </w:r>
      <w:hyperlink r:id="rId21" w:history="1">
        <w:r w:rsidRPr="00496BF3">
          <w:rPr>
            <w:rStyle w:val="Hyperlink"/>
          </w:rPr>
          <w:t>http://ec.europa.eu/echo/files/civil_protection/civil/prote/pdfdocs/Training%20brochure.pdf</w:t>
        </w:r>
      </w:hyperlink>
      <w:r>
        <w:t xml:space="preserve"> </w:t>
      </w:r>
    </w:p>
  </w:footnote>
  <w:footnote w:id="21">
    <w:p w:rsidR="00600129" w:rsidRDefault="00600129" w:rsidP="007D4296">
      <w:pPr>
        <w:pStyle w:val="FootnoteText"/>
      </w:pPr>
      <w:r>
        <w:rPr>
          <w:rStyle w:val="FootnoteReference"/>
        </w:rPr>
        <w:footnoteRef/>
      </w:r>
      <w:r>
        <w:t xml:space="preserve"> Tiešsaite: </w:t>
      </w:r>
      <w:hyperlink r:id="rId22" w:history="1">
        <w:r w:rsidRPr="00496BF3">
          <w:rPr>
            <w:rStyle w:val="Hyperlink"/>
          </w:rPr>
          <w:t>http://vugd.gov.lv/lat/es_fondu_projekti/eiropas_komisijas_civilas_aizsardzibas_finansu_instruments/15126-praktiskas-macibas-civilas-aizsardzibas-moduliem-tehniskas-palidzibas-atbalsta-vienibam-un-eiropas-savienibas-civilas-aizsardzibas-komandam-latmodex-2016-echoser2015718122</w:t>
        </w:r>
      </w:hyperlink>
      <w:r>
        <w:t xml:space="preserve"> </w:t>
      </w:r>
    </w:p>
  </w:footnote>
  <w:footnote w:id="22">
    <w:p w:rsidR="00600129" w:rsidRDefault="00600129">
      <w:pPr>
        <w:pStyle w:val="FootnoteText"/>
      </w:pPr>
      <w:r>
        <w:rPr>
          <w:rStyle w:val="FootnoteReference"/>
        </w:rPr>
        <w:footnoteRef/>
      </w:r>
      <w:r>
        <w:t xml:space="preserve"> Tiešsaite: </w:t>
      </w:r>
      <w:hyperlink r:id="rId23" w:history="1">
        <w:r w:rsidRPr="002B0582">
          <w:rPr>
            <w:rStyle w:val="Hyperlink"/>
          </w:rPr>
          <w:t>https://likumi.lv/ta/lv/starptautiskie-ligumi/id/1642</w:t>
        </w:r>
      </w:hyperlink>
      <w:r>
        <w:t xml:space="preserve"> </w:t>
      </w:r>
    </w:p>
  </w:footnote>
  <w:footnote w:id="23">
    <w:p w:rsidR="00600129" w:rsidRDefault="00600129">
      <w:pPr>
        <w:pStyle w:val="FootnoteText"/>
      </w:pPr>
      <w:r>
        <w:rPr>
          <w:rStyle w:val="FootnoteReference"/>
        </w:rPr>
        <w:footnoteRef/>
      </w:r>
      <w:r>
        <w:t xml:space="preserve"> Tiešsaite: </w:t>
      </w:r>
      <w:hyperlink r:id="rId24" w:history="1">
        <w:r w:rsidRPr="002B0582">
          <w:rPr>
            <w:rStyle w:val="Hyperlink"/>
          </w:rPr>
          <w:t>https://likumi.lv/ta/lv/starptautiskie-ligumi/id/52</w:t>
        </w:r>
      </w:hyperlink>
      <w:r>
        <w:t xml:space="preserve"> </w:t>
      </w:r>
    </w:p>
  </w:footnote>
  <w:footnote w:id="24">
    <w:p w:rsidR="00600129" w:rsidRDefault="00600129">
      <w:pPr>
        <w:pStyle w:val="FootnoteText"/>
      </w:pPr>
      <w:r>
        <w:rPr>
          <w:rStyle w:val="FootnoteReference"/>
        </w:rPr>
        <w:footnoteRef/>
      </w:r>
      <w:r>
        <w:t xml:space="preserve"> Tiešsaite: </w:t>
      </w:r>
      <w:hyperlink r:id="rId25" w:history="1">
        <w:r w:rsidRPr="002B0582">
          <w:rPr>
            <w:rStyle w:val="Hyperlink"/>
          </w:rPr>
          <w:t>http://www.nato.int/cps/en/natohq/topics_52057.htm</w:t>
        </w:r>
      </w:hyperlink>
      <w:r w:rsidRPr="00FE145C">
        <w:t>?</w:t>
      </w:r>
      <w:r>
        <w:t xml:space="preserve"> </w:t>
      </w:r>
    </w:p>
  </w:footnote>
  <w:footnote w:id="25">
    <w:p w:rsidR="00600129" w:rsidRDefault="00600129">
      <w:pPr>
        <w:pStyle w:val="FootnoteText"/>
      </w:pPr>
      <w:r>
        <w:rPr>
          <w:rStyle w:val="FootnoteReference"/>
        </w:rPr>
        <w:footnoteRef/>
      </w:r>
      <w:r>
        <w:t xml:space="preserve"> Tiešsaite: </w:t>
      </w:r>
      <w:hyperlink r:id="rId26" w:history="1">
        <w:r w:rsidRPr="006579A7">
          <w:rPr>
            <w:rStyle w:val="Hyperlink"/>
          </w:rPr>
          <w:t>http://eur-lex.europa.eu/legal-content/LV/TXT/?uri=CELEX:32013D1313</w:t>
        </w:r>
      </w:hyperlink>
      <w:r>
        <w:t xml:space="preserve"> </w:t>
      </w:r>
    </w:p>
  </w:footnote>
  <w:footnote w:id="26">
    <w:p w:rsidR="00600129" w:rsidRDefault="00600129">
      <w:pPr>
        <w:pStyle w:val="FootnoteText"/>
      </w:pPr>
      <w:r>
        <w:rPr>
          <w:rStyle w:val="FootnoteReference"/>
        </w:rPr>
        <w:footnoteRef/>
      </w:r>
      <w:r>
        <w:t xml:space="preserve"> Tiešsaite: </w:t>
      </w:r>
      <w:hyperlink r:id="rId27" w:history="1">
        <w:r w:rsidRPr="006579A7">
          <w:rPr>
            <w:rStyle w:val="Hyperlink"/>
          </w:rPr>
          <w:t>http://eur-lex.europa.eu/legal-content/LV/TXT/HTML/?uri=CELEX:32014D0762&amp;from=EN</w:t>
        </w:r>
      </w:hyperlink>
      <w:r>
        <w:t xml:space="preserve"> </w:t>
      </w:r>
    </w:p>
  </w:footnote>
  <w:footnote w:id="27">
    <w:p w:rsidR="00600129" w:rsidRDefault="00600129">
      <w:pPr>
        <w:pStyle w:val="FootnoteText"/>
      </w:pPr>
      <w:r>
        <w:rPr>
          <w:rStyle w:val="FootnoteReference"/>
        </w:rPr>
        <w:footnoteRef/>
      </w:r>
      <w:r>
        <w:t xml:space="preserve"> Tiešsaite: </w:t>
      </w:r>
      <w:hyperlink r:id="rId28" w:history="1">
        <w:r w:rsidRPr="006579A7">
          <w:rPr>
            <w:rStyle w:val="Hyperlink"/>
          </w:rPr>
          <w:t>https://likumi.lv/</w:t>
        </w:r>
      </w:hyperlink>
      <w:r>
        <w:t xml:space="preserve"> </w:t>
      </w:r>
    </w:p>
  </w:footnote>
  <w:footnote w:id="28">
    <w:p w:rsidR="00600129" w:rsidRDefault="00600129" w:rsidP="005E2919">
      <w:pPr>
        <w:pStyle w:val="FootnoteText"/>
      </w:pPr>
      <w:r>
        <w:rPr>
          <w:rStyle w:val="FootnoteReference"/>
        </w:rPr>
        <w:footnoteRef/>
      </w:r>
      <w:r>
        <w:t xml:space="preserve"> Tiešsaite: </w:t>
      </w:r>
      <w:hyperlink r:id="rId29" w:history="1">
        <w:r w:rsidRPr="002B0582">
          <w:rPr>
            <w:rStyle w:val="Hyperlink"/>
          </w:rPr>
          <w:t>http://www.iem.gov.lv/lat/sadarbiba_ar_nvo/diskusiju_dokumenti/</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29" w:rsidRPr="00F50C84" w:rsidRDefault="00600129">
    <w:pPr>
      <w:pStyle w:val="Header"/>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43310A">
      <w:rPr>
        <w:noProof/>
        <w:sz w:val="24"/>
        <w:szCs w:val="24"/>
      </w:rPr>
      <w:t>14</w:t>
    </w:r>
    <w:r w:rsidRPr="00F50C84">
      <w:rPr>
        <w:sz w:val="24"/>
        <w:szCs w:val="24"/>
      </w:rPr>
      <w:fldChar w:fldCharType="end"/>
    </w:r>
  </w:p>
  <w:p w:rsidR="00600129" w:rsidRPr="00F50C84" w:rsidRDefault="00600129">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2AB"/>
    <w:multiLevelType w:val="hybridMultilevel"/>
    <w:tmpl w:val="C1789346"/>
    <w:lvl w:ilvl="0" w:tplc="E1F0695E">
      <w:start w:val="2"/>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1"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4065666"/>
    <w:multiLevelType w:val="hybridMultilevel"/>
    <w:tmpl w:val="5FD4B19C"/>
    <w:lvl w:ilvl="0" w:tplc="4A5AF206">
      <w:start w:val="2016"/>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8"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9"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2"/>
  </w:num>
  <w:num w:numId="6">
    <w:abstractNumId w:val="11"/>
  </w:num>
  <w:num w:numId="7">
    <w:abstractNumId w:val="9"/>
  </w:num>
  <w:num w:numId="8">
    <w:abstractNumId w:val="4"/>
  </w:num>
  <w:num w:numId="9">
    <w:abstractNumId w:val="7"/>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04C67"/>
    <w:rsid w:val="00005FFD"/>
    <w:rsid w:val="0001142B"/>
    <w:rsid w:val="0001252F"/>
    <w:rsid w:val="00014974"/>
    <w:rsid w:val="00015375"/>
    <w:rsid w:val="00016C03"/>
    <w:rsid w:val="00026B5B"/>
    <w:rsid w:val="00036A7B"/>
    <w:rsid w:val="0004061E"/>
    <w:rsid w:val="00040FFC"/>
    <w:rsid w:val="000446D7"/>
    <w:rsid w:val="000662E7"/>
    <w:rsid w:val="00067791"/>
    <w:rsid w:val="000710E3"/>
    <w:rsid w:val="00071778"/>
    <w:rsid w:val="000719EB"/>
    <w:rsid w:val="00074953"/>
    <w:rsid w:val="0007566F"/>
    <w:rsid w:val="00083D16"/>
    <w:rsid w:val="0008799E"/>
    <w:rsid w:val="00095E60"/>
    <w:rsid w:val="000B2331"/>
    <w:rsid w:val="000B7B89"/>
    <w:rsid w:val="000C02DA"/>
    <w:rsid w:val="000C2C49"/>
    <w:rsid w:val="000C326F"/>
    <w:rsid w:val="000C4566"/>
    <w:rsid w:val="000C6111"/>
    <w:rsid w:val="000D28E0"/>
    <w:rsid w:val="000D3B4A"/>
    <w:rsid w:val="000D4B30"/>
    <w:rsid w:val="000D513D"/>
    <w:rsid w:val="000E1DC6"/>
    <w:rsid w:val="000E5184"/>
    <w:rsid w:val="000E5608"/>
    <w:rsid w:val="000E69A1"/>
    <w:rsid w:val="000E7ED0"/>
    <w:rsid w:val="000F2B8B"/>
    <w:rsid w:val="000F6679"/>
    <w:rsid w:val="00113225"/>
    <w:rsid w:val="00115E5A"/>
    <w:rsid w:val="00117AFC"/>
    <w:rsid w:val="00122843"/>
    <w:rsid w:val="00126571"/>
    <w:rsid w:val="0013070F"/>
    <w:rsid w:val="001347D1"/>
    <w:rsid w:val="0013550B"/>
    <w:rsid w:val="0013569A"/>
    <w:rsid w:val="00140597"/>
    <w:rsid w:val="00141133"/>
    <w:rsid w:val="00142A79"/>
    <w:rsid w:val="0014431E"/>
    <w:rsid w:val="001504DD"/>
    <w:rsid w:val="00151C8F"/>
    <w:rsid w:val="001538D6"/>
    <w:rsid w:val="00157B3D"/>
    <w:rsid w:val="00161FC1"/>
    <w:rsid w:val="0016265A"/>
    <w:rsid w:val="0016290F"/>
    <w:rsid w:val="00164382"/>
    <w:rsid w:val="00164B0C"/>
    <w:rsid w:val="00171E4F"/>
    <w:rsid w:val="00173968"/>
    <w:rsid w:val="001816BD"/>
    <w:rsid w:val="00183AE1"/>
    <w:rsid w:val="001865B0"/>
    <w:rsid w:val="00187BDA"/>
    <w:rsid w:val="001963E5"/>
    <w:rsid w:val="001A0BAB"/>
    <w:rsid w:val="001A1E8C"/>
    <w:rsid w:val="001A4487"/>
    <w:rsid w:val="001B71B1"/>
    <w:rsid w:val="001C1E10"/>
    <w:rsid w:val="001C56BA"/>
    <w:rsid w:val="001C58DA"/>
    <w:rsid w:val="001C7211"/>
    <w:rsid w:val="001D0E04"/>
    <w:rsid w:val="001D29AE"/>
    <w:rsid w:val="001D510D"/>
    <w:rsid w:val="001D52B3"/>
    <w:rsid w:val="001D5646"/>
    <w:rsid w:val="001D681A"/>
    <w:rsid w:val="001E4331"/>
    <w:rsid w:val="001E4DC4"/>
    <w:rsid w:val="001E5492"/>
    <w:rsid w:val="001E70B0"/>
    <w:rsid w:val="001E7F9E"/>
    <w:rsid w:val="001F5735"/>
    <w:rsid w:val="00200CFE"/>
    <w:rsid w:val="0020262A"/>
    <w:rsid w:val="00205CD5"/>
    <w:rsid w:val="00206680"/>
    <w:rsid w:val="0021213F"/>
    <w:rsid w:val="002152B5"/>
    <w:rsid w:val="002171F7"/>
    <w:rsid w:val="00221A97"/>
    <w:rsid w:val="00221C68"/>
    <w:rsid w:val="00223C57"/>
    <w:rsid w:val="00226A78"/>
    <w:rsid w:val="00226D12"/>
    <w:rsid w:val="00227ED8"/>
    <w:rsid w:val="00230A3D"/>
    <w:rsid w:val="00243873"/>
    <w:rsid w:val="00256D5A"/>
    <w:rsid w:val="002572D4"/>
    <w:rsid w:val="0025773E"/>
    <w:rsid w:val="002670AB"/>
    <w:rsid w:val="0027319E"/>
    <w:rsid w:val="0027455A"/>
    <w:rsid w:val="0027656E"/>
    <w:rsid w:val="00282ADF"/>
    <w:rsid w:val="002836E1"/>
    <w:rsid w:val="00291729"/>
    <w:rsid w:val="00294B40"/>
    <w:rsid w:val="00295EA0"/>
    <w:rsid w:val="00296449"/>
    <w:rsid w:val="002A3D3A"/>
    <w:rsid w:val="002A5A1F"/>
    <w:rsid w:val="002A6CD7"/>
    <w:rsid w:val="002B51B0"/>
    <w:rsid w:val="002C01C2"/>
    <w:rsid w:val="002C20B4"/>
    <w:rsid w:val="002C307E"/>
    <w:rsid w:val="002D2B36"/>
    <w:rsid w:val="002D4130"/>
    <w:rsid w:val="002D60EE"/>
    <w:rsid w:val="002D7A33"/>
    <w:rsid w:val="002E08B9"/>
    <w:rsid w:val="002E13FB"/>
    <w:rsid w:val="002E4A57"/>
    <w:rsid w:val="003102AA"/>
    <w:rsid w:val="003124CB"/>
    <w:rsid w:val="003149E9"/>
    <w:rsid w:val="00321EEC"/>
    <w:rsid w:val="003235AA"/>
    <w:rsid w:val="0032605F"/>
    <w:rsid w:val="003265F3"/>
    <w:rsid w:val="00327260"/>
    <w:rsid w:val="00332417"/>
    <w:rsid w:val="00336B27"/>
    <w:rsid w:val="003417A9"/>
    <w:rsid w:val="00345C48"/>
    <w:rsid w:val="00347EF1"/>
    <w:rsid w:val="003529FA"/>
    <w:rsid w:val="00353A64"/>
    <w:rsid w:val="0036053F"/>
    <w:rsid w:val="0036204A"/>
    <w:rsid w:val="00372B02"/>
    <w:rsid w:val="00372B9A"/>
    <w:rsid w:val="0037397E"/>
    <w:rsid w:val="00374EE1"/>
    <w:rsid w:val="003759A1"/>
    <w:rsid w:val="00381DB1"/>
    <w:rsid w:val="0038335A"/>
    <w:rsid w:val="00386D18"/>
    <w:rsid w:val="00387231"/>
    <w:rsid w:val="003874A2"/>
    <w:rsid w:val="003879F4"/>
    <w:rsid w:val="0039002B"/>
    <w:rsid w:val="00390C55"/>
    <w:rsid w:val="00394F72"/>
    <w:rsid w:val="003A0101"/>
    <w:rsid w:val="003A451A"/>
    <w:rsid w:val="003A4FB9"/>
    <w:rsid w:val="003B702B"/>
    <w:rsid w:val="003C3021"/>
    <w:rsid w:val="003C4613"/>
    <w:rsid w:val="003C5128"/>
    <w:rsid w:val="003C530F"/>
    <w:rsid w:val="003D171B"/>
    <w:rsid w:val="003D65A6"/>
    <w:rsid w:val="003D6EA8"/>
    <w:rsid w:val="00407DCE"/>
    <w:rsid w:val="004118C9"/>
    <w:rsid w:val="0041514E"/>
    <w:rsid w:val="00416AAC"/>
    <w:rsid w:val="00420A06"/>
    <w:rsid w:val="00422D47"/>
    <w:rsid w:val="00424B1A"/>
    <w:rsid w:val="004261EB"/>
    <w:rsid w:val="00430257"/>
    <w:rsid w:val="0043092B"/>
    <w:rsid w:val="0043310A"/>
    <w:rsid w:val="004351E9"/>
    <w:rsid w:val="0044584E"/>
    <w:rsid w:val="00446D53"/>
    <w:rsid w:val="00451713"/>
    <w:rsid w:val="00455FAA"/>
    <w:rsid w:val="00456C11"/>
    <w:rsid w:val="00456EF1"/>
    <w:rsid w:val="00457411"/>
    <w:rsid w:val="004625F8"/>
    <w:rsid w:val="004701FD"/>
    <w:rsid w:val="0047132D"/>
    <w:rsid w:val="004734AF"/>
    <w:rsid w:val="00476B02"/>
    <w:rsid w:val="00476E9D"/>
    <w:rsid w:val="00483FFF"/>
    <w:rsid w:val="00490159"/>
    <w:rsid w:val="004901FF"/>
    <w:rsid w:val="004A19B0"/>
    <w:rsid w:val="004A6DF8"/>
    <w:rsid w:val="004B1DA3"/>
    <w:rsid w:val="004B48D5"/>
    <w:rsid w:val="004C5BEA"/>
    <w:rsid w:val="004D2053"/>
    <w:rsid w:val="004D5AEA"/>
    <w:rsid w:val="004E008A"/>
    <w:rsid w:val="004E3134"/>
    <w:rsid w:val="004E499D"/>
    <w:rsid w:val="004F55B2"/>
    <w:rsid w:val="004F5DA0"/>
    <w:rsid w:val="004F62C2"/>
    <w:rsid w:val="00500AD3"/>
    <w:rsid w:val="00506EE0"/>
    <w:rsid w:val="00507BA0"/>
    <w:rsid w:val="00510DE8"/>
    <w:rsid w:val="00512301"/>
    <w:rsid w:val="00512A66"/>
    <w:rsid w:val="00516DA6"/>
    <w:rsid w:val="00521D5A"/>
    <w:rsid w:val="005401E9"/>
    <w:rsid w:val="0054079E"/>
    <w:rsid w:val="00541B5D"/>
    <w:rsid w:val="00556A7A"/>
    <w:rsid w:val="005575B9"/>
    <w:rsid w:val="005619DB"/>
    <w:rsid w:val="00562721"/>
    <w:rsid w:val="00562B56"/>
    <w:rsid w:val="00571B50"/>
    <w:rsid w:val="00580DDF"/>
    <w:rsid w:val="00582BFC"/>
    <w:rsid w:val="00583CFA"/>
    <w:rsid w:val="005855AB"/>
    <w:rsid w:val="00587970"/>
    <w:rsid w:val="00587B5D"/>
    <w:rsid w:val="00592E2E"/>
    <w:rsid w:val="005937BE"/>
    <w:rsid w:val="00594922"/>
    <w:rsid w:val="00594C00"/>
    <w:rsid w:val="005978A6"/>
    <w:rsid w:val="005A05A3"/>
    <w:rsid w:val="005A2741"/>
    <w:rsid w:val="005B07DB"/>
    <w:rsid w:val="005B1489"/>
    <w:rsid w:val="005B7774"/>
    <w:rsid w:val="005D394A"/>
    <w:rsid w:val="005D5148"/>
    <w:rsid w:val="005D527C"/>
    <w:rsid w:val="005E0C48"/>
    <w:rsid w:val="005E2919"/>
    <w:rsid w:val="005E36D1"/>
    <w:rsid w:val="005F1404"/>
    <w:rsid w:val="005F20A0"/>
    <w:rsid w:val="005F3E11"/>
    <w:rsid w:val="00600129"/>
    <w:rsid w:val="006020DB"/>
    <w:rsid w:val="006050CF"/>
    <w:rsid w:val="0061416C"/>
    <w:rsid w:val="00616CC7"/>
    <w:rsid w:val="00617E10"/>
    <w:rsid w:val="006206EC"/>
    <w:rsid w:val="00623A32"/>
    <w:rsid w:val="00624BF2"/>
    <w:rsid w:val="006278BA"/>
    <w:rsid w:val="00631277"/>
    <w:rsid w:val="00635085"/>
    <w:rsid w:val="00637F9B"/>
    <w:rsid w:val="006462A7"/>
    <w:rsid w:val="006569D9"/>
    <w:rsid w:val="006569DF"/>
    <w:rsid w:val="00657F3F"/>
    <w:rsid w:val="006601A9"/>
    <w:rsid w:val="00676714"/>
    <w:rsid w:val="00683920"/>
    <w:rsid w:val="00683BBE"/>
    <w:rsid w:val="00687DEE"/>
    <w:rsid w:val="00697D54"/>
    <w:rsid w:val="006A1814"/>
    <w:rsid w:val="006A4326"/>
    <w:rsid w:val="006A618B"/>
    <w:rsid w:val="006B01BA"/>
    <w:rsid w:val="006B279B"/>
    <w:rsid w:val="006C7180"/>
    <w:rsid w:val="006C76BC"/>
    <w:rsid w:val="006D6A94"/>
    <w:rsid w:val="006E30B2"/>
    <w:rsid w:val="006E353C"/>
    <w:rsid w:val="006E47C1"/>
    <w:rsid w:val="006E5565"/>
    <w:rsid w:val="006F0E22"/>
    <w:rsid w:val="006F223E"/>
    <w:rsid w:val="006F2559"/>
    <w:rsid w:val="0070036B"/>
    <w:rsid w:val="00707F33"/>
    <w:rsid w:val="0071489B"/>
    <w:rsid w:val="00714D96"/>
    <w:rsid w:val="00715D14"/>
    <w:rsid w:val="00715FE0"/>
    <w:rsid w:val="00717DBA"/>
    <w:rsid w:val="0072197E"/>
    <w:rsid w:val="00721B5C"/>
    <w:rsid w:val="00727142"/>
    <w:rsid w:val="00736EE5"/>
    <w:rsid w:val="0073700E"/>
    <w:rsid w:val="00742A96"/>
    <w:rsid w:val="00751D05"/>
    <w:rsid w:val="007536A2"/>
    <w:rsid w:val="007552DE"/>
    <w:rsid w:val="007649D9"/>
    <w:rsid w:val="0076636C"/>
    <w:rsid w:val="007673B9"/>
    <w:rsid w:val="007747B8"/>
    <w:rsid w:val="00776030"/>
    <w:rsid w:val="0078077B"/>
    <w:rsid w:val="00785725"/>
    <w:rsid w:val="00787F59"/>
    <w:rsid w:val="00790B88"/>
    <w:rsid w:val="00791DB5"/>
    <w:rsid w:val="007A20D0"/>
    <w:rsid w:val="007A55EC"/>
    <w:rsid w:val="007A6696"/>
    <w:rsid w:val="007A7ADE"/>
    <w:rsid w:val="007B2C1F"/>
    <w:rsid w:val="007B7BF0"/>
    <w:rsid w:val="007C3329"/>
    <w:rsid w:val="007D3319"/>
    <w:rsid w:val="007D4296"/>
    <w:rsid w:val="007E03A6"/>
    <w:rsid w:val="007E0AEF"/>
    <w:rsid w:val="007E2406"/>
    <w:rsid w:val="007E486A"/>
    <w:rsid w:val="007E686E"/>
    <w:rsid w:val="007F3BE1"/>
    <w:rsid w:val="007F459D"/>
    <w:rsid w:val="007F50AD"/>
    <w:rsid w:val="007F5ACC"/>
    <w:rsid w:val="00800BE8"/>
    <w:rsid w:val="0080485C"/>
    <w:rsid w:val="0081050B"/>
    <w:rsid w:val="008230AB"/>
    <w:rsid w:val="0083114B"/>
    <w:rsid w:val="0083744E"/>
    <w:rsid w:val="00837CD9"/>
    <w:rsid w:val="0084143A"/>
    <w:rsid w:val="008420BF"/>
    <w:rsid w:val="00844FE7"/>
    <w:rsid w:val="00845DE8"/>
    <w:rsid w:val="00850A1C"/>
    <w:rsid w:val="008579CD"/>
    <w:rsid w:val="00862D0F"/>
    <w:rsid w:val="00864391"/>
    <w:rsid w:val="008674E2"/>
    <w:rsid w:val="008737BD"/>
    <w:rsid w:val="008773AE"/>
    <w:rsid w:val="0088221C"/>
    <w:rsid w:val="00887DF1"/>
    <w:rsid w:val="008925DF"/>
    <w:rsid w:val="00893484"/>
    <w:rsid w:val="0089767B"/>
    <w:rsid w:val="008A23B0"/>
    <w:rsid w:val="008A295E"/>
    <w:rsid w:val="008A427F"/>
    <w:rsid w:val="008A504B"/>
    <w:rsid w:val="008A7E54"/>
    <w:rsid w:val="008B0502"/>
    <w:rsid w:val="008C16EE"/>
    <w:rsid w:val="008C7F21"/>
    <w:rsid w:val="008D46B1"/>
    <w:rsid w:val="008D5E43"/>
    <w:rsid w:val="008D64D3"/>
    <w:rsid w:val="008D71A1"/>
    <w:rsid w:val="008D722E"/>
    <w:rsid w:val="008E2044"/>
    <w:rsid w:val="008E398C"/>
    <w:rsid w:val="008F040D"/>
    <w:rsid w:val="008F2862"/>
    <w:rsid w:val="008F3961"/>
    <w:rsid w:val="008F4718"/>
    <w:rsid w:val="008F4997"/>
    <w:rsid w:val="00902BE1"/>
    <w:rsid w:val="009043E0"/>
    <w:rsid w:val="00907B1F"/>
    <w:rsid w:val="00912AA0"/>
    <w:rsid w:val="00915D58"/>
    <w:rsid w:val="00916293"/>
    <w:rsid w:val="009221AC"/>
    <w:rsid w:val="0092222F"/>
    <w:rsid w:val="00925ADA"/>
    <w:rsid w:val="009310A1"/>
    <w:rsid w:val="00931575"/>
    <w:rsid w:val="0093475E"/>
    <w:rsid w:val="00951D8E"/>
    <w:rsid w:val="00954D39"/>
    <w:rsid w:val="009566B4"/>
    <w:rsid w:val="00957BD6"/>
    <w:rsid w:val="00961452"/>
    <w:rsid w:val="009629B8"/>
    <w:rsid w:val="00963E11"/>
    <w:rsid w:val="00965309"/>
    <w:rsid w:val="00971848"/>
    <w:rsid w:val="009737DF"/>
    <w:rsid w:val="00977A7F"/>
    <w:rsid w:val="00986AF6"/>
    <w:rsid w:val="00990253"/>
    <w:rsid w:val="009A0E3A"/>
    <w:rsid w:val="009A1D0F"/>
    <w:rsid w:val="009A50C0"/>
    <w:rsid w:val="009A6C6A"/>
    <w:rsid w:val="009B2E47"/>
    <w:rsid w:val="009B479F"/>
    <w:rsid w:val="009B59B8"/>
    <w:rsid w:val="009B6A84"/>
    <w:rsid w:val="009C1D16"/>
    <w:rsid w:val="009C5B54"/>
    <w:rsid w:val="009D1AE2"/>
    <w:rsid w:val="009D6FFF"/>
    <w:rsid w:val="009E185E"/>
    <w:rsid w:val="009E49B1"/>
    <w:rsid w:val="009E6169"/>
    <w:rsid w:val="009F4545"/>
    <w:rsid w:val="009F49C6"/>
    <w:rsid w:val="009F78BC"/>
    <w:rsid w:val="00A02B11"/>
    <w:rsid w:val="00A02F96"/>
    <w:rsid w:val="00A043ED"/>
    <w:rsid w:val="00A0497D"/>
    <w:rsid w:val="00A12299"/>
    <w:rsid w:val="00A231F5"/>
    <w:rsid w:val="00A2355B"/>
    <w:rsid w:val="00A24594"/>
    <w:rsid w:val="00A26085"/>
    <w:rsid w:val="00A40A69"/>
    <w:rsid w:val="00A40CBC"/>
    <w:rsid w:val="00A44006"/>
    <w:rsid w:val="00A46172"/>
    <w:rsid w:val="00A53031"/>
    <w:rsid w:val="00A5312C"/>
    <w:rsid w:val="00A67BC0"/>
    <w:rsid w:val="00A770C7"/>
    <w:rsid w:val="00A82305"/>
    <w:rsid w:val="00A84A05"/>
    <w:rsid w:val="00A87EC9"/>
    <w:rsid w:val="00A900F4"/>
    <w:rsid w:val="00A9559E"/>
    <w:rsid w:val="00A974F2"/>
    <w:rsid w:val="00AA12CF"/>
    <w:rsid w:val="00AA248E"/>
    <w:rsid w:val="00AA5598"/>
    <w:rsid w:val="00AB337B"/>
    <w:rsid w:val="00AB6F4E"/>
    <w:rsid w:val="00AB772F"/>
    <w:rsid w:val="00AC3C9E"/>
    <w:rsid w:val="00AC62DD"/>
    <w:rsid w:val="00AD2A1F"/>
    <w:rsid w:val="00AD79A9"/>
    <w:rsid w:val="00AE1C11"/>
    <w:rsid w:val="00AF1141"/>
    <w:rsid w:val="00AF1735"/>
    <w:rsid w:val="00AF2B4C"/>
    <w:rsid w:val="00AF4A7A"/>
    <w:rsid w:val="00AF4B51"/>
    <w:rsid w:val="00AF6149"/>
    <w:rsid w:val="00AF7FCC"/>
    <w:rsid w:val="00B00591"/>
    <w:rsid w:val="00B10726"/>
    <w:rsid w:val="00B140F4"/>
    <w:rsid w:val="00B16423"/>
    <w:rsid w:val="00B21D01"/>
    <w:rsid w:val="00B30091"/>
    <w:rsid w:val="00B31298"/>
    <w:rsid w:val="00B37FF8"/>
    <w:rsid w:val="00B40AF0"/>
    <w:rsid w:val="00B51FCA"/>
    <w:rsid w:val="00B555E0"/>
    <w:rsid w:val="00B603FA"/>
    <w:rsid w:val="00B605EA"/>
    <w:rsid w:val="00B66D7F"/>
    <w:rsid w:val="00B677E9"/>
    <w:rsid w:val="00B725BF"/>
    <w:rsid w:val="00B75620"/>
    <w:rsid w:val="00B80A3E"/>
    <w:rsid w:val="00B91689"/>
    <w:rsid w:val="00B94FE3"/>
    <w:rsid w:val="00BA1087"/>
    <w:rsid w:val="00BA35CF"/>
    <w:rsid w:val="00BA5524"/>
    <w:rsid w:val="00BA60EB"/>
    <w:rsid w:val="00BA6540"/>
    <w:rsid w:val="00BA74DB"/>
    <w:rsid w:val="00BA7C4D"/>
    <w:rsid w:val="00BB05B4"/>
    <w:rsid w:val="00BB400E"/>
    <w:rsid w:val="00BC485F"/>
    <w:rsid w:val="00BD2B26"/>
    <w:rsid w:val="00BE147B"/>
    <w:rsid w:val="00BE22DB"/>
    <w:rsid w:val="00BE5F28"/>
    <w:rsid w:val="00BE6D54"/>
    <w:rsid w:val="00BF01C6"/>
    <w:rsid w:val="00BF2ED7"/>
    <w:rsid w:val="00BF4C08"/>
    <w:rsid w:val="00C00BF4"/>
    <w:rsid w:val="00C01A54"/>
    <w:rsid w:val="00C02BCA"/>
    <w:rsid w:val="00C139B6"/>
    <w:rsid w:val="00C20BB3"/>
    <w:rsid w:val="00C22A7A"/>
    <w:rsid w:val="00C42C11"/>
    <w:rsid w:val="00C46783"/>
    <w:rsid w:val="00C469CC"/>
    <w:rsid w:val="00C528CE"/>
    <w:rsid w:val="00C544AD"/>
    <w:rsid w:val="00C55DE8"/>
    <w:rsid w:val="00C6177A"/>
    <w:rsid w:val="00C64146"/>
    <w:rsid w:val="00C735B1"/>
    <w:rsid w:val="00C758B4"/>
    <w:rsid w:val="00C75CD7"/>
    <w:rsid w:val="00C87768"/>
    <w:rsid w:val="00C913B8"/>
    <w:rsid w:val="00CA2C35"/>
    <w:rsid w:val="00CB0FEC"/>
    <w:rsid w:val="00CC131A"/>
    <w:rsid w:val="00CC29F8"/>
    <w:rsid w:val="00CC6532"/>
    <w:rsid w:val="00CC7ED3"/>
    <w:rsid w:val="00CD3498"/>
    <w:rsid w:val="00CD6044"/>
    <w:rsid w:val="00CE29C6"/>
    <w:rsid w:val="00CE488F"/>
    <w:rsid w:val="00CE60DB"/>
    <w:rsid w:val="00CF1022"/>
    <w:rsid w:val="00CF35F7"/>
    <w:rsid w:val="00D005D5"/>
    <w:rsid w:val="00D033D1"/>
    <w:rsid w:val="00D03670"/>
    <w:rsid w:val="00D068AD"/>
    <w:rsid w:val="00D0737C"/>
    <w:rsid w:val="00D10525"/>
    <w:rsid w:val="00D12454"/>
    <w:rsid w:val="00D12AF7"/>
    <w:rsid w:val="00D1691E"/>
    <w:rsid w:val="00D16D46"/>
    <w:rsid w:val="00D1731B"/>
    <w:rsid w:val="00D22081"/>
    <w:rsid w:val="00D2380C"/>
    <w:rsid w:val="00D35AFE"/>
    <w:rsid w:val="00D37BC1"/>
    <w:rsid w:val="00D37F78"/>
    <w:rsid w:val="00D40C1D"/>
    <w:rsid w:val="00D4453F"/>
    <w:rsid w:val="00D52F89"/>
    <w:rsid w:val="00D53433"/>
    <w:rsid w:val="00D5553F"/>
    <w:rsid w:val="00D559AC"/>
    <w:rsid w:val="00D55A19"/>
    <w:rsid w:val="00D63A07"/>
    <w:rsid w:val="00D80DE2"/>
    <w:rsid w:val="00D82659"/>
    <w:rsid w:val="00D846DD"/>
    <w:rsid w:val="00D847A7"/>
    <w:rsid w:val="00D85359"/>
    <w:rsid w:val="00D87E7A"/>
    <w:rsid w:val="00D910B0"/>
    <w:rsid w:val="00D92DCC"/>
    <w:rsid w:val="00DA01E7"/>
    <w:rsid w:val="00DA192D"/>
    <w:rsid w:val="00DB0ED8"/>
    <w:rsid w:val="00DB1169"/>
    <w:rsid w:val="00DB4565"/>
    <w:rsid w:val="00DC01EC"/>
    <w:rsid w:val="00DC27BA"/>
    <w:rsid w:val="00DC51AE"/>
    <w:rsid w:val="00DC7DDC"/>
    <w:rsid w:val="00DD22B3"/>
    <w:rsid w:val="00DD7078"/>
    <w:rsid w:val="00DD7343"/>
    <w:rsid w:val="00DD7402"/>
    <w:rsid w:val="00DE04B7"/>
    <w:rsid w:val="00DE0A42"/>
    <w:rsid w:val="00DF0D9F"/>
    <w:rsid w:val="00DF157D"/>
    <w:rsid w:val="00DF183D"/>
    <w:rsid w:val="00DF1871"/>
    <w:rsid w:val="00DF3ACB"/>
    <w:rsid w:val="00DF6C9C"/>
    <w:rsid w:val="00E100ED"/>
    <w:rsid w:val="00E10359"/>
    <w:rsid w:val="00E13D23"/>
    <w:rsid w:val="00E13F52"/>
    <w:rsid w:val="00E21D7E"/>
    <w:rsid w:val="00E250FC"/>
    <w:rsid w:val="00E2692A"/>
    <w:rsid w:val="00E3289B"/>
    <w:rsid w:val="00E34382"/>
    <w:rsid w:val="00E3543C"/>
    <w:rsid w:val="00E361DC"/>
    <w:rsid w:val="00E4106C"/>
    <w:rsid w:val="00E42023"/>
    <w:rsid w:val="00E5130E"/>
    <w:rsid w:val="00E52D85"/>
    <w:rsid w:val="00E655B2"/>
    <w:rsid w:val="00E65687"/>
    <w:rsid w:val="00E70E04"/>
    <w:rsid w:val="00E73EFB"/>
    <w:rsid w:val="00E74BF6"/>
    <w:rsid w:val="00E779D9"/>
    <w:rsid w:val="00E84650"/>
    <w:rsid w:val="00E86A6C"/>
    <w:rsid w:val="00E93F6A"/>
    <w:rsid w:val="00E9646A"/>
    <w:rsid w:val="00EA0FC6"/>
    <w:rsid w:val="00EA1991"/>
    <w:rsid w:val="00EA1BC6"/>
    <w:rsid w:val="00EA5740"/>
    <w:rsid w:val="00EB0963"/>
    <w:rsid w:val="00EC07D9"/>
    <w:rsid w:val="00EC1DC1"/>
    <w:rsid w:val="00EC70AE"/>
    <w:rsid w:val="00ED33B4"/>
    <w:rsid w:val="00ED4313"/>
    <w:rsid w:val="00EF0B69"/>
    <w:rsid w:val="00EF35E7"/>
    <w:rsid w:val="00EF52DE"/>
    <w:rsid w:val="00EF6364"/>
    <w:rsid w:val="00F0237B"/>
    <w:rsid w:val="00F03016"/>
    <w:rsid w:val="00F03494"/>
    <w:rsid w:val="00F04140"/>
    <w:rsid w:val="00F13477"/>
    <w:rsid w:val="00F1568B"/>
    <w:rsid w:val="00F24FD3"/>
    <w:rsid w:val="00F26636"/>
    <w:rsid w:val="00F3177D"/>
    <w:rsid w:val="00F34631"/>
    <w:rsid w:val="00F3474A"/>
    <w:rsid w:val="00F35070"/>
    <w:rsid w:val="00F3628F"/>
    <w:rsid w:val="00F36502"/>
    <w:rsid w:val="00F37DCD"/>
    <w:rsid w:val="00F37EB7"/>
    <w:rsid w:val="00F42508"/>
    <w:rsid w:val="00F50C84"/>
    <w:rsid w:val="00F51BD6"/>
    <w:rsid w:val="00F6068A"/>
    <w:rsid w:val="00F620BE"/>
    <w:rsid w:val="00F66AD9"/>
    <w:rsid w:val="00F705E3"/>
    <w:rsid w:val="00F71F05"/>
    <w:rsid w:val="00F73CB8"/>
    <w:rsid w:val="00F76153"/>
    <w:rsid w:val="00F771CE"/>
    <w:rsid w:val="00F81D8F"/>
    <w:rsid w:val="00F8250F"/>
    <w:rsid w:val="00F83BDB"/>
    <w:rsid w:val="00F86EBD"/>
    <w:rsid w:val="00F90E64"/>
    <w:rsid w:val="00F953D7"/>
    <w:rsid w:val="00F96B67"/>
    <w:rsid w:val="00FB78E3"/>
    <w:rsid w:val="00FC5D62"/>
    <w:rsid w:val="00FC6E7B"/>
    <w:rsid w:val="00FD45F9"/>
    <w:rsid w:val="00FD61B9"/>
    <w:rsid w:val="00FE13A2"/>
    <w:rsid w:val="00FE145C"/>
    <w:rsid w:val="00FE62F5"/>
    <w:rsid w:val="00FE68D5"/>
    <w:rsid w:val="00FF0E79"/>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76D92E-6027-4CAE-BDB2-A78DD90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96"/>
    <w:pPr>
      <w:ind w:firstLine="720"/>
      <w:jc w:val="both"/>
    </w:pPr>
    <w:rPr>
      <w:sz w:val="28"/>
      <w:lang w:eastAsia="en-US"/>
    </w:rPr>
  </w:style>
  <w:style w:type="paragraph" w:styleId="Heading3">
    <w:name w:val="heading 3"/>
    <w:basedOn w:val="Normal"/>
    <w:next w:val="Normal"/>
    <w:link w:val="Heading3Char"/>
    <w:semiHidden/>
    <w:unhideWhenUsed/>
    <w:qFormat/>
    <w:locked/>
    <w:rsid w:val="00D55A1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locked/>
    <w:rsid w:val="00864391"/>
    <w:pPr>
      <w:keepNext/>
      <w:autoSpaceDE w:val="0"/>
      <w:autoSpaceDN w:val="0"/>
      <w:adjustRightInd w:val="0"/>
      <w:ind w:firstLine="0"/>
      <w:jc w:val="center"/>
      <w:outlineLvl w:val="4"/>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FootnoteText">
    <w:name w:val="footnote text"/>
    <w:basedOn w:val="Normal"/>
    <w:link w:val="FootnoteTextChar"/>
    <w:uiPriority w:val="99"/>
    <w:rsid w:val="00F3628F"/>
    <w:pPr>
      <w:ind w:firstLine="0"/>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locked/>
    <w:rsid w:val="00F3628F"/>
    <w:rPr>
      <w:rFonts w:eastAsia="Times New Roman" w:cs="Times New Roman"/>
      <w:sz w:val="20"/>
      <w:szCs w:val="20"/>
      <w:lang w:eastAsia="lv-LV"/>
    </w:rPr>
  </w:style>
  <w:style w:type="character" w:styleId="FootnoteReference">
    <w:name w:val="footnote reference"/>
    <w:aliases w:val="Footnote Reference Number"/>
    <w:basedOn w:val="DefaultParagraphFont"/>
    <w:uiPriority w:val="99"/>
    <w:rsid w:val="00F3628F"/>
    <w:rPr>
      <w:rFonts w:cs="Times New Roman"/>
      <w:vertAlign w:val="superscript"/>
    </w:rPr>
  </w:style>
  <w:style w:type="paragraph" w:customStyle="1" w:styleId="naisf">
    <w:name w:val="naisf"/>
    <w:basedOn w:val="Normal"/>
    <w:uiPriority w:val="99"/>
    <w:rsid w:val="00F3628F"/>
    <w:pPr>
      <w:spacing w:before="75" w:after="75"/>
      <w:ind w:firstLine="375"/>
    </w:pPr>
    <w:rPr>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rsid w:val="00B605EA"/>
    <w:pPr>
      <w:tabs>
        <w:tab w:val="center" w:pos="4153"/>
        <w:tab w:val="right" w:pos="8306"/>
      </w:tabs>
    </w:pPr>
  </w:style>
  <w:style w:type="character" w:customStyle="1" w:styleId="HeaderChar">
    <w:name w:val="Header Char"/>
    <w:basedOn w:val="DefaultParagraphFont"/>
    <w:link w:val="Header"/>
    <w:uiPriority w:val="99"/>
    <w:locked/>
    <w:rsid w:val="00B605EA"/>
    <w:rPr>
      <w:rFonts w:cs="Times New Roman"/>
    </w:rPr>
  </w:style>
  <w:style w:type="paragraph" w:styleId="Footer">
    <w:name w:val="footer"/>
    <w:basedOn w:val="Normal"/>
    <w:link w:val="FooterChar"/>
    <w:uiPriority w:val="99"/>
    <w:rsid w:val="00B605EA"/>
    <w:pPr>
      <w:tabs>
        <w:tab w:val="center" w:pos="4153"/>
        <w:tab w:val="right" w:pos="8306"/>
      </w:tabs>
    </w:pPr>
  </w:style>
  <w:style w:type="character" w:customStyle="1" w:styleId="FooterChar">
    <w:name w:val="Footer Char"/>
    <w:basedOn w:val="DefaultParagraphFont"/>
    <w:link w:val="Footer"/>
    <w:uiPriority w:val="99"/>
    <w:locked/>
    <w:rsid w:val="00B605EA"/>
    <w:rPr>
      <w:rFonts w:cs="Times New Roman"/>
    </w:rPr>
  </w:style>
  <w:style w:type="paragraph" w:styleId="BalloonText">
    <w:name w:val="Balloon Text"/>
    <w:basedOn w:val="Normal"/>
    <w:link w:val="BalloonTextChar"/>
    <w:uiPriority w:val="99"/>
    <w:semiHidden/>
    <w:rsid w:val="00887DF1"/>
    <w:rPr>
      <w:rFonts w:ascii="Arial" w:hAnsi="Arial" w:cs="Arial"/>
      <w:sz w:val="18"/>
      <w:szCs w:val="18"/>
    </w:rPr>
  </w:style>
  <w:style w:type="character" w:customStyle="1" w:styleId="BalloonTextChar">
    <w:name w:val="Balloon Text Char"/>
    <w:basedOn w:val="DefaultParagraphFont"/>
    <w:link w:val="BalloonText"/>
    <w:uiPriority w:val="99"/>
    <w:semiHidden/>
    <w:locked/>
    <w:rsid w:val="00887DF1"/>
    <w:rPr>
      <w:rFonts w:ascii="Arial" w:hAnsi="Arial" w:cs="Arial"/>
      <w:sz w:val="18"/>
      <w:szCs w:val="18"/>
    </w:rPr>
  </w:style>
  <w:style w:type="character" w:styleId="Hyperlink">
    <w:name w:val="Hyperlink"/>
    <w:basedOn w:val="DefaultParagraphFont"/>
    <w:uiPriority w:val="99"/>
    <w:rsid w:val="00963E11"/>
    <w:rPr>
      <w:rFonts w:cs="Times New Roman"/>
      <w:color w:val="0563C1"/>
      <w:u w:val="single"/>
    </w:rPr>
  </w:style>
  <w:style w:type="character" w:customStyle="1" w:styleId="Heading5Char">
    <w:name w:val="Heading 5 Char"/>
    <w:basedOn w:val="DefaultParagraphFont"/>
    <w:link w:val="Heading5"/>
    <w:rsid w:val="00864391"/>
    <w:rPr>
      <w:rFonts w:eastAsia="Times New Roman"/>
      <w:b/>
      <w:bCs/>
      <w:sz w:val="28"/>
      <w:szCs w:val="28"/>
      <w:lang w:eastAsia="en-US"/>
    </w:rPr>
  </w:style>
  <w:style w:type="table" w:styleId="TableGrid">
    <w:name w:val="Table Grid"/>
    <w:basedOn w:val="TableNormal"/>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55A19"/>
    <w:rPr>
      <w:rFonts w:asciiTheme="majorHAnsi" w:eastAsiaTheme="majorEastAsia" w:hAnsiTheme="majorHAnsi" w:cstheme="majorBidi"/>
      <w:color w:val="243F60" w:themeColor="accent1" w:themeShade="7F"/>
      <w:sz w:val="24"/>
      <w:szCs w:val="24"/>
      <w:lang w:eastAsia="en-US"/>
    </w:rPr>
  </w:style>
  <w:style w:type="paragraph" w:customStyle="1" w:styleId="tv213">
    <w:name w:val="tv213"/>
    <w:basedOn w:val="Normal"/>
    <w:rsid w:val="003B702B"/>
    <w:pPr>
      <w:spacing w:before="100" w:beforeAutospacing="1" w:after="100" w:afterAutospacing="1"/>
      <w:ind w:firstLine="0"/>
      <w:jc w:val="left"/>
    </w:pPr>
    <w:rPr>
      <w:rFonts w:eastAsia="Times New Roman"/>
      <w:sz w:val="24"/>
      <w:szCs w:val="24"/>
      <w:lang w:eastAsia="lv-LV"/>
    </w:rPr>
  </w:style>
  <w:style w:type="character" w:styleId="CommentReference">
    <w:name w:val="annotation reference"/>
    <w:basedOn w:val="DefaultParagraphFont"/>
    <w:uiPriority w:val="99"/>
    <w:semiHidden/>
    <w:unhideWhenUsed/>
    <w:rsid w:val="00521D5A"/>
    <w:rPr>
      <w:sz w:val="16"/>
      <w:szCs w:val="16"/>
    </w:rPr>
  </w:style>
  <w:style w:type="paragraph" w:styleId="CommentText">
    <w:name w:val="annotation text"/>
    <w:basedOn w:val="Normal"/>
    <w:link w:val="CommentTextChar"/>
    <w:uiPriority w:val="99"/>
    <w:semiHidden/>
    <w:unhideWhenUsed/>
    <w:rsid w:val="00521D5A"/>
    <w:pPr>
      <w:spacing w:after="160"/>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21D5A"/>
    <w:rPr>
      <w:rFonts w:asciiTheme="minorHAnsi" w:eastAsiaTheme="minorHAnsi" w:hAnsiTheme="minorHAnsi" w:cstheme="minorBidi"/>
      <w:sz w:val="20"/>
      <w:szCs w:val="20"/>
      <w:lang w:eastAsia="en-US"/>
    </w:rPr>
  </w:style>
  <w:style w:type="character" w:styleId="FollowedHyperlink">
    <w:name w:val="FollowedHyperlink"/>
    <w:basedOn w:val="DefaultParagraphFont"/>
    <w:uiPriority w:val="99"/>
    <w:semiHidden/>
    <w:unhideWhenUsed/>
    <w:rsid w:val="00CC7ED3"/>
    <w:rPr>
      <w:color w:val="800080" w:themeColor="followedHyperlink"/>
      <w:u w:val="single"/>
    </w:rPr>
  </w:style>
  <w:style w:type="character" w:customStyle="1" w:styleId="italic">
    <w:name w:val="italic"/>
    <w:basedOn w:val="DefaultParagraphFont"/>
    <w:rsid w:val="00AB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4747">
      <w:bodyDiv w:val="1"/>
      <w:marLeft w:val="0"/>
      <w:marRight w:val="0"/>
      <w:marTop w:val="0"/>
      <w:marBottom w:val="0"/>
      <w:divBdr>
        <w:top w:val="none" w:sz="0" w:space="0" w:color="auto"/>
        <w:left w:val="none" w:sz="0" w:space="0" w:color="auto"/>
        <w:bottom w:val="none" w:sz="0" w:space="0" w:color="auto"/>
        <w:right w:val="none" w:sz="0" w:space="0" w:color="auto"/>
      </w:divBdr>
      <w:divsChild>
        <w:div w:id="304899790">
          <w:marLeft w:val="0"/>
          <w:marRight w:val="0"/>
          <w:marTop w:val="480"/>
          <w:marBottom w:val="240"/>
          <w:divBdr>
            <w:top w:val="none" w:sz="0" w:space="0" w:color="auto"/>
            <w:left w:val="none" w:sz="0" w:space="0" w:color="auto"/>
            <w:bottom w:val="none" w:sz="0" w:space="0" w:color="auto"/>
            <w:right w:val="none" w:sz="0" w:space="0" w:color="auto"/>
          </w:divBdr>
        </w:div>
        <w:div w:id="402996192">
          <w:marLeft w:val="0"/>
          <w:marRight w:val="0"/>
          <w:marTop w:val="0"/>
          <w:marBottom w:val="567"/>
          <w:divBdr>
            <w:top w:val="none" w:sz="0" w:space="0" w:color="auto"/>
            <w:left w:val="none" w:sz="0" w:space="0" w:color="auto"/>
            <w:bottom w:val="none" w:sz="0" w:space="0" w:color="auto"/>
            <w:right w:val="none" w:sz="0" w:space="0" w:color="auto"/>
          </w:divBdr>
        </w:div>
      </w:divsChild>
    </w:div>
    <w:div w:id="691490572">
      <w:bodyDiv w:val="1"/>
      <w:marLeft w:val="0"/>
      <w:marRight w:val="0"/>
      <w:marTop w:val="0"/>
      <w:marBottom w:val="0"/>
      <w:divBdr>
        <w:top w:val="none" w:sz="0" w:space="0" w:color="auto"/>
        <w:left w:val="none" w:sz="0" w:space="0" w:color="auto"/>
        <w:bottom w:val="none" w:sz="0" w:space="0" w:color="auto"/>
        <w:right w:val="none" w:sz="0" w:space="0" w:color="auto"/>
      </w:divBdr>
    </w:div>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994066236">
      <w:bodyDiv w:val="1"/>
      <w:marLeft w:val="0"/>
      <w:marRight w:val="0"/>
      <w:marTop w:val="0"/>
      <w:marBottom w:val="0"/>
      <w:divBdr>
        <w:top w:val="none" w:sz="0" w:space="0" w:color="auto"/>
        <w:left w:val="none" w:sz="0" w:space="0" w:color="auto"/>
        <w:bottom w:val="none" w:sz="0" w:space="0" w:color="auto"/>
        <w:right w:val="none" w:sz="0" w:space="0" w:color="auto"/>
      </w:divBdr>
      <w:divsChild>
        <w:div w:id="2112973138">
          <w:marLeft w:val="0"/>
          <w:marRight w:val="0"/>
          <w:marTop w:val="480"/>
          <w:marBottom w:val="240"/>
          <w:divBdr>
            <w:top w:val="none" w:sz="0" w:space="0" w:color="auto"/>
            <w:left w:val="none" w:sz="0" w:space="0" w:color="auto"/>
            <w:bottom w:val="none" w:sz="0" w:space="0" w:color="auto"/>
            <w:right w:val="none" w:sz="0" w:space="0" w:color="auto"/>
          </w:divBdr>
        </w:div>
        <w:div w:id="552619038">
          <w:marLeft w:val="0"/>
          <w:marRight w:val="0"/>
          <w:marTop w:val="0"/>
          <w:marBottom w:val="567"/>
          <w:divBdr>
            <w:top w:val="none" w:sz="0" w:space="0" w:color="auto"/>
            <w:left w:val="none" w:sz="0" w:space="0" w:color="auto"/>
            <w:bottom w:val="none" w:sz="0" w:space="0" w:color="auto"/>
            <w:right w:val="none" w:sz="0" w:space="0" w:color="auto"/>
          </w:divBdr>
        </w:div>
      </w:divsChild>
    </w:div>
    <w:div w:id="1090737996">
      <w:bodyDiv w:val="1"/>
      <w:marLeft w:val="0"/>
      <w:marRight w:val="0"/>
      <w:marTop w:val="0"/>
      <w:marBottom w:val="0"/>
      <w:divBdr>
        <w:top w:val="none" w:sz="0" w:space="0" w:color="auto"/>
        <w:left w:val="none" w:sz="0" w:space="0" w:color="auto"/>
        <w:bottom w:val="none" w:sz="0" w:space="0" w:color="auto"/>
        <w:right w:val="none" w:sz="0" w:space="0" w:color="auto"/>
      </w:divBdr>
    </w:div>
    <w:div w:id="1196192966">
      <w:bodyDiv w:val="1"/>
      <w:marLeft w:val="0"/>
      <w:marRight w:val="0"/>
      <w:marTop w:val="0"/>
      <w:marBottom w:val="0"/>
      <w:divBdr>
        <w:top w:val="none" w:sz="0" w:space="0" w:color="auto"/>
        <w:left w:val="none" w:sz="0" w:space="0" w:color="auto"/>
        <w:bottom w:val="none" w:sz="0" w:space="0" w:color="auto"/>
        <w:right w:val="none" w:sz="0" w:space="0" w:color="auto"/>
      </w:divBdr>
    </w:div>
    <w:div w:id="1233783397">
      <w:bodyDiv w:val="1"/>
      <w:marLeft w:val="0"/>
      <w:marRight w:val="0"/>
      <w:marTop w:val="0"/>
      <w:marBottom w:val="0"/>
      <w:divBdr>
        <w:top w:val="none" w:sz="0" w:space="0" w:color="auto"/>
        <w:left w:val="none" w:sz="0" w:space="0" w:color="auto"/>
        <w:bottom w:val="none" w:sz="0" w:space="0" w:color="auto"/>
        <w:right w:val="none" w:sz="0" w:space="0" w:color="auto"/>
      </w:divBdr>
    </w:div>
    <w:div w:id="1384670573">
      <w:bodyDiv w:val="1"/>
      <w:marLeft w:val="0"/>
      <w:marRight w:val="0"/>
      <w:marTop w:val="0"/>
      <w:marBottom w:val="0"/>
      <w:divBdr>
        <w:top w:val="none" w:sz="0" w:space="0" w:color="auto"/>
        <w:left w:val="none" w:sz="0" w:space="0" w:color="auto"/>
        <w:bottom w:val="none" w:sz="0" w:space="0" w:color="auto"/>
        <w:right w:val="none" w:sz="0" w:space="0" w:color="auto"/>
      </w:divBdr>
    </w:div>
    <w:div w:id="1579823983">
      <w:bodyDiv w:val="1"/>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 w:id="1642880449">
      <w:bodyDiv w:val="1"/>
      <w:marLeft w:val="0"/>
      <w:marRight w:val="0"/>
      <w:marTop w:val="0"/>
      <w:marBottom w:val="0"/>
      <w:divBdr>
        <w:top w:val="none" w:sz="0" w:space="0" w:color="auto"/>
        <w:left w:val="none" w:sz="0" w:space="0" w:color="auto"/>
        <w:bottom w:val="none" w:sz="0" w:space="0" w:color="auto"/>
        <w:right w:val="none" w:sz="0" w:space="0" w:color="auto"/>
      </w:divBdr>
    </w:div>
    <w:div w:id="20891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rs.nakurts@vugd.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doc.php?id=284898" TargetMode="External"/><Relationship Id="rId13" Type="http://schemas.openxmlformats.org/officeDocument/2006/relationships/hyperlink" Target="https://ec.europa.eu/echo/files/evaluation/2015/CPM_case_study_philippines_en.pdf" TargetMode="External"/><Relationship Id="rId18" Type="http://schemas.openxmlformats.org/officeDocument/2006/relationships/hyperlink" Target="https://likumi.lv/doc.php?id=224553" TargetMode="External"/><Relationship Id="rId26" Type="http://schemas.openxmlformats.org/officeDocument/2006/relationships/hyperlink" Target="http://eur-lex.europa.eu/legal-content/LV/TXT/?uri=CELEX:32013D1313" TargetMode="External"/><Relationship Id="rId3" Type="http://schemas.openxmlformats.org/officeDocument/2006/relationships/hyperlink" Target="https://likumi.lv/doc.php?id=201131&amp;version_date=26.11.2009" TargetMode="External"/><Relationship Id="rId21" Type="http://schemas.openxmlformats.org/officeDocument/2006/relationships/hyperlink" Target="http://ec.europa.eu/echo/files/civil_protection/civil/prote/pdfdocs/Training%20brochure.pdf" TargetMode="External"/><Relationship Id="rId7" Type="http://schemas.openxmlformats.org/officeDocument/2006/relationships/hyperlink" Target="http://vugd.gov.lv/lat/par_vugd/starptautiska_sadarbiba/divpuseja_sadarbiba" TargetMode="External"/><Relationship Id="rId12" Type="http://schemas.openxmlformats.org/officeDocument/2006/relationships/hyperlink" Target="http://erccportal.jrc.ec.europa.eu/About-ERCC" TargetMode="External"/><Relationship Id="rId17" Type="http://schemas.openxmlformats.org/officeDocument/2006/relationships/hyperlink" Target="http://eur-lex.europa.eu/legal-content/EN/TXT/?uri=celex%3A32013D1313" TargetMode="External"/><Relationship Id="rId25" Type="http://schemas.openxmlformats.org/officeDocument/2006/relationships/hyperlink" Target="http://www.nato.int/cps/en/natohq/topics_52057.htm" TargetMode="External"/><Relationship Id="rId2" Type="http://schemas.openxmlformats.org/officeDocument/2006/relationships/hyperlink" Target="https://likumi.lv/ta/id/180281-par-humanas-palidzibas-sniegsanu-gruzijai" TargetMode="External"/><Relationship Id="rId16" Type="http://schemas.openxmlformats.org/officeDocument/2006/relationships/hyperlink" Target="https://www.msb.se/en/OpsPreparedness/Taking-part-in-a-mission/MyPages-Field-Staff-Roster/" TargetMode="External"/><Relationship Id="rId20" Type="http://schemas.openxmlformats.org/officeDocument/2006/relationships/hyperlink" Target="http://erccportal.jrc.ec.europa.eu/Useful-links" TargetMode="External"/><Relationship Id="rId29" Type="http://schemas.openxmlformats.org/officeDocument/2006/relationships/hyperlink" Target="http://www.iem.gov.lv/lat/sadarbiba_ar_nvo/diskusiju_dokumenti/" TargetMode="External"/><Relationship Id="rId1" Type="http://schemas.openxmlformats.org/officeDocument/2006/relationships/hyperlink" Target="https://likumi.lv/ta/id/282333-civilas-aizsardzibas-un-katastrofas-parvaldisanas-likums" TargetMode="External"/><Relationship Id="rId6" Type="http://schemas.openxmlformats.org/officeDocument/2006/relationships/hyperlink" Target="https://www.vestnesis.lv/ta/id/175264" TargetMode="External"/><Relationship Id="rId11" Type="http://schemas.openxmlformats.org/officeDocument/2006/relationships/hyperlink" Target="http://www.who.int/hac/crises/hti/haiti_paho_jan2011_eng.pdf?ua=1" TargetMode="External"/><Relationship Id="rId24" Type="http://schemas.openxmlformats.org/officeDocument/2006/relationships/hyperlink" Target="https://likumi.lv/ta/lv/starptautiskie-ligumi/id/52" TargetMode="External"/><Relationship Id="rId5" Type="http://schemas.openxmlformats.org/officeDocument/2006/relationships/hyperlink" Target="http://www.nato.int/eadrcc/2005/ukraine/jae2005/latvian_participation.html" TargetMode="External"/><Relationship Id="rId15" Type="http://schemas.openxmlformats.org/officeDocument/2006/relationships/hyperlink" Target="https://likumi.lv/ta/id/281222-par-humanas-palidzibas-sniegsanu-griekijai-migracijas-krizes-risinasanai" TargetMode="External"/><Relationship Id="rId23" Type="http://schemas.openxmlformats.org/officeDocument/2006/relationships/hyperlink" Target="https://likumi.lv/ta/lv/starptautiskie-ligumi/id/1642" TargetMode="External"/><Relationship Id="rId28" Type="http://schemas.openxmlformats.org/officeDocument/2006/relationships/hyperlink" Target="https://likumi.lv/" TargetMode="External"/><Relationship Id="rId10" Type="http://schemas.openxmlformats.org/officeDocument/2006/relationships/hyperlink" Target="http://www.who.int/hac/crises/hti/earthquake/en/" TargetMode="External"/><Relationship Id="rId19" Type="http://schemas.openxmlformats.org/officeDocument/2006/relationships/hyperlink" Target="https://likumi.lv/ta/id/291706-noteikumi-par-civilas-aizsardzibas-un-katastrofas-parvaldisanas-macibu-veidiem-un-organizesanas-kartibu" TargetMode="External"/><Relationship Id="rId4" Type="http://schemas.openxmlformats.org/officeDocument/2006/relationships/hyperlink" Target="http://www.baltfloodcombat.eu/2015/index.php/auto-generate-from-title/7-mission-to-bosnia-and-herzegovina" TargetMode="External"/><Relationship Id="rId9" Type="http://schemas.openxmlformats.org/officeDocument/2006/relationships/hyperlink" Target="https://www.unocha.org/our-work/coordination/international-search-and-rescue-advisory-group-insarag" TargetMode="External"/><Relationship Id="rId14" Type="http://schemas.openxmlformats.org/officeDocument/2006/relationships/hyperlink" Target="https://likumi.lv/ta/id/277099-par-iespejamo-humano-palidzibu-beglu-krizes-risinasana" TargetMode="External"/><Relationship Id="rId22" Type="http://schemas.openxmlformats.org/officeDocument/2006/relationships/hyperlink" Target="http://vugd.gov.lv/lat/es_fondu_projekti/eiropas_komisijas_civilas_aizsardzibas_finansu_instruments/15126-praktiskas-macibas-civilas-aizsardzibas-moduliem-tehniskas-palidzibas-atbalsta-vienibam-un-eiropas-savienibas-civilas-aizsardzibas-komandam-latmodex-2016-echoser2015718122" TargetMode="External"/><Relationship Id="rId27" Type="http://schemas.openxmlformats.org/officeDocument/2006/relationships/hyperlink" Target="http://eur-lex.europa.eu/legal-content/LV/TXT/HTML/?uri=CELEX:32014D0762&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3355-7095-4179-A349-B2DC8B8E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20343</Words>
  <Characters>11597</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kabinetaNoteikumu projekta anotācija</vt:lpstr>
      <vt:lpstr>Ministru kabinetaNoteikumu projekta anotācija</vt:lpstr>
    </vt:vector>
  </TitlesOfParts>
  <Company>IeM</Company>
  <LinksUpToDate>false</LinksUpToDate>
  <CharactersWithSpaces>31877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kabinetaNoteikumu projekta anotācija</dc:title>
  <dc:subject>Anotācija</dc:subject>
  <dc:creator>Ivars Nakurts</dc:creator>
  <cp:keywords/>
  <dc:description>ivars.nakurts@vugd.gov.lv, 67075922</dc:description>
  <cp:lastModifiedBy>VUGD CAP</cp:lastModifiedBy>
  <cp:revision>4</cp:revision>
  <cp:lastPrinted>2017-10-25T06:13:00Z</cp:lastPrinted>
  <dcterms:created xsi:type="dcterms:W3CDTF">2017-11-05T13:51:00Z</dcterms:created>
  <dcterms:modified xsi:type="dcterms:W3CDTF">2017-11-05T13:55:00Z</dcterms:modified>
</cp:coreProperties>
</file>