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3B" w:rsidRDefault="00C86E3B" w:rsidP="00C133C8">
      <w:pPr>
        <w:jc w:val="center"/>
        <w:rPr>
          <w:b/>
          <w:bCs/>
          <w:color w:val="000000"/>
          <w:sz w:val="28"/>
          <w:szCs w:val="28"/>
          <w:lang w:eastAsia="en-US"/>
        </w:rPr>
      </w:pPr>
      <w:bookmarkStart w:id="0" w:name="OLE_LINK6"/>
      <w:bookmarkStart w:id="1" w:name="OLE_LINK5"/>
      <w:r>
        <w:rPr>
          <w:b/>
          <w:bCs/>
          <w:color w:val="000000"/>
          <w:sz w:val="28"/>
          <w:szCs w:val="28"/>
          <w:lang w:eastAsia="en-US"/>
        </w:rPr>
        <w:t xml:space="preserve">Ministru kabineta protokollēmuma projekta  </w:t>
      </w:r>
    </w:p>
    <w:p w:rsidR="00C133C8" w:rsidRPr="00C133C8" w:rsidRDefault="00C133C8" w:rsidP="00C133C8">
      <w:pPr>
        <w:pStyle w:val="naislab"/>
        <w:spacing w:before="0" w:after="0"/>
        <w:jc w:val="center"/>
        <w:outlineLvl w:val="0"/>
        <w:rPr>
          <w:b/>
          <w:bCs/>
          <w:sz w:val="28"/>
          <w:szCs w:val="28"/>
          <w:lang w:eastAsia="en-US"/>
        </w:rPr>
      </w:pPr>
      <w:r w:rsidRPr="00C133C8">
        <w:rPr>
          <w:b/>
          <w:bCs/>
          <w:sz w:val="28"/>
          <w:szCs w:val="28"/>
          <w:lang w:eastAsia="en-US"/>
        </w:rPr>
        <w:t xml:space="preserve">“Par Ministru kabineta 2011. gada 26. aprīļa sēdes protokollēmuma </w:t>
      </w:r>
    </w:p>
    <w:p w:rsidR="00C86E3B" w:rsidRDefault="00D05E86" w:rsidP="00D05E86">
      <w:pPr>
        <w:pStyle w:val="naislab"/>
        <w:spacing w:before="0" w:after="0"/>
        <w:jc w:val="center"/>
        <w:outlineLvl w:val="0"/>
        <w:rPr>
          <w:b/>
          <w:bCs/>
          <w:sz w:val="28"/>
          <w:szCs w:val="28"/>
          <w:lang w:eastAsia="en-US"/>
        </w:rPr>
      </w:pPr>
      <w:r>
        <w:rPr>
          <w:b/>
          <w:bCs/>
          <w:sz w:val="28"/>
          <w:szCs w:val="28"/>
          <w:lang w:eastAsia="en-US"/>
        </w:rPr>
        <w:t>(prot. Nr. 27 29. §) “</w:t>
      </w:r>
      <w:r w:rsidRPr="00D05E86">
        <w:rPr>
          <w:b/>
          <w:bCs/>
          <w:sz w:val="28"/>
          <w:szCs w:val="28"/>
          <w:lang w:eastAsia="en-US"/>
        </w:rPr>
        <w:t xml:space="preserve">Informatīvais ziņojums </w:t>
      </w:r>
      <w:r>
        <w:rPr>
          <w:b/>
          <w:bCs/>
          <w:sz w:val="28"/>
          <w:szCs w:val="28"/>
          <w:lang w:eastAsia="en-US"/>
        </w:rPr>
        <w:t>“Par darbības programmas “Cilvēkresursi un nodarbinātība”</w:t>
      </w:r>
      <w:r w:rsidR="00C133C8" w:rsidRPr="00C133C8">
        <w:rPr>
          <w:b/>
          <w:bCs/>
          <w:sz w:val="28"/>
          <w:szCs w:val="28"/>
          <w:lang w:eastAsia="en-US"/>
        </w:rPr>
        <w:t xml:space="preserve"> 1.1.1.1.</w:t>
      </w:r>
      <w:r>
        <w:rPr>
          <w:b/>
          <w:bCs/>
          <w:sz w:val="28"/>
          <w:szCs w:val="28"/>
          <w:lang w:eastAsia="en-US"/>
        </w:rPr>
        <w:t xml:space="preserve"> aktivitāti “</w:t>
      </w:r>
      <w:r w:rsidR="00C133C8" w:rsidRPr="00C133C8">
        <w:rPr>
          <w:b/>
          <w:bCs/>
          <w:sz w:val="28"/>
          <w:szCs w:val="28"/>
          <w:lang w:eastAsia="en-US"/>
        </w:rPr>
        <w:t>Zinātnes un inovāciju politikas veidošanas un administra</w:t>
      </w:r>
      <w:r>
        <w:rPr>
          <w:b/>
          <w:bCs/>
          <w:sz w:val="28"/>
          <w:szCs w:val="28"/>
          <w:lang w:eastAsia="en-US"/>
        </w:rPr>
        <w:t>tīvās kapacitātes stiprināšana”</w:t>
      </w:r>
      <w:r w:rsidR="00C133C8" w:rsidRPr="00C133C8">
        <w:rPr>
          <w:b/>
          <w:bCs/>
          <w:sz w:val="28"/>
          <w:szCs w:val="28"/>
          <w:lang w:eastAsia="en-US"/>
        </w:rPr>
        <w:t>”</w:t>
      </w:r>
      <w:r>
        <w:rPr>
          <w:b/>
          <w:bCs/>
          <w:sz w:val="28"/>
          <w:szCs w:val="28"/>
          <w:lang w:eastAsia="en-US"/>
        </w:rPr>
        <w:t>”</w:t>
      </w:r>
      <w:r w:rsidR="00C133C8" w:rsidRPr="00C133C8">
        <w:rPr>
          <w:b/>
          <w:bCs/>
          <w:sz w:val="28"/>
          <w:szCs w:val="28"/>
          <w:lang w:eastAsia="en-US"/>
        </w:rPr>
        <w:t xml:space="preserve"> 7.3. apakšpunktā dotā uzdevuma atzīšanu par aktualitāti zaudējuš</w:t>
      </w:r>
      <w:r>
        <w:rPr>
          <w:b/>
          <w:bCs/>
          <w:sz w:val="28"/>
          <w:szCs w:val="28"/>
          <w:lang w:eastAsia="en-US"/>
        </w:rPr>
        <w:t>u”</w:t>
      </w:r>
      <w:r w:rsidR="00C133C8" w:rsidRPr="00C133C8">
        <w:rPr>
          <w:b/>
          <w:bCs/>
          <w:sz w:val="28"/>
          <w:szCs w:val="28"/>
          <w:lang w:eastAsia="en-US"/>
        </w:rPr>
        <w:t xml:space="preserve"> </w:t>
      </w:r>
      <w:r w:rsidR="00C86E3B">
        <w:rPr>
          <w:b/>
          <w:bCs/>
          <w:sz w:val="28"/>
          <w:szCs w:val="28"/>
          <w:lang w:eastAsia="en-US"/>
        </w:rPr>
        <w:t>sākotnējās ietekmes novērtējuma ziņojums (anotācija)</w:t>
      </w:r>
    </w:p>
    <w:p w:rsidR="00804123" w:rsidRDefault="00804123" w:rsidP="00C133C8">
      <w:pPr>
        <w:pStyle w:val="naislab"/>
        <w:spacing w:before="0" w:after="0"/>
        <w:jc w:val="center"/>
        <w:outlineLvl w:val="0"/>
        <w:rPr>
          <w:b/>
          <w:sz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282"/>
        <w:gridCol w:w="6019"/>
      </w:tblGrid>
      <w:tr w:rsidR="00C86E3B" w:rsidTr="00C86E3B">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C86E3B" w:rsidRDefault="00C86E3B">
            <w:pPr>
              <w:spacing w:before="75" w:after="75"/>
              <w:jc w:val="center"/>
              <w:rPr>
                <w:szCs w:val="28"/>
              </w:rPr>
            </w:pPr>
            <w:r>
              <w:rPr>
                <w:b/>
                <w:bCs/>
              </w:rPr>
              <w:t> </w:t>
            </w:r>
            <w:r>
              <w:rPr>
                <w:b/>
                <w:bCs/>
                <w:sz w:val="28"/>
                <w:szCs w:val="28"/>
              </w:rPr>
              <w:t>I. Tiesību akta projekta izstrādes nepieciešamība</w:t>
            </w:r>
          </w:p>
        </w:tc>
      </w:tr>
      <w:tr w:rsidR="00C86E3B" w:rsidTr="00C86E3B">
        <w:trPr>
          <w:trHeight w:val="191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t> 1.</w:t>
            </w:r>
          </w:p>
        </w:tc>
        <w:tc>
          <w:tcPr>
            <w:tcW w:w="2323" w:type="dxa"/>
            <w:tcBorders>
              <w:top w:val="outset" w:sz="6" w:space="0" w:color="auto"/>
              <w:left w:val="outset" w:sz="6" w:space="0" w:color="auto"/>
              <w:bottom w:val="outset" w:sz="6" w:space="0" w:color="auto"/>
              <w:right w:val="outset" w:sz="6" w:space="0" w:color="auto"/>
            </w:tcBorders>
          </w:tcPr>
          <w:p w:rsidR="00C86E3B" w:rsidRDefault="00C86E3B">
            <w:pPr>
              <w:spacing w:before="75" w:after="75"/>
              <w:ind w:left="40" w:right="126"/>
              <w:rPr>
                <w:szCs w:val="28"/>
              </w:rPr>
            </w:pPr>
            <w:r>
              <w:rPr>
                <w:sz w:val="28"/>
                <w:szCs w:val="28"/>
              </w:rPr>
              <w:t>Pamatojums</w:t>
            </w:r>
          </w:p>
          <w:p w:rsidR="00C86E3B" w:rsidRDefault="00C86E3B">
            <w:pPr>
              <w:ind w:left="40" w:right="126"/>
              <w:rPr>
                <w:szCs w:val="28"/>
              </w:rPr>
            </w:pPr>
          </w:p>
          <w:p w:rsidR="00C86E3B" w:rsidRDefault="00C86E3B">
            <w:pPr>
              <w:ind w:left="40" w:right="126"/>
              <w:rPr>
                <w:szCs w:val="28"/>
              </w:rPr>
            </w:pPr>
          </w:p>
          <w:p w:rsidR="00C86E3B" w:rsidRDefault="00C86E3B">
            <w:pPr>
              <w:ind w:left="40" w:right="126"/>
              <w:rPr>
                <w:szCs w:val="28"/>
              </w:rPr>
            </w:pPr>
          </w:p>
          <w:p w:rsidR="00C86E3B" w:rsidRDefault="00C86E3B">
            <w:pPr>
              <w:ind w:left="40" w:right="126"/>
              <w:rPr>
                <w:szCs w:val="28"/>
              </w:rPr>
            </w:pPr>
          </w:p>
          <w:p w:rsidR="00C86E3B" w:rsidRDefault="00C86E3B">
            <w:pPr>
              <w:ind w:right="126"/>
              <w:rPr>
                <w:szCs w:val="28"/>
              </w:rPr>
            </w:pPr>
          </w:p>
          <w:p w:rsidR="00C86E3B" w:rsidRDefault="00C86E3B">
            <w:pPr>
              <w:ind w:right="126"/>
              <w:rPr>
                <w:szCs w:val="28"/>
              </w:rPr>
            </w:pPr>
          </w:p>
        </w:tc>
        <w:tc>
          <w:tcPr>
            <w:tcW w:w="6251" w:type="dxa"/>
            <w:tcBorders>
              <w:top w:val="outset" w:sz="6" w:space="0" w:color="auto"/>
              <w:left w:val="outset" w:sz="6" w:space="0" w:color="auto"/>
              <w:bottom w:val="outset" w:sz="6" w:space="0" w:color="auto"/>
              <w:right w:val="outset" w:sz="6" w:space="0" w:color="auto"/>
            </w:tcBorders>
            <w:hideMark/>
          </w:tcPr>
          <w:p w:rsidR="00C86E3B" w:rsidRPr="00595521" w:rsidRDefault="00C86E3B" w:rsidP="00595521">
            <w:pPr>
              <w:pStyle w:val="NoSpacing"/>
              <w:ind w:left="16" w:right="142"/>
              <w:jc w:val="both"/>
              <w:rPr>
                <w:bCs/>
                <w:color w:val="000000" w:themeColor="text1"/>
                <w:sz w:val="28"/>
                <w:szCs w:val="28"/>
              </w:rPr>
            </w:pPr>
            <w:r w:rsidRPr="009E1AA6">
              <w:rPr>
                <w:color w:val="000000" w:themeColor="text1"/>
                <w:sz w:val="28"/>
                <w:szCs w:val="28"/>
              </w:rPr>
              <w:t xml:space="preserve">Ministru kabineta </w:t>
            </w:r>
            <w:r w:rsidR="007171F5" w:rsidRPr="009E1AA6">
              <w:rPr>
                <w:color w:val="000000" w:themeColor="text1"/>
                <w:sz w:val="28"/>
                <w:szCs w:val="28"/>
              </w:rPr>
              <w:t>protokollēmuma</w:t>
            </w:r>
            <w:r w:rsidRPr="009E1AA6">
              <w:rPr>
                <w:color w:val="000000" w:themeColor="text1"/>
                <w:sz w:val="28"/>
                <w:szCs w:val="28"/>
              </w:rPr>
              <w:t xml:space="preserve"> projekts</w:t>
            </w:r>
            <w:r w:rsidRPr="00595521">
              <w:rPr>
                <w:color w:val="000000" w:themeColor="text1"/>
                <w:sz w:val="28"/>
                <w:szCs w:val="28"/>
              </w:rPr>
              <w:t xml:space="preserve"> </w:t>
            </w:r>
            <w:r w:rsidR="00595521" w:rsidRPr="00595521">
              <w:rPr>
                <w:bCs/>
                <w:color w:val="000000" w:themeColor="text1"/>
                <w:sz w:val="28"/>
                <w:szCs w:val="28"/>
              </w:rPr>
              <w:t xml:space="preserve">“Par Ministru kabineta 2011. gada 26. aprīļa sēdes protokollēmuma (prot. Nr. 27 29. §) “Informatīvais ziņojums “Par darbības programmas “Cilvēkresursi un nodarbinātība” 1.1.1.1. aktivitāti “Zinātnes un inovāciju politikas veidošanas un administratīvās kapacitātes stiprināšana””” 7.3. apakšpunktā dotā uzdevuma atzīšanu par aktualitāti zaudējušu” </w:t>
            </w:r>
            <w:r w:rsidRPr="009E1AA6">
              <w:rPr>
                <w:color w:val="000000" w:themeColor="text1"/>
                <w:sz w:val="28"/>
                <w:szCs w:val="28"/>
              </w:rPr>
              <w:t>(turpmāk</w:t>
            </w:r>
            <w:r w:rsidR="00C133C8">
              <w:rPr>
                <w:color w:val="000000" w:themeColor="text1"/>
                <w:sz w:val="28"/>
                <w:szCs w:val="28"/>
              </w:rPr>
              <w:t xml:space="preserve"> </w:t>
            </w:r>
            <w:r w:rsidRPr="009E1AA6">
              <w:rPr>
                <w:color w:val="000000" w:themeColor="text1"/>
                <w:sz w:val="28"/>
                <w:szCs w:val="28"/>
              </w:rPr>
              <w:t xml:space="preserve">– </w:t>
            </w:r>
            <w:r w:rsidR="007171F5" w:rsidRPr="009E1AA6">
              <w:rPr>
                <w:color w:val="000000" w:themeColor="text1"/>
                <w:sz w:val="28"/>
                <w:szCs w:val="28"/>
              </w:rPr>
              <w:t xml:space="preserve">protokollēmuma </w:t>
            </w:r>
            <w:r w:rsidRPr="009E1AA6">
              <w:rPr>
                <w:color w:val="000000" w:themeColor="text1"/>
                <w:sz w:val="28"/>
                <w:szCs w:val="28"/>
              </w:rPr>
              <w:t xml:space="preserve">projekts) sagatavots pēc Izglītības un zinātnes ministrijas  iniciatīvas.   </w:t>
            </w:r>
          </w:p>
        </w:tc>
      </w:tr>
      <w:tr w:rsidR="00C86E3B" w:rsidTr="00C86E3B">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Pašreizējā situācija un problēmas, kuru risināšanai tiesību akta projekts izstrādāts,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1D252B" w:rsidRPr="00804123" w:rsidRDefault="00C133C8" w:rsidP="009A4AEA">
            <w:pPr>
              <w:pStyle w:val="tv2132"/>
              <w:spacing w:line="240" w:lineRule="auto"/>
              <w:ind w:left="16" w:firstLine="0"/>
              <w:jc w:val="both"/>
              <w:rPr>
                <w:color w:val="000000" w:themeColor="text1"/>
                <w:sz w:val="28"/>
                <w:szCs w:val="28"/>
              </w:rPr>
            </w:pPr>
            <w:r w:rsidRPr="00C133C8">
              <w:rPr>
                <w:color w:val="000000" w:themeColor="text1"/>
                <w:sz w:val="28"/>
                <w:szCs w:val="28"/>
              </w:rPr>
              <w:t>Ministru kabineta 2011.</w:t>
            </w:r>
            <w:r>
              <w:rPr>
                <w:color w:val="000000" w:themeColor="text1"/>
                <w:sz w:val="28"/>
                <w:szCs w:val="28"/>
              </w:rPr>
              <w:t xml:space="preserve"> </w:t>
            </w:r>
            <w:r w:rsidRPr="00C133C8">
              <w:rPr>
                <w:color w:val="000000" w:themeColor="text1"/>
                <w:sz w:val="28"/>
                <w:szCs w:val="28"/>
              </w:rPr>
              <w:t>gada 26.</w:t>
            </w:r>
            <w:r>
              <w:rPr>
                <w:color w:val="000000" w:themeColor="text1"/>
                <w:sz w:val="28"/>
                <w:szCs w:val="28"/>
              </w:rPr>
              <w:t xml:space="preserve"> </w:t>
            </w:r>
            <w:r w:rsidRPr="00C133C8">
              <w:rPr>
                <w:color w:val="000000" w:themeColor="text1"/>
                <w:sz w:val="28"/>
                <w:szCs w:val="28"/>
              </w:rPr>
              <w:t xml:space="preserve">aprīļa sēdes protokollēmuma (prot. Nr.27 29.§) </w:t>
            </w:r>
            <w:r w:rsidR="00320030" w:rsidRPr="00320030">
              <w:rPr>
                <w:color w:val="000000" w:themeColor="text1"/>
                <w:sz w:val="28"/>
                <w:szCs w:val="28"/>
              </w:rPr>
              <w:t>“Informatīvais ziņojums “Par darbības programmas “Cilvēkresursi un nodarbinātība” 1.1.1.1. aktivitāti “Zinātnes un inovāciju politikas veidošanas un administratīvās kapacitātes stiprināšana”””</w:t>
            </w:r>
            <w:r w:rsidR="00320030">
              <w:rPr>
                <w:color w:val="000000" w:themeColor="text1"/>
                <w:sz w:val="28"/>
                <w:szCs w:val="28"/>
              </w:rPr>
              <w:t xml:space="preserve"> </w:t>
            </w:r>
            <w:r>
              <w:rPr>
                <w:color w:val="000000" w:themeColor="text1"/>
                <w:sz w:val="28"/>
                <w:szCs w:val="28"/>
              </w:rPr>
              <w:t>7.3. apakš</w:t>
            </w:r>
            <w:r w:rsidR="00071135" w:rsidRPr="009E1AA6">
              <w:rPr>
                <w:color w:val="000000" w:themeColor="text1"/>
                <w:sz w:val="28"/>
                <w:szCs w:val="28"/>
              </w:rPr>
              <w:t xml:space="preserve">punktā </w:t>
            </w:r>
            <w:r>
              <w:rPr>
                <w:color w:val="000000" w:themeColor="text1"/>
                <w:sz w:val="28"/>
                <w:szCs w:val="28"/>
              </w:rPr>
              <w:t xml:space="preserve">Izglītības un zinātnes ministrijai </w:t>
            </w:r>
            <w:r w:rsidR="00550499">
              <w:rPr>
                <w:color w:val="000000" w:themeColor="text1"/>
                <w:sz w:val="28"/>
                <w:szCs w:val="28"/>
              </w:rPr>
              <w:t xml:space="preserve">(turpmāk – ministrija) </w:t>
            </w:r>
            <w:r>
              <w:rPr>
                <w:color w:val="000000" w:themeColor="text1"/>
                <w:sz w:val="28"/>
                <w:szCs w:val="28"/>
              </w:rPr>
              <w:t xml:space="preserve">bija </w:t>
            </w:r>
            <w:r w:rsidR="00071135">
              <w:rPr>
                <w:color w:val="000000" w:themeColor="text1"/>
                <w:sz w:val="28"/>
                <w:szCs w:val="28"/>
              </w:rPr>
              <w:t xml:space="preserve">dots uzdevums </w:t>
            </w:r>
            <w:r>
              <w:rPr>
                <w:color w:val="000000" w:themeColor="text1"/>
                <w:sz w:val="28"/>
                <w:szCs w:val="28"/>
              </w:rPr>
              <w:t xml:space="preserve">sagatavot un iesniegt izskatīšanai Ministru kabinetā priekšlikumus par to zinātnisko institūciju turpmāko darbību, kuras svītrotas </w:t>
            </w:r>
            <w:r w:rsidR="001D252B">
              <w:rPr>
                <w:color w:val="000000" w:themeColor="text1"/>
                <w:sz w:val="28"/>
                <w:szCs w:val="28"/>
              </w:rPr>
              <w:t>no zinātnisko institūciju reģis</w:t>
            </w:r>
            <w:r>
              <w:rPr>
                <w:color w:val="000000" w:themeColor="text1"/>
                <w:sz w:val="28"/>
                <w:szCs w:val="28"/>
              </w:rPr>
              <w:t>tra.</w:t>
            </w:r>
          </w:p>
          <w:p w:rsidR="001D252B" w:rsidRPr="001D252B" w:rsidRDefault="00550499" w:rsidP="00550499">
            <w:pPr>
              <w:pStyle w:val="tv2132"/>
              <w:spacing w:line="240" w:lineRule="auto"/>
              <w:ind w:firstLine="0"/>
              <w:jc w:val="both"/>
              <w:rPr>
                <w:color w:val="auto"/>
                <w:sz w:val="28"/>
                <w:szCs w:val="28"/>
              </w:rPr>
            </w:pPr>
            <w:r>
              <w:rPr>
                <w:color w:val="auto"/>
                <w:sz w:val="28"/>
                <w:szCs w:val="28"/>
              </w:rPr>
              <w:t>2013. gadā</w:t>
            </w:r>
            <w:r w:rsidRPr="001D252B">
              <w:rPr>
                <w:color w:val="auto"/>
                <w:sz w:val="28"/>
                <w:szCs w:val="28"/>
              </w:rPr>
              <w:t xml:space="preserve"> </w:t>
            </w:r>
            <w:r>
              <w:rPr>
                <w:color w:val="auto"/>
                <w:sz w:val="28"/>
                <w:szCs w:val="28"/>
              </w:rPr>
              <w:t>m</w:t>
            </w:r>
            <w:r w:rsidR="001D252B" w:rsidRPr="001D252B">
              <w:rPr>
                <w:color w:val="auto"/>
                <w:sz w:val="28"/>
                <w:szCs w:val="28"/>
              </w:rPr>
              <w:t>inistrija</w:t>
            </w:r>
            <w:r>
              <w:rPr>
                <w:color w:val="auto"/>
                <w:sz w:val="28"/>
                <w:szCs w:val="28"/>
              </w:rPr>
              <w:t>,</w:t>
            </w:r>
            <w:r w:rsidR="001D252B" w:rsidRPr="001D252B">
              <w:rPr>
                <w:color w:val="auto"/>
                <w:sz w:val="28"/>
                <w:szCs w:val="28"/>
              </w:rPr>
              <w:t xml:space="preserve"> sadarbojoties ar Ziemeļvalstu Ministru padomes sekretariātu Latvijā, veica Latvijas zinātnes starptautisko izvērtējumu (turpmāk – izvērtējums). Atbilstoši izvērtējuma rezultātiem, ministrija sagatavoja informatīvo ziņojumu “Par zinātnes starptautisko izvērtējumu”, kas tika izskatīts 2014. gada 21. janvāra Ministru kabineta sēdē (Ministru kabineta sēdes protokols Nr. 3, 42. §, TA-110). Atbilstoši informatīvajam ziņojumam tika izveidots turpmākās rīcības plāns, kas noteica veikt grozījumus Ministru kabineta 2013. gada 12. </w:t>
            </w:r>
            <w:r w:rsidR="001D252B" w:rsidRPr="001D252B">
              <w:rPr>
                <w:color w:val="auto"/>
                <w:sz w:val="28"/>
                <w:szCs w:val="28"/>
              </w:rPr>
              <w:lastRenderedPageBreak/>
              <w:t xml:space="preserve">novembra noteikumos Nr. 1316 “Kārtība, kādā aprēķina un piešķir bāzes finansējumu zinātniskajām institūcijām” (turpmāk – noteikumi Nr. 1316) un sagatavot informatīvo ziņojumu par zinātnes turpmāko attīstību, veicot strukturālas reformas. 2014. gada 6. novembrī stājās spēkā grozījumi noteikumos </w:t>
            </w:r>
            <w:r w:rsidR="00653365">
              <w:rPr>
                <w:color w:val="auto"/>
                <w:sz w:val="28"/>
                <w:szCs w:val="28"/>
              </w:rPr>
              <w:t>Nr. 1316, papildinot tos ar 11.</w:t>
            </w:r>
            <w:r w:rsidR="00653365">
              <w:rPr>
                <w:color w:val="auto"/>
                <w:sz w:val="28"/>
                <w:szCs w:val="28"/>
                <w:vertAlign w:val="superscript"/>
              </w:rPr>
              <w:t>2</w:t>
            </w:r>
            <w:r w:rsidR="001D252B" w:rsidRPr="001D252B">
              <w:rPr>
                <w:color w:val="auto"/>
                <w:sz w:val="28"/>
                <w:szCs w:val="28"/>
              </w:rPr>
              <w:t xml:space="preserve"> punktu, kas paredz “Izglītības un zinātnes ministrija nepiešķir bāzes finansējumu zinātniskajām institūcijām, kuras zinātnisko institūciju darbības starptautiskajā izvērtējumā saņēmušas novērtējumu “1” un “2” (izņemot zinātniskās institūcijas, kas piedalās Eiropas Savienības struktūrfondu darbības programmas “Uzņēmējdarbība un inovācijas” 2.1.1. pasākuma “Zinātne, pētniecība un attīstība” 2.1.1.3.3. apakšaktivitātes “Zinātnisko institūciju institucionālās kapacitātes attīstība” projektos kā konsolidējamās funkcionālās vienības).</w:t>
            </w:r>
          </w:p>
          <w:p w:rsidR="001D252B" w:rsidRPr="001D252B" w:rsidRDefault="001D252B" w:rsidP="00550499">
            <w:pPr>
              <w:pStyle w:val="tv2132"/>
              <w:spacing w:line="240" w:lineRule="auto"/>
              <w:ind w:firstLine="0"/>
              <w:jc w:val="both"/>
              <w:rPr>
                <w:color w:val="auto"/>
                <w:sz w:val="28"/>
                <w:szCs w:val="28"/>
              </w:rPr>
            </w:pPr>
            <w:r w:rsidRPr="001D252B">
              <w:rPr>
                <w:color w:val="auto"/>
                <w:sz w:val="28"/>
                <w:szCs w:val="28"/>
              </w:rPr>
              <w:t>2014. gada 19. augusta Ministru kabineta sēdē (Ministru kabineta sēdes protokols Nr. 44, 47. §, TA-1837) tika izskatīts informatīvais ziņojums “Par Latvijas zinātnes strukturālo reformu īstenošanu līdz 2015. gada 1. jūlijam”. Attiecīgais ziņojums apraksta Latvijas zinātnes strukturālo reformu pasākumu plānu, tai skaistā nosakot zinātnisko institūciju strukturālo reorganizāciju kārtību atbilstoši izvērtējuma rekomendācijām.</w:t>
            </w:r>
          </w:p>
          <w:p w:rsidR="001D252B" w:rsidRPr="001D252B" w:rsidRDefault="001D252B" w:rsidP="00550499">
            <w:pPr>
              <w:pStyle w:val="tv2132"/>
              <w:spacing w:line="240" w:lineRule="auto"/>
              <w:ind w:firstLine="0"/>
              <w:jc w:val="both"/>
              <w:rPr>
                <w:color w:val="auto"/>
                <w:sz w:val="28"/>
                <w:szCs w:val="28"/>
              </w:rPr>
            </w:pPr>
            <w:r w:rsidRPr="001D252B">
              <w:rPr>
                <w:color w:val="auto"/>
                <w:sz w:val="28"/>
                <w:szCs w:val="28"/>
              </w:rPr>
              <w:t>Pamatojoties uz informatīvajā ziņojumā plānotajiem pasākumiem, ir reorganizētas šādas zinātniskās institūcijas:</w:t>
            </w:r>
          </w:p>
          <w:p w:rsidR="001D252B" w:rsidRPr="001D252B" w:rsidRDefault="001D252B" w:rsidP="00550499">
            <w:pPr>
              <w:pStyle w:val="tv2132"/>
              <w:spacing w:line="240" w:lineRule="auto"/>
              <w:ind w:firstLine="0"/>
              <w:jc w:val="both"/>
              <w:rPr>
                <w:color w:val="auto"/>
                <w:sz w:val="28"/>
                <w:szCs w:val="28"/>
              </w:rPr>
            </w:pPr>
            <w:r w:rsidRPr="001D252B">
              <w:rPr>
                <w:color w:val="auto"/>
                <w:sz w:val="28"/>
                <w:szCs w:val="28"/>
              </w:rPr>
              <w:t>1)</w:t>
            </w:r>
            <w:r w:rsidRPr="001D252B">
              <w:rPr>
                <w:color w:val="auto"/>
                <w:sz w:val="28"/>
                <w:szCs w:val="28"/>
              </w:rPr>
              <w:tab/>
              <w:t xml:space="preserve">Ar 2015. gada 21. oktobra Ministru kabineta rīkojumu Nr. 640 “Par atvasinātu publisku personu “Valsts Priekuļu laukaugu selekcijas institūts”, “Valsts Stendes graudaugu selekcijas institūts”, “Latvijas Valsts agrārās ekonomikas institūts” un “Latvijas Valsts augļkopības institūts” reorganizāciju” tika reorganizēti četri zinātniskie institūti. “Valsts Stendes graudaugu selekcijas institūts” un “Latvijas Valsts agrārās ekonomikas institūts” tika pievienoti “Valsts Priekuļu laukaugu selekcijas institūtam”, un uz to bāzes izveidota </w:t>
            </w:r>
            <w:r w:rsidRPr="001D252B">
              <w:rPr>
                <w:color w:val="auto"/>
                <w:sz w:val="28"/>
                <w:szCs w:val="28"/>
              </w:rPr>
              <w:lastRenderedPageBreak/>
              <w:t>atvasināta publiska persona –   zinātniskais institūts “Agroresursu un ekonomikas institūts”, kas tika nodots Latvijas Lauksaimniecības universitātes pārraudzībā. “Latvijas Valsts augļkopības institūts” ir ticis reorganizēts un nodots Latvijas Lauksaimniecības universitātes pārraudzībā kā atvasināta publiska persona – zinātniskais institūts “Dārzkopības institūts”.</w:t>
            </w:r>
          </w:p>
          <w:p w:rsidR="001D252B" w:rsidRPr="001D252B" w:rsidRDefault="001D252B" w:rsidP="00550499">
            <w:pPr>
              <w:pStyle w:val="tv2132"/>
              <w:spacing w:line="240" w:lineRule="auto"/>
              <w:ind w:firstLine="0"/>
              <w:jc w:val="both"/>
              <w:rPr>
                <w:color w:val="auto"/>
                <w:sz w:val="28"/>
                <w:szCs w:val="28"/>
              </w:rPr>
            </w:pPr>
            <w:r w:rsidRPr="001D252B">
              <w:rPr>
                <w:color w:val="auto"/>
                <w:sz w:val="28"/>
                <w:szCs w:val="28"/>
              </w:rPr>
              <w:t>2)</w:t>
            </w:r>
            <w:r w:rsidRPr="001D252B">
              <w:rPr>
                <w:color w:val="auto"/>
                <w:sz w:val="28"/>
                <w:szCs w:val="28"/>
              </w:rPr>
              <w:tab/>
              <w:t>2016. gadā, atbilstoši Zinātniskās darbības likuma 32. pantam, no zinātnisko institūciju reģistra tika izslēgtas šādas zinātniskās institūcijas: LU žurnāla “Latvijas Vēsture” fonds, Biomehānikas un fizikālo pētījumu institūts un Inovatīvo tehnoloģiju un veselības veicināšanas institūts, kuras sešu mēnešu laikā pēc Izglītības un zinātnes ministrijas rakstveida pieprasījuma nebija sniegušas zinātnisko institūciju reģistram nepieciešamo informāciju.</w:t>
            </w:r>
          </w:p>
          <w:p w:rsidR="001D252B" w:rsidRPr="001D252B" w:rsidRDefault="001D252B" w:rsidP="00550499">
            <w:pPr>
              <w:pStyle w:val="tv2132"/>
              <w:spacing w:line="240" w:lineRule="auto"/>
              <w:ind w:firstLine="0"/>
              <w:jc w:val="both"/>
              <w:rPr>
                <w:color w:val="auto"/>
                <w:sz w:val="28"/>
                <w:szCs w:val="28"/>
              </w:rPr>
            </w:pPr>
            <w:r w:rsidRPr="001D252B">
              <w:rPr>
                <w:color w:val="auto"/>
                <w:sz w:val="28"/>
                <w:szCs w:val="28"/>
              </w:rPr>
              <w:t>3)</w:t>
            </w:r>
            <w:r w:rsidRPr="001D252B">
              <w:rPr>
                <w:color w:val="auto"/>
                <w:sz w:val="28"/>
                <w:szCs w:val="28"/>
              </w:rPr>
              <w:tab/>
              <w:t>Atbilstoši 2017. gada 3. aprīļa Ministru kabineta rīkojumam Nr. 164 “Par Rīgas Pedagoģijas un izglītības vadības akadēmijas likvidā</w:t>
            </w:r>
            <w:r w:rsidR="006745A1">
              <w:rPr>
                <w:color w:val="auto"/>
                <w:sz w:val="28"/>
                <w:szCs w:val="28"/>
              </w:rPr>
              <w:t>ciju” 2017. gada 1. oktobrī tika</w:t>
            </w:r>
            <w:r w:rsidRPr="001D252B">
              <w:rPr>
                <w:color w:val="auto"/>
                <w:sz w:val="28"/>
                <w:szCs w:val="28"/>
              </w:rPr>
              <w:t xml:space="preserve"> likvidēta Rīgas Pedagoģijas un izglītības vadības akadēmija, pievienojot to Latvijas Universitātei.</w:t>
            </w:r>
          </w:p>
          <w:p w:rsidR="001D252B" w:rsidRDefault="001D252B" w:rsidP="001D252B">
            <w:pPr>
              <w:contextualSpacing/>
              <w:jc w:val="both"/>
              <w:rPr>
                <w:sz w:val="28"/>
                <w:szCs w:val="28"/>
              </w:rPr>
            </w:pPr>
            <w:r w:rsidRPr="001D252B">
              <w:rPr>
                <w:sz w:val="28"/>
                <w:szCs w:val="28"/>
              </w:rPr>
              <w:t>4)</w:t>
            </w:r>
            <w:r w:rsidRPr="001D252B">
              <w:rPr>
                <w:sz w:val="28"/>
                <w:szCs w:val="28"/>
              </w:rPr>
              <w:tab/>
              <w:t>Ar 2017. gada 9. augusta Ministru kabineta r</w:t>
            </w:r>
            <w:r w:rsidRPr="001D252B">
              <w:rPr>
                <w:rFonts w:hint="eastAsia"/>
                <w:sz w:val="28"/>
                <w:szCs w:val="28"/>
              </w:rPr>
              <w:t>ī</w:t>
            </w:r>
            <w:r w:rsidRPr="001D252B">
              <w:rPr>
                <w:sz w:val="28"/>
                <w:szCs w:val="28"/>
              </w:rPr>
              <w:t>kojumu Nr. 405 “Par atvasin</w:t>
            </w:r>
            <w:r w:rsidRPr="001D252B">
              <w:rPr>
                <w:rFonts w:hint="eastAsia"/>
                <w:sz w:val="28"/>
                <w:szCs w:val="28"/>
              </w:rPr>
              <w:t>ā</w:t>
            </w:r>
            <w:r w:rsidRPr="001D252B">
              <w:rPr>
                <w:sz w:val="28"/>
                <w:szCs w:val="28"/>
              </w:rPr>
              <w:t>tas publiskas personas – valsts zin</w:t>
            </w:r>
            <w:r w:rsidRPr="001D252B">
              <w:rPr>
                <w:rFonts w:hint="eastAsia"/>
                <w:sz w:val="28"/>
                <w:szCs w:val="28"/>
              </w:rPr>
              <w:t>ā</w:t>
            </w:r>
            <w:r w:rsidRPr="001D252B">
              <w:rPr>
                <w:sz w:val="28"/>
                <w:szCs w:val="28"/>
              </w:rPr>
              <w:t>tnisk</w:t>
            </w:r>
            <w:r w:rsidRPr="001D252B">
              <w:rPr>
                <w:rFonts w:hint="eastAsia"/>
                <w:sz w:val="28"/>
                <w:szCs w:val="28"/>
              </w:rPr>
              <w:t>ā</w:t>
            </w:r>
            <w:r w:rsidRPr="001D252B">
              <w:rPr>
                <w:sz w:val="28"/>
                <w:szCs w:val="28"/>
              </w:rPr>
              <w:t xml:space="preserve"> instit</w:t>
            </w:r>
            <w:r w:rsidRPr="001D252B">
              <w:rPr>
                <w:rFonts w:hint="eastAsia"/>
                <w:sz w:val="28"/>
                <w:szCs w:val="28"/>
              </w:rPr>
              <w:t>ū</w:t>
            </w:r>
            <w:r w:rsidRPr="001D252B">
              <w:rPr>
                <w:sz w:val="28"/>
                <w:szCs w:val="28"/>
              </w:rPr>
              <w:t>ta “Latvijas Hidroekolo</w:t>
            </w:r>
            <w:r w:rsidRPr="001D252B">
              <w:rPr>
                <w:rFonts w:hint="eastAsia"/>
                <w:sz w:val="28"/>
                <w:szCs w:val="28"/>
              </w:rPr>
              <w:t>ģ</w:t>
            </w:r>
            <w:r w:rsidRPr="001D252B">
              <w:rPr>
                <w:sz w:val="28"/>
                <w:szCs w:val="28"/>
              </w:rPr>
              <w:t>ijas instit</w:t>
            </w:r>
            <w:r w:rsidRPr="001D252B">
              <w:rPr>
                <w:rFonts w:hint="eastAsia"/>
                <w:sz w:val="28"/>
                <w:szCs w:val="28"/>
              </w:rPr>
              <w:t>ū</w:t>
            </w:r>
            <w:r w:rsidRPr="001D252B">
              <w:rPr>
                <w:sz w:val="28"/>
                <w:szCs w:val="28"/>
              </w:rPr>
              <w:t>ts” – reorganiz</w:t>
            </w:r>
            <w:r w:rsidRPr="001D252B">
              <w:rPr>
                <w:rFonts w:hint="eastAsia"/>
                <w:sz w:val="28"/>
                <w:szCs w:val="28"/>
              </w:rPr>
              <w:t>ā</w:t>
            </w:r>
            <w:r w:rsidRPr="001D252B">
              <w:rPr>
                <w:sz w:val="28"/>
                <w:szCs w:val="28"/>
              </w:rPr>
              <w:t>ciju” ir tikusi apstiprināta atvasinātas publiskas personas - valsts zinātniskā institūta “Latvijas Hidroekoloģijas institūts” reorganizācija 2017. gada 1. novembrī, nododot to atvasinātai publiskai personai Daugavpils Universitātei un uz reorganizētā institūta bāzes izveidojot Daugavpils Universitātes aģentūru “Latvijas Hidroekoloģijas institūts”.</w:t>
            </w:r>
          </w:p>
          <w:p w:rsidR="000A403E" w:rsidRDefault="000A403E" w:rsidP="001D252B">
            <w:pPr>
              <w:contextualSpacing/>
              <w:jc w:val="both"/>
              <w:rPr>
                <w:sz w:val="28"/>
                <w:szCs w:val="28"/>
              </w:rPr>
            </w:pPr>
            <w:bookmarkStart w:id="2" w:name="_GoBack"/>
            <w:r w:rsidRPr="00435098">
              <w:rPr>
                <w:sz w:val="28"/>
                <w:szCs w:val="28"/>
              </w:rPr>
              <w:t>Informā</w:t>
            </w:r>
            <w:bookmarkEnd w:id="2"/>
            <w:r w:rsidRPr="00435098">
              <w:rPr>
                <w:sz w:val="28"/>
                <w:szCs w:val="28"/>
              </w:rPr>
              <w:t xml:space="preserve">cija par augstskolu dibinātām aģentūrām, kuras iekšējās konsolidācijas procesos kļuva par augstskolu struktūrvienībām vai iekšējās konsolidācijas procesos likvidētas, apkopota netika. Informācija par privātajām zinātniskajām institūcijām pilnā apjomā nav pieejama, jo tās nav atbildējušas uz </w:t>
            </w:r>
            <w:r w:rsidRPr="00435098">
              <w:rPr>
                <w:sz w:val="28"/>
                <w:szCs w:val="28"/>
              </w:rPr>
              <w:lastRenderedPageBreak/>
              <w:t xml:space="preserve">vēstulēm, kas liek domāt, ka zinātniskā vai cita darbība </w:t>
            </w:r>
            <w:r w:rsidR="00435098" w:rsidRPr="00435098">
              <w:rPr>
                <w:sz w:val="28"/>
                <w:szCs w:val="28"/>
              </w:rPr>
              <w:t>šobrīd</w:t>
            </w:r>
            <w:r w:rsidRPr="00435098">
              <w:rPr>
                <w:sz w:val="28"/>
                <w:szCs w:val="28"/>
              </w:rPr>
              <w:t xml:space="preserve"> (vairs) nenotiek.</w:t>
            </w:r>
          </w:p>
          <w:p w:rsidR="004055D3" w:rsidRDefault="00AB36A7" w:rsidP="001D252B">
            <w:pPr>
              <w:pStyle w:val="tv2132"/>
              <w:spacing w:line="240" w:lineRule="auto"/>
              <w:ind w:firstLine="0"/>
              <w:jc w:val="both"/>
              <w:rPr>
                <w:color w:val="auto"/>
                <w:sz w:val="28"/>
                <w:szCs w:val="28"/>
              </w:rPr>
            </w:pPr>
            <w:r>
              <w:rPr>
                <w:color w:val="000000" w:themeColor="text1"/>
                <w:sz w:val="28"/>
                <w:szCs w:val="28"/>
              </w:rPr>
              <w:t xml:space="preserve">Ievērojot minēto, </w:t>
            </w:r>
            <w:r w:rsidRPr="009E1AA6">
              <w:rPr>
                <w:color w:val="000000" w:themeColor="text1"/>
                <w:sz w:val="28"/>
                <w:szCs w:val="28"/>
              </w:rPr>
              <w:t>Ministru kabineta</w:t>
            </w:r>
            <w:r w:rsidR="001D252B">
              <w:rPr>
                <w:color w:val="000000" w:themeColor="text1"/>
                <w:sz w:val="28"/>
                <w:szCs w:val="28"/>
              </w:rPr>
              <w:t xml:space="preserve"> </w:t>
            </w:r>
            <w:r w:rsidR="001D252B" w:rsidRPr="00C133C8">
              <w:rPr>
                <w:color w:val="000000" w:themeColor="text1"/>
                <w:sz w:val="28"/>
                <w:szCs w:val="28"/>
              </w:rPr>
              <w:t>2011.</w:t>
            </w:r>
            <w:r w:rsidR="001D252B">
              <w:rPr>
                <w:color w:val="000000" w:themeColor="text1"/>
                <w:sz w:val="28"/>
                <w:szCs w:val="28"/>
              </w:rPr>
              <w:t xml:space="preserve"> </w:t>
            </w:r>
            <w:r w:rsidR="001D252B" w:rsidRPr="00C133C8">
              <w:rPr>
                <w:color w:val="000000" w:themeColor="text1"/>
                <w:sz w:val="28"/>
                <w:szCs w:val="28"/>
              </w:rPr>
              <w:t>gada 26.</w:t>
            </w:r>
            <w:r w:rsidR="001D252B">
              <w:rPr>
                <w:color w:val="000000" w:themeColor="text1"/>
                <w:sz w:val="28"/>
                <w:szCs w:val="28"/>
              </w:rPr>
              <w:t xml:space="preserve"> </w:t>
            </w:r>
            <w:r w:rsidR="001D252B" w:rsidRPr="00C133C8">
              <w:rPr>
                <w:color w:val="000000" w:themeColor="text1"/>
                <w:sz w:val="28"/>
                <w:szCs w:val="28"/>
              </w:rPr>
              <w:t>aprīļa sēdes protokollēmuma</w:t>
            </w:r>
            <w:r w:rsidR="00320030">
              <w:rPr>
                <w:color w:val="000000" w:themeColor="text1"/>
                <w:sz w:val="28"/>
                <w:szCs w:val="28"/>
              </w:rPr>
              <w:t xml:space="preserve"> (prot. Nr.27 29.§) “Informatīvais ziņojums “Par darbības programmas “</w:t>
            </w:r>
            <w:r w:rsidR="001D252B" w:rsidRPr="00C133C8">
              <w:rPr>
                <w:color w:val="000000" w:themeColor="text1"/>
                <w:sz w:val="28"/>
                <w:szCs w:val="28"/>
              </w:rPr>
              <w:t>Cilvēkresursi un nod</w:t>
            </w:r>
            <w:r w:rsidR="00320030">
              <w:rPr>
                <w:color w:val="000000" w:themeColor="text1"/>
                <w:sz w:val="28"/>
                <w:szCs w:val="28"/>
              </w:rPr>
              <w:t>arbinātība” 1.1.1.1.aktivitāti “</w:t>
            </w:r>
            <w:r w:rsidR="001D252B" w:rsidRPr="00C133C8">
              <w:rPr>
                <w:color w:val="000000" w:themeColor="text1"/>
                <w:sz w:val="28"/>
                <w:szCs w:val="28"/>
              </w:rPr>
              <w:t xml:space="preserve">Zinātnes un inovāciju politikas veidošanas un administratīvās kapacitātes stiprināšana””” </w:t>
            </w:r>
            <w:r w:rsidR="001D252B">
              <w:rPr>
                <w:color w:val="000000" w:themeColor="text1"/>
                <w:sz w:val="28"/>
                <w:szCs w:val="28"/>
              </w:rPr>
              <w:t>7.3. apakš</w:t>
            </w:r>
            <w:r w:rsidR="001D252B" w:rsidRPr="009E1AA6">
              <w:rPr>
                <w:color w:val="000000" w:themeColor="text1"/>
                <w:sz w:val="28"/>
                <w:szCs w:val="28"/>
              </w:rPr>
              <w:t>punktā</w:t>
            </w:r>
            <w:r w:rsidRPr="009E1AA6">
              <w:rPr>
                <w:color w:val="000000" w:themeColor="text1"/>
                <w:sz w:val="28"/>
                <w:szCs w:val="28"/>
              </w:rPr>
              <w:t xml:space="preserve"> </w:t>
            </w:r>
            <w:r>
              <w:rPr>
                <w:color w:val="000000" w:themeColor="text1"/>
                <w:sz w:val="28"/>
                <w:szCs w:val="28"/>
              </w:rPr>
              <w:t>dotais uzdevums ir zaudējis aktualitāti.</w:t>
            </w:r>
          </w:p>
        </w:tc>
      </w:tr>
      <w:tr w:rsidR="00C86E3B" w:rsidTr="00C86E3B">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C86E3B" w:rsidRDefault="00C86E3B" w:rsidP="0072211D">
            <w:pPr>
              <w:spacing w:before="100" w:beforeAutospacing="1" w:after="100" w:afterAutospacing="1"/>
              <w:jc w:val="both"/>
              <w:rPr>
                <w:sz w:val="28"/>
                <w:szCs w:val="28"/>
              </w:rPr>
            </w:pPr>
            <w:r>
              <w:rPr>
                <w:sz w:val="28"/>
                <w:szCs w:val="28"/>
              </w:rPr>
              <w:t>Izglītības un zinātnes ministrija</w:t>
            </w:r>
          </w:p>
        </w:tc>
      </w:tr>
      <w:tr w:rsidR="00C86E3B" w:rsidTr="00C86E3B">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jc w:val="both"/>
              <w:rPr>
                <w:szCs w:val="28"/>
              </w:rPr>
            </w:pPr>
            <w:r>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127" w:right="140"/>
              <w:jc w:val="both"/>
              <w:rPr>
                <w:szCs w:val="28"/>
              </w:rPr>
            </w:pPr>
            <w:r>
              <w:rPr>
                <w:sz w:val="28"/>
                <w:szCs w:val="28"/>
              </w:rPr>
              <w:t>Nav.</w:t>
            </w:r>
          </w:p>
        </w:tc>
      </w:tr>
    </w:tbl>
    <w:p w:rsidR="00C86E3B" w:rsidRDefault="00C86E3B" w:rsidP="00C86E3B">
      <w:pPr>
        <w:rPr>
          <w:sz w:val="28"/>
          <w:szCs w:val="28"/>
        </w:rPr>
      </w:pPr>
    </w:p>
    <w:tbl>
      <w:tblPr>
        <w:tblW w:w="500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25"/>
      </w:tblGrid>
      <w:tr w:rsidR="006E017B" w:rsidRPr="006E017B" w:rsidTr="00E44C0C">
        <w:trPr>
          <w:trHeight w:val="450"/>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rsidR="006E017B" w:rsidRPr="00D14DCD" w:rsidRDefault="006E017B" w:rsidP="00A812E8">
            <w:pPr>
              <w:jc w:val="center"/>
              <w:rPr>
                <w:b/>
                <w:sz w:val="26"/>
                <w:szCs w:val="26"/>
              </w:rPr>
            </w:pPr>
            <w:r w:rsidRPr="00D14DCD">
              <w:rPr>
                <w:b/>
                <w:sz w:val="26"/>
                <w:szCs w:val="26"/>
              </w:rPr>
              <w:t>II. Tiesību akta projekta ietekme uz sabiedrību, tautsaimniecības attīstību un administratīvo slogu</w:t>
            </w:r>
          </w:p>
        </w:tc>
      </w:tr>
      <w:tr w:rsidR="006E017B" w:rsidRPr="006E017B" w:rsidTr="00E44C0C">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rsidR="006E017B" w:rsidRPr="006E017B" w:rsidRDefault="006E017B" w:rsidP="006E017B">
            <w:pPr>
              <w:jc w:val="center"/>
              <w:rPr>
                <w:sz w:val="26"/>
                <w:szCs w:val="26"/>
              </w:rPr>
            </w:pPr>
            <w:r w:rsidRPr="006E017B">
              <w:rPr>
                <w:sz w:val="26"/>
                <w:szCs w:val="26"/>
              </w:rPr>
              <w:t>Noteikumu projekts šo jomu neskar.</w:t>
            </w:r>
          </w:p>
        </w:tc>
      </w:tr>
    </w:tbl>
    <w:p w:rsidR="006E017B" w:rsidRPr="006E017B" w:rsidRDefault="006E017B" w:rsidP="006E017B">
      <w:pPr>
        <w:ind w:firstLine="301"/>
        <w:rPr>
          <w:sz w:val="26"/>
          <w:szCs w:val="26"/>
        </w:rPr>
      </w:pPr>
    </w:p>
    <w:tbl>
      <w:tblPr>
        <w:tblW w:w="49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6"/>
      </w:tblGrid>
      <w:tr w:rsidR="006E017B" w:rsidRPr="006E017B" w:rsidTr="006E017B">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rsidR="006E017B" w:rsidRPr="006E017B" w:rsidRDefault="006E017B" w:rsidP="006E017B">
            <w:pPr>
              <w:ind w:firstLine="301"/>
              <w:jc w:val="center"/>
              <w:rPr>
                <w:b/>
                <w:bCs/>
                <w:sz w:val="26"/>
                <w:szCs w:val="26"/>
              </w:rPr>
            </w:pPr>
            <w:r w:rsidRPr="00C823EF">
              <w:rPr>
                <w:b/>
                <w:bCs/>
                <w:sz w:val="26"/>
                <w:szCs w:val="26"/>
              </w:rPr>
              <w:t>III</w:t>
            </w:r>
            <w:r w:rsidRPr="006E017B">
              <w:rPr>
                <w:b/>
                <w:bCs/>
                <w:sz w:val="26"/>
                <w:szCs w:val="26"/>
              </w:rPr>
              <w:t xml:space="preserve">. </w:t>
            </w:r>
            <w:r w:rsidRPr="00C823EF">
              <w:rPr>
                <w:b/>
                <w:bCs/>
                <w:sz w:val="26"/>
                <w:szCs w:val="26"/>
              </w:rPr>
              <w:t>Tiesību akta projekta ietekme uz valsts budžetu un pašvaldību budžetiem</w:t>
            </w:r>
          </w:p>
        </w:tc>
      </w:tr>
      <w:tr w:rsidR="006E017B" w:rsidRPr="006E017B" w:rsidTr="006E017B">
        <w:trPr>
          <w:trHeight w:val="165"/>
          <w:tblCellSpacing w:w="15" w:type="dxa"/>
        </w:trPr>
        <w:tc>
          <w:tcPr>
            <w:tcW w:w="4964" w:type="pct"/>
            <w:tcBorders>
              <w:top w:val="outset" w:sz="6" w:space="0" w:color="auto"/>
              <w:left w:val="outset" w:sz="6" w:space="0" w:color="auto"/>
              <w:bottom w:val="outset" w:sz="6" w:space="0" w:color="auto"/>
              <w:right w:val="outset" w:sz="6" w:space="0" w:color="auto"/>
            </w:tcBorders>
            <w:hideMark/>
          </w:tcPr>
          <w:p w:rsidR="006E017B" w:rsidRPr="006E017B" w:rsidRDefault="006E017B" w:rsidP="006E017B">
            <w:pPr>
              <w:jc w:val="center"/>
              <w:rPr>
                <w:sz w:val="26"/>
                <w:szCs w:val="26"/>
              </w:rPr>
            </w:pPr>
            <w:r w:rsidRPr="006E017B">
              <w:rPr>
                <w:sz w:val="26"/>
                <w:szCs w:val="26"/>
              </w:rPr>
              <w:t>Noteikumu projekts šo jomu neskar.</w:t>
            </w:r>
          </w:p>
        </w:tc>
      </w:tr>
      <w:tr w:rsidR="006E017B" w:rsidRPr="006E017B" w:rsidTr="006E017B">
        <w:tblPrEx>
          <w:jc w:val="center"/>
        </w:tblPrEx>
        <w:trPr>
          <w:trHeight w:val="450"/>
          <w:tblCellSpacing w:w="15" w:type="dxa"/>
          <w:jc w:val="center"/>
        </w:trPr>
        <w:tc>
          <w:tcPr>
            <w:tcW w:w="4964" w:type="pct"/>
            <w:tcBorders>
              <w:top w:val="outset" w:sz="6" w:space="0" w:color="auto"/>
              <w:left w:val="outset" w:sz="6" w:space="0" w:color="auto"/>
              <w:bottom w:val="outset" w:sz="6" w:space="0" w:color="auto"/>
              <w:right w:val="outset" w:sz="6" w:space="0" w:color="auto"/>
            </w:tcBorders>
            <w:vAlign w:val="center"/>
            <w:hideMark/>
          </w:tcPr>
          <w:p w:rsidR="006E017B" w:rsidRPr="006E017B" w:rsidRDefault="006E017B" w:rsidP="006E017B">
            <w:pPr>
              <w:spacing w:before="100" w:beforeAutospacing="1" w:after="100" w:afterAutospacing="1" w:line="360" w:lineRule="auto"/>
              <w:ind w:firstLine="300"/>
              <w:jc w:val="center"/>
              <w:rPr>
                <w:b/>
                <w:bCs/>
                <w:sz w:val="26"/>
                <w:szCs w:val="26"/>
              </w:rPr>
            </w:pPr>
            <w:r w:rsidRPr="006E017B">
              <w:rPr>
                <w:b/>
                <w:bCs/>
                <w:sz w:val="26"/>
                <w:szCs w:val="26"/>
              </w:rPr>
              <w:t xml:space="preserve">IV. </w:t>
            </w:r>
            <w:r w:rsidRPr="00C823EF">
              <w:rPr>
                <w:b/>
                <w:bCs/>
                <w:sz w:val="26"/>
                <w:szCs w:val="26"/>
              </w:rPr>
              <w:t>Tiesību akta projekta ietekme uz spēkā esošo tiesību normu sistēmu</w:t>
            </w:r>
          </w:p>
        </w:tc>
      </w:tr>
      <w:tr w:rsidR="006E017B" w:rsidRPr="006E017B" w:rsidTr="006E017B">
        <w:tblPrEx>
          <w:jc w:val="center"/>
        </w:tblPrEx>
        <w:trPr>
          <w:tblCellSpacing w:w="15" w:type="dxa"/>
          <w:jc w:val="center"/>
        </w:trPr>
        <w:tc>
          <w:tcPr>
            <w:tcW w:w="4964" w:type="pct"/>
            <w:tcBorders>
              <w:top w:val="outset" w:sz="6" w:space="0" w:color="auto"/>
              <w:left w:val="outset" w:sz="6" w:space="0" w:color="auto"/>
              <w:bottom w:val="outset" w:sz="6" w:space="0" w:color="auto"/>
              <w:right w:val="outset" w:sz="6" w:space="0" w:color="auto"/>
            </w:tcBorders>
          </w:tcPr>
          <w:p w:rsidR="006E017B" w:rsidRPr="006E017B" w:rsidRDefault="006E017B" w:rsidP="006E017B">
            <w:pPr>
              <w:jc w:val="center"/>
              <w:rPr>
                <w:sz w:val="26"/>
                <w:szCs w:val="26"/>
              </w:rPr>
            </w:pPr>
            <w:r w:rsidRPr="006E017B">
              <w:rPr>
                <w:sz w:val="26"/>
                <w:szCs w:val="26"/>
              </w:rPr>
              <w:t>Noteikumu projekts šo jomu neskar.</w:t>
            </w:r>
          </w:p>
        </w:tc>
      </w:tr>
    </w:tbl>
    <w:p w:rsidR="006E017B" w:rsidRPr="006E017B" w:rsidRDefault="006E017B" w:rsidP="006E017B">
      <w:pPr>
        <w:ind w:firstLine="301"/>
        <w:rPr>
          <w:sz w:val="26"/>
          <w:szCs w:val="26"/>
        </w:rPr>
      </w:pPr>
    </w:p>
    <w:tbl>
      <w:tblPr>
        <w:tblW w:w="49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56"/>
      </w:tblGrid>
      <w:tr w:rsidR="006E017B" w:rsidRPr="006E017B" w:rsidTr="006E017B">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rsidR="006E017B" w:rsidRPr="006E017B" w:rsidRDefault="006E017B" w:rsidP="006E017B">
            <w:pPr>
              <w:ind w:firstLine="301"/>
              <w:jc w:val="center"/>
              <w:rPr>
                <w:b/>
                <w:bCs/>
                <w:sz w:val="26"/>
                <w:szCs w:val="26"/>
              </w:rPr>
            </w:pPr>
            <w:r w:rsidRPr="006E017B">
              <w:rPr>
                <w:b/>
                <w:bCs/>
                <w:sz w:val="26"/>
                <w:szCs w:val="26"/>
              </w:rPr>
              <w:t>V. Tiesību akta projekta atbilstība Latvijas Republikas starptautiskajām saistībām</w:t>
            </w:r>
          </w:p>
        </w:tc>
      </w:tr>
      <w:tr w:rsidR="006E017B" w:rsidRPr="006E017B" w:rsidTr="006E017B">
        <w:trPr>
          <w:trHeight w:val="165"/>
          <w:tblCellSpacing w:w="15" w:type="dxa"/>
        </w:trPr>
        <w:tc>
          <w:tcPr>
            <w:tcW w:w="4964" w:type="pct"/>
            <w:tcBorders>
              <w:top w:val="outset" w:sz="6" w:space="0" w:color="auto"/>
              <w:left w:val="outset" w:sz="6" w:space="0" w:color="auto"/>
              <w:bottom w:val="outset" w:sz="6" w:space="0" w:color="auto"/>
              <w:right w:val="outset" w:sz="6" w:space="0" w:color="auto"/>
            </w:tcBorders>
            <w:hideMark/>
          </w:tcPr>
          <w:p w:rsidR="006E017B" w:rsidRPr="006E017B" w:rsidRDefault="006E017B" w:rsidP="006E017B">
            <w:pPr>
              <w:jc w:val="center"/>
              <w:rPr>
                <w:sz w:val="26"/>
                <w:szCs w:val="26"/>
              </w:rPr>
            </w:pPr>
            <w:r w:rsidRPr="006E017B">
              <w:rPr>
                <w:sz w:val="26"/>
                <w:szCs w:val="26"/>
              </w:rPr>
              <w:t>Noteikumu projekts šo jomu neskar.</w:t>
            </w:r>
          </w:p>
        </w:tc>
      </w:tr>
      <w:tr w:rsidR="006E017B" w:rsidRPr="006E017B" w:rsidTr="006E017B">
        <w:tblPrEx>
          <w:jc w:val="center"/>
        </w:tblPrEx>
        <w:trPr>
          <w:trHeight w:val="450"/>
          <w:tblCellSpacing w:w="15" w:type="dxa"/>
          <w:jc w:val="center"/>
        </w:trPr>
        <w:tc>
          <w:tcPr>
            <w:tcW w:w="4964" w:type="pct"/>
            <w:tcBorders>
              <w:top w:val="outset" w:sz="6" w:space="0" w:color="auto"/>
              <w:left w:val="outset" w:sz="6" w:space="0" w:color="auto"/>
              <w:bottom w:val="outset" w:sz="6" w:space="0" w:color="auto"/>
              <w:right w:val="outset" w:sz="6" w:space="0" w:color="auto"/>
            </w:tcBorders>
            <w:vAlign w:val="center"/>
            <w:hideMark/>
          </w:tcPr>
          <w:p w:rsidR="006E017B" w:rsidRPr="006E017B" w:rsidRDefault="006E017B" w:rsidP="006E017B">
            <w:pPr>
              <w:spacing w:before="100" w:beforeAutospacing="1" w:after="100" w:afterAutospacing="1" w:line="360" w:lineRule="auto"/>
              <w:ind w:firstLine="300"/>
              <w:jc w:val="center"/>
              <w:rPr>
                <w:b/>
                <w:bCs/>
                <w:sz w:val="26"/>
                <w:szCs w:val="26"/>
              </w:rPr>
            </w:pPr>
            <w:r w:rsidRPr="006E017B">
              <w:rPr>
                <w:b/>
                <w:bCs/>
                <w:sz w:val="26"/>
                <w:szCs w:val="26"/>
              </w:rPr>
              <w:t>V</w:t>
            </w:r>
            <w:r w:rsidRPr="00C823EF">
              <w:rPr>
                <w:b/>
                <w:bCs/>
                <w:sz w:val="26"/>
                <w:szCs w:val="26"/>
              </w:rPr>
              <w:t>I</w:t>
            </w:r>
            <w:r w:rsidRPr="006E017B">
              <w:rPr>
                <w:b/>
                <w:bCs/>
                <w:sz w:val="26"/>
                <w:szCs w:val="26"/>
              </w:rPr>
              <w:t xml:space="preserve">. </w:t>
            </w:r>
            <w:r w:rsidRPr="00C823EF">
              <w:rPr>
                <w:b/>
                <w:bCs/>
                <w:sz w:val="26"/>
                <w:szCs w:val="26"/>
              </w:rPr>
              <w:t>Sabiedrības līdzdalība un komunikācijas aktivitātes</w:t>
            </w:r>
          </w:p>
        </w:tc>
      </w:tr>
      <w:tr w:rsidR="006E017B" w:rsidRPr="006E017B" w:rsidTr="006E017B">
        <w:tblPrEx>
          <w:jc w:val="center"/>
        </w:tblPrEx>
        <w:trPr>
          <w:tblCellSpacing w:w="15" w:type="dxa"/>
          <w:jc w:val="center"/>
        </w:trPr>
        <w:tc>
          <w:tcPr>
            <w:tcW w:w="4964" w:type="pct"/>
            <w:tcBorders>
              <w:top w:val="outset" w:sz="6" w:space="0" w:color="auto"/>
              <w:left w:val="outset" w:sz="6" w:space="0" w:color="auto"/>
              <w:bottom w:val="outset" w:sz="6" w:space="0" w:color="auto"/>
              <w:right w:val="outset" w:sz="6" w:space="0" w:color="auto"/>
            </w:tcBorders>
          </w:tcPr>
          <w:p w:rsidR="006E017B" w:rsidRPr="006E017B" w:rsidRDefault="006E017B" w:rsidP="006E017B">
            <w:pPr>
              <w:jc w:val="center"/>
              <w:rPr>
                <w:sz w:val="26"/>
                <w:szCs w:val="26"/>
              </w:rPr>
            </w:pPr>
            <w:r w:rsidRPr="006E017B">
              <w:rPr>
                <w:sz w:val="26"/>
                <w:szCs w:val="26"/>
              </w:rPr>
              <w:t>Noteikumu projekts šo jomu neskar.</w:t>
            </w:r>
          </w:p>
        </w:tc>
      </w:tr>
    </w:tbl>
    <w:p w:rsidR="006E017B" w:rsidRPr="006E017B" w:rsidRDefault="006E017B" w:rsidP="006E017B">
      <w:pPr>
        <w:ind w:firstLine="301"/>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6"/>
      </w:tblGrid>
      <w:tr w:rsidR="006E017B" w:rsidRPr="006E017B" w:rsidTr="00E44C0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E017B" w:rsidRPr="006E017B" w:rsidRDefault="006E017B" w:rsidP="006E017B">
            <w:pPr>
              <w:ind w:firstLine="301"/>
              <w:jc w:val="center"/>
              <w:rPr>
                <w:b/>
                <w:bCs/>
                <w:sz w:val="26"/>
                <w:szCs w:val="26"/>
              </w:rPr>
            </w:pPr>
            <w:r w:rsidRPr="006E017B">
              <w:rPr>
                <w:b/>
                <w:bCs/>
                <w:sz w:val="26"/>
                <w:szCs w:val="26"/>
              </w:rPr>
              <w:t>V</w:t>
            </w:r>
            <w:r w:rsidRPr="00C823EF">
              <w:rPr>
                <w:b/>
                <w:bCs/>
                <w:sz w:val="26"/>
                <w:szCs w:val="26"/>
              </w:rPr>
              <w:t>II</w:t>
            </w:r>
            <w:r w:rsidRPr="006E017B">
              <w:rPr>
                <w:b/>
                <w:bCs/>
                <w:sz w:val="26"/>
                <w:szCs w:val="26"/>
              </w:rPr>
              <w:t xml:space="preserve">. </w:t>
            </w:r>
            <w:r w:rsidRPr="00C823EF">
              <w:rPr>
                <w:b/>
                <w:bCs/>
                <w:sz w:val="26"/>
                <w:szCs w:val="26"/>
              </w:rPr>
              <w:t>Tiesību akta projekta izpildes nodrošināšana un tās ietekme uz institūcijām</w:t>
            </w:r>
          </w:p>
        </w:tc>
      </w:tr>
      <w:tr w:rsidR="006E017B" w:rsidRPr="006E017B" w:rsidTr="00E44C0C">
        <w:trPr>
          <w:trHeight w:val="1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E017B" w:rsidRPr="006E017B" w:rsidRDefault="006E017B" w:rsidP="006E017B">
            <w:pPr>
              <w:jc w:val="center"/>
              <w:rPr>
                <w:sz w:val="26"/>
                <w:szCs w:val="26"/>
              </w:rPr>
            </w:pPr>
            <w:r w:rsidRPr="006E017B">
              <w:rPr>
                <w:sz w:val="26"/>
                <w:szCs w:val="26"/>
              </w:rPr>
              <w:t>Noteikumu projekts šo jomu neskar.</w:t>
            </w:r>
          </w:p>
        </w:tc>
      </w:tr>
    </w:tbl>
    <w:p w:rsidR="00242D02" w:rsidRDefault="00242D02" w:rsidP="00C86E3B">
      <w:pPr>
        <w:jc w:val="both"/>
        <w:rPr>
          <w:sz w:val="28"/>
          <w:szCs w:val="28"/>
        </w:rPr>
      </w:pPr>
    </w:p>
    <w:p w:rsidR="00C86E3B" w:rsidRDefault="00C86E3B" w:rsidP="00C86E3B">
      <w:pPr>
        <w:jc w:val="both"/>
        <w:rPr>
          <w:sz w:val="28"/>
          <w:szCs w:val="28"/>
        </w:rPr>
      </w:pPr>
      <w:r>
        <w:rPr>
          <w:sz w:val="28"/>
          <w:szCs w:val="28"/>
        </w:rPr>
        <w:t xml:space="preserve">Izglītības un zinātnes ministrs  </w:t>
      </w:r>
      <w:r>
        <w:rPr>
          <w:sz w:val="28"/>
          <w:szCs w:val="28"/>
        </w:rPr>
        <w:tab/>
      </w:r>
      <w:r>
        <w:rPr>
          <w:sz w:val="28"/>
          <w:szCs w:val="28"/>
        </w:rPr>
        <w:tab/>
      </w:r>
      <w:r>
        <w:rPr>
          <w:sz w:val="28"/>
          <w:szCs w:val="28"/>
        </w:rPr>
        <w:tab/>
      </w:r>
      <w:r>
        <w:rPr>
          <w:sz w:val="28"/>
          <w:szCs w:val="28"/>
        </w:rPr>
        <w:tab/>
        <w:t xml:space="preserve">    Kārlis Šadurskis</w:t>
      </w:r>
    </w:p>
    <w:p w:rsidR="00C86E3B" w:rsidRDefault="00C86E3B" w:rsidP="00C86E3B">
      <w:pPr>
        <w:jc w:val="both"/>
      </w:pPr>
      <w:r>
        <w:rPr>
          <w:sz w:val="28"/>
          <w:szCs w:val="28"/>
        </w:rPr>
        <w:lastRenderedPageBreak/>
        <w:tab/>
      </w:r>
      <w:r>
        <w:rPr>
          <w:sz w:val="28"/>
          <w:szCs w:val="28"/>
        </w:rPr>
        <w:tab/>
      </w:r>
      <w:r>
        <w:rPr>
          <w:sz w:val="28"/>
          <w:szCs w:val="28"/>
        </w:rPr>
        <w:tab/>
      </w:r>
      <w:r>
        <w:rPr>
          <w:sz w:val="28"/>
          <w:szCs w:val="28"/>
        </w:rPr>
        <w:tab/>
      </w:r>
    </w:p>
    <w:p w:rsidR="00C86E3B" w:rsidRDefault="00C86E3B" w:rsidP="00C86E3B">
      <w:pPr>
        <w:jc w:val="both"/>
      </w:pPr>
    </w:p>
    <w:bookmarkEnd w:id="0"/>
    <w:bookmarkEnd w:id="1"/>
    <w:p w:rsidR="00C86E3B" w:rsidRDefault="001D252B" w:rsidP="00C86E3B">
      <w:pPr>
        <w:rPr>
          <w:color w:val="000000"/>
          <w:sz w:val="28"/>
          <w:szCs w:val="28"/>
        </w:rPr>
      </w:pPr>
      <w:r>
        <w:rPr>
          <w:color w:val="000000"/>
          <w:sz w:val="28"/>
          <w:szCs w:val="28"/>
        </w:rPr>
        <w:t>Vīza</w:t>
      </w:r>
      <w:r w:rsidR="00C86E3B">
        <w:rPr>
          <w:color w:val="000000"/>
          <w:sz w:val="28"/>
          <w:szCs w:val="28"/>
        </w:rPr>
        <w:t xml:space="preserve">: </w:t>
      </w:r>
    </w:p>
    <w:p w:rsidR="00C86E3B" w:rsidRPr="001746A6" w:rsidRDefault="00C86E3B" w:rsidP="001746A6">
      <w:pPr>
        <w:rPr>
          <w:sz w:val="28"/>
          <w:szCs w:val="28"/>
        </w:rPr>
      </w:pPr>
      <w:r>
        <w:rPr>
          <w:color w:val="000000"/>
          <w:sz w:val="28"/>
          <w:szCs w:val="28"/>
        </w:rPr>
        <w:t xml:space="preserve">Valsts sekretāre                          </w:t>
      </w:r>
      <w:r>
        <w:rPr>
          <w:color w:val="000000"/>
          <w:sz w:val="28"/>
          <w:szCs w:val="28"/>
        </w:rPr>
        <w:tab/>
        <w:t xml:space="preserve">         </w:t>
      </w:r>
      <w:r>
        <w:rPr>
          <w:color w:val="000000"/>
          <w:sz w:val="28"/>
          <w:szCs w:val="28"/>
        </w:rPr>
        <w:tab/>
        <w:t xml:space="preserve">               Līga Lejiņa </w:t>
      </w:r>
    </w:p>
    <w:p w:rsidR="00C86E3B" w:rsidRDefault="00C86E3B" w:rsidP="00C86E3B">
      <w:pPr>
        <w:pStyle w:val="NoSpacing"/>
        <w:rPr>
          <w:sz w:val="20"/>
          <w:szCs w:val="20"/>
        </w:rPr>
      </w:pPr>
    </w:p>
    <w:p w:rsidR="00C86E3B" w:rsidRDefault="00843982" w:rsidP="00C86E3B">
      <w:pPr>
        <w:pStyle w:val="NoSpacing"/>
        <w:rPr>
          <w:sz w:val="20"/>
          <w:szCs w:val="20"/>
        </w:rPr>
      </w:pPr>
      <w:r>
        <w:rPr>
          <w:sz w:val="20"/>
          <w:szCs w:val="20"/>
        </w:rPr>
        <w:t>24.10</w:t>
      </w:r>
      <w:r w:rsidR="00C86E3B">
        <w:rPr>
          <w:sz w:val="20"/>
          <w:szCs w:val="20"/>
        </w:rPr>
        <w:t xml:space="preserve">.2017. </w:t>
      </w:r>
    </w:p>
    <w:p w:rsidR="00C86E3B" w:rsidRDefault="000A403E" w:rsidP="00C86E3B">
      <w:pPr>
        <w:pStyle w:val="NoSpacing"/>
        <w:rPr>
          <w:sz w:val="20"/>
          <w:szCs w:val="20"/>
        </w:rPr>
      </w:pPr>
      <w:r>
        <w:rPr>
          <w:sz w:val="20"/>
          <w:szCs w:val="20"/>
        </w:rPr>
        <w:t>86</w:t>
      </w:r>
      <w:r w:rsidR="00435098">
        <w:rPr>
          <w:sz w:val="20"/>
          <w:szCs w:val="20"/>
        </w:rPr>
        <w:t>3</w:t>
      </w:r>
    </w:p>
    <w:p w:rsidR="001D252B" w:rsidRDefault="001D252B" w:rsidP="00C86E3B">
      <w:pPr>
        <w:pStyle w:val="NoSpacing"/>
        <w:rPr>
          <w:sz w:val="20"/>
          <w:szCs w:val="20"/>
        </w:rPr>
      </w:pPr>
      <w:r>
        <w:rPr>
          <w:sz w:val="20"/>
          <w:szCs w:val="20"/>
        </w:rPr>
        <w:t>N. Mazure, 67047702</w:t>
      </w:r>
    </w:p>
    <w:p w:rsidR="00C86E3B" w:rsidRPr="001D252B" w:rsidRDefault="009678C8" w:rsidP="00C86E3B">
      <w:pPr>
        <w:pStyle w:val="NoSpacing"/>
        <w:rPr>
          <w:sz w:val="20"/>
          <w:szCs w:val="20"/>
        </w:rPr>
      </w:pPr>
      <w:hyperlink r:id="rId7" w:history="1">
        <w:r w:rsidR="001D252B" w:rsidRPr="003F65B4">
          <w:rPr>
            <w:rStyle w:val="Hyperlink"/>
            <w:sz w:val="20"/>
            <w:szCs w:val="20"/>
          </w:rPr>
          <w:t>nadezda.mazure@izm.gov.lv</w:t>
        </w:r>
      </w:hyperlink>
      <w:r w:rsidR="00C86E3B">
        <w:rPr>
          <w:sz w:val="20"/>
          <w:szCs w:val="20"/>
        </w:rPr>
        <w:t xml:space="preserve"> </w:t>
      </w:r>
    </w:p>
    <w:p w:rsidR="000E14C2" w:rsidRDefault="000E14C2"/>
    <w:sectPr w:rsidR="000E14C2" w:rsidSect="00351792">
      <w:headerReference w:type="default" r:id="rId8"/>
      <w:footerReference w:type="default" r:id="rId9"/>
      <w:footerReference w:type="first" r:id="rId10"/>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C8" w:rsidRDefault="009678C8" w:rsidP="009E1AA6">
      <w:r>
        <w:separator/>
      </w:r>
    </w:p>
  </w:endnote>
  <w:endnote w:type="continuationSeparator" w:id="0">
    <w:p w:rsidR="009678C8" w:rsidRDefault="009678C8" w:rsidP="009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A6" w:rsidRPr="009E1AA6" w:rsidRDefault="009E1AA6" w:rsidP="004F01D9">
    <w:pPr>
      <w:tabs>
        <w:tab w:val="center" w:pos="4153"/>
        <w:tab w:val="right" w:pos="8306"/>
      </w:tabs>
      <w:jc w:val="both"/>
      <w:rPr>
        <w:rFonts w:eastAsiaTheme="minorEastAsia"/>
        <w:sz w:val="20"/>
        <w:szCs w:val="20"/>
      </w:rPr>
    </w:pPr>
    <w:r w:rsidRPr="009E1AA6">
      <w:rPr>
        <w:rFonts w:eastAsiaTheme="minorEastAsia"/>
        <w:sz w:val="20"/>
        <w:szCs w:val="20"/>
      </w:rPr>
      <w:t>IZM</w:t>
    </w:r>
    <w:r>
      <w:rPr>
        <w:rFonts w:eastAsiaTheme="minorEastAsia"/>
        <w:sz w:val="20"/>
        <w:szCs w:val="20"/>
      </w:rPr>
      <w:t>Anot</w:t>
    </w:r>
    <w:r w:rsidR="00843982">
      <w:rPr>
        <w:rFonts w:eastAsiaTheme="minorEastAsia"/>
        <w:sz w:val="20"/>
        <w:szCs w:val="20"/>
      </w:rPr>
      <w:t>_2410</w:t>
    </w:r>
    <w:r w:rsidR="00C133C8">
      <w:rPr>
        <w:rFonts w:eastAsiaTheme="minorEastAsia"/>
        <w:sz w:val="20"/>
        <w:szCs w:val="20"/>
      </w:rPr>
      <w:t>17_2011-UZD-1899</w:t>
    </w:r>
    <w:r w:rsidRPr="009E1AA6">
      <w:rPr>
        <w:rFonts w:eastAsiaTheme="minorEastAsia"/>
        <w:sz w:val="20"/>
        <w:szCs w:val="20"/>
      </w:rPr>
      <w:t xml:space="preserve">; Ministru </w:t>
    </w:r>
    <w:r w:rsidR="00C133C8">
      <w:rPr>
        <w:rFonts w:eastAsiaTheme="minorEastAsia"/>
        <w:sz w:val="20"/>
        <w:szCs w:val="20"/>
      </w:rPr>
      <w:t xml:space="preserve">kabineta protokollēmuma projekta </w:t>
    </w:r>
    <w:r w:rsidR="004F01D9" w:rsidRPr="004F01D9">
      <w:rPr>
        <w:rFonts w:eastAsiaTheme="minorEastAsia"/>
        <w:sz w:val="20"/>
        <w:szCs w:val="20"/>
      </w:rPr>
      <w:t>“Par Ministru kabineta 2011. gada 2</w:t>
    </w:r>
    <w:r w:rsidR="004F01D9">
      <w:rPr>
        <w:rFonts w:eastAsiaTheme="minorEastAsia"/>
        <w:sz w:val="20"/>
        <w:szCs w:val="20"/>
      </w:rPr>
      <w:t xml:space="preserve">6. aprīļa sēdes protokollēmuma </w:t>
    </w:r>
    <w:r w:rsidR="004F01D9" w:rsidRPr="004F01D9">
      <w:rPr>
        <w:rFonts w:eastAsiaTheme="minorEastAsia"/>
        <w:sz w:val="20"/>
        <w:szCs w:val="20"/>
      </w:rPr>
      <w:t xml:space="preserve">(prot. Nr. 27 29. §) “Informatīvais ziņojums “Par darbības programmas “Cilvēkresursi un nodarbinātība” 1.1.1.1. aktivitāti “Zinātnes un inovāciju politikas veidošanas un administratīvās kapacitātes stiprināšana””” 7.3. apakšpunktā dotā uzdevuma atzīšanu par aktualitāti zaudējušu” </w:t>
    </w:r>
    <w:r>
      <w:rPr>
        <w:rFonts w:eastAsiaTheme="minorEastAsia"/>
        <w:sz w:val="20"/>
        <w:szCs w:val="20"/>
      </w:rPr>
      <w:t>sākotnējās ietekmes novērtējuma ziņojums (anotācija)</w:t>
    </w:r>
    <w:r w:rsidRPr="009E1AA6">
      <w:rPr>
        <w:rFonts w:eastAsiaTheme="minorEastAsia"/>
        <w:sz w:val="20"/>
        <w:szCs w:val="20"/>
      </w:rPr>
      <w:t xml:space="preserve"> </w:t>
    </w:r>
  </w:p>
  <w:p w:rsidR="009E1AA6" w:rsidRDefault="009E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1A" w:rsidRPr="009E1AA6" w:rsidRDefault="0037491A" w:rsidP="004F01D9">
    <w:pPr>
      <w:tabs>
        <w:tab w:val="center" w:pos="4153"/>
        <w:tab w:val="right" w:pos="8306"/>
      </w:tabs>
      <w:jc w:val="both"/>
      <w:rPr>
        <w:rFonts w:eastAsiaTheme="minorEastAsia"/>
        <w:sz w:val="20"/>
        <w:szCs w:val="20"/>
      </w:rPr>
    </w:pPr>
    <w:r w:rsidRPr="009E1AA6">
      <w:rPr>
        <w:rFonts w:eastAsiaTheme="minorEastAsia"/>
        <w:sz w:val="20"/>
        <w:szCs w:val="20"/>
      </w:rPr>
      <w:t>IZM</w:t>
    </w:r>
    <w:r>
      <w:rPr>
        <w:rFonts w:eastAsiaTheme="minorEastAsia"/>
        <w:sz w:val="20"/>
        <w:szCs w:val="20"/>
      </w:rPr>
      <w:t>Anot</w:t>
    </w:r>
    <w:r w:rsidR="00843982">
      <w:rPr>
        <w:rFonts w:eastAsiaTheme="minorEastAsia"/>
        <w:sz w:val="20"/>
        <w:szCs w:val="20"/>
      </w:rPr>
      <w:t>_2410</w:t>
    </w:r>
    <w:r w:rsidR="00C133C8">
      <w:rPr>
        <w:rFonts w:eastAsiaTheme="minorEastAsia"/>
        <w:sz w:val="20"/>
        <w:szCs w:val="20"/>
      </w:rPr>
      <w:t>17_2011-UZD-1899</w:t>
    </w:r>
    <w:r w:rsidRPr="009E1AA6">
      <w:rPr>
        <w:rFonts w:eastAsiaTheme="minorEastAsia"/>
        <w:sz w:val="20"/>
        <w:szCs w:val="20"/>
      </w:rPr>
      <w:t xml:space="preserve">; Ministru </w:t>
    </w:r>
    <w:r w:rsidR="00C133C8">
      <w:rPr>
        <w:rFonts w:eastAsiaTheme="minorEastAsia"/>
        <w:sz w:val="20"/>
        <w:szCs w:val="20"/>
      </w:rPr>
      <w:t>kabineta protokollēmuma projekta</w:t>
    </w:r>
    <w:r w:rsidR="004F01D9">
      <w:rPr>
        <w:rFonts w:eastAsiaTheme="minorEastAsia"/>
        <w:sz w:val="20"/>
        <w:szCs w:val="20"/>
      </w:rPr>
      <w:t xml:space="preserve"> </w:t>
    </w:r>
    <w:r w:rsidR="004F01D9" w:rsidRPr="004F01D9">
      <w:rPr>
        <w:rFonts w:eastAsiaTheme="minorEastAsia"/>
        <w:sz w:val="20"/>
        <w:szCs w:val="20"/>
      </w:rPr>
      <w:t>“Par Ministru kabineta 2011. gada 2</w:t>
    </w:r>
    <w:r w:rsidR="004F01D9">
      <w:rPr>
        <w:rFonts w:eastAsiaTheme="minorEastAsia"/>
        <w:sz w:val="20"/>
        <w:szCs w:val="20"/>
      </w:rPr>
      <w:t xml:space="preserve">6. aprīļa sēdes protokollēmuma </w:t>
    </w:r>
    <w:r w:rsidR="004F01D9" w:rsidRPr="004F01D9">
      <w:rPr>
        <w:rFonts w:eastAsiaTheme="minorEastAsia"/>
        <w:sz w:val="20"/>
        <w:szCs w:val="20"/>
      </w:rPr>
      <w:t xml:space="preserve">(prot. Nr. 27 29. §) “Informatīvais ziņojums “Par darbības programmas “Cilvēkresursi un nodarbinātība” 1.1.1.1. aktivitāti “Zinātnes un inovāciju politikas veidošanas un administratīvās kapacitātes stiprināšana””” 7.3. apakšpunktā dotā uzdevuma atzīšanu par aktualitāti zaudējušu” </w:t>
    </w:r>
    <w:r>
      <w:rPr>
        <w:rFonts w:eastAsiaTheme="minorEastAsia"/>
        <w:sz w:val="20"/>
        <w:szCs w:val="20"/>
      </w:rPr>
      <w:t>sākotnējās ietekmes novērtējuma ziņojums (anotācija)</w:t>
    </w:r>
    <w:r w:rsidRPr="009E1AA6">
      <w:rPr>
        <w:rFonts w:eastAsiaTheme="minorEastAsia"/>
        <w:sz w:val="20"/>
        <w:szCs w:val="20"/>
      </w:rPr>
      <w:t xml:space="preserve"> </w:t>
    </w:r>
  </w:p>
  <w:p w:rsidR="0037491A" w:rsidRDefault="0037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C8" w:rsidRDefault="009678C8" w:rsidP="009E1AA6">
      <w:r>
        <w:separator/>
      </w:r>
    </w:p>
  </w:footnote>
  <w:footnote w:type="continuationSeparator" w:id="0">
    <w:p w:rsidR="009678C8" w:rsidRDefault="009678C8" w:rsidP="009E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50988"/>
      <w:docPartObj>
        <w:docPartGallery w:val="Page Numbers (Top of Page)"/>
        <w:docPartUnique/>
      </w:docPartObj>
    </w:sdtPr>
    <w:sdtEndPr>
      <w:rPr>
        <w:noProof/>
      </w:rPr>
    </w:sdtEndPr>
    <w:sdtContent>
      <w:p w:rsidR="009F43EA" w:rsidRDefault="009F43EA">
        <w:pPr>
          <w:pStyle w:val="Header"/>
          <w:jc w:val="center"/>
        </w:pPr>
        <w:r>
          <w:fldChar w:fldCharType="begin"/>
        </w:r>
        <w:r>
          <w:instrText xml:space="preserve"> PAGE   \* MERGEFORMAT </w:instrText>
        </w:r>
        <w:r>
          <w:fldChar w:fldCharType="separate"/>
        </w:r>
        <w:r w:rsidR="00435098">
          <w:rPr>
            <w:noProof/>
          </w:rPr>
          <w:t>4</w:t>
        </w:r>
        <w:r>
          <w:rPr>
            <w:noProof/>
          </w:rPr>
          <w:fldChar w:fldCharType="end"/>
        </w:r>
      </w:p>
    </w:sdtContent>
  </w:sdt>
  <w:p w:rsidR="009F43EA" w:rsidRDefault="009F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94F"/>
    <w:multiLevelType w:val="hybridMultilevel"/>
    <w:tmpl w:val="98CAEA10"/>
    <w:lvl w:ilvl="0" w:tplc="04260011">
      <w:start w:val="1"/>
      <w:numFmt w:val="decimal"/>
      <w:lvlText w:val="%1)"/>
      <w:lvlJc w:val="left"/>
      <w:pPr>
        <w:ind w:left="927"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A"/>
    <w:rsid w:val="00024424"/>
    <w:rsid w:val="0005795E"/>
    <w:rsid w:val="00071135"/>
    <w:rsid w:val="000A403E"/>
    <w:rsid w:val="000A5024"/>
    <w:rsid w:val="000E14C2"/>
    <w:rsid w:val="000E47DB"/>
    <w:rsid w:val="0012507A"/>
    <w:rsid w:val="00126D02"/>
    <w:rsid w:val="001746A6"/>
    <w:rsid w:val="001A7953"/>
    <w:rsid w:val="001C6632"/>
    <w:rsid w:val="001D252B"/>
    <w:rsid w:val="00242D02"/>
    <w:rsid w:val="00320030"/>
    <w:rsid w:val="00347AA7"/>
    <w:rsid w:val="00351792"/>
    <w:rsid w:val="00354FB0"/>
    <w:rsid w:val="0037491A"/>
    <w:rsid w:val="004055D3"/>
    <w:rsid w:val="00420CD4"/>
    <w:rsid w:val="00435098"/>
    <w:rsid w:val="00460C76"/>
    <w:rsid w:val="004A0C9D"/>
    <w:rsid w:val="004F01D9"/>
    <w:rsid w:val="004F2952"/>
    <w:rsid w:val="00550499"/>
    <w:rsid w:val="00550CE9"/>
    <w:rsid w:val="00595521"/>
    <w:rsid w:val="00653365"/>
    <w:rsid w:val="00665247"/>
    <w:rsid w:val="006745A1"/>
    <w:rsid w:val="006A2873"/>
    <w:rsid w:val="006B1034"/>
    <w:rsid w:val="006B5901"/>
    <w:rsid w:val="006E017B"/>
    <w:rsid w:val="007171F5"/>
    <w:rsid w:val="0072211D"/>
    <w:rsid w:val="007832A4"/>
    <w:rsid w:val="00804123"/>
    <w:rsid w:val="00843982"/>
    <w:rsid w:val="00883A98"/>
    <w:rsid w:val="009678C8"/>
    <w:rsid w:val="009A4AEA"/>
    <w:rsid w:val="009B6B0F"/>
    <w:rsid w:val="009E1AA6"/>
    <w:rsid w:val="009F43EA"/>
    <w:rsid w:val="00A812E8"/>
    <w:rsid w:val="00AB36A7"/>
    <w:rsid w:val="00AC34C6"/>
    <w:rsid w:val="00AF4B42"/>
    <w:rsid w:val="00B753DF"/>
    <w:rsid w:val="00BC78D8"/>
    <w:rsid w:val="00C133C8"/>
    <w:rsid w:val="00C66FF4"/>
    <w:rsid w:val="00C823EF"/>
    <w:rsid w:val="00C86E3B"/>
    <w:rsid w:val="00CC4EA0"/>
    <w:rsid w:val="00D05E86"/>
    <w:rsid w:val="00D14DCD"/>
    <w:rsid w:val="00D21BE6"/>
    <w:rsid w:val="00DD4DDE"/>
    <w:rsid w:val="00E146AF"/>
    <w:rsid w:val="00E20F56"/>
    <w:rsid w:val="00E700D5"/>
    <w:rsid w:val="00E752EA"/>
    <w:rsid w:val="00EB4998"/>
    <w:rsid w:val="00EC60F0"/>
    <w:rsid w:val="00EC7429"/>
    <w:rsid w:val="00F30201"/>
    <w:rsid w:val="00F35070"/>
    <w:rsid w:val="00F82677"/>
    <w:rsid w:val="00FD2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5F06C-9676-4E69-8970-E025F20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3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A812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12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2E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812E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12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812E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12E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E3B"/>
    <w:rPr>
      <w:color w:val="0000FF"/>
      <w:u w:val="single"/>
    </w:rPr>
  </w:style>
  <w:style w:type="paragraph" w:styleId="NoSpacing">
    <w:name w:val="No Spacing"/>
    <w:uiPriority w:val="1"/>
    <w:qFormat/>
    <w:rsid w:val="00C86E3B"/>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C86E3B"/>
    <w:pPr>
      <w:spacing w:before="75" w:after="75"/>
      <w:jc w:val="right"/>
    </w:pPr>
  </w:style>
  <w:style w:type="paragraph" w:customStyle="1" w:styleId="tv2132">
    <w:name w:val="tv2132"/>
    <w:basedOn w:val="Normal"/>
    <w:rsid w:val="00C86E3B"/>
    <w:pPr>
      <w:spacing w:line="360" w:lineRule="auto"/>
      <w:ind w:firstLine="300"/>
    </w:pPr>
    <w:rPr>
      <w:color w:val="414142"/>
      <w:sz w:val="20"/>
      <w:szCs w:val="20"/>
    </w:rPr>
  </w:style>
  <w:style w:type="paragraph" w:styleId="Header">
    <w:name w:val="header"/>
    <w:basedOn w:val="Normal"/>
    <w:link w:val="HeaderChar"/>
    <w:uiPriority w:val="99"/>
    <w:unhideWhenUsed/>
    <w:rsid w:val="009E1AA6"/>
    <w:pPr>
      <w:tabs>
        <w:tab w:val="center" w:pos="4153"/>
        <w:tab w:val="right" w:pos="8306"/>
      </w:tabs>
    </w:pPr>
  </w:style>
  <w:style w:type="character" w:customStyle="1" w:styleId="HeaderChar">
    <w:name w:val="Header Char"/>
    <w:basedOn w:val="DefaultParagraphFont"/>
    <w:link w:val="Header"/>
    <w:uiPriority w:val="99"/>
    <w:rsid w:val="009E1A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1AA6"/>
    <w:pPr>
      <w:tabs>
        <w:tab w:val="center" w:pos="4153"/>
        <w:tab w:val="right" w:pos="8306"/>
      </w:tabs>
    </w:pPr>
  </w:style>
  <w:style w:type="character" w:customStyle="1" w:styleId="FooterChar">
    <w:name w:val="Footer Char"/>
    <w:basedOn w:val="DefaultParagraphFont"/>
    <w:link w:val="Footer"/>
    <w:uiPriority w:val="99"/>
    <w:rsid w:val="009E1A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D252B"/>
    <w:pPr>
      <w:ind w:left="720"/>
    </w:pPr>
    <w:rPr>
      <w:rFonts w:ascii="Calibri" w:eastAsiaTheme="minorHAnsi" w:hAnsi="Calibri"/>
      <w:sz w:val="22"/>
      <w:szCs w:val="22"/>
      <w:lang w:eastAsia="en-US"/>
    </w:rPr>
  </w:style>
  <w:style w:type="character" w:customStyle="1" w:styleId="Heading1Char">
    <w:name w:val="Heading 1 Char"/>
    <w:basedOn w:val="DefaultParagraphFont"/>
    <w:link w:val="Heading1"/>
    <w:uiPriority w:val="9"/>
    <w:rsid w:val="00A812E8"/>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basedOn w:val="DefaultParagraphFont"/>
    <w:link w:val="Heading2"/>
    <w:uiPriority w:val="9"/>
    <w:rsid w:val="00A812E8"/>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A812E8"/>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A812E8"/>
    <w:rPr>
      <w:rFonts w:asciiTheme="majorHAnsi" w:eastAsiaTheme="majorEastAsia" w:hAnsiTheme="majorHAnsi" w:cstheme="majorBidi"/>
      <w:i/>
      <w:iCs/>
      <w:color w:val="2E74B5" w:themeColor="accent1" w:themeShade="BF"/>
      <w:sz w:val="24"/>
      <w:szCs w:val="24"/>
      <w:lang w:eastAsia="lv-LV"/>
    </w:rPr>
  </w:style>
  <w:style w:type="character" w:customStyle="1" w:styleId="Heading5Char">
    <w:name w:val="Heading 5 Char"/>
    <w:basedOn w:val="DefaultParagraphFont"/>
    <w:link w:val="Heading5"/>
    <w:uiPriority w:val="9"/>
    <w:rsid w:val="00A812E8"/>
    <w:rPr>
      <w:rFonts w:asciiTheme="majorHAnsi" w:eastAsiaTheme="majorEastAsia" w:hAnsiTheme="majorHAnsi" w:cstheme="majorBidi"/>
      <w:color w:val="2E74B5" w:themeColor="accent1" w:themeShade="BF"/>
      <w:sz w:val="24"/>
      <w:szCs w:val="24"/>
      <w:lang w:eastAsia="lv-LV"/>
    </w:rPr>
  </w:style>
  <w:style w:type="character" w:customStyle="1" w:styleId="Heading6Char">
    <w:name w:val="Heading 6 Char"/>
    <w:basedOn w:val="DefaultParagraphFont"/>
    <w:link w:val="Heading6"/>
    <w:uiPriority w:val="9"/>
    <w:rsid w:val="00A812E8"/>
    <w:rPr>
      <w:rFonts w:asciiTheme="majorHAnsi" w:eastAsiaTheme="majorEastAsia" w:hAnsiTheme="majorHAnsi" w:cstheme="majorBidi"/>
      <w:color w:val="1F4D78" w:themeColor="accent1" w:themeShade="7F"/>
      <w:sz w:val="24"/>
      <w:szCs w:val="24"/>
      <w:lang w:eastAsia="lv-LV"/>
    </w:rPr>
  </w:style>
  <w:style w:type="character" w:customStyle="1" w:styleId="Heading7Char">
    <w:name w:val="Heading 7 Char"/>
    <w:basedOn w:val="DefaultParagraphFont"/>
    <w:link w:val="Heading7"/>
    <w:uiPriority w:val="9"/>
    <w:rsid w:val="00A812E8"/>
    <w:rPr>
      <w:rFonts w:asciiTheme="majorHAnsi" w:eastAsiaTheme="majorEastAsia" w:hAnsiTheme="majorHAnsi" w:cstheme="majorBidi"/>
      <w:i/>
      <w:iCs/>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20087">
      <w:bodyDiv w:val="1"/>
      <w:marLeft w:val="0"/>
      <w:marRight w:val="0"/>
      <w:marTop w:val="0"/>
      <w:marBottom w:val="0"/>
      <w:divBdr>
        <w:top w:val="none" w:sz="0" w:space="0" w:color="auto"/>
        <w:left w:val="none" w:sz="0" w:space="0" w:color="auto"/>
        <w:bottom w:val="none" w:sz="0" w:space="0" w:color="auto"/>
        <w:right w:val="none" w:sz="0" w:space="0" w:color="auto"/>
      </w:divBdr>
    </w:div>
    <w:div w:id="12446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4828</Words>
  <Characters>2753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Atis Migals</cp:lastModifiedBy>
  <cp:revision>2</cp:revision>
  <dcterms:created xsi:type="dcterms:W3CDTF">2017-11-27T07:28:00Z</dcterms:created>
  <dcterms:modified xsi:type="dcterms:W3CDTF">2017-11-27T07:28:00Z</dcterms:modified>
</cp:coreProperties>
</file>