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EAF40" w14:textId="0D8F9016" w:rsidR="0024342E" w:rsidRDefault="0024342E" w:rsidP="00C233B4">
      <w:pPr>
        <w:tabs>
          <w:tab w:val="left" w:pos="6663"/>
        </w:tabs>
        <w:rPr>
          <w:sz w:val="28"/>
          <w:szCs w:val="28"/>
        </w:rPr>
      </w:pPr>
    </w:p>
    <w:p w14:paraId="57976246" w14:textId="77777777" w:rsidR="000A3D00" w:rsidRPr="000A3D00" w:rsidRDefault="000A3D00" w:rsidP="00C233B4">
      <w:pPr>
        <w:tabs>
          <w:tab w:val="left" w:pos="6663"/>
        </w:tabs>
        <w:rPr>
          <w:sz w:val="28"/>
          <w:szCs w:val="28"/>
        </w:rPr>
      </w:pPr>
    </w:p>
    <w:p w14:paraId="3736EBEF" w14:textId="77777777" w:rsidR="00C233B4" w:rsidRPr="000A3D00" w:rsidRDefault="00C233B4" w:rsidP="00C233B4">
      <w:pPr>
        <w:tabs>
          <w:tab w:val="left" w:pos="6663"/>
        </w:tabs>
        <w:rPr>
          <w:sz w:val="28"/>
          <w:szCs w:val="28"/>
        </w:rPr>
      </w:pPr>
    </w:p>
    <w:p w14:paraId="347DF697" w14:textId="22F08721" w:rsidR="003C5BF1" w:rsidRPr="000A3D00" w:rsidRDefault="003C5BF1" w:rsidP="00275B28">
      <w:pPr>
        <w:tabs>
          <w:tab w:val="left" w:pos="6663"/>
        </w:tabs>
        <w:rPr>
          <w:sz w:val="28"/>
          <w:szCs w:val="28"/>
        </w:rPr>
      </w:pPr>
      <w:r w:rsidRPr="000A3D00">
        <w:rPr>
          <w:sz w:val="28"/>
          <w:szCs w:val="28"/>
        </w:rPr>
        <w:t xml:space="preserve">2017. gada </w:t>
      </w:r>
      <w:r w:rsidR="00991787">
        <w:rPr>
          <w:sz w:val="28"/>
          <w:szCs w:val="28"/>
        </w:rPr>
        <w:t>12. decembrī</w:t>
      </w:r>
      <w:r w:rsidRPr="000A3D00">
        <w:rPr>
          <w:sz w:val="28"/>
          <w:szCs w:val="28"/>
        </w:rPr>
        <w:tab/>
        <w:t>Noteikumi Nr.</w:t>
      </w:r>
      <w:r w:rsidR="00991787">
        <w:rPr>
          <w:sz w:val="28"/>
          <w:szCs w:val="28"/>
        </w:rPr>
        <w:t> 729</w:t>
      </w:r>
    </w:p>
    <w:p w14:paraId="5F69D0E6" w14:textId="68E57676" w:rsidR="003C5BF1" w:rsidRPr="000A3D00" w:rsidRDefault="003C5BF1" w:rsidP="00275B28">
      <w:pPr>
        <w:tabs>
          <w:tab w:val="left" w:pos="6663"/>
        </w:tabs>
        <w:rPr>
          <w:sz w:val="28"/>
          <w:szCs w:val="28"/>
        </w:rPr>
      </w:pPr>
      <w:r w:rsidRPr="000A3D00">
        <w:rPr>
          <w:sz w:val="28"/>
          <w:szCs w:val="28"/>
        </w:rPr>
        <w:t>Rīgā</w:t>
      </w:r>
      <w:r w:rsidRPr="000A3D00">
        <w:rPr>
          <w:sz w:val="28"/>
          <w:szCs w:val="28"/>
        </w:rPr>
        <w:tab/>
        <w:t>(prot. Nr. </w:t>
      </w:r>
      <w:r w:rsidR="00991787">
        <w:rPr>
          <w:sz w:val="28"/>
          <w:szCs w:val="28"/>
        </w:rPr>
        <w:t>61</w:t>
      </w:r>
      <w:r w:rsidRPr="000A3D00">
        <w:rPr>
          <w:sz w:val="28"/>
          <w:szCs w:val="28"/>
        </w:rPr>
        <w:t> </w:t>
      </w:r>
      <w:r w:rsidR="00991787">
        <w:rPr>
          <w:sz w:val="28"/>
          <w:szCs w:val="28"/>
        </w:rPr>
        <w:t>21</w:t>
      </w:r>
      <w:bookmarkStart w:id="0" w:name="_GoBack"/>
      <w:bookmarkEnd w:id="0"/>
      <w:r w:rsidRPr="000A3D00">
        <w:rPr>
          <w:sz w:val="28"/>
          <w:szCs w:val="28"/>
        </w:rPr>
        <w:t>. §)</w:t>
      </w:r>
    </w:p>
    <w:p w14:paraId="3736EBF2" w14:textId="77777777" w:rsidR="00C233B4" w:rsidRPr="000A3D00" w:rsidRDefault="00C233B4" w:rsidP="001701A5">
      <w:pPr>
        <w:jc w:val="center"/>
        <w:rPr>
          <w:sz w:val="28"/>
          <w:szCs w:val="28"/>
        </w:rPr>
      </w:pPr>
    </w:p>
    <w:p w14:paraId="3736EBF3" w14:textId="12DF5CA7" w:rsidR="002039F9" w:rsidRPr="000A3D00" w:rsidRDefault="00C233B4" w:rsidP="002039F9">
      <w:pPr>
        <w:jc w:val="center"/>
        <w:rPr>
          <w:b/>
          <w:sz w:val="28"/>
          <w:szCs w:val="28"/>
        </w:rPr>
      </w:pPr>
      <w:r w:rsidRPr="000A3D00">
        <w:rPr>
          <w:b/>
          <w:sz w:val="28"/>
          <w:szCs w:val="28"/>
        </w:rPr>
        <w:t>Grozījum</w:t>
      </w:r>
      <w:r w:rsidR="00923661" w:rsidRPr="000A3D00">
        <w:rPr>
          <w:b/>
          <w:sz w:val="28"/>
          <w:szCs w:val="28"/>
        </w:rPr>
        <w:t>i</w:t>
      </w:r>
      <w:r w:rsidR="007925AB" w:rsidRPr="000A3D00">
        <w:rPr>
          <w:b/>
          <w:sz w:val="28"/>
          <w:szCs w:val="28"/>
        </w:rPr>
        <w:t xml:space="preserve"> Ministru kabineta </w:t>
      </w:r>
      <w:r w:rsidR="002039F9" w:rsidRPr="000A3D00">
        <w:rPr>
          <w:b/>
          <w:sz w:val="28"/>
          <w:szCs w:val="28"/>
        </w:rPr>
        <w:t>2005. gada 18. oktobra noteikumos Nr.</w:t>
      </w:r>
      <w:r w:rsidR="000A3D00">
        <w:rPr>
          <w:b/>
          <w:sz w:val="28"/>
          <w:szCs w:val="28"/>
        </w:rPr>
        <w:t> </w:t>
      </w:r>
      <w:r w:rsidR="002039F9" w:rsidRPr="000A3D00">
        <w:rPr>
          <w:b/>
          <w:sz w:val="28"/>
          <w:szCs w:val="28"/>
        </w:rPr>
        <w:t xml:space="preserve">779 </w:t>
      </w:r>
      <w:r w:rsidR="003C5BF1" w:rsidRPr="000A3D00">
        <w:rPr>
          <w:b/>
          <w:sz w:val="28"/>
          <w:szCs w:val="28"/>
        </w:rPr>
        <w:t>"</w:t>
      </w:r>
      <w:r w:rsidR="002039F9" w:rsidRPr="000A3D00">
        <w:rPr>
          <w:b/>
          <w:bCs/>
          <w:sz w:val="28"/>
          <w:szCs w:val="28"/>
        </w:rPr>
        <w:t>Noteikumi par vispārējās izglītības iestāžu pedagoģiskā procesa organizēšanai nepieciešamo obligāto dokumentāciju</w:t>
      </w:r>
      <w:r w:rsidR="003C5BF1" w:rsidRPr="000A3D00">
        <w:rPr>
          <w:b/>
          <w:bCs/>
          <w:sz w:val="28"/>
          <w:szCs w:val="28"/>
        </w:rPr>
        <w:t>"</w:t>
      </w:r>
    </w:p>
    <w:p w14:paraId="3736EBF4" w14:textId="77777777" w:rsidR="006914C2" w:rsidRPr="000A3D00" w:rsidRDefault="006914C2" w:rsidP="001701A5">
      <w:pPr>
        <w:jc w:val="right"/>
        <w:rPr>
          <w:sz w:val="28"/>
          <w:szCs w:val="28"/>
        </w:rPr>
      </w:pPr>
    </w:p>
    <w:p w14:paraId="3736EBF5" w14:textId="77777777" w:rsidR="001C2A69" w:rsidRPr="000A3D00" w:rsidRDefault="00C233B4" w:rsidP="001701A5">
      <w:pPr>
        <w:ind w:firstLine="720"/>
        <w:jc w:val="right"/>
        <w:rPr>
          <w:bCs/>
          <w:sz w:val="28"/>
          <w:szCs w:val="28"/>
        </w:rPr>
      </w:pPr>
      <w:r w:rsidRPr="000A3D00">
        <w:rPr>
          <w:bCs/>
          <w:sz w:val="28"/>
          <w:szCs w:val="28"/>
        </w:rPr>
        <w:t>Izdoti saskaņā ar</w:t>
      </w:r>
    </w:p>
    <w:p w14:paraId="3736EBF6" w14:textId="40DBB1CF" w:rsidR="001701A5" w:rsidRPr="000A3D00" w:rsidRDefault="00DD2AB2" w:rsidP="002039F9">
      <w:pPr>
        <w:ind w:firstLine="720"/>
        <w:jc w:val="right"/>
        <w:rPr>
          <w:sz w:val="28"/>
          <w:szCs w:val="28"/>
        </w:rPr>
      </w:pPr>
      <w:hyperlink r:id="rId8" w:tgtFrame="_blank" w:history="1">
        <w:r w:rsidR="001701A5" w:rsidRPr="000A3D00">
          <w:rPr>
            <w:sz w:val="28"/>
            <w:szCs w:val="28"/>
          </w:rPr>
          <w:t>Vispārējās izglītības likuma</w:t>
        </w:r>
      </w:hyperlink>
      <w:r w:rsidR="001701A5" w:rsidRPr="000A3D00">
        <w:rPr>
          <w:sz w:val="28"/>
          <w:szCs w:val="28"/>
        </w:rPr>
        <w:t xml:space="preserve"> </w:t>
      </w:r>
      <w:r w:rsidR="001701A5" w:rsidRPr="000A3D00">
        <w:rPr>
          <w:sz w:val="28"/>
          <w:szCs w:val="28"/>
        </w:rPr>
        <w:br/>
      </w:r>
      <w:r w:rsidR="002039F9" w:rsidRPr="000A3D00">
        <w:rPr>
          <w:sz w:val="28"/>
          <w:szCs w:val="28"/>
        </w:rPr>
        <w:t>4.</w:t>
      </w:r>
      <w:r w:rsidR="000A3D00">
        <w:rPr>
          <w:sz w:val="28"/>
          <w:szCs w:val="28"/>
        </w:rPr>
        <w:t> </w:t>
      </w:r>
      <w:r w:rsidR="002039F9" w:rsidRPr="000A3D00">
        <w:rPr>
          <w:sz w:val="28"/>
          <w:szCs w:val="28"/>
        </w:rPr>
        <w:t>panta 17.</w:t>
      </w:r>
      <w:r w:rsidR="000A3D00">
        <w:rPr>
          <w:sz w:val="28"/>
          <w:szCs w:val="28"/>
        </w:rPr>
        <w:t> </w:t>
      </w:r>
      <w:r w:rsidR="002039F9" w:rsidRPr="000A3D00">
        <w:rPr>
          <w:sz w:val="28"/>
          <w:szCs w:val="28"/>
        </w:rPr>
        <w:t>punktu</w:t>
      </w:r>
    </w:p>
    <w:p w14:paraId="3736EBF7" w14:textId="77777777" w:rsidR="00CA2FE6" w:rsidRPr="000A3D00" w:rsidRDefault="00CA2FE6" w:rsidP="001701A5">
      <w:pPr>
        <w:ind w:firstLine="720"/>
        <w:jc w:val="right"/>
        <w:rPr>
          <w:bCs/>
          <w:sz w:val="28"/>
          <w:szCs w:val="28"/>
        </w:rPr>
      </w:pPr>
    </w:p>
    <w:p w14:paraId="3736EBF8" w14:textId="0428944C" w:rsidR="00BB0E96" w:rsidRPr="000A3D00" w:rsidRDefault="00BB0E96" w:rsidP="00BB0E96">
      <w:pPr>
        <w:ind w:firstLine="720"/>
        <w:jc w:val="both"/>
        <w:rPr>
          <w:bCs/>
          <w:sz w:val="28"/>
          <w:szCs w:val="28"/>
        </w:rPr>
      </w:pPr>
      <w:r w:rsidRPr="000A3D00">
        <w:rPr>
          <w:bCs/>
          <w:sz w:val="28"/>
          <w:szCs w:val="28"/>
        </w:rPr>
        <w:t>1.</w:t>
      </w:r>
      <w:r w:rsidR="000A3D00">
        <w:rPr>
          <w:bCs/>
          <w:sz w:val="28"/>
          <w:szCs w:val="28"/>
        </w:rPr>
        <w:t> </w:t>
      </w:r>
      <w:r w:rsidR="00C233B4" w:rsidRPr="000A3D00">
        <w:rPr>
          <w:bCs/>
          <w:sz w:val="28"/>
          <w:szCs w:val="28"/>
        </w:rPr>
        <w:t xml:space="preserve">Izdarīt </w:t>
      </w:r>
      <w:r w:rsidR="00F52117" w:rsidRPr="000A3D00">
        <w:rPr>
          <w:bCs/>
          <w:sz w:val="28"/>
          <w:szCs w:val="28"/>
        </w:rPr>
        <w:t xml:space="preserve">Ministru kabineta </w:t>
      </w:r>
      <w:r w:rsidR="00384B68" w:rsidRPr="000A3D00">
        <w:rPr>
          <w:bCs/>
          <w:sz w:val="28"/>
          <w:szCs w:val="28"/>
        </w:rPr>
        <w:t>2005.</w:t>
      </w:r>
      <w:r w:rsidR="000A3D00">
        <w:rPr>
          <w:bCs/>
          <w:sz w:val="28"/>
          <w:szCs w:val="28"/>
        </w:rPr>
        <w:t> </w:t>
      </w:r>
      <w:r w:rsidR="00384B68" w:rsidRPr="000A3D00">
        <w:rPr>
          <w:bCs/>
          <w:sz w:val="28"/>
          <w:szCs w:val="28"/>
        </w:rPr>
        <w:t>gada 18.</w:t>
      </w:r>
      <w:r w:rsidR="000A3D00">
        <w:rPr>
          <w:bCs/>
          <w:sz w:val="28"/>
          <w:szCs w:val="28"/>
        </w:rPr>
        <w:t> </w:t>
      </w:r>
      <w:r w:rsidR="00384B68" w:rsidRPr="000A3D00">
        <w:rPr>
          <w:bCs/>
          <w:sz w:val="28"/>
          <w:szCs w:val="28"/>
        </w:rPr>
        <w:t>oktobra noteikumos Nr.</w:t>
      </w:r>
      <w:r w:rsidR="000A3D00">
        <w:rPr>
          <w:bCs/>
          <w:sz w:val="28"/>
          <w:szCs w:val="28"/>
        </w:rPr>
        <w:t> </w:t>
      </w:r>
      <w:r w:rsidR="00384B68" w:rsidRPr="000A3D00">
        <w:rPr>
          <w:bCs/>
          <w:sz w:val="28"/>
          <w:szCs w:val="28"/>
        </w:rPr>
        <w:t xml:space="preserve">779 </w:t>
      </w:r>
      <w:r w:rsidR="003C5BF1" w:rsidRPr="000A3D00">
        <w:rPr>
          <w:bCs/>
          <w:sz w:val="28"/>
          <w:szCs w:val="28"/>
        </w:rPr>
        <w:t>"</w:t>
      </w:r>
      <w:r w:rsidR="00384B68" w:rsidRPr="000A3D00">
        <w:rPr>
          <w:bCs/>
          <w:sz w:val="28"/>
          <w:szCs w:val="28"/>
        </w:rPr>
        <w:t>Noteikumi par vispārējās izglītības iestāžu pedagoģiskā procesa organizēšanai nepieciešamo obligāto dokumentāciju</w:t>
      </w:r>
      <w:r w:rsidR="003C5BF1" w:rsidRPr="000A3D00">
        <w:rPr>
          <w:bCs/>
          <w:sz w:val="28"/>
          <w:szCs w:val="28"/>
        </w:rPr>
        <w:t>"</w:t>
      </w:r>
      <w:r w:rsidR="00046D50" w:rsidRPr="000A3D00">
        <w:rPr>
          <w:bCs/>
          <w:sz w:val="28"/>
          <w:szCs w:val="28"/>
        </w:rPr>
        <w:t xml:space="preserve"> </w:t>
      </w:r>
      <w:r w:rsidR="00315E2A" w:rsidRPr="000A3D00">
        <w:rPr>
          <w:sz w:val="28"/>
          <w:szCs w:val="28"/>
        </w:rPr>
        <w:t>(Latvij</w:t>
      </w:r>
      <w:r w:rsidR="00C614AA" w:rsidRPr="000A3D00">
        <w:rPr>
          <w:sz w:val="28"/>
          <w:szCs w:val="28"/>
        </w:rPr>
        <w:t>as Vēstnesi</w:t>
      </w:r>
      <w:r w:rsidR="00384B68" w:rsidRPr="000A3D00">
        <w:rPr>
          <w:sz w:val="28"/>
          <w:szCs w:val="28"/>
        </w:rPr>
        <w:t>s, 2005, 168</w:t>
      </w:r>
      <w:r w:rsidR="00B423F4" w:rsidRPr="000A3D00">
        <w:rPr>
          <w:sz w:val="28"/>
          <w:szCs w:val="28"/>
        </w:rPr>
        <w:t>.</w:t>
      </w:r>
      <w:r w:rsidR="000A3D00">
        <w:rPr>
          <w:sz w:val="28"/>
          <w:szCs w:val="28"/>
        </w:rPr>
        <w:t> </w:t>
      </w:r>
      <w:r w:rsidR="00B423F4" w:rsidRPr="000A3D00">
        <w:rPr>
          <w:sz w:val="28"/>
          <w:szCs w:val="28"/>
        </w:rPr>
        <w:t>nr.</w:t>
      </w:r>
      <w:r w:rsidR="00265CB5" w:rsidRPr="000A3D00">
        <w:rPr>
          <w:sz w:val="28"/>
          <w:szCs w:val="28"/>
        </w:rPr>
        <w:t>; 2012, 131.</w:t>
      </w:r>
      <w:r w:rsidR="000A3D00">
        <w:rPr>
          <w:sz w:val="28"/>
          <w:szCs w:val="28"/>
        </w:rPr>
        <w:t> </w:t>
      </w:r>
      <w:r w:rsidR="00265CB5" w:rsidRPr="000A3D00">
        <w:rPr>
          <w:sz w:val="28"/>
          <w:szCs w:val="28"/>
        </w:rPr>
        <w:t>nr.; 2014, 128.</w:t>
      </w:r>
      <w:r w:rsidR="000A3D00">
        <w:rPr>
          <w:sz w:val="28"/>
          <w:szCs w:val="28"/>
        </w:rPr>
        <w:t> </w:t>
      </w:r>
      <w:r w:rsidR="00265CB5" w:rsidRPr="000A3D00">
        <w:rPr>
          <w:sz w:val="28"/>
          <w:szCs w:val="28"/>
        </w:rPr>
        <w:t>nr.</w:t>
      </w:r>
      <w:r w:rsidR="00C233B4" w:rsidRPr="000A3D00">
        <w:rPr>
          <w:sz w:val="28"/>
          <w:szCs w:val="28"/>
        </w:rPr>
        <w:t xml:space="preserve">) </w:t>
      </w:r>
      <w:r w:rsidR="00BD692E" w:rsidRPr="000A3D00">
        <w:rPr>
          <w:sz w:val="28"/>
          <w:szCs w:val="28"/>
        </w:rPr>
        <w:t xml:space="preserve">šādus </w:t>
      </w:r>
      <w:r w:rsidR="00C233B4" w:rsidRPr="000A3D00">
        <w:rPr>
          <w:sz w:val="28"/>
          <w:szCs w:val="28"/>
        </w:rPr>
        <w:t>grozījumu</w:t>
      </w:r>
      <w:r w:rsidR="002F32F8" w:rsidRPr="000A3D00">
        <w:rPr>
          <w:sz w:val="28"/>
          <w:szCs w:val="28"/>
        </w:rPr>
        <w:t>s</w:t>
      </w:r>
      <w:r w:rsidR="00EE151A" w:rsidRPr="000A3D00">
        <w:rPr>
          <w:sz w:val="28"/>
          <w:szCs w:val="28"/>
        </w:rPr>
        <w:t>:</w:t>
      </w:r>
    </w:p>
    <w:p w14:paraId="3736EBFA" w14:textId="323B1EC6" w:rsidR="00CB2C72" w:rsidRPr="000A3D00" w:rsidRDefault="00BB0E96" w:rsidP="00BB0E96">
      <w:pPr>
        <w:ind w:firstLine="720"/>
        <w:jc w:val="both"/>
        <w:rPr>
          <w:bCs/>
          <w:sz w:val="28"/>
          <w:szCs w:val="28"/>
        </w:rPr>
      </w:pPr>
      <w:r w:rsidRPr="000A3D00">
        <w:rPr>
          <w:bCs/>
          <w:sz w:val="28"/>
          <w:szCs w:val="28"/>
        </w:rPr>
        <w:t>1.1.</w:t>
      </w:r>
      <w:r w:rsidR="000A3D00">
        <w:rPr>
          <w:bCs/>
          <w:sz w:val="28"/>
          <w:szCs w:val="28"/>
        </w:rPr>
        <w:t> </w:t>
      </w:r>
      <w:r w:rsidRPr="000A3D00">
        <w:rPr>
          <w:bCs/>
          <w:sz w:val="28"/>
          <w:szCs w:val="28"/>
        </w:rPr>
        <w:t>p</w:t>
      </w:r>
      <w:r w:rsidR="000B2C0C" w:rsidRPr="000A3D00">
        <w:rPr>
          <w:sz w:val="28"/>
          <w:szCs w:val="28"/>
        </w:rPr>
        <w:t>apildināt</w:t>
      </w:r>
      <w:r w:rsidR="00CD6230" w:rsidRPr="000A3D00">
        <w:rPr>
          <w:sz w:val="28"/>
          <w:szCs w:val="28"/>
        </w:rPr>
        <w:t xml:space="preserve"> </w:t>
      </w:r>
      <w:r w:rsidR="000B2C0C" w:rsidRPr="000A3D00">
        <w:rPr>
          <w:sz w:val="28"/>
          <w:szCs w:val="28"/>
        </w:rPr>
        <w:t>2.1.</w:t>
      </w:r>
      <w:r w:rsidR="000A3D00">
        <w:rPr>
          <w:sz w:val="28"/>
          <w:szCs w:val="28"/>
        </w:rPr>
        <w:t> </w:t>
      </w:r>
      <w:r w:rsidR="000B2C0C" w:rsidRPr="000A3D00">
        <w:rPr>
          <w:sz w:val="28"/>
          <w:szCs w:val="28"/>
        </w:rPr>
        <w:t>apakšpunktu aiz</w:t>
      </w:r>
      <w:r w:rsidR="00CB2C72" w:rsidRPr="000A3D00">
        <w:rPr>
          <w:sz w:val="28"/>
          <w:szCs w:val="28"/>
        </w:rPr>
        <w:t xml:space="preserve"> </w:t>
      </w:r>
      <w:r w:rsidR="000B2C0C" w:rsidRPr="000A3D00">
        <w:rPr>
          <w:sz w:val="28"/>
          <w:szCs w:val="28"/>
        </w:rPr>
        <w:t>vārdiem</w:t>
      </w:r>
      <w:r w:rsidR="00CD6230" w:rsidRPr="000A3D00">
        <w:rPr>
          <w:sz w:val="28"/>
          <w:szCs w:val="28"/>
        </w:rPr>
        <w:t xml:space="preserve"> </w:t>
      </w:r>
      <w:r w:rsidR="003C5BF1" w:rsidRPr="000A3D00">
        <w:rPr>
          <w:sz w:val="28"/>
          <w:szCs w:val="28"/>
        </w:rPr>
        <w:t>"</w:t>
      </w:r>
      <w:r w:rsidR="008A0E55" w:rsidRPr="000A3D00">
        <w:rPr>
          <w:sz w:val="28"/>
          <w:szCs w:val="28"/>
        </w:rPr>
        <w:t>tālruņa numuru</w:t>
      </w:r>
      <w:r w:rsidR="003C5BF1" w:rsidRPr="000A3D00">
        <w:rPr>
          <w:sz w:val="28"/>
          <w:szCs w:val="28"/>
        </w:rPr>
        <w:t>"</w:t>
      </w:r>
      <w:r w:rsidR="00CD6230" w:rsidRPr="000A3D00">
        <w:rPr>
          <w:sz w:val="28"/>
          <w:szCs w:val="28"/>
        </w:rPr>
        <w:t xml:space="preserve"> </w:t>
      </w:r>
      <w:r w:rsidR="00CB2C72" w:rsidRPr="000A3D00">
        <w:rPr>
          <w:sz w:val="28"/>
          <w:szCs w:val="28"/>
        </w:rPr>
        <w:t xml:space="preserve">ar vārdiem </w:t>
      </w:r>
      <w:r w:rsidR="003C5BF1" w:rsidRPr="000A3D00">
        <w:rPr>
          <w:sz w:val="28"/>
          <w:szCs w:val="28"/>
        </w:rPr>
        <w:t>"</w:t>
      </w:r>
      <w:proofErr w:type="gramStart"/>
      <w:r w:rsidR="008A0E55" w:rsidRPr="000A3D00">
        <w:rPr>
          <w:sz w:val="28"/>
          <w:szCs w:val="28"/>
        </w:rPr>
        <w:t>kā arī</w:t>
      </w:r>
      <w:proofErr w:type="gramEnd"/>
      <w:r w:rsidR="008A0E55" w:rsidRPr="000A3D00">
        <w:rPr>
          <w:sz w:val="28"/>
          <w:szCs w:val="28"/>
        </w:rPr>
        <w:t xml:space="preserve"> ziņas par to, ka </w:t>
      </w:r>
      <w:r w:rsidR="00F7477B" w:rsidRPr="000A3D00">
        <w:rPr>
          <w:sz w:val="28"/>
          <w:szCs w:val="28"/>
        </w:rPr>
        <w:t>personai</w:t>
      </w:r>
      <w:r w:rsidR="00CB2C72" w:rsidRPr="000A3D00">
        <w:rPr>
          <w:sz w:val="28"/>
          <w:szCs w:val="28"/>
        </w:rPr>
        <w:t xml:space="preserve"> ir aktivizēts oficiālās elektroniskās adreses konts</w:t>
      </w:r>
      <w:r w:rsidR="003C5BF1" w:rsidRPr="000A3D00">
        <w:rPr>
          <w:sz w:val="28"/>
          <w:szCs w:val="28"/>
        </w:rPr>
        <w:t>"</w:t>
      </w:r>
      <w:r w:rsidR="008A0E55" w:rsidRPr="000A3D00">
        <w:rPr>
          <w:sz w:val="28"/>
          <w:szCs w:val="28"/>
        </w:rPr>
        <w:t>;</w:t>
      </w:r>
    </w:p>
    <w:p w14:paraId="3736EBFC" w14:textId="3925C0D3" w:rsidR="00B31361" w:rsidRPr="000A3D00" w:rsidRDefault="008A0E55" w:rsidP="00155A67">
      <w:pPr>
        <w:ind w:firstLine="720"/>
        <w:jc w:val="both"/>
        <w:rPr>
          <w:sz w:val="28"/>
          <w:szCs w:val="28"/>
        </w:rPr>
      </w:pPr>
      <w:r w:rsidRPr="000A3D00">
        <w:rPr>
          <w:sz w:val="28"/>
          <w:szCs w:val="28"/>
        </w:rPr>
        <w:t>1.</w:t>
      </w:r>
      <w:r w:rsidR="00265CB5" w:rsidRPr="000A3D00">
        <w:rPr>
          <w:sz w:val="28"/>
          <w:szCs w:val="28"/>
        </w:rPr>
        <w:t>2.</w:t>
      </w:r>
      <w:r w:rsidR="000A3D00">
        <w:rPr>
          <w:sz w:val="28"/>
          <w:szCs w:val="28"/>
        </w:rPr>
        <w:t> </w:t>
      </w:r>
      <w:r w:rsidR="00155A67" w:rsidRPr="000A3D00">
        <w:rPr>
          <w:sz w:val="28"/>
          <w:szCs w:val="28"/>
        </w:rPr>
        <w:t>papildināt noteikumus ar 5.</w:t>
      </w:r>
      <w:r w:rsidR="000A3D00">
        <w:rPr>
          <w:sz w:val="28"/>
          <w:szCs w:val="28"/>
        </w:rPr>
        <w:t> </w:t>
      </w:r>
      <w:r w:rsidR="00155A67" w:rsidRPr="000A3D00">
        <w:rPr>
          <w:sz w:val="28"/>
          <w:szCs w:val="28"/>
        </w:rPr>
        <w:t>punktu šādā redakcijā:</w:t>
      </w:r>
    </w:p>
    <w:p w14:paraId="3736EBFD" w14:textId="77777777" w:rsidR="008B4F86" w:rsidRPr="000A3D00" w:rsidRDefault="008B4F86" w:rsidP="00155A67">
      <w:pPr>
        <w:ind w:firstLine="720"/>
        <w:jc w:val="both"/>
        <w:rPr>
          <w:sz w:val="28"/>
          <w:szCs w:val="28"/>
        </w:rPr>
      </w:pPr>
    </w:p>
    <w:p w14:paraId="3736EBFE" w14:textId="15D821A2" w:rsidR="00B31361" w:rsidRPr="000A3D00" w:rsidRDefault="003C5BF1" w:rsidP="00566087">
      <w:pPr>
        <w:ind w:firstLine="709"/>
        <w:jc w:val="both"/>
        <w:rPr>
          <w:sz w:val="28"/>
          <w:szCs w:val="28"/>
        </w:rPr>
      </w:pPr>
      <w:r w:rsidRPr="000A3D00">
        <w:rPr>
          <w:sz w:val="28"/>
          <w:szCs w:val="28"/>
        </w:rPr>
        <w:t>"</w:t>
      </w:r>
      <w:r w:rsidR="00155A67" w:rsidRPr="000A3D00">
        <w:rPr>
          <w:sz w:val="28"/>
          <w:szCs w:val="28"/>
        </w:rPr>
        <w:t>5.</w:t>
      </w:r>
      <w:r w:rsidR="000A3D00">
        <w:rPr>
          <w:sz w:val="28"/>
          <w:szCs w:val="28"/>
        </w:rPr>
        <w:t> </w:t>
      </w:r>
      <w:r w:rsidR="00B31361" w:rsidRPr="000A3D00">
        <w:rPr>
          <w:sz w:val="28"/>
          <w:szCs w:val="28"/>
        </w:rPr>
        <w:t>Ja izglītojamais ir sasniedzis 14</w:t>
      </w:r>
      <w:r w:rsidR="000A3D00">
        <w:rPr>
          <w:sz w:val="28"/>
          <w:szCs w:val="28"/>
        </w:rPr>
        <w:t> </w:t>
      </w:r>
      <w:r w:rsidR="00B31361" w:rsidRPr="000A3D00">
        <w:rPr>
          <w:sz w:val="28"/>
          <w:szCs w:val="28"/>
        </w:rPr>
        <w:t>gadu vecumu un izglītojamam ir aktivizēts oficiālās elektroniskās adreses konts, šo noteikumu 3.1., 3.8. un 3.10.</w:t>
      </w:r>
      <w:r w:rsidRPr="000A3D00">
        <w:rPr>
          <w:sz w:val="28"/>
          <w:szCs w:val="28"/>
        </w:rPr>
        <w:t> </w:t>
      </w:r>
      <w:r w:rsidR="00B31361" w:rsidRPr="000A3D00">
        <w:rPr>
          <w:sz w:val="28"/>
          <w:szCs w:val="28"/>
        </w:rPr>
        <w:t xml:space="preserve">apakšpunktā minētajos </w:t>
      </w:r>
      <w:r w:rsidR="0089082D" w:rsidRPr="000A3D00">
        <w:rPr>
          <w:sz w:val="28"/>
          <w:szCs w:val="28"/>
        </w:rPr>
        <w:t xml:space="preserve">pedagoģiskā procesa organizēšanai nepieciešamajos </w:t>
      </w:r>
      <w:r w:rsidR="00B31361" w:rsidRPr="000A3D00">
        <w:rPr>
          <w:sz w:val="28"/>
          <w:szCs w:val="28"/>
        </w:rPr>
        <w:t>dokumentos ie</w:t>
      </w:r>
      <w:r w:rsidR="00155A67" w:rsidRPr="000A3D00">
        <w:rPr>
          <w:sz w:val="28"/>
          <w:szCs w:val="28"/>
        </w:rPr>
        <w:t>raksta ziņas par to, ka izglītojam</w:t>
      </w:r>
      <w:r w:rsidR="009C5C9D" w:rsidRPr="000A3D00">
        <w:rPr>
          <w:sz w:val="28"/>
          <w:szCs w:val="28"/>
        </w:rPr>
        <w:t>a</w:t>
      </w:r>
      <w:r w:rsidR="00155A67" w:rsidRPr="000A3D00">
        <w:rPr>
          <w:sz w:val="28"/>
          <w:szCs w:val="28"/>
        </w:rPr>
        <w:t>m ir aktivizēts oficiālās elektroniskās adreses konts.</w:t>
      </w:r>
      <w:r w:rsidRPr="000A3D00">
        <w:rPr>
          <w:sz w:val="28"/>
          <w:szCs w:val="28"/>
        </w:rPr>
        <w:t>"</w:t>
      </w:r>
    </w:p>
    <w:p w14:paraId="3736EBFF" w14:textId="77777777" w:rsidR="00155A67" w:rsidRPr="000A3D00" w:rsidRDefault="00155A67" w:rsidP="00566087">
      <w:pPr>
        <w:ind w:firstLine="709"/>
        <w:jc w:val="both"/>
        <w:rPr>
          <w:sz w:val="28"/>
          <w:szCs w:val="28"/>
        </w:rPr>
      </w:pPr>
    </w:p>
    <w:p w14:paraId="3736EC00" w14:textId="1C2DF02F" w:rsidR="00155A67" w:rsidRPr="000A3D00" w:rsidRDefault="00155A67" w:rsidP="00566087">
      <w:pPr>
        <w:ind w:firstLine="709"/>
        <w:jc w:val="both"/>
        <w:rPr>
          <w:sz w:val="28"/>
          <w:szCs w:val="28"/>
        </w:rPr>
      </w:pPr>
      <w:r w:rsidRPr="000A3D00">
        <w:rPr>
          <w:sz w:val="28"/>
          <w:szCs w:val="28"/>
        </w:rPr>
        <w:t>2. Noteikumi stājas spēkā 2018.</w:t>
      </w:r>
      <w:r w:rsidR="000A3D00">
        <w:rPr>
          <w:sz w:val="28"/>
          <w:szCs w:val="28"/>
        </w:rPr>
        <w:t> </w:t>
      </w:r>
      <w:r w:rsidRPr="000A3D00">
        <w:rPr>
          <w:sz w:val="28"/>
          <w:szCs w:val="28"/>
        </w:rPr>
        <w:t>gada 1.</w:t>
      </w:r>
      <w:r w:rsidR="000A3D00">
        <w:rPr>
          <w:sz w:val="28"/>
          <w:szCs w:val="28"/>
        </w:rPr>
        <w:t> </w:t>
      </w:r>
      <w:r w:rsidRPr="000A3D00">
        <w:rPr>
          <w:sz w:val="28"/>
          <w:szCs w:val="28"/>
        </w:rPr>
        <w:t>jūnijā.</w:t>
      </w:r>
    </w:p>
    <w:p w14:paraId="6BB001E0" w14:textId="77777777" w:rsidR="003C5BF1" w:rsidRPr="000A3D00" w:rsidRDefault="003C5BF1" w:rsidP="00275B2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A44E8E2" w14:textId="77777777" w:rsidR="003C5BF1" w:rsidRPr="000A3D00" w:rsidRDefault="003C5BF1" w:rsidP="00275B2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0A6FF58" w14:textId="77777777" w:rsidR="003C5BF1" w:rsidRPr="000A3D00" w:rsidRDefault="003C5BF1" w:rsidP="00275B2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19E9342" w14:textId="77777777" w:rsidR="003C5BF1" w:rsidRPr="000A3D00" w:rsidRDefault="003C5BF1" w:rsidP="000A3D00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0A3D00">
        <w:rPr>
          <w:sz w:val="28"/>
          <w:szCs w:val="28"/>
        </w:rPr>
        <w:t>Ministru prezidents</w:t>
      </w:r>
      <w:r w:rsidRPr="000A3D00">
        <w:rPr>
          <w:sz w:val="28"/>
          <w:szCs w:val="28"/>
        </w:rPr>
        <w:tab/>
        <w:t xml:space="preserve">Māris Kučinskis </w:t>
      </w:r>
    </w:p>
    <w:p w14:paraId="7B841EF8" w14:textId="77777777" w:rsidR="003C5BF1" w:rsidRPr="000A3D00" w:rsidRDefault="003C5BF1" w:rsidP="000A3D00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16A501B0" w14:textId="77777777" w:rsidR="003C5BF1" w:rsidRPr="000A3D00" w:rsidRDefault="003C5BF1" w:rsidP="000A3D00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533E7E80" w14:textId="77777777" w:rsidR="003C5BF1" w:rsidRPr="000A3D00" w:rsidRDefault="003C5BF1" w:rsidP="000A3D00">
      <w:pPr>
        <w:pStyle w:val="naisf"/>
        <w:tabs>
          <w:tab w:val="left" w:pos="6804"/>
          <w:tab w:val="right" w:pos="9000"/>
        </w:tabs>
        <w:spacing w:before="0" w:after="0"/>
        <w:rPr>
          <w:sz w:val="28"/>
          <w:szCs w:val="28"/>
        </w:rPr>
      </w:pPr>
    </w:p>
    <w:p w14:paraId="1F87CBDE" w14:textId="77777777" w:rsidR="003C5BF1" w:rsidRPr="000A3D00" w:rsidRDefault="003C5BF1" w:rsidP="000A3D00">
      <w:pPr>
        <w:tabs>
          <w:tab w:val="left" w:pos="6804"/>
          <w:tab w:val="right" w:pos="8820"/>
        </w:tabs>
        <w:ind w:firstLine="709"/>
        <w:rPr>
          <w:sz w:val="28"/>
          <w:szCs w:val="28"/>
        </w:rPr>
      </w:pPr>
      <w:r w:rsidRPr="000A3D00">
        <w:rPr>
          <w:sz w:val="28"/>
          <w:szCs w:val="28"/>
        </w:rPr>
        <w:t>Izglītības un zinātnes ministrs</w:t>
      </w:r>
      <w:r w:rsidRPr="000A3D00">
        <w:rPr>
          <w:sz w:val="28"/>
          <w:szCs w:val="28"/>
        </w:rPr>
        <w:tab/>
        <w:t>Kārlis Šadurskis</w:t>
      </w:r>
    </w:p>
    <w:sectPr w:rsidR="003C5BF1" w:rsidRPr="000A3D00" w:rsidSect="003C5BF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6EC10" w14:textId="77777777" w:rsidR="00A07F43" w:rsidRDefault="00A07F43" w:rsidP="006D6A32">
      <w:r>
        <w:separator/>
      </w:r>
    </w:p>
  </w:endnote>
  <w:endnote w:type="continuationSeparator" w:id="0">
    <w:p w14:paraId="3736EC11" w14:textId="77777777" w:rsidR="00A07F43" w:rsidRDefault="00A07F43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6EC14" w14:textId="77777777" w:rsidR="006C0BDC" w:rsidRPr="00D911B3" w:rsidRDefault="00D911B3" w:rsidP="00D911B3">
    <w:pPr>
      <w:pStyle w:val="Footer"/>
      <w:jc w:val="both"/>
      <w:rPr>
        <w:sz w:val="20"/>
        <w:szCs w:val="20"/>
      </w:rPr>
    </w:pPr>
    <w:r w:rsidRPr="00D0411A">
      <w:rPr>
        <w:sz w:val="20"/>
        <w:szCs w:val="20"/>
      </w:rPr>
      <w:t>IZM</w:t>
    </w:r>
    <w:r>
      <w:rPr>
        <w:sz w:val="20"/>
        <w:szCs w:val="20"/>
      </w:rPr>
      <w:t>N</w:t>
    </w:r>
    <w:r w:rsidRPr="00D0411A">
      <w:rPr>
        <w:sz w:val="20"/>
        <w:szCs w:val="20"/>
      </w:rPr>
      <w:t>ot_</w:t>
    </w:r>
    <w:r>
      <w:rPr>
        <w:sz w:val="20"/>
        <w:szCs w:val="20"/>
      </w:rPr>
      <w:t>201017_VSS615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F5EBD" w14:textId="2C52EC83" w:rsidR="003C5BF1" w:rsidRPr="003C5BF1" w:rsidRDefault="003C5BF1">
    <w:pPr>
      <w:pStyle w:val="Footer"/>
      <w:rPr>
        <w:sz w:val="16"/>
        <w:szCs w:val="16"/>
      </w:rPr>
    </w:pPr>
    <w:r>
      <w:rPr>
        <w:sz w:val="16"/>
        <w:szCs w:val="16"/>
      </w:rPr>
      <w:t>N2629_7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6EC0E" w14:textId="77777777" w:rsidR="00A07F43" w:rsidRDefault="00A07F43" w:rsidP="006D6A32">
      <w:r>
        <w:separator/>
      </w:r>
    </w:p>
  </w:footnote>
  <w:footnote w:type="continuationSeparator" w:id="0">
    <w:p w14:paraId="3736EC0F" w14:textId="77777777" w:rsidR="00A07F43" w:rsidRDefault="00A07F43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36EC12" w14:textId="45DD018C" w:rsidR="0097781C" w:rsidRDefault="00253D8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B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36EC13" w14:textId="77777777" w:rsidR="006457F2" w:rsidRDefault="00DD2AB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2B542" w14:textId="0FD22ACA" w:rsidR="003C5BF1" w:rsidRDefault="003C5BF1">
    <w:pPr>
      <w:pStyle w:val="Header"/>
    </w:pPr>
  </w:p>
  <w:p w14:paraId="67327C29" w14:textId="793E9C76" w:rsidR="003C5BF1" w:rsidRPr="00A142D0" w:rsidRDefault="003C5BF1" w:rsidP="00501350">
    <w:pPr>
      <w:pStyle w:val="Header"/>
    </w:pPr>
    <w:r>
      <w:rPr>
        <w:noProof/>
        <w:szCs w:val="28"/>
      </w:rPr>
      <w:drawing>
        <wp:inline distT="0" distB="0" distL="0" distR="0" wp14:anchorId="25EF44E3" wp14:editId="0AB5BDCA">
          <wp:extent cx="591058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058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7638"/>
    <w:multiLevelType w:val="hybridMultilevel"/>
    <w:tmpl w:val="3BCA1F78"/>
    <w:lvl w:ilvl="0" w:tplc="E4343B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B4"/>
    <w:rsid w:val="00011751"/>
    <w:rsid w:val="00030B86"/>
    <w:rsid w:val="00030F1C"/>
    <w:rsid w:val="000463DC"/>
    <w:rsid w:val="00046D50"/>
    <w:rsid w:val="000642F7"/>
    <w:rsid w:val="000740DB"/>
    <w:rsid w:val="00077BBA"/>
    <w:rsid w:val="000A3D00"/>
    <w:rsid w:val="000B1D75"/>
    <w:rsid w:val="000B2C0C"/>
    <w:rsid w:val="000C200B"/>
    <w:rsid w:val="000E009A"/>
    <w:rsid w:val="0011374B"/>
    <w:rsid w:val="00135982"/>
    <w:rsid w:val="00155A67"/>
    <w:rsid w:val="001634D8"/>
    <w:rsid w:val="001701A5"/>
    <w:rsid w:val="00170D47"/>
    <w:rsid w:val="001C2A69"/>
    <w:rsid w:val="001D31C1"/>
    <w:rsid w:val="001E2901"/>
    <w:rsid w:val="001E5F0F"/>
    <w:rsid w:val="002039F9"/>
    <w:rsid w:val="00206036"/>
    <w:rsid w:val="00233442"/>
    <w:rsid w:val="00235DC0"/>
    <w:rsid w:val="00240367"/>
    <w:rsid w:val="0024342E"/>
    <w:rsid w:val="00253D82"/>
    <w:rsid w:val="00262C56"/>
    <w:rsid w:val="00265CB5"/>
    <w:rsid w:val="00276342"/>
    <w:rsid w:val="00287AEA"/>
    <w:rsid w:val="00291A03"/>
    <w:rsid w:val="002945EC"/>
    <w:rsid w:val="002D23C2"/>
    <w:rsid w:val="002E0577"/>
    <w:rsid w:val="002F32F8"/>
    <w:rsid w:val="003026ED"/>
    <w:rsid w:val="0031240A"/>
    <w:rsid w:val="00313C84"/>
    <w:rsid w:val="00315E2A"/>
    <w:rsid w:val="003321FE"/>
    <w:rsid w:val="00384387"/>
    <w:rsid w:val="00384B68"/>
    <w:rsid w:val="003C4C95"/>
    <w:rsid w:val="003C5BF1"/>
    <w:rsid w:val="003D1227"/>
    <w:rsid w:val="003F7415"/>
    <w:rsid w:val="00401532"/>
    <w:rsid w:val="0040626C"/>
    <w:rsid w:val="00425428"/>
    <w:rsid w:val="00440754"/>
    <w:rsid w:val="00461C3A"/>
    <w:rsid w:val="00493EF5"/>
    <w:rsid w:val="004C6BC3"/>
    <w:rsid w:val="004C779E"/>
    <w:rsid w:val="004C7A06"/>
    <w:rsid w:val="004D3372"/>
    <w:rsid w:val="004D7622"/>
    <w:rsid w:val="004D7983"/>
    <w:rsid w:val="004E7DBC"/>
    <w:rsid w:val="004F46A6"/>
    <w:rsid w:val="00527B89"/>
    <w:rsid w:val="00533594"/>
    <w:rsid w:val="00551864"/>
    <w:rsid w:val="00551BC7"/>
    <w:rsid w:val="0056206A"/>
    <w:rsid w:val="00566087"/>
    <w:rsid w:val="00575168"/>
    <w:rsid w:val="005A7148"/>
    <w:rsid w:val="005F3C06"/>
    <w:rsid w:val="0060253E"/>
    <w:rsid w:val="00606244"/>
    <w:rsid w:val="006112F1"/>
    <w:rsid w:val="00614F29"/>
    <w:rsid w:val="00626D53"/>
    <w:rsid w:val="006516A7"/>
    <w:rsid w:val="00687022"/>
    <w:rsid w:val="006914C2"/>
    <w:rsid w:val="006A07FC"/>
    <w:rsid w:val="006B18CA"/>
    <w:rsid w:val="006D6A32"/>
    <w:rsid w:val="006E320E"/>
    <w:rsid w:val="006F49D1"/>
    <w:rsid w:val="00702731"/>
    <w:rsid w:val="0071302D"/>
    <w:rsid w:val="00713D26"/>
    <w:rsid w:val="007247C7"/>
    <w:rsid w:val="0074277E"/>
    <w:rsid w:val="00746114"/>
    <w:rsid w:val="00756091"/>
    <w:rsid w:val="007925AB"/>
    <w:rsid w:val="00797AAE"/>
    <w:rsid w:val="007C3390"/>
    <w:rsid w:val="007D19A5"/>
    <w:rsid w:val="007F66F2"/>
    <w:rsid w:val="00804D7A"/>
    <w:rsid w:val="0081623B"/>
    <w:rsid w:val="008573E9"/>
    <w:rsid w:val="008579C4"/>
    <w:rsid w:val="00863D4C"/>
    <w:rsid w:val="00866DD5"/>
    <w:rsid w:val="00873070"/>
    <w:rsid w:val="00882A31"/>
    <w:rsid w:val="0089082D"/>
    <w:rsid w:val="0089314A"/>
    <w:rsid w:val="0089555F"/>
    <w:rsid w:val="008A0E55"/>
    <w:rsid w:val="008B350F"/>
    <w:rsid w:val="008B4F86"/>
    <w:rsid w:val="008D64E4"/>
    <w:rsid w:val="008F138F"/>
    <w:rsid w:val="008F736C"/>
    <w:rsid w:val="00923661"/>
    <w:rsid w:val="00941C03"/>
    <w:rsid w:val="00986723"/>
    <w:rsid w:val="00991787"/>
    <w:rsid w:val="009A21B3"/>
    <w:rsid w:val="009C3D86"/>
    <w:rsid w:val="009C5C9D"/>
    <w:rsid w:val="009E55B7"/>
    <w:rsid w:val="009F161C"/>
    <w:rsid w:val="00A07F43"/>
    <w:rsid w:val="00A1040D"/>
    <w:rsid w:val="00A50A84"/>
    <w:rsid w:val="00A76193"/>
    <w:rsid w:val="00AC36F2"/>
    <w:rsid w:val="00AC79B4"/>
    <w:rsid w:val="00AE13F7"/>
    <w:rsid w:val="00B174B4"/>
    <w:rsid w:val="00B263E8"/>
    <w:rsid w:val="00B31361"/>
    <w:rsid w:val="00B31D5C"/>
    <w:rsid w:val="00B32031"/>
    <w:rsid w:val="00B423F4"/>
    <w:rsid w:val="00BB0378"/>
    <w:rsid w:val="00BB0E96"/>
    <w:rsid w:val="00BB7A35"/>
    <w:rsid w:val="00BC540A"/>
    <w:rsid w:val="00BD1237"/>
    <w:rsid w:val="00BD692E"/>
    <w:rsid w:val="00C054EA"/>
    <w:rsid w:val="00C16BCA"/>
    <w:rsid w:val="00C233B4"/>
    <w:rsid w:val="00C438D1"/>
    <w:rsid w:val="00C518A8"/>
    <w:rsid w:val="00C614AA"/>
    <w:rsid w:val="00C653B8"/>
    <w:rsid w:val="00C77094"/>
    <w:rsid w:val="00C90668"/>
    <w:rsid w:val="00CA2CC6"/>
    <w:rsid w:val="00CA2FE6"/>
    <w:rsid w:val="00CB2C72"/>
    <w:rsid w:val="00CD2AD9"/>
    <w:rsid w:val="00CD6230"/>
    <w:rsid w:val="00D0411A"/>
    <w:rsid w:val="00D20AD3"/>
    <w:rsid w:val="00D32069"/>
    <w:rsid w:val="00D3483F"/>
    <w:rsid w:val="00D41ED3"/>
    <w:rsid w:val="00D70415"/>
    <w:rsid w:val="00D71933"/>
    <w:rsid w:val="00D815E8"/>
    <w:rsid w:val="00D866E7"/>
    <w:rsid w:val="00D911B3"/>
    <w:rsid w:val="00D91A29"/>
    <w:rsid w:val="00DA0DBD"/>
    <w:rsid w:val="00DC06C8"/>
    <w:rsid w:val="00DE0BBA"/>
    <w:rsid w:val="00E12A48"/>
    <w:rsid w:val="00E512B1"/>
    <w:rsid w:val="00EA5810"/>
    <w:rsid w:val="00EC102E"/>
    <w:rsid w:val="00EE151A"/>
    <w:rsid w:val="00EE35B8"/>
    <w:rsid w:val="00EF3941"/>
    <w:rsid w:val="00F22509"/>
    <w:rsid w:val="00F31870"/>
    <w:rsid w:val="00F44A15"/>
    <w:rsid w:val="00F52117"/>
    <w:rsid w:val="00F7477B"/>
    <w:rsid w:val="00FA729B"/>
    <w:rsid w:val="00FB28A9"/>
    <w:rsid w:val="00FB485B"/>
    <w:rsid w:val="00FB7B7F"/>
    <w:rsid w:val="00FC7C52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E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C233B4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unhideWhenUsed/>
    <w:rsid w:val="00C518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C2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A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1374B"/>
    <w:pPr>
      <w:ind w:left="720"/>
      <w:contextualSpacing/>
    </w:pPr>
  </w:style>
  <w:style w:type="paragraph" w:customStyle="1" w:styleId="tv2132">
    <w:name w:val="tv2132"/>
    <w:basedOn w:val="Normal"/>
    <w:rsid w:val="0056206A"/>
    <w:pPr>
      <w:spacing w:line="360" w:lineRule="auto"/>
      <w:ind w:firstLine="300"/>
    </w:pPr>
    <w:rPr>
      <w:color w:val="414142"/>
      <w:sz w:val="20"/>
      <w:szCs w:val="20"/>
      <w:lang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1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665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6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221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501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4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5096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0243-visparejas-izglitibas-likum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</vt:lpstr>
      <vt:lpstr>Grozījumi Ministru kabineta 2006. gada 25. jūlija noteikumos Nr. 619 "Noteikumi par zvērināta tiesu izpildītāja eksāmena kārtību, minimālo zināšanu apjomu un eksāmena maksu"</vt:lpstr>
    </vt:vector>
  </TitlesOfParts>
  <Company>Izglītības un zinātnes ministrija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</dc:title>
  <dc:creator>Ilze Krastiņa</dc:creator>
  <cp:lastModifiedBy>Leontīne Babkina</cp:lastModifiedBy>
  <cp:revision>139</cp:revision>
  <cp:lastPrinted>2017-11-29T13:19:00Z</cp:lastPrinted>
  <dcterms:created xsi:type="dcterms:W3CDTF">2017-03-22T08:28:00Z</dcterms:created>
  <dcterms:modified xsi:type="dcterms:W3CDTF">2017-12-13T12:15:00Z</dcterms:modified>
</cp:coreProperties>
</file>