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DD" w:rsidRPr="00DE428F" w:rsidRDefault="006A46DD" w:rsidP="000C4C9E">
      <w:pPr>
        <w:spacing w:after="0" w:line="240" w:lineRule="auto"/>
        <w:ind w:right="140"/>
        <w:jc w:val="center"/>
        <w:rPr>
          <w:rFonts w:eastAsia="Times New Roman"/>
          <w:b/>
          <w:sz w:val="28"/>
          <w:szCs w:val="28"/>
          <w:lang w:eastAsia="lv-LV"/>
        </w:rPr>
      </w:pPr>
      <w:bookmarkStart w:id="0" w:name="OLE_LINK9"/>
      <w:bookmarkStart w:id="1" w:name="OLE_LINK10"/>
      <w:r w:rsidRPr="00DE428F">
        <w:rPr>
          <w:rFonts w:eastAsia="Times New Roman"/>
          <w:b/>
          <w:bCs/>
          <w:sz w:val="28"/>
          <w:szCs w:val="28"/>
          <w:lang w:eastAsia="lv-LV"/>
        </w:rPr>
        <w:t>Ministru kabineta rīkojuma projekta</w:t>
      </w:r>
    </w:p>
    <w:p w:rsidR="006A46DD" w:rsidRPr="00DE428F" w:rsidRDefault="006A46DD" w:rsidP="000C4C9E">
      <w:pPr>
        <w:spacing w:after="0" w:line="240" w:lineRule="auto"/>
        <w:ind w:right="140"/>
        <w:jc w:val="center"/>
        <w:rPr>
          <w:b/>
          <w:sz w:val="28"/>
          <w:szCs w:val="28"/>
        </w:rPr>
      </w:pPr>
      <w:r w:rsidRPr="00DE428F">
        <w:rPr>
          <w:b/>
          <w:sz w:val="28"/>
          <w:szCs w:val="28"/>
        </w:rPr>
        <w:t>„</w:t>
      </w:r>
      <w:r w:rsidRPr="00DE428F">
        <w:rPr>
          <w:b/>
          <w:bCs/>
          <w:sz w:val="28"/>
          <w:szCs w:val="28"/>
          <w:lang w:eastAsia="lv-LV"/>
        </w:rPr>
        <w:t xml:space="preserve">Par valstij dividendēs izmaksājamo valsts sabiedrības ar ierobežotu atbildību </w:t>
      </w:r>
      <w:r w:rsidR="00496654" w:rsidRPr="00DE428F">
        <w:rPr>
          <w:b/>
          <w:sz w:val="28"/>
          <w:szCs w:val="28"/>
        </w:rPr>
        <w:t>„Rīgas c</w:t>
      </w:r>
      <w:r w:rsidRPr="00DE428F">
        <w:rPr>
          <w:b/>
          <w:sz w:val="28"/>
          <w:szCs w:val="28"/>
        </w:rPr>
        <w:t xml:space="preserve">irks” </w:t>
      </w:r>
      <w:r w:rsidRPr="00DE428F">
        <w:rPr>
          <w:b/>
          <w:bCs/>
          <w:sz w:val="28"/>
          <w:szCs w:val="28"/>
          <w:lang w:eastAsia="lv-LV"/>
        </w:rPr>
        <w:t>peļņas daļu</w:t>
      </w:r>
      <w:r w:rsidRPr="00DE428F">
        <w:rPr>
          <w:b/>
          <w:sz w:val="28"/>
          <w:szCs w:val="28"/>
        </w:rPr>
        <w:t>” sākotnējās ietekmes novērtējuma ziņojums (anotācija)</w:t>
      </w:r>
    </w:p>
    <w:bookmarkEnd w:id="0"/>
    <w:bookmarkEnd w:id="1"/>
    <w:p w:rsidR="006A46DD" w:rsidRPr="00DE428F" w:rsidRDefault="006A46DD" w:rsidP="000C4C9E">
      <w:pPr>
        <w:spacing w:after="0" w:line="240" w:lineRule="auto"/>
        <w:ind w:right="140"/>
        <w:rPr>
          <w:b/>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74"/>
        <w:gridCol w:w="2979"/>
        <w:gridCol w:w="5534"/>
      </w:tblGrid>
      <w:tr w:rsidR="006A46DD" w:rsidRPr="00DE428F" w:rsidTr="00496654">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w:t>
            </w:r>
            <w:r w:rsidRPr="00DE428F">
              <w:rPr>
                <w:rFonts w:eastAsia="Times New Roman"/>
                <w:b/>
                <w:bCs/>
                <w:sz w:val="28"/>
                <w:szCs w:val="28"/>
                <w:lang w:eastAsia="lv-LV"/>
              </w:rPr>
              <w:t> I. Tiesību akta projekta izstrādes nepieciešamība</w:t>
            </w:r>
          </w:p>
        </w:tc>
      </w:tr>
      <w:tr w:rsidR="006A46DD" w:rsidRPr="00DE428F" w:rsidTr="00D663CF">
        <w:trPr>
          <w:trHeight w:val="6170"/>
        </w:trPr>
        <w:tc>
          <w:tcPr>
            <w:tcW w:w="316"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left="127" w:right="140"/>
              <w:rPr>
                <w:rFonts w:eastAsia="Times New Roman"/>
                <w:sz w:val="28"/>
                <w:szCs w:val="28"/>
                <w:lang w:eastAsia="lv-LV"/>
              </w:rPr>
            </w:pPr>
            <w:r w:rsidRPr="00DE428F">
              <w:rPr>
                <w:rFonts w:eastAsia="Times New Roman"/>
                <w:sz w:val="28"/>
                <w:szCs w:val="28"/>
                <w:lang w:eastAsia="lv-LV"/>
              </w:rPr>
              <w:t>Pamatojums</w:t>
            </w:r>
          </w:p>
        </w:tc>
        <w:tc>
          <w:tcPr>
            <w:tcW w:w="3046"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left="127" w:right="140"/>
              <w:jc w:val="both"/>
              <w:rPr>
                <w:rFonts w:eastAsia="Times New Roman"/>
                <w:bCs/>
                <w:sz w:val="28"/>
                <w:szCs w:val="28"/>
                <w:lang w:eastAsia="lv-LV"/>
              </w:rPr>
            </w:pPr>
            <w:r w:rsidRPr="00DE428F">
              <w:rPr>
                <w:sz w:val="28"/>
                <w:szCs w:val="28"/>
              </w:rPr>
              <w:t>Ministru kabineta rīkojuma projekts „</w:t>
            </w:r>
            <w:r w:rsidRPr="00DE428F">
              <w:rPr>
                <w:bCs/>
                <w:sz w:val="28"/>
                <w:szCs w:val="28"/>
                <w:lang w:eastAsia="lv-LV"/>
              </w:rPr>
              <w:t>Par valstij dividendēs izmaksājamo valsts sabiedrības ar ierobežotu atbildību</w:t>
            </w:r>
            <w:r w:rsidRPr="00DE428F">
              <w:rPr>
                <w:sz w:val="28"/>
                <w:szCs w:val="28"/>
              </w:rPr>
              <w:t xml:space="preserve"> „Rīgas cirks” </w:t>
            </w:r>
            <w:r w:rsidRPr="00DE428F">
              <w:rPr>
                <w:bCs/>
                <w:sz w:val="28"/>
                <w:szCs w:val="28"/>
                <w:lang w:eastAsia="lv-LV"/>
              </w:rPr>
              <w:t>peļņas daļu</w:t>
            </w:r>
            <w:r w:rsidRPr="00DE428F">
              <w:rPr>
                <w:sz w:val="28"/>
                <w:szCs w:val="28"/>
              </w:rPr>
              <w:t xml:space="preserve">” (turpmāk – Projekts) sagatavots saskaņā ar Likuma par budžetu un finanšu vadību 5.panta otro daļu, </w:t>
            </w:r>
            <w:hyperlink r:id="rId8" w:tgtFrame="_blank" w:history="1">
              <w:r w:rsidRPr="00DE428F">
                <w:rPr>
                  <w:rFonts w:eastAsia="Times New Roman"/>
                  <w:iCs/>
                  <w:sz w:val="28"/>
                  <w:szCs w:val="28"/>
                  <w:lang w:eastAsia="lv-LV"/>
                </w:rPr>
                <w:t>Publiskas personas kapitāla daļu un kapitālsabiedrību pārvaldības likuma</w:t>
              </w:r>
            </w:hyperlink>
            <w:r w:rsidR="006A46DD" w:rsidRPr="00DE428F">
              <w:rPr>
                <w:rFonts w:eastAsia="Times New Roman"/>
                <w:iCs/>
                <w:sz w:val="28"/>
                <w:szCs w:val="28"/>
                <w:lang w:eastAsia="lv-LV"/>
              </w:rPr>
              <w:t xml:space="preserve"> </w:t>
            </w:r>
            <w:hyperlink r:id="rId9" w:anchor="p28" w:tgtFrame="_blank" w:history="1">
              <w:r w:rsidRPr="00DE428F">
                <w:rPr>
                  <w:rFonts w:eastAsia="Times New Roman"/>
                  <w:iCs/>
                  <w:sz w:val="28"/>
                  <w:szCs w:val="28"/>
                  <w:lang w:eastAsia="lv-LV"/>
                </w:rPr>
                <w:t>28.panta</w:t>
              </w:r>
            </w:hyperlink>
            <w:r w:rsidR="006A46DD" w:rsidRPr="00DE428F">
              <w:rPr>
                <w:rFonts w:eastAsia="Times New Roman"/>
                <w:iCs/>
                <w:sz w:val="28"/>
                <w:szCs w:val="28"/>
                <w:lang w:eastAsia="lv-LV"/>
              </w:rPr>
              <w:t xml:space="preserve"> pirmo daļu</w:t>
            </w:r>
            <w:r w:rsidRPr="00DE428F">
              <w:rPr>
                <w:sz w:val="28"/>
                <w:szCs w:val="28"/>
              </w:rPr>
              <w:t xml:space="preserve"> un Ministru kabineta 2015.gada 22.decembra noteikumu Nr.806 „</w:t>
            </w:r>
            <w:r w:rsidRPr="00DE428F">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DE428F">
              <w:rPr>
                <w:sz w:val="28"/>
                <w:szCs w:val="28"/>
              </w:rPr>
              <w:t>” (turpmāk – Noteikumi Nr.806) 10.punktu, kas nosaka, ka valsts kapitāla daļu turētājs priekšlikumu par dividendēs izmaksājamo peļņas daļu (procentos no kapitālsabiedrības tīrās peļņas), kas atšķiras no kapitālsabiedrības stratēģijā noteiktā, piecu darbdienu laikā pēc kapitālsabiedrības gada pārskata apstiprināšanas iesniedz Finanšu ministrijai un koordinācijas institūcijai.</w:t>
            </w:r>
          </w:p>
        </w:tc>
      </w:tr>
      <w:tr w:rsidR="006A46DD" w:rsidRPr="00DE428F" w:rsidTr="00D663CF">
        <w:trPr>
          <w:trHeight w:val="263"/>
        </w:trPr>
        <w:tc>
          <w:tcPr>
            <w:tcW w:w="316"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left="127" w:right="140"/>
              <w:rPr>
                <w:rFonts w:eastAsia="Times New Roman"/>
                <w:sz w:val="28"/>
                <w:szCs w:val="28"/>
                <w:lang w:eastAsia="lv-LV"/>
              </w:rPr>
            </w:pPr>
            <w:r w:rsidRPr="00DE428F">
              <w:rPr>
                <w:sz w:val="28"/>
                <w:szCs w:val="28"/>
              </w:rPr>
              <w:t>Pašreizējā situācija un problēmas, kuru risināšanai tiesību akta projekts izstrādāts, tiesiskā regulējuma mērķis un būtība</w:t>
            </w:r>
          </w:p>
        </w:tc>
        <w:tc>
          <w:tcPr>
            <w:tcW w:w="3046" w:type="pct"/>
            <w:tcBorders>
              <w:top w:val="outset" w:sz="6" w:space="0" w:color="auto"/>
              <w:left w:val="outset" w:sz="6" w:space="0" w:color="auto"/>
              <w:bottom w:val="outset" w:sz="6" w:space="0" w:color="auto"/>
              <w:right w:val="outset" w:sz="6" w:space="0" w:color="auto"/>
            </w:tcBorders>
          </w:tcPr>
          <w:p w:rsidR="00FA21A2" w:rsidRPr="00DE428F" w:rsidRDefault="00B2591A" w:rsidP="000C4C9E">
            <w:pPr>
              <w:spacing w:after="0" w:line="240" w:lineRule="auto"/>
              <w:ind w:left="125" w:right="140"/>
              <w:jc w:val="both"/>
              <w:rPr>
                <w:sz w:val="28"/>
                <w:szCs w:val="28"/>
              </w:rPr>
            </w:pPr>
            <w:r w:rsidRPr="00DE428F">
              <w:rPr>
                <w:sz w:val="28"/>
                <w:szCs w:val="28"/>
              </w:rPr>
              <w:t xml:space="preserve">Valsts sabiedrība ar ierobežotu atbildību „Rīgas cirks” (turpmāk – kapitālsabiedrība) ir valsts kapitālsabiedrība, kurā 100 % kapitāla daļu turētāja ir Kultūras ministrija. Kapitālsabiedrība 2016.gadu ir noslēgusi ar 26 355 </w:t>
            </w:r>
            <w:r w:rsidRPr="00DE428F">
              <w:rPr>
                <w:i/>
                <w:sz w:val="28"/>
                <w:szCs w:val="28"/>
              </w:rPr>
              <w:t xml:space="preserve">euro </w:t>
            </w:r>
            <w:r w:rsidRPr="00DE428F">
              <w:rPr>
                <w:sz w:val="28"/>
                <w:szCs w:val="28"/>
              </w:rPr>
              <w:t xml:space="preserve">peļņu. Saskaņā ar likuma „Par vidēja termiņa budžeta ietvaru 2017., 2018. un 2019.gadam” </w:t>
            </w:r>
            <w:r w:rsidRPr="00DE428F">
              <w:rPr>
                <w:bCs/>
                <w:sz w:val="28"/>
                <w:szCs w:val="28"/>
              </w:rPr>
              <w:t xml:space="preserve">19.panta pirmo daļu </w:t>
            </w:r>
            <w:r w:rsidRPr="00DE428F">
              <w:rPr>
                <w:sz w:val="28"/>
                <w:szCs w:val="28"/>
              </w:rPr>
              <w:t xml:space="preserve">minimālo dividendēs izmaksājamo peļņas daļu par 2016., 2017. un 2018. pārskata gadu kapitālsabiedrībām, kurās visas kapitāla daļas tieši vai pastarpināti pieder valstij, 2017.gadā (par 2016. pārskata gadu) nosaka un aprēķina </w:t>
            </w:r>
            <w:r w:rsidRPr="00DE428F">
              <w:rPr>
                <w:sz w:val="28"/>
                <w:szCs w:val="28"/>
              </w:rPr>
              <w:lastRenderedPageBreak/>
              <w:t>85 procentu apmērā. Līdz ar to kapitālsabiedrībai par 2016.pārskata gadu būtu jāieskaita valsts budžetā dividendes 22 401,75 </w:t>
            </w:r>
            <w:r w:rsidRPr="00DE428F">
              <w:rPr>
                <w:i/>
                <w:sz w:val="28"/>
                <w:szCs w:val="28"/>
              </w:rPr>
              <w:t xml:space="preserve">euro </w:t>
            </w:r>
            <w:r w:rsidRPr="00DE428F">
              <w:rPr>
                <w:sz w:val="28"/>
                <w:szCs w:val="28"/>
              </w:rPr>
              <w:t>apmērā.</w:t>
            </w:r>
          </w:p>
          <w:p w:rsidR="00496654" w:rsidRPr="00DE428F" w:rsidRDefault="00496654" w:rsidP="000C4C9E">
            <w:pPr>
              <w:spacing w:after="0" w:line="240" w:lineRule="auto"/>
              <w:ind w:left="125" w:right="140"/>
              <w:jc w:val="both"/>
              <w:rPr>
                <w:sz w:val="28"/>
                <w:szCs w:val="28"/>
              </w:rPr>
            </w:pPr>
          </w:p>
          <w:p w:rsidR="00FA21A2" w:rsidRPr="00DE428F" w:rsidRDefault="00B2591A" w:rsidP="000C4C9E">
            <w:pPr>
              <w:spacing w:after="0" w:line="240" w:lineRule="auto"/>
              <w:ind w:left="125" w:right="140"/>
              <w:jc w:val="both"/>
              <w:rPr>
                <w:sz w:val="28"/>
                <w:szCs w:val="28"/>
              </w:rPr>
            </w:pPr>
            <w:r w:rsidRPr="00DE428F">
              <w:rPr>
                <w:sz w:val="28"/>
                <w:szCs w:val="28"/>
              </w:rPr>
              <w:t xml:space="preserve">Saskaņā ar kapitālsabiedrības dalībnieku sapulces 2017.gada 20.aprīļa protokolu, izskatot jautājumu par kapitālsabiedrības gada pārskata apstiprināšanu, ir pieņemts lēmums priekšlikumu par atšķirīgas dividendēs izmaksājamās peļņas daļu virzīt izskatīšanai Ministru kabinetā. Līdz ar to šobrīd lēmums par kapitālsabiedrības 2016.gada peļņas sadali nav pieņemts un peļņa nav sadalīta. 2016.gada nesadalītā peļņa atbilstoši </w:t>
            </w:r>
            <w:r w:rsidRPr="00DE428F">
              <w:rPr>
                <w:bCs/>
                <w:sz w:val="28"/>
                <w:szCs w:val="28"/>
              </w:rPr>
              <w:t>Gada pārskatu</w:t>
            </w:r>
            <w:hyperlink r:id="rId10" w:tgtFrame="_blank" w:history="1">
              <w:r w:rsidRPr="00DE428F">
                <w:rPr>
                  <w:rStyle w:val="Hipersaite"/>
                  <w:bCs/>
                  <w:color w:val="auto"/>
                  <w:sz w:val="28"/>
                  <w:szCs w:val="28"/>
                  <w:u w:val="none"/>
                </w:rPr>
                <w:t xml:space="preserve"> </w:t>
              </w:r>
              <w:r w:rsidR="005D2A24">
                <w:rPr>
                  <w:rStyle w:val="Hipersaite"/>
                  <w:bCs/>
                  <w:color w:val="auto"/>
                  <w:sz w:val="28"/>
                  <w:szCs w:val="28"/>
                  <w:u w:val="none"/>
                </w:rPr>
                <w:t xml:space="preserve">un konsolidēto gada pārskatu </w:t>
              </w:r>
              <w:r w:rsidRPr="00DE428F">
                <w:rPr>
                  <w:rStyle w:val="Hipersaite"/>
                  <w:bCs/>
                  <w:color w:val="auto"/>
                  <w:sz w:val="28"/>
                  <w:szCs w:val="28"/>
                  <w:u w:val="none"/>
                </w:rPr>
                <w:t>likum</w:t>
              </w:r>
            </w:hyperlink>
            <w:r w:rsidR="003530A9" w:rsidRPr="00DE428F">
              <w:rPr>
                <w:sz w:val="28"/>
                <w:szCs w:val="28"/>
              </w:rPr>
              <w:t>a 20.pantam ir ietverta attiecīgā pārskata gada bilances post</w:t>
            </w:r>
            <w:r w:rsidRPr="00DE428F">
              <w:rPr>
                <w:sz w:val="28"/>
                <w:szCs w:val="28"/>
              </w:rPr>
              <w:t>enī „</w:t>
            </w:r>
            <w:r w:rsidR="00F501E0" w:rsidRPr="00C336A9">
              <w:rPr>
                <w:rFonts w:eastAsia="Times New Roman"/>
                <w:sz w:val="28"/>
                <w:szCs w:val="28"/>
              </w:rPr>
              <w:t>Iepriekšējo gadu nesadalītā peļņa</w:t>
            </w:r>
            <w:r w:rsidRPr="00DE428F">
              <w:rPr>
                <w:sz w:val="28"/>
                <w:szCs w:val="28"/>
              </w:rPr>
              <w:t>”.</w:t>
            </w:r>
          </w:p>
          <w:p w:rsidR="00496654" w:rsidRPr="00DE428F" w:rsidRDefault="00496654" w:rsidP="000C4C9E">
            <w:pPr>
              <w:pStyle w:val="tv2132"/>
              <w:spacing w:line="240" w:lineRule="auto"/>
              <w:ind w:left="140" w:right="140" w:firstLine="0"/>
              <w:jc w:val="both"/>
              <w:rPr>
                <w:color w:val="auto"/>
                <w:sz w:val="28"/>
                <w:szCs w:val="28"/>
              </w:rPr>
            </w:pPr>
          </w:p>
          <w:p w:rsidR="00743C43" w:rsidRDefault="00B2591A" w:rsidP="000C4C9E">
            <w:pPr>
              <w:autoSpaceDE w:val="0"/>
              <w:autoSpaceDN w:val="0"/>
              <w:adjustRightInd w:val="0"/>
              <w:spacing w:after="0" w:line="240" w:lineRule="auto"/>
              <w:ind w:left="127" w:right="140"/>
              <w:jc w:val="both"/>
              <w:rPr>
                <w:sz w:val="28"/>
                <w:szCs w:val="28"/>
              </w:rPr>
            </w:pPr>
            <w:r w:rsidRPr="00DE428F">
              <w:rPr>
                <w:sz w:val="28"/>
                <w:szCs w:val="28"/>
              </w:rPr>
              <w:t xml:space="preserve">Likuma „Par vidēja termiņa budžeta ietvaru 2017., 2018. un 2019.gadam” </w:t>
            </w:r>
            <w:r w:rsidRPr="00DE428F">
              <w:rPr>
                <w:bCs/>
                <w:sz w:val="28"/>
                <w:szCs w:val="28"/>
              </w:rPr>
              <w:t xml:space="preserve">19.panta otrā daļa nosaka, ka </w:t>
            </w:r>
            <w:r w:rsidRPr="00DE428F">
              <w:rPr>
                <w:sz w:val="28"/>
                <w:szCs w:val="28"/>
              </w:rPr>
              <w:t xml:space="preserve">Ministru kabinets normatīvajos aktos noteiktajos gadījumos un kārtībā var pieņemt lēmumu par atšķirīgu dividendēs izmaksājamo minimālo peļņas daļu. Noteikumu Nr.806 11.2.1.punkts nosaka, ka valsts kapitāla daļu turētājs iesniedz Finanšu ministrijai un koordinācijas institūcijai Noteikumu Nr.806 </w:t>
            </w:r>
            <w:hyperlink r:id="rId11" w:anchor="p10" w:tgtFrame="_blank" w:history="1">
              <w:r w:rsidRPr="00DE428F">
                <w:rPr>
                  <w:sz w:val="28"/>
                  <w:szCs w:val="28"/>
                </w:rPr>
                <w:t>10.punktā</w:t>
              </w:r>
            </w:hyperlink>
            <w:r w:rsidR="003530A9" w:rsidRPr="00DE428F">
              <w:rPr>
                <w:sz w:val="28"/>
                <w:szCs w:val="28"/>
              </w:rPr>
              <w:t xml:space="preserve"> minēto priekšlikumu un attiecīgu Ministru kabineta rīkojuma projektu un anotāciju, ja </w:t>
            </w:r>
            <w:r w:rsidRPr="00DE428F">
              <w:rPr>
                <w:sz w:val="28"/>
                <w:szCs w:val="28"/>
              </w:rPr>
              <w:t xml:space="preserve">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w:t>
            </w:r>
          </w:p>
          <w:p w:rsidR="00B91207" w:rsidRPr="00DE428F" w:rsidRDefault="00B91207" w:rsidP="000C4C9E">
            <w:pPr>
              <w:autoSpaceDE w:val="0"/>
              <w:autoSpaceDN w:val="0"/>
              <w:adjustRightInd w:val="0"/>
              <w:spacing w:after="0" w:line="240" w:lineRule="auto"/>
              <w:ind w:left="127" w:right="140"/>
              <w:jc w:val="both"/>
              <w:rPr>
                <w:sz w:val="28"/>
                <w:szCs w:val="28"/>
              </w:rPr>
            </w:pPr>
          </w:p>
          <w:p w:rsidR="00FA21A2" w:rsidRPr="00DE428F" w:rsidRDefault="00B2591A" w:rsidP="000C4C9E">
            <w:pPr>
              <w:pStyle w:val="Normal1"/>
              <w:spacing w:after="0" w:line="240" w:lineRule="auto"/>
              <w:ind w:left="143" w:right="140"/>
              <w:jc w:val="both"/>
              <w:rPr>
                <w:rFonts w:ascii="Times New Roman" w:eastAsia="Times New Roman" w:hAnsi="Times New Roman" w:cs="Times New Roman"/>
                <w:color w:val="auto"/>
                <w:sz w:val="28"/>
                <w:szCs w:val="28"/>
                <w:lang w:val="lv-LV"/>
              </w:rPr>
            </w:pPr>
            <w:r w:rsidRPr="00DE428F">
              <w:rPr>
                <w:rFonts w:ascii="Times New Roman" w:eastAsia="Times New Roman" w:hAnsi="Times New Roman" w:cs="Times New Roman"/>
                <w:color w:val="auto"/>
                <w:sz w:val="28"/>
                <w:szCs w:val="28"/>
                <w:lang w:val="lv-LV"/>
              </w:rPr>
              <w:t xml:space="preserve">2016.gada 9.februārī Būvniecības valsts kontroles birojs (turpmāk – BVKB) veica cirka ēkas apsekošanu un 2016.gada 10.februārī izdeva atzinumu, kurā tika </w:t>
            </w:r>
            <w:r w:rsidRPr="00DE428F">
              <w:rPr>
                <w:rFonts w:ascii="Times New Roman" w:eastAsia="Times New Roman" w:hAnsi="Times New Roman" w:cs="Times New Roman"/>
                <w:color w:val="auto"/>
                <w:sz w:val="28"/>
                <w:szCs w:val="28"/>
                <w:lang w:val="lv-LV"/>
              </w:rPr>
              <w:lastRenderedPageBreak/>
              <w:t>norādīts uz būtiskiem defektiem ēkas fasādes konstrukcijām. Pamatojoties uz BVKB atzinumu, Kultūras ministrija 2016.gada 2</w:t>
            </w:r>
            <w:r w:rsidR="00CF7AE5">
              <w:rPr>
                <w:rFonts w:ascii="Times New Roman" w:eastAsia="Times New Roman" w:hAnsi="Times New Roman" w:cs="Times New Roman"/>
                <w:color w:val="auto"/>
                <w:sz w:val="28"/>
                <w:szCs w:val="28"/>
                <w:lang w:val="lv-LV"/>
              </w:rPr>
              <w:t>9</w:t>
            </w:r>
            <w:r w:rsidRPr="00DE428F">
              <w:rPr>
                <w:rFonts w:ascii="Times New Roman" w:eastAsia="Times New Roman" w:hAnsi="Times New Roman" w:cs="Times New Roman"/>
                <w:color w:val="auto"/>
                <w:sz w:val="28"/>
                <w:szCs w:val="28"/>
                <w:lang w:val="lv-LV"/>
              </w:rPr>
              <w:t>.februārī ar lēmumu Nr.</w:t>
            </w:r>
            <w:r w:rsidR="009F494F">
              <w:rPr>
                <w:rFonts w:ascii="Times New Roman" w:eastAsia="Times New Roman" w:hAnsi="Times New Roman" w:cs="Times New Roman"/>
                <w:color w:val="auto"/>
                <w:sz w:val="28"/>
                <w:szCs w:val="28"/>
                <w:lang w:val="lv-LV"/>
              </w:rPr>
              <w:t>2.5.-3</w:t>
            </w:r>
            <w:r w:rsidRPr="00DE428F">
              <w:rPr>
                <w:rFonts w:ascii="Times New Roman" w:eastAsia="Times New Roman" w:hAnsi="Times New Roman" w:cs="Times New Roman"/>
                <w:color w:val="auto"/>
                <w:sz w:val="28"/>
                <w:szCs w:val="28"/>
                <w:lang w:val="lv-LV"/>
              </w:rPr>
              <w:t>-8 uzdeva valdei:</w:t>
            </w:r>
          </w:p>
          <w:p w:rsidR="00FA21A2" w:rsidRPr="00DE428F" w:rsidRDefault="00B2591A" w:rsidP="000C4C9E">
            <w:pPr>
              <w:pStyle w:val="Normal1"/>
              <w:numPr>
                <w:ilvl w:val="0"/>
                <w:numId w:val="1"/>
              </w:numPr>
              <w:spacing w:after="0" w:line="240" w:lineRule="auto"/>
              <w:ind w:left="568" w:right="140" w:hanging="425"/>
              <w:contextualSpacing/>
              <w:jc w:val="both"/>
              <w:rPr>
                <w:rFonts w:ascii="Times New Roman" w:eastAsia="Times New Roman" w:hAnsi="Times New Roman" w:cs="Times New Roman"/>
                <w:color w:val="auto"/>
                <w:sz w:val="28"/>
                <w:szCs w:val="28"/>
                <w:lang w:val="lv-LV"/>
              </w:rPr>
            </w:pPr>
            <w:r w:rsidRPr="00DE428F">
              <w:rPr>
                <w:rFonts w:ascii="Times New Roman" w:eastAsia="Times New Roman" w:hAnsi="Times New Roman" w:cs="Times New Roman"/>
                <w:color w:val="auto"/>
                <w:sz w:val="28"/>
                <w:szCs w:val="28"/>
                <w:lang w:val="lv-LV"/>
              </w:rPr>
              <w:t>ne vēlāk kā līdz 2016.gada 1.decembrim novērst bīstamību – veikt cirka ēkas Merķeļa ielas fasādes konservāciju, lai novērstu tās iespējamo apgāšanos, un iesniegt BVKB būvdarbu izpildes dokumentāciju;</w:t>
            </w:r>
          </w:p>
          <w:p w:rsidR="00FA21A2" w:rsidRPr="00DE428F" w:rsidRDefault="00B2591A" w:rsidP="000C4C9E">
            <w:pPr>
              <w:pStyle w:val="Normal1"/>
              <w:numPr>
                <w:ilvl w:val="0"/>
                <w:numId w:val="1"/>
              </w:numPr>
              <w:spacing w:after="0" w:line="240" w:lineRule="auto"/>
              <w:ind w:left="568" w:right="140" w:hanging="425"/>
              <w:contextualSpacing/>
              <w:jc w:val="both"/>
              <w:rPr>
                <w:rFonts w:ascii="Times New Roman" w:eastAsia="Times New Roman" w:hAnsi="Times New Roman" w:cs="Times New Roman"/>
                <w:color w:val="auto"/>
                <w:sz w:val="28"/>
                <w:szCs w:val="28"/>
                <w:lang w:val="lv-LV"/>
              </w:rPr>
            </w:pPr>
            <w:r w:rsidRPr="00DE428F">
              <w:rPr>
                <w:rFonts w:ascii="Times New Roman" w:eastAsia="Times New Roman" w:hAnsi="Times New Roman" w:cs="Times New Roman"/>
                <w:color w:val="auto"/>
                <w:sz w:val="28"/>
                <w:szCs w:val="28"/>
                <w:lang w:val="lv-LV"/>
              </w:rPr>
              <w:t>aizliegt cirka ēkas kā publiskas būves ekspluatāciju līdz būvniecību reglamentējošo normatīvo aktu kārtībā ir veikta cirka ēkas atjaunošana (restaurācija) vai pārbūve un novērsta atzinumā konstatētā cirka ēkas bīstamība.</w:t>
            </w:r>
          </w:p>
          <w:p w:rsidR="00AE16F4" w:rsidRPr="00DE428F" w:rsidRDefault="00AE16F4" w:rsidP="000C4C9E">
            <w:pPr>
              <w:pStyle w:val="Normal1"/>
              <w:spacing w:after="0" w:line="240" w:lineRule="auto"/>
              <w:ind w:left="143" w:right="140"/>
              <w:jc w:val="both"/>
              <w:rPr>
                <w:rFonts w:ascii="Times New Roman" w:eastAsia="Times New Roman" w:hAnsi="Times New Roman" w:cs="Times New Roman"/>
                <w:color w:val="auto"/>
                <w:sz w:val="28"/>
                <w:szCs w:val="28"/>
                <w:lang w:val="lv-LV"/>
              </w:rPr>
            </w:pPr>
          </w:p>
          <w:p w:rsidR="003530A9" w:rsidRDefault="00B2591A" w:rsidP="000C4C9E">
            <w:pPr>
              <w:pStyle w:val="Normal1"/>
              <w:spacing w:after="0" w:line="240" w:lineRule="auto"/>
              <w:ind w:left="143" w:right="140"/>
              <w:jc w:val="both"/>
              <w:rPr>
                <w:rFonts w:ascii="Times New Roman" w:eastAsia="Times New Roman" w:hAnsi="Times New Roman" w:cs="Times New Roman"/>
                <w:color w:val="auto"/>
                <w:sz w:val="28"/>
                <w:szCs w:val="28"/>
                <w:lang w:val="lv-LV"/>
              </w:rPr>
            </w:pPr>
            <w:r w:rsidRPr="00DE428F">
              <w:rPr>
                <w:rFonts w:ascii="Times New Roman" w:eastAsia="Times New Roman" w:hAnsi="Times New Roman" w:cs="Times New Roman"/>
                <w:color w:val="auto"/>
                <w:sz w:val="28"/>
                <w:szCs w:val="28"/>
                <w:lang w:val="lv-LV"/>
              </w:rPr>
              <w:t>Pamatojoties uz BVKB lēmumu, cirka ēka publiskiem pasākumiem tika slēgta un izrāžu darbība tika pārtraukta. Reaģējot uz būtisko ieņēmumu kritumu, kā arī izrāžu darbības apturēšanu cirka ēkā, kapitālsabiedrība bija spiesta veikt darbinieku atlaišanu. Tāpat 2016.gada 9.augustā pēc Kultūras ministrijas pieprasījuma tika veikta budžeta pārplānošana, pielāgojot mērķus jaunajiem apstākļiem. Kopumā 2016.gadā kapitālsabiedrība darbojās minimālā apjomā, galveno uzmanību veltot cirka ēkas bīstamības novēršanai.</w:t>
            </w:r>
          </w:p>
          <w:p w:rsidR="00B91207" w:rsidRPr="00DE428F" w:rsidRDefault="00B91207" w:rsidP="000C4C9E">
            <w:pPr>
              <w:pStyle w:val="Normal1"/>
              <w:spacing w:after="0" w:line="240" w:lineRule="auto"/>
              <w:ind w:left="143" w:right="140"/>
              <w:jc w:val="both"/>
              <w:rPr>
                <w:rFonts w:ascii="Times New Roman" w:eastAsia="Times New Roman" w:hAnsi="Times New Roman" w:cs="Times New Roman"/>
                <w:color w:val="auto"/>
                <w:sz w:val="28"/>
                <w:szCs w:val="28"/>
                <w:lang w:val="lv-LV"/>
              </w:rPr>
            </w:pPr>
          </w:p>
          <w:p w:rsidR="00101AD7" w:rsidRPr="00644EE9" w:rsidRDefault="00CB11C8" w:rsidP="000C4C9E">
            <w:pPr>
              <w:pStyle w:val="CM1"/>
              <w:ind w:left="141" w:right="148"/>
              <w:jc w:val="both"/>
              <w:rPr>
                <w:sz w:val="28"/>
                <w:szCs w:val="28"/>
              </w:rPr>
            </w:pPr>
            <w:r w:rsidRPr="00CB11C8">
              <w:rPr>
                <w:rFonts w:ascii="Times New Roman" w:hAnsi="Times New Roman" w:cs="Times New Roman"/>
                <w:sz w:val="28"/>
                <w:szCs w:val="28"/>
              </w:rPr>
              <w:t xml:space="preserve">Finanšu līdzekļi nepieciešami esošās cirka ēkas atjaunošanai un pārbūvei, kā arī jaunu cirka darbības virzienu attīstīšanai laikā, kamēr cirka telpās nav iespējama izrāžu darbība. Finanšu līdzekļi tiks ieguldīti fasādes un blakus esošo ēku monitoringam 6 921.20 </w:t>
            </w:r>
            <w:r w:rsidRPr="00CB11C8">
              <w:rPr>
                <w:rFonts w:ascii="Times New Roman" w:hAnsi="Times New Roman" w:cs="Times New Roman"/>
                <w:i/>
                <w:sz w:val="28"/>
                <w:szCs w:val="28"/>
              </w:rPr>
              <w:t>euro</w:t>
            </w:r>
            <w:r w:rsidRPr="00CB11C8">
              <w:rPr>
                <w:rFonts w:ascii="Times New Roman" w:hAnsi="Times New Roman" w:cs="Times New Roman"/>
                <w:sz w:val="28"/>
                <w:szCs w:val="28"/>
              </w:rPr>
              <w:t xml:space="preserve"> apmērā, Rīgas cirka ēkas metu konkursa sagatavošanai 10 260 </w:t>
            </w:r>
            <w:r w:rsidRPr="00CB11C8">
              <w:rPr>
                <w:rFonts w:ascii="Times New Roman" w:hAnsi="Times New Roman" w:cs="Times New Roman"/>
                <w:i/>
                <w:sz w:val="28"/>
                <w:szCs w:val="28"/>
              </w:rPr>
              <w:t>euro</w:t>
            </w:r>
            <w:r w:rsidRPr="00CB11C8">
              <w:rPr>
                <w:rFonts w:ascii="Times New Roman" w:hAnsi="Times New Roman" w:cs="Times New Roman"/>
                <w:sz w:val="28"/>
                <w:szCs w:val="28"/>
              </w:rPr>
              <w:t xml:space="preserve"> apmērā. un 5 220,55 </w:t>
            </w:r>
            <w:r w:rsidRPr="00CB11C8">
              <w:rPr>
                <w:rFonts w:ascii="Times New Roman" w:hAnsi="Times New Roman" w:cs="Times New Roman"/>
                <w:i/>
                <w:sz w:val="28"/>
                <w:szCs w:val="28"/>
              </w:rPr>
              <w:t>euro</w:t>
            </w:r>
            <w:r w:rsidRPr="00CB11C8">
              <w:rPr>
                <w:rFonts w:ascii="Times New Roman" w:hAnsi="Times New Roman" w:cs="Times New Roman"/>
                <w:sz w:val="28"/>
                <w:szCs w:val="28"/>
              </w:rPr>
              <w:t xml:space="preserve"> paredzēti Rīgas cirka skolas attīstīšanai, daļēji sedzot izmaksas nodarbību telpu nomai, pasniedzēju atalgojumam un skolas darbībai nepieciešamā inventāra </w:t>
            </w:r>
            <w:r w:rsidRPr="00CB11C8">
              <w:rPr>
                <w:rFonts w:ascii="Times New Roman" w:hAnsi="Times New Roman" w:cs="Times New Roman"/>
                <w:sz w:val="28"/>
                <w:szCs w:val="28"/>
              </w:rPr>
              <w:lastRenderedPageBreak/>
              <w:t xml:space="preserve">iegādei. Rīgas cirka skolas darbība ir vērsta uz ilgtermiņa ieguldījumiem Latvijas cirka mākslas attīstībā, veicinot bērnu un jauniešu profesionālo interesi par cirka mākslu, jaunas profesionāļu paaudzes veidošanu, kā arī cirka tēla veidošanu un skatītāju izglītošanu. 2017.gadā Rīgas cirka skolas ieņēmumi, kas sastāv no dalībnieku biedru naudām, plānoti aptuveni 4 900 </w:t>
            </w:r>
            <w:r w:rsidRPr="00CB11C8">
              <w:rPr>
                <w:rFonts w:ascii="Times New Roman" w:hAnsi="Times New Roman" w:cs="Times New Roman"/>
                <w:i/>
                <w:sz w:val="28"/>
                <w:szCs w:val="28"/>
              </w:rPr>
              <w:t xml:space="preserve">euro </w:t>
            </w:r>
            <w:r w:rsidRPr="00CB11C8">
              <w:rPr>
                <w:rFonts w:ascii="Times New Roman" w:hAnsi="Times New Roman" w:cs="Times New Roman"/>
                <w:sz w:val="28"/>
                <w:szCs w:val="28"/>
              </w:rPr>
              <w:t xml:space="preserve">apmērā un kas sastāda 0,7% no kapitālsabiedrības 2017.gadā plānotajiem ieņēmumiem. Rīgas cirka skolā darbojas neliels dalībnieku </w:t>
            </w:r>
            <w:r w:rsidR="00362B89">
              <w:rPr>
                <w:rFonts w:ascii="Times New Roman" w:hAnsi="Times New Roman" w:cs="Times New Roman"/>
                <w:sz w:val="28"/>
                <w:szCs w:val="28"/>
              </w:rPr>
              <w:t>skaits</w:t>
            </w:r>
            <w:r w:rsidR="00466557">
              <w:rPr>
                <w:rFonts w:ascii="Times New Roman" w:hAnsi="Times New Roman" w:cs="Times New Roman"/>
                <w:sz w:val="28"/>
                <w:szCs w:val="28"/>
              </w:rPr>
              <w:t xml:space="preserve"> </w:t>
            </w:r>
            <w:r w:rsidR="00466557" w:rsidRPr="00743994">
              <w:rPr>
                <w:rFonts w:ascii="Times New Roman" w:hAnsi="Times New Roman" w:cs="Times New Roman"/>
                <w:sz w:val="28"/>
                <w:szCs w:val="28"/>
              </w:rPr>
              <w:t xml:space="preserve">(Latvijas </w:t>
            </w:r>
            <w:r w:rsidR="005A514F" w:rsidRPr="00743994">
              <w:rPr>
                <w:rFonts w:ascii="Times New Roman" w:hAnsi="Times New Roman" w:cs="Times New Roman"/>
                <w:sz w:val="28"/>
                <w:szCs w:val="28"/>
              </w:rPr>
              <w:t xml:space="preserve">vietējie </w:t>
            </w:r>
            <w:r w:rsidR="00466557" w:rsidRPr="00743994">
              <w:rPr>
                <w:rFonts w:ascii="Times New Roman" w:hAnsi="Times New Roman" w:cs="Times New Roman"/>
                <w:sz w:val="28"/>
                <w:szCs w:val="28"/>
              </w:rPr>
              <w:t>iedzīvot</w:t>
            </w:r>
            <w:r w:rsidR="00466557" w:rsidRPr="00481C7A">
              <w:rPr>
                <w:rFonts w:ascii="Times New Roman" w:hAnsi="Times New Roman" w:cs="Times New Roman"/>
                <w:sz w:val="28"/>
                <w:szCs w:val="28"/>
              </w:rPr>
              <w:t xml:space="preserve">āji - </w:t>
            </w:r>
            <w:r w:rsidR="00196C06" w:rsidRPr="00644EE9">
              <w:rPr>
                <w:rFonts w:ascii="Times New Roman" w:hAnsi="Times New Roman" w:cs="Times New Roman"/>
                <w:sz w:val="28"/>
                <w:szCs w:val="28"/>
                <w:shd w:val="clear" w:color="auto" w:fill="FAFAFA"/>
              </w:rPr>
              <w:t>bērni no septiņu līdz 15 gadu vecumam un pieaugušie), proti</w:t>
            </w:r>
            <w:r w:rsidR="00743994" w:rsidRPr="00644EE9">
              <w:rPr>
                <w:rFonts w:ascii="Times New Roman" w:hAnsi="Times New Roman" w:cs="Times New Roman"/>
                <w:sz w:val="28"/>
                <w:szCs w:val="28"/>
                <w:shd w:val="clear" w:color="auto" w:fill="FAFAFA"/>
              </w:rPr>
              <w:t>,</w:t>
            </w:r>
            <w:r w:rsidR="00196C06" w:rsidRPr="00644EE9">
              <w:rPr>
                <w:rFonts w:ascii="Times New Roman" w:hAnsi="Times New Roman" w:cs="Times New Roman"/>
                <w:sz w:val="28"/>
                <w:szCs w:val="28"/>
                <w:shd w:val="clear" w:color="auto" w:fill="FAFAFA"/>
              </w:rPr>
              <w:t xml:space="preserve"> pasākumam ir</w:t>
            </w:r>
            <w:r w:rsidR="00362B89" w:rsidRPr="00644EE9">
              <w:rPr>
                <w:rFonts w:ascii="Times New Roman" w:hAnsi="Times New Roman" w:cs="Times New Roman"/>
                <w:sz w:val="28"/>
                <w:szCs w:val="28"/>
              </w:rPr>
              <w:t xml:space="preserve"> </w:t>
            </w:r>
            <w:r w:rsidR="00101AD7" w:rsidRPr="00644EE9">
              <w:rPr>
                <w:rFonts w:ascii="Times New Roman" w:hAnsi="Times New Roman" w:cs="Times New Roman"/>
                <w:sz w:val="28"/>
                <w:szCs w:val="28"/>
              </w:rPr>
              <w:t>lokāls raksturs</w:t>
            </w:r>
            <w:r w:rsidR="00481C7A" w:rsidRPr="00644EE9">
              <w:rPr>
                <w:rFonts w:ascii="Times New Roman" w:hAnsi="Times New Roman" w:cs="Times New Roman"/>
                <w:sz w:val="28"/>
                <w:szCs w:val="28"/>
              </w:rPr>
              <w:t xml:space="preserve"> un</w:t>
            </w:r>
            <w:r w:rsidR="00101AD7" w:rsidRPr="00644EE9">
              <w:rPr>
                <w:rFonts w:ascii="Times New Roman" w:hAnsi="Times New Roman" w:cs="Times New Roman"/>
                <w:sz w:val="28"/>
                <w:szCs w:val="28"/>
              </w:rPr>
              <w:t xml:space="preserve"> šāds atbalst</w:t>
            </w:r>
            <w:r w:rsidR="00466557" w:rsidRPr="00644EE9">
              <w:rPr>
                <w:rFonts w:ascii="Times New Roman" w:hAnsi="Times New Roman" w:cs="Times New Roman"/>
                <w:sz w:val="28"/>
                <w:szCs w:val="28"/>
              </w:rPr>
              <w:t>s</w:t>
            </w:r>
            <w:r w:rsidR="00101AD7" w:rsidRPr="00644EE9">
              <w:rPr>
                <w:rFonts w:ascii="Times New Roman" w:hAnsi="Times New Roman" w:cs="Times New Roman"/>
                <w:sz w:val="28"/>
                <w:szCs w:val="28"/>
              </w:rPr>
              <w:t xml:space="preserve"> neiespaido tirdzniecības apstākļus un konkurenci </w:t>
            </w:r>
            <w:r w:rsidR="00362B89" w:rsidRPr="00644EE9">
              <w:rPr>
                <w:rFonts w:ascii="Times New Roman" w:hAnsi="Times New Roman" w:cs="Times New Roman"/>
                <w:sz w:val="28"/>
                <w:szCs w:val="28"/>
              </w:rPr>
              <w:t xml:space="preserve">Eiropas </w:t>
            </w:r>
            <w:r w:rsidR="00101AD7" w:rsidRPr="00644EE9">
              <w:rPr>
                <w:rFonts w:ascii="Times New Roman" w:hAnsi="Times New Roman" w:cs="Times New Roman"/>
                <w:sz w:val="28"/>
                <w:szCs w:val="28"/>
              </w:rPr>
              <w:t>Savienībā</w:t>
            </w:r>
            <w:r w:rsidR="00CF34E1" w:rsidRPr="00644EE9">
              <w:rPr>
                <w:rFonts w:ascii="Times New Roman" w:hAnsi="Times New Roman" w:cs="Times New Roman"/>
                <w:sz w:val="28"/>
                <w:szCs w:val="28"/>
              </w:rPr>
              <w:t>,</w:t>
            </w:r>
            <w:r w:rsidR="00B700B7" w:rsidRPr="00644EE9">
              <w:rPr>
                <w:sz w:val="28"/>
                <w:szCs w:val="28"/>
              </w:rPr>
              <w:t xml:space="preserve"> </w:t>
            </w:r>
            <w:r w:rsidR="00481C7A" w:rsidRPr="00644EE9">
              <w:rPr>
                <w:rFonts w:ascii="Times New Roman" w:hAnsi="Times New Roman" w:cs="Times New Roman"/>
                <w:sz w:val="28"/>
                <w:szCs w:val="28"/>
              </w:rPr>
              <w:t xml:space="preserve">līdz ar to finansējuma </w:t>
            </w:r>
            <w:r w:rsidR="000E0A71" w:rsidRPr="00644EE9">
              <w:rPr>
                <w:rFonts w:ascii="Times New Roman" w:hAnsi="Times New Roman" w:cs="Times New Roman"/>
                <w:sz w:val="28"/>
                <w:szCs w:val="28"/>
              </w:rPr>
              <w:t>piešķiršana Rīgas c</w:t>
            </w:r>
            <w:bookmarkStart w:id="2" w:name="_GoBack"/>
            <w:bookmarkEnd w:id="2"/>
            <w:r w:rsidR="00481C7A" w:rsidRPr="00644EE9">
              <w:rPr>
                <w:rFonts w:ascii="Times New Roman" w:hAnsi="Times New Roman" w:cs="Times New Roman"/>
                <w:sz w:val="28"/>
                <w:szCs w:val="28"/>
              </w:rPr>
              <w:t xml:space="preserve">irka skolai </w:t>
            </w:r>
            <w:r w:rsidR="00196C06" w:rsidRPr="00644EE9">
              <w:rPr>
                <w:rFonts w:ascii="Times New Roman" w:hAnsi="Times New Roman" w:cs="Times New Roman"/>
                <w:sz w:val="28"/>
                <w:szCs w:val="28"/>
              </w:rPr>
              <w:t>nekvalific</w:t>
            </w:r>
            <w:r w:rsidR="00196C06" w:rsidRPr="00644EE9">
              <w:rPr>
                <w:rFonts w:ascii="Times New Roman" w:hAnsi="Times New Roman" w:cs="Times New Roman" w:hint="eastAsia"/>
                <w:sz w:val="28"/>
                <w:szCs w:val="28"/>
              </w:rPr>
              <w:t>ē</w:t>
            </w:r>
            <w:r w:rsidR="00196C06" w:rsidRPr="00644EE9">
              <w:rPr>
                <w:rFonts w:ascii="Times New Roman" w:hAnsi="Times New Roman" w:cs="Times New Roman"/>
                <w:sz w:val="28"/>
                <w:szCs w:val="28"/>
              </w:rPr>
              <w:t>jas k</w:t>
            </w:r>
            <w:r w:rsidR="00196C06" w:rsidRPr="00644EE9">
              <w:rPr>
                <w:rFonts w:ascii="Times New Roman" w:hAnsi="Times New Roman" w:cs="Times New Roman" w:hint="eastAsia"/>
                <w:sz w:val="28"/>
                <w:szCs w:val="28"/>
              </w:rPr>
              <w:t>ā</w:t>
            </w:r>
            <w:r w:rsidR="00196C06" w:rsidRPr="00644EE9">
              <w:rPr>
                <w:rFonts w:ascii="Times New Roman" w:hAnsi="Times New Roman" w:cs="Times New Roman"/>
                <w:sz w:val="28"/>
                <w:szCs w:val="28"/>
              </w:rPr>
              <w:t xml:space="preserve"> komercdarb</w:t>
            </w:r>
            <w:r w:rsidR="00196C06" w:rsidRPr="00644EE9">
              <w:rPr>
                <w:rFonts w:ascii="Times New Roman" w:hAnsi="Times New Roman" w:cs="Times New Roman" w:hint="eastAsia"/>
                <w:sz w:val="28"/>
                <w:szCs w:val="28"/>
              </w:rPr>
              <w:t>ī</w:t>
            </w:r>
            <w:r w:rsidR="00196C06" w:rsidRPr="00644EE9">
              <w:rPr>
                <w:rFonts w:ascii="Times New Roman" w:hAnsi="Times New Roman" w:cs="Times New Roman"/>
                <w:sz w:val="28"/>
                <w:szCs w:val="28"/>
              </w:rPr>
              <w:t>bas atbalsts</w:t>
            </w:r>
            <w:r w:rsidR="00481C7A" w:rsidRPr="00644EE9">
              <w:rPr>
                <w:rFonts w:ascii="Times New Roman" w:hAnsi="Times New Roman" w:cs="Times New Roman"/>
                <w:sz w:val="28"/>
                <w:szCs w:val="28"/>
              </w:rPr>
              <w:t>.</w:t>
            </w:r>
          </w:p>
          <w:p w:rsidR="00811DEB" w:rsidRDefault="00811DEB" w:rsidP="000C4C9E">
            <w:pPr>
              <w:spacing w:after="0" w:line="240" w:lineRule="auto"/>
              <w:ind w:left="127" w:right="140"/>
              <w:jc w:val="both"/>
              <w:rPr>
                <w:sz w:val="28"/>
                <w:szCs w:val="28"/>
              </w:rPr>
            </w:pPr>
          </w:p>
          <w:p w:rsidR="00B91207" w:rsidRDefault="00B91207" w:rsidP="000C4C9E">
            <w:pPr>
              <w:spacing w:after="0" w:line="240" w:lineRule="auto"/>
              <w:ind w:left="127" w:right="140"/>
              <w:jc w:val="both"/>
              <w:rPr>
                <w:sz w:val="28"/>
                <w:szCs w:val="28"/>
              </w:rPr>
            </w:pPr>
            <w:r w:rsidRPr="00BC4020">
              <w:rPr>
                <w:sz w:val="28"/>
                <w:szCs w:val="28"/>
              </w:rPr>
              <w:t>Kapitālsabiedrības 2016.gada darbību raksturojošie rādītāji</w:t>
            </w:r>
            <w:r w:rsidRPr="003224C2">
              <w:rPr>
                <w:sz w:val="28"/>
                <w:szCs w:val="28"/>
              </w:rPr>
              <w:t xml:space="preserve"> pievienot</w:t>
            </w:r>
            <w:r>
              <w:rPr>
                <w:sz w:val="28"/>
                <w:szCs w:val="28"/>
              </w:rPr>
              <w:t>i</w:t>
            </w:r>
            <w:r w:rsidRPr="003224C2">
              <w:rPr>
                <w:sz w:val="28"/>
                <w:szCs w:val="28"/>
              </w:rPr>
              <w:t xml:space="preserve"> Projekta sākotnējās ietekmes ziņojuma (anotācijas) pielikumā</w:t>
            </w:r>
            <w:r>
              <w:rPr>
                <w:sz w:val="28"/>
                <w:szCs w:val="28"/>
              </w:rPr>
              <w:t>.</w:t>
            </w:r>
          </w:p>
          <w:p w:rsidR="00B91207" w:rsidRDefault="00B91207" w:rsidP="000C4C9E">
            <w:pPr>
              <w:spacing w:after="0" w:line="240" w:lineRule="auto"/>
              <w:ind w:left="127" w:right="140"/>
              <w:jc w:val="both"/>
              <w:rPr>
                <w:sz w:val="28"/>
                <w:szCs w:val="28"/>
              </w:rPr>
            </w:pPr>
          </w:p>
          <w:p w:rsidR="003530A9" w:rsidRPr="00DE428F" w:rsidRDefault="00B2591A" w:rsidP="000C4C9E">
            <w:pPr>
              <w:spacing w:after="0" w:line="240" w:lineRule="auto"/>
              <w:ind w:left="127" w:right="140"/>
              <w:jc w:val="both"/>
              <w:rPr>
                <w:rFonts w:eastAsia="Arial Unicode MS"/>
                <w:sz w:val="28"/>
                <w:szCs w:val="28"/>
              </w:rPr>
            </w:pPr>
            <w:r w:rsidRPr="00DE428F">
              <w:rPr>
                <w:sz w:val="28"/>
                <w:szCs w:val="28"/>
              </w:rPr>
              <w:t xml:space="preserve">Ar kapitālsabiedrību, pamatojoties uz Kultūras institūciju likuma 23.panta otro daļu, </w:t>
            </w:r>
            <w:r w:rsidRPr="00DE428F">
              <w:rPr>
                <w:rFonts w:eastAsia="Arial Unicode MS"/>
                <w:sz w:val="28"/>
                <w:szCs w:val="28"/>
              </w:rPr>
              <w:t>2015.gada 6.janvārī noslēgts līdzdarbības līgums Nr.5.1.-8-8</w:t>
            </w:r>
            <w:r w:rsidRPr="00DE428F">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sabiedrības vajadzībām nodrošināt un padarīt pieejamus profesionālās mākslas produktus – cirka izrādes.</w:t>
            </w:r>
          </w:p>
          <w:p w:rsidR="00AE16F4" w:rsidRPr="00DE428F" w:rsidRDefault="00AE16F4" w:rsidP="000C4C9E">
            <w:pPr>
              <w:pStyle w:val="Default"/>
              <w:ind w:left="127" w:right="140"/>
              <w:jc w:val="both"/>
              <w:rPr>
                <w:color w:val="auto"/>
                <w:sz w:val="28"/>
                <w:szCs w:val="28"/>
              </w:rPr>
            </w:pPr>
          </w:p>
          <w:p w:rsidR="003530A9" w:rsidRPr="00DE428F" w:rsidRDefault="00B2591A" w:rsidP="000C4C9E">
            <w:pPr>
              <w:pStyle w:val="Default"/>
              <w:ind w:left="127" w:right="140"/>
              <w:jc w:val="both"/>
              <w:rPr>
                <w:color w:val="auto"/>
                <w:sz w:val="28"/>
                <w:szCs w:val="28"/>
              </w:rPr>
            </w:pPr>
            <w:r w:rsidRPr="00DE428F">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DE428F">
              <w:rPr>
                <w:bCs/>
                <w:color w:val="auto"/>
                <w:sz w:val="28"/>
                <w:szCs w:val="28"/>
              </w:rPr>
              <w:t xml:space="preserve">izņēmums, kas paredzēts gan Līgumā par Eiropas Savienības darbību, gan tiek plaši </w:t>
            </w:r>
            <w:r w:rsidRPr="00DE428F">
              <w:rPr>
                <w:bCs/>
                <w:color w:val="auto"/>
                <w:sz w:val="28"/>
                <w:szCs w:val="28"/>
              </w:rPr>
              <w:lastRenderedPageBreak/>
              <w:t>piemērots Eiropas Savienības dalībvalstu praksē.</w:t>
            </w:r>
            <w:r w:rsidRPr="00DE428F">
              <w:rPr>
                <w:b/>
                <w:bCs/>
                <w:color w:val="auto"/>
                <w:sz w:val="28"/>
                <w:szCs w:val="28"/>
              </w:rPr>
              <w:t xml:space="preserve"> </w:t>
            </w:r>
            <w:r w:rsidRPr="00DE428F">
              <w:rPr>
                <w:color w:val="auto"/>
                <w:sz w:val="28"/>
                <w:szCs w:val="28"/>
              </w:rPr>
              <w:t>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DE428F">
              <w:rPr>
                <w:i/>
                <w:color w:val="auto"/>
                <w:sz w:val="28"/>
                <w:szCs w:val="28"/>
              </w:rPr>
              <w:t xml:space="preserve"> </w:t>
            </w:r>
            <w:r w:rsidRPr="00DE428F">
              <w:rPr>
                <w:color w:val="auto"/>
                <w:sz w:val="28"/>
                <w:szCs w:val="28"/>
              </w:rPr>
              <w:t>(2016/c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w:t>
            </w:r>
            <w:r w:rsidR="003530A9" w:rsidRPr="00DE428F">
              <w:rPr>
                <w:color w:val="auto"/>
                <w:sz w:val="28"/>
                <w:szCs w:val="28"/>
              </w:rPr>
              <w:t xml:space="preserve">, līdz ar </w:t>
            </w:r>
            <w:r w:rsidR="003530A9" w:rsidRPr="00DE428F">
              <w:rPr>
                <w:color w:val="auto"/>
                <w:sz w:val="28"/>
                <w:szCs w:val="28"/>
              </w:rPr>
              <w:lastRenderedPageBreak/>
              <w:t>to publiskais finansējums, kas tām piešķirts, var nebūt valsts atbalsts.</w:t>
            </w:r>
            <w:r w:rsidRPr="00DE428F">
              <w:rPr>
                <w:color w:val="auto"/>
                <w:sz w:val="28"/>
                <w:szCs w:val="28"/>
              </w:rPr>
              <w:t xml:space="preserve">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DE428F">
              <w:rPr>
                <w:i/>
                <w:color w:val="auto"/>
                <w:sz w:val="28"/>
                <w:szCs w:val="28"/>
              </w:rPr>
              <w:t>daļa no faktiskajām izmaksām</w:t>
            </w:r>
            <w:r w:rsidRPr="00DE428F">
              <w:rPr>
                <w:color w:val="auto"/>
                <w:sz w:val="28"/>
                <w:szCs w:val="28"/>
              </w:rPr>
              <w:t>” ir ne vairāk kā 50 procentus no kopējiem kultūras iestādes izdevumiem (biļešu ieņēmumi, maksas pakalpojumu u.c. pašu ieņēmumi).</w:t>
            </w:r>
          </w:p>
          <w:p w:rsidR="00AE16F4" w:rsidRPr="00DE428F" w:rsidRDefault="00AE16F4" w:rsidP="000C4C9E">
            <w:pPr>
              <w:pStyle w:val="Default"/>
              <w:ind w:left="127" w:right="140"/>
              <w:jc w:val="both"/>
              <w:rPr>
                <w:color w:val="auto"/>
                <w:sz w:val="28"/>
                <w:szCs w:val="28"/>
              </w:rPr>
            </w:pPr>
          </w:p>
          <w:p w:rsidR="009B3FB3" w:rsidRPr="00DE428F" w:rsidRDefault="00B2591A" w:rsidP="000C4C9E">
            <w:pPr>
              <w:pStyle w:val="Default"/>
              <w:ind w:left="127" w:right="140"/>
              <w:jc w:val="both"/>
              <w:rPr>
                <w:color w:val="auto"/>
                <w:sz w:val="28"/>
                <w:szCs w:val="28"/>
              </w:rPr>
            </w:pPr>
            <w:r w:rsidRPr="00DE428F">
              <w:rPr>
                <w:color w:val="auto"/>
                <w:sz w:val="28"/>
                <w:szCs w:val="28"/>
              </w:rPr>
              <w:t xml:space="preserve">Saskaņā ar 2016.gada darbības rādītājiem kapitālsabiedrības pašu ieņēmumi no saimnieciskās darbības, tai skaitā no biļešu tirdzniecības, 2016.gadā bija 151 717 </w:t>
            </w:r>
            <w:r w:rsidR="003530A9" w:rsidRPr="00DE428F">
              <w:rPr>
                <w:i/>
                <w:color w:val="auto"/>
                <w:sz w:val="28"/>
                <w:szCs w:val="28"/>
              </w:rPr>
              <w:t>euro</w:t>
            </w:r>
            <w:r w:rsidR="003530A9" w:rsidRPr="00DE428F">
              <w:rPr>
                <w:color w:val="auto"/>
                <w:sz w:val="28"/>
                <w:szCs w:val="28"/>
              </w:rPr>
              <w:t xml:space="preserve">, kas veidoja </w:t>
            </w:r>
            <w:r w:rsidRPr="00DE428F">
              <w:rPr>
                <w:color w:val="auto"/>
                <w:sz w:val="28"/>
                <w:szCs w:val="28"/>
              </w:rPr>
              <w:t xml:space="preserve">30,0% no kopējiem kapitālsabiedrības izdevumiem kultūras pakalpojumu pieejamības nodrošināšanā. Savukārt dotācija no valsts pamatbudžeta bija </w:t>
            </w:r>
            <w:r w:rsidRPr="00DE428F">
              <w:rPr>
                <w:rFonts w:eastAsia="Times New Roman"/>
                <w:color w:val="auto"/>
                <w:sz w:val="28"/>
                <w:szCs w:val="28"/>
              </w:rPr>
              <w:t xml:space="preserve">372 842 </w:t>
            </w:r>
            <w:r w:rsidR="003530A9" w:rsidRPr="00DE428F">
              <w:rPr>
                <w:i/>
                <w:color w:val="auto"/>
                <w:sz w:val="28"/>
                <w:szCs w:val="28"/>
              </w:rPr>
              <w:t>euro</w:t>
            </w:r>
            <w:r w:rsidR="003530A9" w:rsidRPr="00DE428F">
              <w:rPr>
                <w:color w:val="auto"/>
                <w:sz w:val="28"/>
                <w:szCs w:val="28"/>
              </w:rPr>
              <w:t xml:space="preserve"> jeb </w:t>
            </w:r>
            <w:r w:rsidR="005A38B9" w:rsidRPr="00DE428F">
              <w:rPr>
                <w:color w:val="auto"/>
                <w:sz w:val="28"/>
                <w:szCs w:val="28"/>
              </w:rPr>
              <w:t>73,8%</w:t>
            </w:r>
            <w:r w:rsidR="003530A9" w:rsidRPr="00DE428F">
              <w:rPr>
                <w:color w:val="auto"/>
                <w:sz w:val="28"/>
                <w:szCs w:val="28"/>
              </w:rPr>
              <w:t xml:space="preserve"> no kopējiem kapitālsabiedrības izdevumiem kultūras pakalpojumu pieejamības nodrošināšanā</w:t>
            </w:r>
            <w:r w:rsidRPr="00DE428F">
              <w:rPr>
                <w:color w:val="auto"/>
                <w:sz w:val="28"/>
                <w:szCs w:val="28"/>
              </w:rPr>
              <w:t>, tāpēc kapitālsabiedrība nav uzskatāma par saimnieciskās darbības veicēju un komercdarbības atbalstu regulējošās normas nav jāpiemēro.</w:t>
            </w:r>
          </w:p>
          <w:p w:rsidR="00AE16F4" w:rsidRPr="00DE428F" w:rsidRDefault="00AE16F4" w:rsidP="000C4C9E">
            <w:pPr>
              <w:spacing w:after="0" w:line="240" w:lineRule="auto"/>
              <w:ind w:left="127" w:right="140"/>
              <w:jc w:val="both"/>
              <w:rPr>
                <w:sz w:val="28"/>
                <w:szCs w:val="28"/>
                <w:highlight w:val="yellow"/>
              </w:rPr>
            </w:pPr>
          </w:p>
          <w:p w:rsidR="006A46DD" w:rsidRPr="00DE428F" w:rsidRDefault="00B2591A" w:rsidP="000C4C9E">
            <w:pPr>
              <w:spacing w:after="0" w:line="240" w:lineRule="auto"/>
              <w:ind w:left="127" w:right="140"/>
              <w:jc w:val="both"/>
              <w:rPr>
                <w:bCs/>
                <w:sz w:val="28"/>
                <w:szCs w:val="28"/>
              </w:rPr>
            </w:pPr>
            <w:r w:rsidRPr="00DE428F">
              <w:rPr>
                <w:sz w:val="28"/>
                <w:szCs w:val="28"/>
              </w:rPr>
              <w:t>Sakarā ar to, ka ārkārtas situāciju dēļ ir iestājušās faktiskās sekas, kuru novēršanai un kapitālsabiedrības stratēģijā noteikto mērķu īstenošanai kapitālsabiedrības rīcībā nepieciešams atstāt finanšu līdzekļus dividendēs izmaksājamās peļņas daļas apmērā, Kultūras ministrija ierosina Ministru kabinetam pieņemt lēmumu, ka kapitālsabiedrības 2016.pārskata gada peļņa netiek izmaksāta dividendēs, t.i., tiek noteikta atšķirīga dividendēs izmaksājamā peļņas daļa 0 % apmērā.</w:t>
            </w:r>
          </w:p>
        </w:tc>
      </w:tr>
      <w:tr w:rsidR="006A46DD" w:rsidRPr="00DE428F" w:rsidTr="00D663CF">
        <w:trPr>
          <w:trHeight w:val="735"/>
        </w:trPr>
        <w:tc>
          <w:tcPr>
            <w:tcW w:w="316"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lastRenderedPageBreak/>
              <w:t>3.</w:t>
            </w:r>
          </w:p>
        </w:tc>
        <w:tc>
          <w:tcPr>
            <w:tcW w:w="1639"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right="140"/>
              <w:rPr>
                <w:rFonts w:eastAsia="Times New Roman"/>
                <w:sz w:val="28"/>
                <w:szCs w:val="28"/>
                <w:lang w:eastAsia="lv-LV"/>
              </w:rPr>
            </w:pPr>
            <w:r w:rsidRPr="00DE428F">
              <w:rPr>
                <w:rFonts w:eastAsia="Times New Roman"/>
                <w:sz w:val="28"/>
                <w:szCs w:val="28"/>
                <w:lang w:eastAsia="lv-LV"/>
              </w:rPr>
              <w:t>Projekta izstrādē iesaistītās institūcijas</w:t>
            </w:r>
          </w:p>
        </w:tc>
        <w:tc>
          <w:tcPr>
            <w:tcW w:w="3046"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left="127" w:right="140"/>
              <w:jc w:val="both"/>
              <w:rPr>
                <w:rFonts w:eastAsia="Times New Roman"/>
                <w:sz w:val="28"/>
                <w:szCs w:val="28"/>
                <w:lang w:eastAsia="lv-LV"/>
              </w:rPr>
            </w:pPr>
            <w:r w:rsidRPr="00DE428F">
              <w:rPr>
                <w:rFonts w:eastAsia="Times New Roman"/>
                <w:sz w:val="28"/>
                <w:szCs w:val="28"/>
                <w:lang w:eastAsia="lv-LV"/>
              </w:rPr>
              <w:t xml:space="preserve">Kultūras ministrija, </w:t>
            </w:r>
            <w:r w:rsidRPr="00DE428F">
              <w:rPr>
                <w:bCs/>
                <w:sz w:val="28"/>
                <w:szCs w:val="28"/>
                <w:lang w:eastAsia="lv-LV"/>
              </w:rPr>
              <w:t xml:space="preserve">valsts sabiedrība ar ierobežotu atbildību </w:t>
            </w:r>
            <w:r w:rsidRPr="00DE428F">
              <w:rPr>
                <w:sz w:val="28"/>
                <w:szCs w:val="28"/>
              </w:rPr>
              <w:t>„Rīgas cirks”.</w:t>
            </w:r>
          </w:p>
        </w:tc>
      </w:tr>
      <w:tr w:rsidR="006A46DD" w:rsidRPr="00DE428F" w:rsidTr="00D663CF">
        <w:trPr>
          <w:trHeight w:val="405"/>
        </w:trPr>
        <w:tc>
          <w:tcPr>
            <w:tcW w:w="316"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4.</w:t>
            </w:r>
          </w:p>
        </w:tc>
        <w:tc>
          <w:tcPr>
            <w:tcW w:w="1639"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right="140"/>
              <w:rPr>
                <w:rFonts w:eastAsia="Times New Roman"/>
                <w:sz w:val="28"/>
                <w:szCs w:val="28"/>
                <w:lang w:eastAsia="lv-LV"/>
              </w:rPr>
            </w:pPr>
            <w:r w:rsidRPr="00DE428F">
              <w:rPr>
                <w:rFonts w:eastAsia="Times New Roman"/>
                <w:sz w:val="28"/>
                <w:szCs w:val="28"/>
                <w:lang w:eastAsia="lv-LV"/>
              </w:rPr>
              <w:t> Cita informācija</w:t>
            </w:r>
          </w:p>
        </w:tc>
        <w:tc>
          <w:tcPr>
            <w:tcW w:w="3046" w:type="pct"/>
            <w:tcBorders>
              <w:top w:val="outset" w:sz="6" w:space="0" w:color="auto"/>
              <w:left w:val="outset" w:sz="6" w:space="0" w:color="auto"/>
              <w:bottom w:val="outset" w:sz="6" w:space="0" w:color="auto"/>
              <w:right w:val="outset" w:sz="6" w:space="0" w:color="auto"/>
            </w:tcBorders>
          </w:tcPr>
          <w:p w:rsidR="006A46DD" w:rsidRPr="00DE428F" w:rsidRDefault="00B2591A" w:rsidP="000C4C9E">
            <w:pPr>
              <w:spacing w:after="0" w:line="240" w:lineRule="auto"/>
              <w:ind w:left="127" w:right="140"/>
              <w:rPr>
                <w:rFonts w:eastAsia="Times New Roman"/>
                <w:sz w:val="28"/>
                <w:szCs w:val="28"/>
                <w:lang w:eastAsia="lv-LV"/>
              </w:rPr>
            </w:pPr>
            <w:r w:rsidRPr="00DE428F">
              <w:rPr>
                <w:rFonts w:eastAsia="Times New Roman"/>
                <w:sz w:val="28"/>
                <w:szCs w:val="28"/>
                <w:lang w:eastAsia="lv-LV"/>
              </w:rPr>
              <w:t>Nav</w:t>
            </w:r>
          </w:p>
        </w:tc>
      </w:tr>
    </w:tbl>
    <w:p w:rsidR="00FD46C8" w:rsidRDefault="00FD46C8" w:rsidP="000C4C9E">
      <w:pPr>
        <w:spacing w:after="0" w:line="240" w:lineRule="auto"/>
        <w:ind w:right="142" w:firstLine="374"/>
        <w:jc w:val="both"/>
        <w:rPr>
          <w:rFonts w:eastAsia="Times New Roman"/>
          <w:sz w:val="28"/>
          <w:szCs w:val="28"/>
          <w:lang w:eastAsia="lv-LV"/>
        </w:rPr>
      </w:pPr>
    </w:p>
    <w:tbl>
      <w:tblPr>
        <w:tblStyle w:val="Reatabula"/>
        <w:tblW w:w="4884" w:type="pct"/>
        <w:tblInd w:w="108" w:type="dxa"/>
        <w:tblLook w:val="04A0"/>
      </w:tblPr>
      <w:tblGrid>
        <w:gridCol w:w="9072"/>
      </w:tblGrid>
      <w:tr w:rsidR="00626EAA" w:rsidRPr="00CA2046" w:rsidTr="00626EAA">
        <w:trPr>
          <w:trHeight w:val="360"/>
        </w:trPr>
        <w:tc>
          <w:tcPr>
            <w:tcW w:w="5000" w:type="pct"/>
            <w:hideMark/>
          </w:tcPr>
          <w:p w:rsidR="00626EAA" w:rsidRPr="009778FA" w:rsidRDefault="00626EAA" w:rsidP="000C4C9E">
            <w:pPr>
              <w:ind w:firstLine="301"/>
              <w:jc w:val="center"/>
              <w:rPr>
                <w:b/>
                <w:bCs/>
                <w:sz w:val="28"/>
                <w:szCs w:val="28"/>
              </w:rPr>
            </w:pPr>
            <w:r w:rsidRPr="008C10AF">
              <w:rPr>
                <w:rFonts w:eastAsia="Times New Roman"/>
                <w:sz w:val="28"/>
                <w:szCs w:val="28"/>
                <w:lang w:eastAsia="lv-LV"/>
              </w:rPr>
              <w:t> </w:t>
            </w:r>
            <w:r w:rsidRPr="009778FA">
              <w:rPr>
                <w:b/>
                <w:bCs/>
                <w:sz w:val="28"/>
                <w:szCs w:val="28"/>
              </w:rPr>
              <w:t>II. Tiesību akta projekta ietekme uz sabiedrību, tautsaimniecības attīstību un administratīvo slogu</w:t>
            </w:r>
          </w:p>
        </w:tc>
      </w:tr>
      <w:tr w:rsidR="00626EAA" w:rsidRPr="00CA2046" w:rsidTr="00626EAA">
        <w:trPr>
          <w:trHeight w:val="419"/>
        </w:trPr>
        <w:tc>
          <w:tcPr>
            <w:tcW w:w="5000" w:type="pct"/>
            <w:vAlign w:val="center"/>
          </w:tcPr>
          <w:p w:rsidR="00626EAA" w:rsidRPr="009778FA" w:rsidRDefault="00626EAA" w:rsidP="000C4C9E">
            <w:pPr>
              <w:ind w:firstLine="301"/>
              <w:jc w:val="center"/>
              <w:rPr>
                <w:sz w:val="28"/>
                <w:szCs w:val="28"/>
              </w:rPr>
            </w:pPr>
            <w:r w:rsidRPr="009778FA">
              <w:rPr>
                <w:sz w:val="28"/>
                <w:szCs w:val="28"/>
              </w:rPr>
              <w:t>Projekts šo jomu neskar.</w:t>
            </w:r>
          </w:p>
        </w:tc>
      </w:tr>
    </w:tbl>
    <w:p w:rsidR="00FD46C8" w:rsidRDefault="00FD46C8" w:rsidP="000C4C9E">
      <w:pPr>
        <w:spacing w:after="0" w:line="240" w:lineRule="auto"/>
        <w:ind w:right="142" w:firstLine="374"/>
        <w:jc w:val="both"/>
        <w:rPr>
          <w:rFonts w:eastAsia="Times New Roman"/>
          <w:i/>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35"/>
        <w:gridCol w:w="1703"/>
        <w:gridCol w:w="1416"/>
        <w:gridCol w:w="1278"/>
        <w:gridCol w:w="1279"/>
        <w:gridCol w:w="1276"/>
      </w:tblGrid>
      <w:tr w:rsidR="006A46DD" w:rsidRPr="00DE428F" w:rsidTr="00BF5971">
        <w:trPr>
          <w:cantSplit/>
          <w:trHeight w:val="695"/>
        </w:trPr>
        <w:tc>
          <w:tcPr>
            <w:tcW w:w="5000" w:type="pct"/>
            <w:gridSpan w:val="6"/>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b/>
                <w:bCs/>
                <w:sz w:val="28"/>
                <w:szCs w:val="28"/>
                <w:lang w:eastAsia="lv-LV"/>
              </w:rPr>
            </w:pPr>
            <w:r w:rsidRPr="00DE428F">
              <w:rPr>
                <w:rFonts w:eastAsia="Times New Roman"/>
                <w:b/>
                <w:bCs/>
                <w:sz w:val="28"/>
                <w:szCs w:val="28"/>
                <w:lang w:eastAsia="lv-LV"/>
              </w:rPr>
              <w:t>III. Tiesību akta projekta ietekme uz valsts budžetu un pašvaldību budžetiem</w:t>
            </w:r>
          </w:p>
        </w:tc>
      </w:tr>
      <w:tr w:rsidR="006A46DD" w:rsidRPr="00DE428F" w:rsidTr="00D663CF">
        <w:trPr>
          <w:cantSplit/>
        </w:trPr>
        <w:tc>
          <w:tcPr>
            <w:tcW w:w="1175" w:type="pct"/>
            <w:vMerge w:val="restar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w:t>
            </w:r>
            <w:r w:rsidRPr="00DE428F">
              <w:rPr>
                <w:rFonts w:eastAsia="Times New Roman"/>
                <w:b/>
                <w:bCs/>
                <w:sz w:val="28"/>
                <w:szCs w:val="28"/>
                <w:lang w:eastAsia="lv-LV"/>
              </w:rPr>
              <w:t>Rādītāji</w:t>
            </w:r>
          </w:p>
        </w:tc>
        <w:tc>
          <w:tcPr>
            <w:tcW w:w="1716" w:type="pct"/>
            <w:gridSpan w:val="2"/>
            <w:vMerge w:val="restar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b/>
                <w:sz w:val="28"/>
                <w:szCs w:val="28"/>
                <w:lang w:eastAsia="lv-LV"/>
              </w:rPr>
              <w:t>2017.</w:t>
            </w:r>
            <w:r w:rsidRPr="00DE428F">
              <w:rPr>
                <w:rFonts w:eastAsia="Times New Roman"/>
                <w:b/>
                <w:bCs/>
                <w:sz w:val="28"/>
                <w:szCs w:val="28"/>
                <w:lang w:eastAsia="lv-LV"/>
              </w:rPr>
              <w:t>gads</w:t>
            </w:r>
          </w:p>
        </w:tc>
        <w:tc>
          <w:tcPr>
            <w:tcW w:w="2110" w:type="pct"/>
            <w:gridSpan w:val="3"/>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Turpmākie trīs gadi (</w:t>
            </w:r>
            <w:r w:rsidRPr="00DE428F">
              <w:rPr>
                <w:rFonts w:eastAsia="Times New Roman"/>
                <w:i/>
                <w:sz w:val="28"/>
                <w:szCs w:val="28"/>
                <w:lang w:eastAsia="lv-LV"/>
              </w:rPr>
              <w:t>euro</w:t>
            </w:r>
            <w:r w:rsidRPr="00DE428F">
              <w:rPr>
                <w:rFonts w:eastAsia="Times New Roman"/>
                <w:sz w:val="28"/>
                <w:szCs w:val="28"/>
                <w:lang w:eastAsia="lv-LV"/>
              </w:rPr>
              <w:t>)</w:t>
            </w:r>
          </w:p>
        </w:tc>
      </w:tr>
      <w:tr w:rsidR="00BF5971" w:rsidRPr="00DE428F" w:rsidTr="00D663CF">
        <w:trPr>
          <w:cantSplit/>
        </w:trPr>
        <w:tc>
          <w:tcPr>
            <w:tcW w:w="1175"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1716" w:type="pct"/>
            <w:gridSpan w:val="2"/>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03"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jc w:val="center"/>
              <w:rPr>
                <w:rFonts w:eastAsia="Times New Roman"/>
                <w:b/>
                <w:bCs/>
                <w:sz w:val="28"/>
                <w:szCs w:val="28"/>
                <w:lang w:eastAsia="lv-LV"/>
              </w:rPr>
            </w:pPr>
            <w:r w:rsidRPr="00DE428F">
              <w:rPr>
                <w:rFonts w:eastAsia="Times New Roman"/>
                <w:b/>
                <w:bCs/>
                <w:sz w:val="28"/>
                <w:szCs w:val="28"/>
                <w:lang w:eastAsia="lv-LV"/>
              </w:rPr>
              <w:t>2018.gads</w:t>
            </w:r>
          </w:p>
        </w:tc>
        <w:tc>
          <w:tcPr>
            <w:tcW w:w="704"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ind w:right="6"/>
              <w:jc w:val="center"/>
              <w:rPr>
                <w:rFonts w:eastAsia="Times New Roman"/>
                <w:b/>
                <w:bCs/>
                <w:sz w:val="28"/>
                <w:szCs w:val="28"/>
                <w:lang w:eastAsia="lv-LV"/>
              </w:rPr>
            </w:pPr>
            <w:r w:rsidRPr="00DE428F">
              <w:rPr>
                <w:rFonts w:eastAsia="Times New Roman"/>
                <w:b/>
                <w:bCs/>
                <w:sz w:val="28"/>
                <w:szCs w:val="28"/>
                <w:lang w:eastAsia="lv-LV"/>
              </w:rPr>
              <w:t>2019.gads</w:t>
            </w:r>
          </w:p>
        </w:tc>
        <w:tc>
          <w:tcPr>
            <w:tcW w:w="703"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ind w:right="7"/>
              <w:jc w:val="center"/>
              <w:rPr>
                <w:rFonts w:eastAsia="Times New Roman"/>
                <w:b/>
                <w:bCs/>
                <w:sz w:val="28"/>
                <w:szCs w:val="28"/>
                <w:lang w:eastAsia="lv-LV"/>
              </w:rPr>
            </w:pPr>
            <w:r w:rsidRPr="00DE428F">
              <w:rPr>
                <w:rFonts w:eastAsia="Times New Roman"/>
                <w:b/>
                <w:bCs/>
                <w:sz w:val="28"/>
                <w:szCs w:val="28"/>
                <w:lang w:eastAsia="lv-LV"/>
              </w:rPr>
              <w:t>2020.gads</w:t>
            </w:r>
          </w:p>
        </w:tc>
      </w:tr>
      <w:tr w:rsidR="00BF5971" w:rsidRPr="00DE428F" w:rsidTr="00B91207">
        <w:tc>
          <w:tcPr>
            <w:tcW w:w="1175"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937"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Saskaņā ar valsts budžetu kārtējam gadam</w:t>
            </w:r>
          </w:p>
        </w:tc>
        <w:tc>
          <w:tcPr>
            <w:tcW w:w="779"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jc w:val="center"/>
              <w:rPr>
                <w:rFonts w:eastAsia="Times New Roman"/>
                <w:sz w:val="28"/>
                <w:szCs w:val="28"/>
                <w:lang w:eastAsia="lv-LV"/>
              </w:rPr>
            </w:pPr>
            <w:r w:rsidRPr="00DE428F">
              <w:rPr>
                <w:rFonts w:eastAsia="Times New Roman"/>
                <w:sz w:val="28"/>
                <w:szCs w:val="28"/>
                <w:lang w:eastAsia="lv-LV"/>
              </w:rPr>
              <w:t> Izmaiņas kārtējā gadā, salīdzinot ar budžetu kārtējam gadam</w:t>
            </w:r>
          </w:p>
        </w:tc>
        <w:tc>
          <w:tcPr>
            <w:tcW w:w="703"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jc w:val="center"/>
              <w:rPr>
                <w:rFonts w:eastAsia="Times New Roman"/>
                <w:sz w:val="28"/>
                <w:szCs w:val="28"/>
                <w:lang w:eastAsia="lv-LV"/>
              </w:rPr>
            </w:pPr>
            <w:r w:rsidRPr="00DE428F">
              <w:rPr>
                <w:rFonts w:eastAsia="Times New Roman"/>
                <w:sz w:val="28"/>
                <w:szCs w:val="28"/>
                <w:lang w:eastAsia="lv-LV"/>
              </w:rPr>
              <w:t> Izmaiņas salīdzinot ar kārtējo (2017) gadu</w:t>
            </w:r>
          </w:p>
        </w:tc>
        <w:tc>
          <w:tcPr>
            <w:tcW w:w="704"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ind w:right="6"/>
              <w:jc w:val="center"/>
              <w:rPr>
                <w:rFonts w:eastAsia="Times New Roman"/>
                <w:sz w:val="28"/>
                <w:szCs w:val="28"/>
                <w:lang w:eastAsia="lv-LV"/>
              </w:rPr>
            </w:pPr>
            <w:r w:rsidRPr="00DE428F">
              <w:rPr>
                <w:rFonts w:eastAsia="Times New Roman"/>
                <w:sz w:val="28"/>
                <w:szCs w:val="28"/>
                <w:lang w:eastAsia="lv-LV"/>
              </w:rPr>
              <w:t> Izmaiņas, salīdzinot ar kārtējo (2017) gadu</w:t>
            </w:r>
          </w:p>
        </w:tc>
        <w:tc>
          <w:tcPr>
            <w:tcW w:w="703" w:type="pct"/>
            <w:tcBorders>
              <w:top w:val="outset" w:sz="6" w:space="0" w:color="auto"/>
              <w:left w:val="outset" w:sz="6" w:space="0" w:color="auto"/>
              <w:bottom w:val="outset" w:sz="6" w:space="0" w:color="auto"/>
              <w:right w:val="outset" w:sz="6" w:space="0" w:color="auto"/>
            </w:tcBorders>
            <w:vAlign w:val="center"/>
          </w:tcPr>
          <w:p w:rsidR="00B2591A" w:rsidRPr="00DE428F" w:rsidRDefault="006A46DD" w:rsidP="000C4C9E">
            <w:pPr>
              <w:spacing w:after="0" w:line="240" w:lineRule="auto"/>
              <w:ind w:right="7"/>
              <w:jc w:val="center"/>
              <w:rPr>
                <w:rFonts w:eastAsia="Times New Roman"/>
                <w:sz w:val="28"/>
                <w:szCs w:val="28"/>
                <w:lang w:eastAsia="lv-LV"/>
              </w:rPr>
            </w:pPr>
            <w:r w:rsidRPr="00DE428F">
              <w:rPr>
                <w:rFonts w:eastAsia="Times New Roman"/>
                <w:sz w:val="28"/>
                <w:szCs w:val="28"/>
                <w:lang w:eastAsia="lv-LV"/>
              </w:rPr>
              <w:t> Izmaiņas, salīdzinot ar kārtējo (2017) gadu</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1</w:t>
            </w:r>
          </w:p>
        </w:tc>
        <w:tc>
          <w:tcPr>
            <w:tcW w:w="937"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2</w:t>
            </w:r>
          </w:p>
        </w:tc>
        <w:tc>
          <w:tcPr>
            <w:tcW w:w="779"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3</w:t>
            </w:r>
          </w:p>
        </w:tc>
        <w:tc>
          <w:tcPr>
            <w:tcW w:w="703"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4</w:t>
            </w:r>
          </w:p>
        </w:tc>
        <w:tc>
          <w:tcPr>
            <w:tcW w:w="704"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5</w:t>
            </w:r>
          </w:p>
        </w:tc>
        <w:tc>
          <w:tcPr>
            <w:tcW w:w="703" w:type="pct"/>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6</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1. Budžeta ieņēmumi:</w:t>
            </w:r>
          </w:p>
        </w:tc>
        <w:tc>
          <w:tcPr>
            <w:tcW w:w="937" w:type="pct"/>
            <w:tcBorders>
              <w:top w:val="outset" w:sz="6" w:space="0" w:color="auto"/>
              <w:left w:val="outset" w:sz="6" w:space="0" w:color="auto"/>
              <w:bottom w:val="outset" w:sz="6" w:space="0" w:color="auto"/>
              <w:right w:val="outset" w:sz="6" w:space="0" w:color="auto"/>
            </w:tcBorders>
          </w:tcPr>
          <w:p w:rsidR="00B2591A" w:rsidRPr="00DE428F" w:rsidRDefault="006A46DD" w:rsidP="000C4C9E">
            <w:pPr>
              <w:spacing w:after="0" w:line="240" w:lineRule="auto"/>
              <w:ind w:right="140"/>
              <w:jc w:val="center"/>
              <w:rPr>
                <w:rFonts w:eastAsia="Times New Roman"/>
                <w:sz w:val="28"/>
                <w:szCs w:val="28"/>
                <w:highlight w:val="yellow"/>
                <w:lang w:eastAsia="lv-LV"/>
              </w:rPr>
            </w:pPr>
            <w:r w:rsidRPr="00DE428F">
              <w:rPr>
                <w:rFonts w:eastAsia="Times New Roman"/>
                <w:sz w:val="28"/>
                <w:szCs w:val="28"/>
                <w:lang w:eastAsia="lv-LV"/>
              </w:rPr>
              <w:t>162 478</w:t>
            </w:r>
            <w:r w:rsidR="00BF5971" w:rsidRPr="00DE428F">
              <w:rPr>
                <w:rFonts w:eastAsia="Times New Roman"/>
                <w:sz w:val="28"/>
                <w:szCs w:val="28"/>
                <w:lang w:eastAsia="lv-LV"/>
              </w:rPr>
              <w:t> </w:t>
            </w:r>
            <w:r w:rsidRPr="00DE428F">
              <w:rPr>
                <w:rFonts w:eastAsia="Times New Roman"/>
                <w:sz w:val="28"/>
                <w:szCs w:val="28"/>
                <w:lang w:eastAsia="lv-LV"/>
              </w:rPr>
              <w:t>303</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tabs>
                <w:tab w:val="center" w:pos="4153"/>
                <w:tab w:val="right" w:pos="8306"/>
              </w:tabs>
              <w:spacing w:after="0" w:line="240" w:lineRule="auto"/>
              <w:ind w:right="140"/>
              <w:jc w:val="center"/>
              <w:rPr>
                <w:rFonts w:eastAsia="Times New Roman"/>
                <w:sz w:val="28"/>
                <w:szCs w:val="28"/>
                <w:lang w:eastAsia="lv-LV"/>
              </w:rPr>
            </w:pPr>
            <w:r w:rsidRPr="00DE428F">
              <w:rPr>
                <w:rFonts w:eastAsia="Times New Roman"/>
                <w:sz w:val="28"/>
                <w:szCs w:val="28"/>
                <w:lang w:eastAsia="lv-LV"/>
              </w:rPr>
              <w:t>-</w:t>
            </w:r>
            <w:r w:rsidR="0062126A" w:rsidRPr="00DE428F">
              <w:rPr>
                <w:sz w:val="28"/>
                <w:szCs w:val="28"/>
              </w:rPr>
              <w:t>22 40</w:t>
            </w:r>
            <w:r w:rsidR="00574786" w:rsidRPr="00DE428F">
              <w:rPr>
                <w:sz w:val="28"/>
                <w:szCs w:val="28"/>
              </w:rPr>
              <w:t>2</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1.1. valsts pamatbudžets, tai skaitā ieņēmumi no maksas pakalpojumiem un citi pašu ieņēmumi</w:t>
            </w:r>
          </w:p>
        </w:tc>
        <w:tc>
          <w:tcPr>
            <w:tcW w:w="937" w:type="pct"/>
            <w:tcBorders>
              <w:top w:val="outset" w:sz="6" w:space="0" w:color="auto"/>
              <w:left w:val="outset" w:sz="6" w:space="0" w:color="auto"/>
              <w:bottom w:val="outset" w:sz="6" w:space="0" w:color="auto"/>
              <w:right w:val="outset" w:sz="6" w:space="0" w:color="auto"/>
            </w:tcBorders>
          </w:tcPr>
          <w:p w:rsidR="00B2591A" w:rsidRPr="00DE428F" w:rsidRDefault="006A46DD" w:rsidP="000C4C9E">
            <w:pPr>
              <w:spacing w:after="0" w:line="240" w:lineRule="auto"/>
              <w:ind w:right="140"/>
              <w:jc w:val="center"/>
              <w:rPr>
                <w:rFonts w:eastAsia="Times New Roman"/>
                <w:sz w:val="28"/>
                <w:szCs w:val="28"/>
                <w:highlight w:val="yellow"/>
                <w:lang w:eastAsia="lv-LV"/>
              </w:rPr>
            </w:pPr>
            <w:r w:rsidRPr="00DE428F">
              <w:rPr>
                <w:rFonts w:eastAsia="Times New Roman"/>
                <w:sz w:val="28"/>
                <w:szCs w:val="28"/>
                <w:lang w:eastAsia="lv-LV"/>
              </w:rPr>
              <w:t>162 478 303</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w:t>
            </w:r>
            <w:r w:rsidR="0062126A" w:rsidRPr="00DE428F">
              <w:rPr>
                <w:sz w:val="28"/>
                <w:szCs w:val="28"/>
              </w:rPr>
              <w:t>22 40</w:t>
            </w:r>
            <w:r w:rsidR="00574786" w:rsidRPr="00DE428F">
              <w:rPr>
                <w:sz w:val="28"/>
                <w:szCs w:val="28"/>
              </w:rPr>
              <w:t>2</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sz w:val="28"/>
                <w:szCs w:val="28"/>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1.2. valsts speciālais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12"/>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1.3. pašvaldību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2. Budžeta izdevumi:</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2.1. valsts pamatbudžets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tabs>
                <w:tab w:val="left" w:pos="510"/>
                <w:tab w:val="center" w:pos="624"/>
              </w:tabs>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2.2. valsts speciālais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375"/>
              <w:jc w:val="both"/>
              <w:rPr>
                <w:rFonts w:eastAsia="Times New Roman"/>
                <w:sz w:val="28"/>
                <w:szCs w:val="28"/>
                <w:lang w:eastAsia="lv-LV"/>
              </w:rPr>
            </w:pPr>
            <w:r w:rsidRPr="00DE428F">
              <w:rPr>
                <w:rFonts w:eastAsia="Times New Roman"/>
                <w:sz w:val="28"/>
                <w:szCs w:val="28"/>
                <w:lang w:eastAsia="lv-LV"/>
              </w:rPr>
              <w:t>  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5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lastRenderedPageBreak/>
              <w:t> 2.3. pašvaldību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12"/>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50"/>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3. Finansiālā ietekme:</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tabs>
                <w:tab w:val="center" w:pos="4153"/>
                <w:tab w:val="right" w:pos="8306"/>
              </w:tabs>
              <w:spacing w:after="0" w:line="240" w:lineRule="auto"/>
              <w:ind w:right="140"/>
              <w:jc w:val="center"/>
              <w:rPr>
                <w:rFonts w:eastAsia="Times New Roman"/>
                <w:sz w:val="28"/>
                <w:szCs w:val="28"/>
                <w:highlight w:val="yellow"/>
                <w:lang w:eastAsia="lv-LV"/>
              </w:rPr>
            </w:pPr>
            <w:r w:rsidRPr="00DE428F">
              <w:rPr>
                <w:rFonts w:eastAsia="Times New Roman"/>
                <w:sz w:val="28"/>
                <w:szCs w:val="28"/>
                <w:lang w:eastAsia="lv-LV"/>
              </w:rPr>
              <w:t>162 478 303</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w:t>
            </w:r>
            <w:r w:rsidR="0062126A" w:rsidRPr="00DE428F">
              <w:rPr>
                <w:sz w:val="28"/>
                <w:szCs w:val="28"/>
              </w:rPr>
              <w:t>22 40</w:t>
            </w:r>
            <w:r w:rsidR="00574786" w:rsidRPr="00DE428F">
              <w:rPr>
                <w:sz w:val="28"/>
                <w:szCs w:val="28"/>
              </w:rPr>
              <w:t>2</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3.1. valsts pamatbudžets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tabs>
                <w:tab w:val="center" w:pos="4153"/>
                <w:tab w:val="right" w:pos="8306"/>
              </w:tabs>
              <w:spacing w:after="0" w:line="240" w:lineRule="auto"/>
              <w:ind w:right="140"/>
              <w:jc w:val="center"/>
              <w:rPr>
                <w:rFonts w:eastAsia="Times New Roman"/>
                <w:sz w:val="28"/>
                <w:szCs w:val="28"/>
                <w:highlight w:val="yellow"/>
                <w:lang w:eastAsia="lv-LV"/>
              </w:rPr>
            </w:pPr>
            <w:r w:rsidRPr="00DE428F">
              <w:rPr>
                <w:rFonts w:eastAsia="Times New Roman"/>
                <w:sz w:val="28"/>
                <w:szCs w:val="28"/>
                <w:lang w:eastAsia="lv-LV"/>
              </w:rPr>
              <w:t>162 478 303</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w:t>
            </w:r>
            <w:r w:rsidR="0062126A" w:rsidRPr="00DE428F">
              <w:rPr>
                <w:sz w:val="28"/>
                <w:szCs w:val="28"/>
              </w:rPr>
              <w:t>22 40</w:t>
            </w:r>
            <w:r w:rsidR="00574786" w:rsidRPr="00DE428F">
              <w:rPr>
                <w:sz w:val="28"/>
                <w:szCs w:val="28"/>
              </w:rPr>
              <w:t>2</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sz w:val="28"/>
                <w:szCs w:val="28"/>
              </w:rPr>
            </w:pPr>
            <w:r w:rsidRPr="00DE428F">
              <w:rPr>
                <w:sz w:val="28"/>
                <w:szCs w:val="28"/>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3.2. speciālais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61"/>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65"/>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3.3. pašvaldību budžets</w:t>
            </w:r>
          </w:p>
        </w:tc>
        <w:tc>
          <w:tcPr>
            <w:tcW w:w="937"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0</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65"/>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vMerge w:val="restar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4. Finanšu līdzekļi papildu izde</w:t>
            </w:r>
            <w:r w:rsidRPr="00DE428F">
              <w:rPr>
                <w:rFonts w:eastAsia="Times New Roman"/>
                <w:sz w:val="28"/>
                <w:szCs w:val="28"/>
                <w:lang w:eastAsia="lv-LV"/>
              </w:rPr>
              <w:softHyphen/>
              <w:t>vumu finansēšanai (kompensējošu izdevumu samazinājumu norāda ar "+" zīmi)</w:t>
            </w:r>
          </w:p>
        </w:tc>
        <w:tc>
          <w:tcPr>
            <w:tcW w:w="937" w:type="pct"/>
            <w:vMerge w:val="restar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X</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139"/>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937"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139"/>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937"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139"/>
              <w:jc w:val="center"/>
              <w:rPr>
                <w:rFonts w:eastAsia="Times New Roman"/>
                <w:sz w:val="28"/>
                <w:szCs w:val="28"/>
                <w:lang w:eastAsia="lv-LV"/>
              </w:rP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5. Precizēta finansiālā ietekme:</w:t>
            </w:r>
          </w:p>
        </w:tc>
        <w:tc>
          <w:tcPr>
            <w:tcW w:w="937" w:type="pct"/>
            <w:vMerge w:val="restar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X</w:t>
            </w: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375"/>
              <w:jc w:val="both"/>
              <w:rPr>
                <w:rFonts w:eastAsia="Times New Roman"/>
                <w:sz w:val="28"/>
                <w:szCs w:val="28"/>
                <w:lang w:eastAsia="lv-LV"/>
              </w:rPr>
            </w:pPr>
            <w:r w:rsidRPr="00DE428F">
              <w:rPr>
                <w:rFonts w:eastAsia="Times New Roman"/>
                <w:sz w:val="28"/>
                <w:szCs w:val="28"/>
                <w:lang w:eastAsia="lv-LV"/>
              </w:rPr>
              <w:t>  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5.1. valsts pamatbudžets</w:t>
            </w:r>
          </w:p>
        </w:tc>
        <w:tc>
          <w:tcPr>
            <w:tcW w:w="937"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375"/>
              <w:jc w:val="both"/>
              <w:rPr>
                <w:rFonts w:eastAsia="Times New Roman"/>
                <w:sz w:val="28"/>
                <w:szCs w:val="28"/>
                <w:lang w:eastAsia="lv-LV"/>
              </w:rPr>
            </w:pPr>
            <w:r w:rsidRPr="00DE428F">
              <w:rPr>
                <w:rFonts w:eastAsia="Times New Roman"/>
                <w:sz w:val="28"/>
                <w:szCs w:val="28"/>
                <w:lang w:eastAsia="lv-LV"/>
              </w:rPr>
              <w:t>  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5.2. speciālais budžets</w:t>
            </w:r>
          </w:p>
        </w:tc>
        <w:tc>
          <w:tcPr>
            <w:tcW w:w="937"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375"/>
              <w:jc w:val="both"/>
              <w:rPr>
                <w:rFonts w:eastAsia="Times New Roman"/>
                <w:sz w:val="28"/>
                <w:szCs w:val="28"/>
                <w:lang w:eastAsia="lv-LV"/>
              </w:rPr>
            </w:pPr>
            <w:r w:rsidRPr="00DE428F">
              <w:rPr>
                <w:rFonts w:eastAsia="Times New Roman"/>
                <w:sz w:val="28"/>
                <w:szCs w:val="28"/>
                <w:lang w:eastAsia="lv-LV"/>
              </w:rPr>
              <w:t>  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BF5971" w:rsidRPr="00DE428F" w:rsidTr="00D663CF">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5.3. pašvaldību budžets</w:t>
            </w:r>
          </w:p>
        </w:tc>
        <w:tc>
          <w:tcPr>
            <w:tcW w:w="937" w:type="pct"/>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c>
          <w:tcPr>
            <w:tcW w:w="779"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firstLine="375"/>
              <w:jc w:val="both"/>
              <w:rPr>
                <w:rFonts w:eastAsia="Times New Roman"/>
                <w:sz w:val="28"/>
                <w:szCs w:val="28"/>
                <w:lang w:eastAsia="lv-LV"/>
              </w:rPr>
            </w:pPr>
            <w:r w:rsidRPr="00DE428F">
              <w:rPr>
                <w:rFonts w:eastAsia="Times New Roman"/>
                <w:sz w:val="28"/>
                <w:szCs w:val="28"/>
                <w:lang w:eastAsia="lv-LV"/>
              </w:rPr>
              <w:t>  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4"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center"/>
            </w:pPr>
            <w:r w:rsidRPr="00DE428F">
              <w:rPr>
                <w:rFonts w:eastAsia="Times New Roman"/>
                <w:sz w:val="28"/>
                <w:szCs w:val="28"/>
                <w:lang w:eastAsia="lv-LV"/>
              </w:rPr>
              <w:t>0</w:t>
            </w:r>
          </w:p>
        </w:tc>
      </w:tr>
      <w:tr w:rsidR="006A46DD" w:rsidRPr="00DE428F" w:rsidTr="00B91207">
        <w:trPr>
          <w:cantSplit/>
          <w:trHeight w:val="3838"/>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6. Detalizēts ieņēmumu un izdevumu aprēķins (ja nepieciešams, detalizētu ieņēmumu un izdevumu aprēķinu var pievienot anotācijas pielikumā):</w:t>
            </w:r>
          </w:p>
        </w:tc>
        <w:tc>
          <w:tcPr>
            <w:tcW w:w="3825" w:type="pct"/>
            <w:gridSpan w:val="5"/>
            <w:vMerge w:val="restar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jc w:val="both"/>
              <w:rPr>
                <w:rFonts w:eastAsia="Times New Roman"/>
                <w:sz w:val="28"/>
                <w:szCs w:val="28"/>
                <w:lang w:eastAsia="lv-LV"/>
              </w:rPr>
            </w:pPr>
            <w:r w:rsidRPr="00DE428F">
              <w:rPr>
                <w:sz w:val="28"/>
                <w:szCs w:val="28"/>
              </w:rPr>
              <w:t xml:space="preserve"> Projekts šo jomu neskar.</w:t>
            </w:r>
          </w:p>
        </w:tc>
      </w:tr>
      <w:tr w:rsidR="006A46DD" w:rsidRPr="00DE428F" w:rsidTr="00BF5971">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6.1. detalizēts ieņēmumu aprēķins</w:t>
            </w:r>
          </w:p>
        </w:tc>
        <w:tc>
          <w:tcPr>
            <w:tcW w:w="3825" w:type="pct"/>
            <w:gridSpan w:val="5"/>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r>
      <w:tr w:rsidR="006A46DD" w:rsidRPr="00DE428F" w:rsidTr="00BF5971">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lastRenderedPageBreak/>
              <w:t> 6.2. detalizēts izdevumu aprēķins</w:t>
            </w:r>
          </w:p>
        </w:tc>
        <w:tc>
          <w:tcPr>
            <w:tcW w:w="3825" w:type="pct"/>
            <w:gridSpan w:val="5"/>
            <w:vMerge/>
            <w:tcBorders>
              <w:top w:val="outset" w:sz="6" w:space="0" w:color="auto"/>
              <w:left w:val="outset" w:sz="6" w:space="0" w:color="auto"/>
              <w:bottom w:val="outset" w:sz="6" w:space="0" w:color="auto"/>
              <w:right w:val="outset" w:sz="6" w:space="0" w:color="auto"/>
            </w:tcBorders>
            <w:vAlign w:val="center"/>
          </w:tcPr>
          <w:p w:rsidR="006A46DD" w:rsidRPr="00DE428F" w:rsidRDefault="006A46DD" w:rsidP="000C4C9E">
            <w:pPr>
              <w:spacing w:after="0" w:line="240" w:lineRule="auto"/>
              <w:ind w:right="140"/>
              <w:rPr>
                <w:rFonts w:eastAsia="Times New Roman"/>
                <w:sz w:val="28"/>
                <w:szCs w:val="28"/>
                <w:lang w:eastAsia="lv-LV"/>
              </w:rPr>
            </w:pPr>
          </w:p>
        </w:tc>
      </w:tr>
      <w:tr w:rsidR="006A46DD" w:rsidRPr="00DE428F" w:rsidTr="00BF5971">
        <w:trPr>
          <w:cantSplit/>
        </w:trPr>
        <w:tc>
          <w:tcPr>
            <w:tcW w:w="1175" w:type="pct"/>
            <w:tcBorders>
              <w:top w:val="outset" w:sz="6" w:space="0" w:color="auto"/>
              <w:left w:val="outset" w:sz="6" w:space="0" w:color="auto"/>
              <w:bottom w:val="outset" w:sz="6" w:space="0" w:color="auto"/>
              <w:right w:val="outset" w:sz="6" w:space="0" w:color="auto"/>
            </w:tcBorders>
          </w:tcPr>
          <w:p w:rsidR="006A46DD" w:rsidRPr="00DE428F" w:rsidRDefault="006A46DD" w:rsidP="000C4C9E">
            <w:pPr>
              <w:spacing w:after="0" w:line="240" w:lineRule="auto"/>
              <w:ind w:right="140"/>
              <w:rPr>
                <w:rFonts w:eastAsia="Times New Roman"/>
                <w:sz w:val="28"/>
                <w:szCs w:val="28"/>
                <w:lang w:eastAsia="lv-LV"/>
              </w:rPr>
            </w:pPr>
            <w:r w:rsidRPr="00DE428F">
              <w:rPr>
                <w:rFonts w:eastAsia="Times New Roman"/>
                <w:sz w:val="28"/>
                <w:szCs w:val="28"/>
                <w:lang w:eastAsia="lv-LV"/>
              </w:rPr>
              <w:t> 7. Cita informācija</w:t>
            </w:r>
          </w:p>
        </w:tc>
        <w:tc>
          <w:tcPr>
            <w:tcW w:w="3825" w:type="pct"/>
            <w:gridSpan w:val="5"/>
            <w:tcBorders>
              <w:top w:val="outset" w:sz="6" w:space="0" w:color="auto"/>
              <w:left w:val="outset" w:sz="6" w:space="0" w:color="auto"/>
              <w:bottom w:val="outset" w:sz="6" w:space="0" w:color="auto"/>
              <w:right w:val="outset" w:sz="6" w:space="0" w:color="auto"/>
            </w:tcBorders>
          </w:tcPr>
          <w:p w:rsidR="006A46DD" w:rsidRPr="00DE428F" w:rsidRDefault="003530A9" w:rsidP="000C4C9E">
            <w:pPr>
              <w:spacing w:after="0" w:line="240" w:lineRule="auto"/>
              <w:ind w:left="50" w:right="140"/>
              <w:jc w:val="both"/>
              <w:rPr>
                <w:sz w:val="28"/>
                <w:szCs w:val="28"/>
              </w:rPr>
            </w:pPr>
            <w:r w:rsidRPr="00DE428F">
              <w:rPr>
                <w:rFonts w:eastAsia="Times New Roman"/>
                <w:sz w:val="28"/>
                <w:szCs w:val="28"/>
                <w:lang w:eastAsia="lv-LV"/>
              </w:rPr>
              <w:t xml:space="preserve">Pieņemot lēmumu par atšķirīgu dividendēs izmaksājamo summu (nosakot 0 % likmi), valsts budžetā netiktu pārskaitīta summa </w:t>
            </w:r>
            <w:r w:rsidR="0062126A" w:rsidRPr="00DE428F">
              <w:rPr>
                <w:sz w:val="28"/>
                <w:szCs w:val="28"/>
              </w:rPr>
              <w:t xml:space="preserve">22 401,75 </w:t>
            </w:r>
            <w:r w:rsidRPr="00DE428F">
              <w:rPr>
                <w:i/>
                <w:sz w:val="28"/>
                <w:szCs w:val="28"/>
              </w:rPr>
              <w:t>euro</w:t>
            </w:r>
            <w:r w:rsidRPr="00DE428F">
              <w:rPr>
                <w:rFonts w:eastAsia="Times New Roman"/>
                <w:sz w:val="28"/>
                <w:szCs w:val="28"/>
                <w:lang w:eastAsia="lv-LV"/>
              </w:rPr>
              <w:t xml:space="preserve"> apmērā, bet minētā summa paliktu kapitālsabiedrības rīcībā, </w:t>
            </w:r>
            <w:r w:rsidR="00FC2B34" w:rsidRPr="00DE428F">
              <w:rPr>
                <w:rFonts w:eastAsia="Times New Roman"/>
                <w:sz w:val="28"/>
                <w:szCs w:val="28"/>
                <w:lang w:eastAsia="lv-LV"/>
              </w:rPr>
              <w:t xml:space="preserve">novirzot to </w:t>
            </w:r>
            <w:r w:rsidR="00BF5971" w:rsidRPr="00DE428F">
              <w:rPr>
                <w:rFonts w:eastAsia="Times New Roman"/>
                <w:sz w:val="28"/>
                <w:szCs w:val="28"/>
                <w:lang w:eastAsia="lv-LV"/>
              </w:rPr>
              <w:t xml:space="preserve">Rīgas </w:t>
            </w:r>
            <w:r w:rsidR="00FC2B34" w:rsidRPr="00DE428F">
              <w:rPr>
                <w:sz w:val="28"/>
                <w:szCs w:val="28"/>
              </w:rPr>
              <w:t>cirka ēkas atjaunošanai un pārbūvei, kā arī jauna cirka darbības virziena – Rīgas cirka skolas attīstīšanai,</w:t>
            </w:r>
            <w:r w:rsidRPr="00DE428F">
              <w:rPr>
                <w:rFonts w:eastAsia="Times New Roman"/>
                <w:sz w:val="28"/>
                <w:szCs w:val="28"/>
                <w:lang w:eastAsia="lv-LV"/>
              </w:rPr>
              <w:t xml:space="preserve"> </w:t>
            </w:r>
            <w:r w:rsidR="00FC2B34" w:rsidRPr="00DE428F">
              <w:rPr>
                <w:bCs/>
                <w:sz w:val="28"/>
                <w:szCs w:val="28"/>
              </w:rPr>
              <w:t xml:space="preserve">lai novērstu </w:t>
            </w:r>
            <w:r w:rsidR="00FC2B34" w:rsidRPr="00DE428F">
              <w:rPr>
                <w:rFonts w:hint="eastAsia"/>
                <w:sz w:val="28"/>
                <w:szCs w:val="28"/>
              </w:rPr>
              <w:t>ā</w:t>
            </w:r>
            <w:r w:rsidR="00FC2B34" w:rsidRPr="00DE428F">
              <w:rPr>
                <w:sz w:val="28"/>
                <w:szCs w:val="28"/>
              </w:rPr>
              <w:t>rk</w:t>
            </w:r>
            <w:r w:rsidR="00FC2B34" w:rsidRPr="00DE428F">
              <w:rPr>
                <w:rFonts w:hint="eastAsia"/>
                <w:sz w:val="28"/>
                <w:szCs w:val="28"/>
              </w:rPr>
              <w:t>ā</w:t>
            </w:r>
            <w:r w:rsidR="00FC2B34" w:rsidRPr="00DE428F">
              <w:rPr>
                <w:sz w:val="28"/>
                <w:szCs w:val="28"/>
              </w:rPr>
              <w:t>rtas situ</w:t>
            </w:r>
            <w:r w:rsidR="00FC2B34" w:rsidRPr="00DE428F">
              <w:rPr>
                <w:rFonts w:hint="eastAsia"/>
                <w:sz w:val="28"/>
                <w:szCs w:val="28"/>
              </w:rPr>
              <w:t>ā</w:t>
            </w:r>
            <w:r w:rsidR="00FC2B34" w:rsidRPr="00DE428F">
              <w:rPr>
                <w:sz w:val="28"/>
                <w:szCs w:val="28"/>
              </w:rPr>
              <w:t>ciju d</w:t>
            </w:r>
            <w:r w:rsidR="00FC2B34" w:rsidRPr="00DE428F">
              <w:rPr>
                <w:rFonts w:hint="eastAsia"/>
                <w:sz w:val="28"/>
                <w:szCs w:val="28"/>
              </w:rPr>
              <w:t>ēļ</w:t>
            </w:r>
            <w:r w:rsidR="00FC2B34" w:rsidRPr="00DE428F">
              <w:rPr>
                <w:sz w:val="28"/>
                <w:szCs w:val="28"/>
              </w:rPr>
              <w:t xml:space="preserve"> iest</w:t>
            </w:r>
            <w:r w:rsidR="00FC2B34" w:rsidRPr="00DE428F">
              <w:rPr>
                <w:rFonts w:hint="eastAsia"/>
                <w:sz w:val="28"/>
                <w:szCs w:val="28"/>
              </w:rPr>
              <w:t>ā</w:t>
            </w:r>
            <w:r w:rsidR="00FC2B34" w:rsidRPr="00DE428F">
              <w:rPr>
                <w:sz w:val="28"/>
                <w:szCs w:val="28"/>
              </w:rPr>
              <w:t>juš</w:t>
            </w:r>
            <w:r w:rsidR="00FC2B34" w:rsidRPr="00DE428F">
              <w:rPr>
                <w:rFonts w:hint="eastAsia"/>
                <w:sz w:val="28"/>
                <w:szCs w:val="28"/>
              </w:rPr>
              <w:t>ā</w:t>
            </w:r>
            <w:r w:rsidR="00FC2B34" w:rsidRPr="00DE428F">
              <w:rPr>
                <w:sz w:val="28"/>
                <w:szCs w:val="28"/>
              </w:rPr>
              <w:t>s faktisk</w:t>
            </w:r>
            <w:r w:rsidR="00FC2B34" w:rsidRPr="00DE428F">
              <w:rPr>
                <w:rFonts w:hint="eastAsia"/>
                <w:sz w:val="28"/>
                <w:szCs w:val="28"/>
              </w:rPr>
              <w:t>ā</w:t>
            </w:r>
            <w:r w:rsidR="00FC2B34" w:rsidRPr="00DE428F">
              <w:rPr>
                <w:sz w:val="28"/>
                <w:szCs w:val="28"/>
              </w:rPr>
              <w:t>s sekas.</w:t>
            </w:r>
          </w:p>
        </w:tc>
      </w:tr>
    </w:tbl>
    <w:p w:rsidR="00626EAA" w:rsidRPr="000C4C9E" w:rsidRDefault="00626EAA" w:rsidP="000C4C9E">
      <w:pPr>
        <w:spacing w:after="0" w:line="240" w:lineRule="auto"/>
        <w:rPr>
          <w:i/>
          <w:sz w:val="26"/>
          <w:szCs w:val="26"/>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626EAA" w:rsidRPr="003F2F99" w:rsidTr="00626EAA">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26EAA" w:rsidRPr="003F2F99" w:rsidRDefault="00626EAA" w:rsidP="000C4C9E">
            <w:pPr>
              <w:spacing w:after="0" w:line="240" w:lineRule="auto"/>
              <w:jc w:val="center"/>
              <w:rPr>
                <w:rFonts w:eastAsia="Times New Roman"/>
                <w:b/>
                <w:bCs/>
                <w:color w:val="000000" w:themeColor="text1"/>
                <w:sz w:val="28"/>
                <w:szCs w:val="28"/>
                <w:lang w:eastAsia="lv-LV"/>
              </w:rPr>
            </w:pPr>
            <w:r w:rsidRPr="003F2F99">
              <w:rPr>
                <w:rFonts w:eastAsia="Times New Roman"/>
                <w:b/>
                <w:bCs/>
                <w:color w:val="000000" w:themeColor="text1"/>
                <w:sz w:val="28"/>
                <w:szCs w:val="28"/>
                <w:lang w:eastAsia="lv-LV"/>
              </w:rPr>
              <w:t>IV. Tiesību akta projekta ietekme uz spēkā esošo tiesību normu sistēmu</w:t>
            </w:r>
          </w:p>
        </w:tc>
      </w:tr>
      <w:tr w:rsidR="00626EAA" w:rsidRPr="003F2F99" w:rsidTr="007C0C6E">
        <w:trPr>
          <w:trHeight w:val="15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26EAA" w:rsidRPr="003F2F99" w:rsidRDefault="00626EAA" w:rsidP="000C4C9E">
            <w:pPr>
              <w:spacing w:after="0" w:line="240" w:lineRule="auto"/>
              <w:jc w:val="center"/>
              <w:rPr>
                <w:rFonts w:eastAsia="Times New Roman"/>
                <w:b/>
                <w:bCs/>
                <w:color w:val="000000" w:themeColor="text1"/>
                <w:sz w:val="28"/>
                <w:szCs w:val="28"/>
                <w:lang w:eastAsia="lv-LV"/>
              </w:rPr>
            </w:pPr>
            <w:r w:rsidRPr="003F2F99">
              <w:rPr>
                <w:rFonts w:eastAsia="Times New Roman"/>
                <w:sz w:val="28"/>
                <w:szCs w:val="28"/>
                <w:lang w:eastAsia="lv-LV"/>
              </w:rPr>
              <w:t>Projekts šo jomu neskar.</w:t>
            </w:r>
          </w:p>
        </w:tc>
      </w:tr>
    </w:tbl>
    <w:p w:rsidR="00626EAA" w:rsidRPr="000C4C9E" w:rsidRDefault="00626EAA" w:rsidP="000C4C9E">
      <w:pPr>
        <w:spacing w:after="0" w:line="240" w:lineRule="auto"/>
        <w:rPr>
          <w:i/>
          <w:sz w:val="26"/>
          <w:szCs w:val="2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626EAA" w:rsidRPr="003F2F99" w:rsidTr="000C4C9E">
        <w:trPr>
          <w:trHeight w:val="327"/>
        </w:trPr>
        <w:tc>
          <w:tcPr>
            <w:tcW w:w="5000" w:type="pct"/>
            <w:tcBorders>
              <w:top w:val="outset" w:sz="6" w:space="0" w:color="auto"/>
              <w:left w:val="outset" w:sz="6" w:space="0" w:color="auto"/>
              <w:bottom w:val="outset" w:sz="6" w:space="0" w:color="auto"/>
              <w:right w:val="outset" w:sz="6" w:space="0" w:color="auto"/>
            </w:tcBorders>
            <w:vAlign w:val="center"/>
            <w:hideMark/>
          </w:tcPr>
          <w:p w:rsidR="00626EAA" w:rsidRPr="00626EAA" w:rsidRDefault="00626EAA" w:rsidP="000C4C9E">
            <w:pPr>
              <w:tabs>
                <w:tab w:val="center" w:pos="4153"/>
                <w:tab w:val="right" w:pos="8306"/>
              </w:tabs>
              <w:spacing w:after="0" w:line="240" w:lineRule="auto"/>
              <w:jc w:val="center"/>
              <w:rPr>
                <w:rFonts w:eastAsia="Times New Roman"/>
                <w:b/>
                <w:bCs/>
                <w:sz w:val="28"/>
                <w:szCs w:val="28"/>
                <w:lang w:eastAsia="lv-LV"/>
              </w:rPr>
            </w:pPr>
            <w:r>
              <w:rPr>
                <w:rFonts w:eastAsia="Times New Roman"/>
                <w:b/>
                <w:bCs/>
                <w:sz w:val="28"/>
                <w:szCs w:val="28"/>
                <w:lang w:eastAsia="lv-LV"/>
              </w:rPr>
              <w:t>V. Tiesību akta projekta atbilstība Latvijas Republikas starptautiskajām saistībām</w:t>
            </w:r>
          </w:p>
        </w:tc>
      </w:tr>
      <w:tr w:rsidR="00626EAA" w:rsidRPr="003F2F99" w:rsidTr="00626EAA">
        <w:tc>
          <w:tcPr>
            <w:tcW w:w="5000" w:type="pct"/>
            <w:tcBorders>
              <w:top w:val="outset" w:sz="6" w:space="0" w:color="auto"/>
              <w:left w:val="outset" w:sz="6" w:space="0" w:color="auto"/>
              <w:bottom w:val="outset" w:sz="6" w:space="0" w:color="auto"/>
              <w:right w:val="outset" w:sz="6" w:space="0" w:color="auto"/>
            </w:tcBorders>
            <w:vAlign w:val="center"/>
            <w:hideMark/>
          </w:tcPr>
          <w:p w:rsidR="00626EAA" w:rsidRPr="00626EAA" w:rsidRDefault="00626EAA" w:rsidP="000C4C9E">
            <w:pPr>
              <w:tabs>
                <w:tab w:val="center" w:pos="4153"/>
                <w:tab w:val="right" w:pos="8306"/>
              </w:tabs>
              <w:spacing w:after="0" w:line="240" w:lineRule="auto"/>
              <w:jc w:val="center"/>
              <w:rPr>
                <w:rFonts w:eastAsia="Times New Roman"/>
                <w:bCs/>
                <w:sz w:val="28"/>
                <w:szCs w:val="28"/>
                <w:lang w:eastAsia="lv-LV"/>
              </w:rPr>
            </w:pPr>
            <w:r w:rsidRPr="00626EAA">
              <w:rPr>
                <w:rFonts w:eastAsia="Times New Roman"/>
                <w:bCs/>
                <w:sz w:val="28"/>
                <w:szCs w:val="28"/>
                <w:lang w:eastAsia="lv-LV"/>
              </w:rPr>
              <w:t>Projekts šo jomu neskar.</w:t>
            </w:r>
          </w:p>
        </w:tc>
      </w:tr>
    </w:tbl>
    <w:p w:rsidR="00626EAA" w:rsidRDefault="00626EAA" w:rsidP="000C4C9E">
      <w:pPr>
        <w:spacing w:after="0" w:line="240" w:lineRule="auto"/>
        <w:rPr>
          <w:rFonts w:eastAsia="Times New Roman"/>
          <w:i/>
          <w:iCs/>
          <w:sz w:val="28"/>
          <w:szCs w:val="28"/>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626EAA" w:rsidRPr="00F06D1D" w:rsidTr="00626EAA">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26EAA" w:rsidRPr="00F06D1D" w:rsidRDefault="00626EAA" w:rsidP="000C4C9E">
            <w:pPr>
              <w:spacing w:after="0" w:line="240" w:lineRule="auto"/>
              <w:jc w:val="center"/>
              <w:rPr>
                <w:b/>
                <w:bCs/>
                <w:sz w:val="28"/>
                <w:szCs w:val="28"/>
              </w:rPr>
            </w:pPr>
            <w:r w:rsidRPr="00F06D1D">
              <w:rPr>
                <w:b/>
                <w:bCs/>
                <w:sz w:val="28"/>
                <w:szCs w:val="28"/>
              </w:rPr>
              <w:t>VI. Sabiedrības līdzdalība un komunikācijas aktivitātes</w:t>
            </w:r>
          </w:p>
        </w:tc>
      </w:tr>
      <w:tr w:rsidR="00626EAA" w:rsidRPr="00F06D1D" w:rsidTr="007C0C6E">
        <w:trPr>
          <w:trHeight w:val="154"/>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26EAA" w:rsidRPr="00F06D1D" w:rsidRDefault="00626EAA" w:rsidP="000C4C9E">
            <w:pPr>
              <w:spacing w:after="0" w:line="240" w:lineRule="auto"/>
              <w:jc w:val="center"/>
              <w:rPr>
                <w:b/>
                <w:bCs/>
                <w:sz w:val="28"/>
                <w:szCs w:val="28"/>
              </w:rPr>
            </w:pPr>
            <w:r w:rsidRPr="009778FA">
              <w:rPr>
                <w:sz w:val="28"/>
                <w:szCs w:val="28"/>
              </w:rPr>
              <w:t>Projekts šo jomu neskar.</w:t>
            </w:r>
          </w:p>
        </w:tc>
      </w:tr>
    </w:tbl>
    <w:p w:rsidR="006A46DD" w:rsidRPr="000C4C9E" w:rsidRDefault="006A46DD" w:rsidP="000C4C9E">
      <w:pPr>
        <w:spacing w:after="0" w:line="240" w:lineRule="auto"/>
        <w:ind w:right="140"/>
        <w:rPr>
          <w:rFonts w:eastAsia="Times New Roman"/>
          <w:vanish/>
          <w:sz w:val="26"/>
          <w:szCs w:val="26"/>
          <w:lang w:eastAsia="lv-LV"/>
        </w:rPr>
      </w:pPr>
    </w:p>
    <w:p w:rsidR="006A46DD" w:rsidRDefault="006A46DD" w:rsidP="000C4C9E">
      <w:pPr>
        <w:spacing w:after="0" w:line="240" w:lineRule="auto"/>
        <w:ind w:right="140" w:firstLine="284"/>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3"/>
        <w:gridCol w:w="3264"/>
        <w:gridCol w:w="5250"/>
      </w:tblGrid>
      <w:tr w:rsidR="007C0C6E" w:rsidRPr="00DE428F" w:rsidTr="003753B2">
        <w:tc>
          <w:tcPr>
            <w:tcW w:w="5000" w:type="pct"/>
            <w:gridSpan w:val="3"/>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 </w:t>
            </w:r>
            <w:r w:rsidRPr="00DE428F">
              <w:rPr>
                <w:rFonts w:eastAsia="Times New Roman"/>
                <w:b/>
                <w:bCs/>
                <w:sz w:val="28"/>
                <w:szCs w:val="28"/>
                <w:lang w:eastAsia="lv-LV"/>
              </w:rPr>
              <w:t> VII. Tiesību akta projekta izpildes nodrošināšana un tās ietekme uz institūcijām</w:t>
            </w:r>
          </w:p>
        </w:tc>
      </w:tr>
      <w:tr w:rsidR="007C0C6E" w:rsidRPr="00DE428F" w:rsidTr="000C4C9E">
        <w:trPr>
          <w:trHeight w:val="532"/>
        </w:trPr>
        <w:tc>
          <w:tcPr>
            <w:tcW w:w="315"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1.</w:t>
            </w:r>
          </w:p>
        </w:tc>
        <w:tc>
          <w:tcPr>
            <w:tcW w:w="1796"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left="144" w:right="140"/>
              <w:rPr>
                <w:rFonts w:eastAsia="Times New Roman"/>
                <w:sz w:val="28"/>
                <w:szCs w:val="28"/>
                <w:lang w:eastAsia="lv-LV"/>
              </w:rPr>
            </w:pPr>
            <w:r w:rsidRPr="00DE428F">
              <w:rPr>
                <w:rFonts w:eastAsia="Times New Roman"/>
                <w:sz w:val="28"/>
                <w:szCs w:val="28"/>
                <w:lang w:eastAsia="lv-LV"/>
              </w:rPr>
              <w:t>Projekta izpildē iesaistītās institūcijas</w:t>
            </w:r>
          </w:p>
        </w:tc>
        <w:tc>
          <w:tcPr>
            <w:tcW w:w="2889"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left="159" w:right="140"/>
              <w:jc w:val="both"/>
              <w:rPr>
                <w:rFonts w:eastAsia="Times New Roman"/>
                <w:sz w:val="28"/>
                <w:szCs w:val="28"/>
                <w:lang w:eastAsia="lv-LV"/>
              </w:rPr>
            </w:pPr>
            <w:r w:rsidRPr="00DE428F">
              <w:rPr>
                <w:rFonts w:eastAsia="Times New Roman"/>
                <w:sz w:val="28"/>
                <w:szCs w:val="28"/>
                <w:lang w:eastAsia="lv-LV"/>
              </w:rPr>
              <w:t xml:space="preserve">Kultūras ministrija. </w:t>
            </w:r>
          </w:p>
        </w:tc>
      </w:tr>
      <w:tr w:rsidR="007C0C6E" w:rsidRPr="00DE428F" w:rsidTr="003753B2">
        <w:trPr>
          <w:trHeight w:val="463"/>
        </w:trPr>
        <w:tc>
          <w:tcPr>
            <w:tcW w:w="315"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2.</w:t>
            </w:r>
          </w:p>
        </w:tc>
        <w:tc>
          <w:tcPr>
            <w:tcW w:w="1796"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left="144" w:right="140"/>
              <w:rPr>
                <w:rFonts w:eastAsia="Times New Roman"/>
                <w:sz w:val="28"/>
                <w:szCs w:val="28"/>
                <w:lang w:eastAsia="lv-LV"/>
              </w:rPr>
            </w:pPr>
            <w:r w:rsidRPr="00DE428F">
              <w:rPr>
                <w:rFonts w:eastAsia="Times New Roman"/>
                <w:sz w:val="28"/>
                <w:szCs w:val="28"/>
                <w:lang w:eastAsia="lv-LV"/>
              </w:rPr>
              <w:t xml:space="preserve">Projekta izpildes ietekme uz pārvaldes funkcijām un institucionālo struktūru. </w:t>
            </w:r>
          </w:p>
          <w:p w:rsidR="007C0C6E" w:rsidRPr="00DE428F" w:rsidRDefault="007C0C6E" w:rsidP="000C4C9E">
            <w:pPr>
              <w:spacing w:after="0" w:line="240" w:lineRule="auto"/>
              <w:ind w:left="144" w:right="140"/>
              <w:rPr>
                <w:rFonts w:eastAsia="Times New Roman"/>
                <w:sz w:val="28"/>
                <w:szCs w:val="28"/>
                <w:lang w:eastAsia="lv-LV"/>
              </w:rPr>
            </w:pPr>
            <w:r w:rsidRPr="00DE428F">
              <w:rPr>
                <w:rFonts w:eastAsia="Times New Roman"/>
                <w:sz w:val="28"/>
                <w:szCs w:val="28"/>
                <w:lang w:eastAsia="lv-LV"/>
              </w:rPr>
              <w:t>Jaunu institūciju izveide, esošu institūciju likvidācija vai reorganizācija, to ietekme uz institūcijas cilvēkresursiem</w:t>
            </w:r>
          </w:p>
        </w:tc>
        <w:tc>
          <w:tcPr>
            <w:tcW w:w="2889"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left="159" w:right="140"/>
              <w:jc w:val="both"/>
              <w:rPr>
                <w:rFonts w:eastAsia="Times New Roman"/>
                <w:sz w:val="28"/>
                <w:szCs w:val="28"/>
                <w:lang w:eastAsia="lv-LV"/>
              </w:rPr>
            </w:pPr>
            <w:r w:rsidRPr="00DE428F">
              <w:rPr>
                <w:rFonts w:eastAsia="Times New Roman"/>
                <w:sz w:val="28"/>
                <w:szCs w:val="28"/>
                <w:lang w:eastAsia="lv-LV"/>
              </w:rPr>
              <w:t>Projekts šo jomu neskar.</w:t>
            </w:r>
          </w:p>
        </w:tc>
      </w:tr>
      <w:tr w:rsidR="007C0C6E" w:rsidRPr="00DE428F" w:rsidTr="003753B2">
        <w:trPr>
          <w:trHeight w:val="421"/>
        </w:trPr>
        <w:tc>
          <w:tcPr>
            <w:tcW w:w="315"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right="140"/>
              <w:jc w:val="center"/>
              <w:rPr>
                <w:rFonts w:eastAsia="Times New Roman"/>
                <w:sz w:val="28"/>
                <w:szCs w:val="28"/>
                <w:lang w:eastAsia="lv-LV"/>
              </w:rPr>
            </w:pPr>
            <w:r w:rsidRPr="00DE428F">
              <w:rPr>
                <w:rFonts w:eastAsia="Times New Roman"/>
                <w:sz w:val="28"/>
                <w:szCs w:val="28"/>
                <w:lang w:eastAsia="lv-LV"/>
              </w:rPr>
              <w:t>3.</w:t>
            </w:r>
          </w:p>
        </w:tc>
        <w:tc>
          <w:tcPr>
            <w:tcW w:w="1796"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right="140"/>
              <w:rPr>
                <w:rFonts w:eastAsia="Times New Roman"/>
                <w:sz w:val="28"/>
                <w:szCs w:val="28"/>
                <w:lang w:eastAsia="lv-LV"/>
              </w:rPr>
            </w:pPr>
            <w:r w:rsidRPr="00DE428F">
              <w:rPr>
                <w:rFonts w:eastAsia="Times New Roman"/>
                <w:sz w:val="28"/>
                <w:szCs w:val="28"/>
                <w:lang w:eastAsia="lv-LV"/>
              </w:rPr>
              <w:t>  Cita informācija</w:t>
            </w:r>
          </w:p>
        </w:tc>
        <w:tc>
          <w:tcPr>
            <w:tcW w:w="2889" w:type="pct"/>
            <w:tcBorders>
              <w:top w:val="outset" w:sz="6" w:space="0" w:color="auto"/>
              <w:left w:val="outset" w:sz="6" w:space="0" w:color="auto"/>
              <w:bottom w:val="outset" w:sz="6" w:space="0" w:color="auto"/>
              <w:right w:val="outset" w:sz="6" w:space="0" w:color="auto"/>
            </w:tcBorders>
          </w:tcPr>
          <w:p w:rsidR="007C0C6E" w:rsidRPr="00DE428F" w:rsidRDefault="007C0C6E" w:rsidP="000C4C9E">
            <w:pPr>
              <w:spacing w:after="0" w:line="240" w:lineRule="auto"/>
              <w:ind w:left="159" w:right="140"/>
              <w:rPr>
                <w:rFonts w:eastAsia="Times New Roman"/>
                <w:sz w:val="28"/>
                <w:szCs w:val="28"/>
                <w:lang w:eastAsia="lv-LV"/>
              </w:rPr>
            </w:pPr>
            <w:r w:rsidRPr="00DE428F">
              <w:rPr>
                <w:rFonts w:eastAsia="Times New Roman"/>
                <w:sz w:val="28"/>
                <w:szCs w:val="28"/>
                <w:lang w:eastAsia="lv-LV"/>
              </w:rPr>
              <w:t>Nav</w:t>
            </w:r>
          </w:p>
        </w:tc>
      </w:tr>
    </w:tbl>
    <w:p w:rsidR="007C0C6E" w:rsidRPr="00DE428F" w:rsidRDefault="007C0C6E" w:rsidP="000C4C9E">
      <w:pPr>
        <w:spacing w:after="0" w:line="240" w:lineRule="auto"/>
        <w:ind w:right="140" w:firstLine="284"/>
        <w:rPr>
          <w:sz w:val="28"/>
          <w:szCs w:val="28"/>
        </w:rPr>
      </w:pPr>
    </w:p>
    <w:p w:rsidR="006A46DD" w:rsidRPr="00DE428F" w:rsidRDefault="006A46DD" w:rsidP="000C4C9E">
      <w:pPr>
        <w:spacing w:after="0" w:line="240" w:lineRule="auto"/>
        <w:ind w:right="140" w:firstLine="284"/>
        <w:rPr>
          <w:sz w:val="28"/>
          <w:szCs w:val="28"/>
        </w:rPr>
      </w:pPr>
    </w:p>
    <w:p w:rsidR="006A46DD" w:rsidRPr="00DE428F" w:rsidRDefault="006A46DD" w:rsidP="000C4C9E">
      <w:pPr>
        <w:spacing w:after="0" w:line="240" w:lineRule="auto"/>
        <w:ind w:right="140" w:firstLine="284"/>
        <w:rPr>
          <w:sz w:val="28"/>
          <w:szCs w:val="28"/>
        </w:rPr>
      </w:pPr>
      <w:r w:rsidRPr="00DE428F">
        <w:rPr>
          <w:sz w:val="28"/>
          <w:szCs w:val="28"/>
        </w:rPr>
        <w:t>Kultūras ministre</w:t>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t xml:space="preserve">D.Melbārde </w:t>
      </w:r>
    </w:p>
    <w:p w:rsidR="006A46DD" w:rsidRPr="00DE428F" w:rsidRDefault="006A46DD" w:rsidP="000C4C9E">
      <w:pPr>
        <w:spacing w:after="0" w:line="240" w:lineRule="auto"/>
        <w:ind w:right="140" w:firstLine="284"/>
        <w:rPr>
          <w:sz w:val="28"/>
          <w:szCs w:val="28"/>
        </w:rPr>
      </w:pPr>
    </w:p>
    <w:p w:rsidR="006A46DD" w:rsidRPr="00DE428F" w:rsidRDefault="006A46DD" w:rsidP="000C4C9E">
      <w:pPr>
        <w:spacing w:after="0" w:line="240" w:lineRule="auto"/>
        <w:ind w:right="140" w:firstLine="284"/>
        <w:rPr>
          <w:sz w:val="28"/>
          <w:szCs w:val="28"/>
        </w:rPr>
      </w:pPr>
      <w:r w:rsidRPr="00DE428F">
        <w:rPr>
          <w:sz w:val="28"/>
          <w:szCs w:val="28"/>
        </w:rPr>
        <w:t>Vīza: Valsts sekretārs</w:t>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r>
      <w:r w:rsidRPr="00DE428F">
        <w:rPr>
          <w:sz w:val="28"/>
          <w:szCs w:val="28"/>
        </w:rPr>
        <w:tab/>
        <w:t>S.Voldiņš</w:t>
      </w:r>
    </w:p>
    <w:p w:rsidR="00BF5971" w:rsidRDefault="00BF5971" w:rsidP="000C4C9E">
      <w:pPr>
        <w:spacing w:after="0" w:line="240" w:lineRule="auto"/>
        <w:rPr>
          <w:sz w:val="20"/>
          <w:szCs w:val="20"/>
        </w:rPr>
      </w:pPr>
    </w:p>
    <w:p w:rsidR="00BE1FDB" w:rsidRDefault="00EB543A" w:rsidP="000C4C9E">
      <w:pPr>
        <w:tabs>
          <w:tab w:val="left" w:pos="6804"/>
        </w:tabs>
        <w:spacing w:after="0" w:line="240" w:lineRule="auto"/>
        <w:ind w:right="140"/>
        <w:rPr>
          <w:sz w:val="20"/>
          <w:szCs w:val="20"/>
        </w:rPr>
      </w:pPr>
      <w:r w:rsidRPr="00DE428F">
        <w:rPr>
          <w:sz w:val="20"/>
          <w:szCs w:val="20"/>
        </w:rPr>
        <w:t xml:space="preserve">Katajs </w:t>
      </w:r>
      <w:bookmarkStart w:id="3" w:name="OLE_LINK11"/>
      <w:bookmarkStart w:id="4" w:name="OLE_LINK12"/>
      <w:r w:rsidRPr="00DE428F">
        <w:rPr>
          <w:sz w:val="20"/>
          <w:szCs w:val="20"/>
        </w:rPr>
        <w:t>6733032</w:t>
      </w:r>
      <w:r w:rsidR="00BF5971" w:rsidRPr="00DE428F">
        <w:rPr>
          <w:sz w:val="20"/>
          <w:szCs w:val="20"/>
        </w:rPr>
        <w:t>7</w:t>
      </w:r>
    </w:p>
    <w:p w:rsidR="000C4C9E" w:rsidRPr="00DE428F" w:rsidRDefault="00563DA4" w:rsidP="000C4C9E">
      <w:pPr>
        <w:tabs>
          <w:tab w:val="left" w:pos="6804"/>
        </w:tabs>
        <w:spacing w:after="0" w:line="240" w:lineRule="auto"/>
        <w:ind w:right="140"/>
        <w:rPr>
          <w:sz w:val="20"/>
          <w:szCs w:val="20"/>
        </w:rPr>
      </w:pPr>
      <w:hyperlink r:id="rId12" w:history="1">
        <w:r w:rsidR="000C4C9E" w:rsidRPr="00001D3B">
          <w:rPr>
            <w:rStyle w:val="Hipersaite"/>
            <w:sz w:val="20"/>
            <w:szCs w:val="20"/>
          </w:rPr>
          <w:t>Marcis.Katajs@km.gov.lv</w:t>
        </w:r>
      </w:hyperlink>
      <w:bookmarkEnd w:id="3"/>
      <w:bookmarkEnd w:id="4"/>
    </w:p>
    <w:sectPr w:rsidR="000C4C9E" w:rsidRPr="00DE428F" w:rsidSect="003530A9">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DD" w:rsidRDefault="00CB3EDD" w:rsidP="007C227D">
      <w:pPr>
        <w:spacing w:after="0" w:line="240" w:lineRule="auto"/>
      </w:pPr>
      <w:r>
        <w:separator/>
      </w:r>
    </w:p>
  </w:endnote>
  <w:endnote w:type="continuationSeparator" w:id="0">
    <w:p w:rsidR="00CB3EDD" w:rsidRDefault="00CB3EDD" w:rsidP="007C2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F" w:rsidRDefault="00563DA4" w:rsidP="003530A9">
    <w:pPr>
      <w:pStyle w:val="Kjene"/>
      <w:framePr w:wrap="around" w:vAnchor="text" w:hAnchor="margin" w:xAlign="right" w:y="1"/>
      <w:rPr>
        <w:rStyle w:val="Lappusesnumurs"/>
      </w:rPr>
    </w:pPr>
    <w:r>
      <w:rPr>
        <w:rStyle w:val="Lappusesnumurs"/>
      </w:rPr>
      <w:fldChar w:fldCharType="begin"/>
    </w:r>
    <w:r w:rsidR="009F494F">
      <w:rPr>
        <w:rStyle w:val="Lappusesnumurs"/>
      </w:rPr>
      <w:instrText xml:space="preserve">PAGE  </w:instrText>
    </w:r>
    <w:r>
      <w:rPr>
        <w:rStyle w:val="Lappusesnumurs"/>
      </w:rPr>
      <w:fldChar w:fldCharType="end"/>
    </w:r>
  </w:p>
  <w:p w:rsidR="009F494F" w:rsidRDefault="009F494F" w:rsidP="003530A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F" w:rsidRPr="007C227D" w:rsidRDefault="009F494F" w:rsidP="00496654">
    <w:pPr>
      <w:spacing w:after="0" w:line="240" w:lineRule="auto"/>
      <w:jc w:val="both"/>
      <w:rPr>
        <w:sz w:val="20"/>
        <w:szCs w:val="20"/>
      </w:rPr>
    </w:pPr>
    <w:r w:rsidRPr="007B30B4">
      <w:rPr>
        <w:sz w:val="20"/>
        <w:szCs w:val="20"/>
      </w:rPr>
      <w:t>KMAnot_</w:t>
    </w:r>
    <w:r w:rsidR="00CA5B6E">
      <w:rPr>
        <w:sz w:val="20"/>
        <w:szCs w:val="20"/>
      </w:rPr>
      <w:t>2</w:t>
    </w:r>
    <w:r w:rsidR="000C4C9E">
      <w:rPr>
        <w:sz w:val="20"/>
        <w:szCs w:val="20"/>
      </w:rPr>
      <w:t>5</w:t>
    </w:r>
    <w:r>
      <w:rPr>
        <w:sz w:val="20"/>
        <w:szCs w:val="20"/>
      </w:rPr>
      <w:t>10</w:t>
    </w:r>
    <w:r w:rsidRPr="00243E1F">
      <w:rPr>
        <w:sz w:val="20"/>
        <w:szCs w:val="20"/>
      </w:rPr>
      <w:t>17</w:t>
    </w:r>
    <w:r w:rsidRPr="007B30B4">
      <w:rPr>
        <w:sz w:val="20"/>
        <w:szCs w:val="20"/>
      </w:rPr>
      <w:t>_</w:t>
    </w:r>
    <w:r>
      <w:rPr>
        <w:sz w:val="20"/>
        <w:szCs w:val="20"/>
      </w:rPr>
      <w:t>RC</w:t>
    </w:r>
    <w:r w:rsidRPr="007B30B4">
      <w:rPr>
        <w:sz w:val="20"/>
        <w:szCs w:val="20"/>
      </w:rPr>
      <w:t>_dividendes</w:t>
    </w: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F" w:rsidRPr="007C227D" w:rsidRDefault="009F494F" w:rsidP="007C227D">
    <w:pPr>
      <w:spacing w:after="0" w:line="240" w:lineRule="auto"/>
      <w:jc w:val="both"/>
      <w:rPr>
        <w:sz w:val="20"/>
        <w:szCs w:val="20"/>
      </w:rPr>
    </w:pPr>
    <w:r w:rsidRPr="007B30B4">
      <w:rPr>
        <w:sz w:val="20"/>
        <w:szCs w:val="20"/>
      </w:rPr>
      <w:t>KMAnot_</w:t>
    </w:r>
    <w:r w:rsidR="00CA5B6E">
      <w:rPr>
        <w:sz w:val="20"/>
        <w:szCs w:val="20"/>
      </w:rPr>
      <w:t>2</w:t>
    </w:r>
    <w:r w:rsidR="000C4C9E">
      <w:rPr>
        <w:sz w:val="20"/>
        <w:szCs w:val="20"/>
      </w:rPr>
      <w:t>5</w:t>
    </w:r>
    <w:r>
      <w:rPr>
        <w:sz w:val="20"/>
        <w:szCs w:val="20"/>
      </w:rPr>
      <w:t>10</w:t>
    </w:r>
    <w:r w:rsidRPr="00243E1F">
      <w:rPr>
        <w:sz w:val="20"/>
        <w:szCs w:val="20"/>
      </w:rPr>
      <w:t>17</w:t>
    </w:r>
    <w:r w:rsidRPr="007B30B4">
      <w:rPr>
        <w:sz w:val="20"/>
        <w:szCs w:val="20"/>
      </w:rPr>
      <w:t>_</w:t>
    </w:r>
    <w:r>
      <w:rPr>
        <w:sz w:val="20"/>
        <w:szCs w:val="20"/>
      </w:rPr>
      <w:t>RC</w:t>
    </w:r>
    <w:r w:rsidRPr="007B30B4">
      <w:rPr>
        <w:sz w:val="20"/>
        <w:szCs w:val="20"/>
      </w:rPr>
      <w:t>_dividendes</w:t>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DD" w:rsidRDefault="00CB3EDD" w:rsidP="007C227D">
      <w:pPr>
        <w:spacing w:after="0" w:line="240" w:lineRule="auto"/>
      </w:pPr>
      <w:r>
        <w:separator/>
      </w:r>
    </w:p>
  </w:footnote>
  <w:footnote w:type="continuationSeparator" w:id="0">
    <w:p w:rsidR="00CB3EDD" w:rsidRDefault="00CB3EDD" w:rsidP="007C2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EndPr>
      <w:rPr>
        <w:sz w:val="20"/>
        <w:szCs w:val="20"/>
      </w:rPr>
    </w:sdtEndPr>
    <w:sdtContent>
      <w:p w:rsidR="009F494F" w:rsidRPr="00496654" w:rsidRDefault="00563DA4">
        <w:pPr>
          <w:pStyle w:val="Galvene"/>
          <w:jc w:val="center"/>
          <w:rPr>
            <w:sz w:val="20"/>
            <w:szCs w:val="20"/>
          </w:rPr>
        </w:pPr>
        <w:r w:rsidRPr="00B91207">
          <w:rPr>
            <w:szCs w:val="24"/>
          </w:rPr>
          <w:fldChar w:fldCharType="begin"/>
        </w:r>
        <w:r w:rsidR="009F494F" w:rsidRPr="00B91207">
          <w:rPr>
            <w:szCs w:val="24"/>
          </w:rPr>
          <w:instrText xml:space="preserve"> PAGE   \* MERGEFORMAT </w:instrText>
        </w:r>
        <w:r w:rsidRPr="00B91207">
          <w:rPr>
            <w:szCs w:val="24"/>
          </w:rPr>
          <w:fldChar w:fldCharType="separate"/>
        </w:r>
        <w:r w:rsidR="00B83234">
          <w:rPr>
            <w:noProof/>
            <w:szCs w:val="24"/>
          </w:rPr>
          <w:t>6</w:t>
        </w:r>
        <w:r w:rsidRPr="00B91207">
          <w:rPr>
            <w:szCs w:val="24"/>
          </w:rPr>
          <w:fldChar w:fldCharType="end"/>
        </w:r>
      </w:p>
    </w:sdtContent>
  </w:sdt>
  <w:p w:rsidR="009F494F" w:rsidRDefault="009F494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4C99"/>
    <w:multiLevelType w:val="multilevel"/>
    <w:tmpl w:val="9A66D41A"/>
    <w:lvl w:ilvl="0">
      <w:start w:val="1"/>
      <w:numFmt w:val="decimal"/>
      <w:lvlText w:val="%1)"/>
      <w:lvlJc w:val="left"/>
      <w:pPr>
        <w:ind w:left="1440" w:firstLine="1080"/>
      </w:pPr>
      <w:rPr>
        <w:rFonts w:ascii="Times New Roman" w:eastAsia="Times New Roman" w:hAnsi="Times New Roman" w:cs="Times New Roman"/>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eicberga">
    <w15:presenceInfo w15:providerId="None" w15:userId="Ilze Kreicber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6DD"/>
    <w:rsid w:val="00013BD0"/>
    <w:rsid w:val="00025CE4"/>
    <w:rsid w:val="0003501B"/>
    <w:rsid w:val="0003585C"/>
    <w:rsid w:val="000525C4"/>
    <w:rsid w:val="00057AFC"/>
    <w:rsid w:val="00057CEE"/>
    <w:rsid w:val="000749BD"/>
    <w:rsid w:val="00084A29"/>
    <w:rsid w:val="0008596E"/>
    <w:rsid w:val="00095443"/>
    <w:rsid w:val="000C379F"/>
    <w:rsid w:val="000C4C9E"/>
    <w:rsid w:val="000E0A71"/>
    <w:rsid w:val="00101AD7"/>
    <w:rsid w:val="00107731"/>
    <w:rsid w:val="00113886"/>
    <w:rsid w:val="00121E67"/>
    <w:rsid w:val="00125945"/>
    <w:rsid w:val="00185046"/>
    <w:rsid w:val="001955DD"/>
    <w:rsid w:val="00196C06"/>
    <w:rsid w:val="001A1E92"/>
    <w:rsid w:val="001A47B3"/>
    <w:rsid w:val="001A7DF7"/>
    <w:rsid w:val="001C2A42"/>
    <w:rsid w:val="00243E1F"/>
    <w:rsid w:val="002624F8"/>
    <w:rsid w:val="00282B05"/>
    <w:rsid w:val="002B092E"/>
    <w:rsid w:val="002D048A"/>
    <w:rsid w:val="002D2D3D"/>
    <w:rsid w:val="002F350A"/>
    <w:rsid w:val="00312E30"/>
    <w:rsid w:val="003352C2"/>
    <w:rsid w:val="003530A9"/>
    <w:rsid w:val="00362B89"/>
    <w:rsid w:val="003753B2"/>
    <w:rsid w:val="0039349F"/>
    <w:rsid w:val="003B2D04"/>
    <w:rsid w:val="004463D3"/>
    <w:rsid w:val="00453A3A"/>
    <w:rsid w:val="00462D81"/>
    <w:rsid w:val="00466557"/>
    <w:rsid w:val="00472DF0"/>
    <w:rsid w:val="00481C7A"/>
    <w:rsid w:val="00483BEC"/>
    <w:rsid w:val="00496654"/>
    <w:rsid w:val="004C36F4"/>
    <w:rsid w:val="004E588B"/>
    <w:rsid w:val="004F1F7F"/>
    <w:rsid w:val="005241CF"/>
    <w:rsid w:val="005427F2"/>
    <w:rsid w:val="00552EC7"/>
    <w:rsid w:val="00563DA4"/>
    <w:rsid w:val="00574786"/>
    <w:rsid w:val="005A38B9"/>
    <w:rsid w:val="005A514F"/>
    <w:rsid w:val="005C5040"/>
    <w:rsid w:val="005D2A24"/>
    <w:rsid w:val="005D660A"/>
    <w:rsid w:val="005E409B"/>
    <w:rsid w:val="005F27A3"/>
    <w:rsid w:val="005F3FB4"/>
    <w:rsid w:val="00601A16"/>
    <w:rsid w:val="0062126A"/>
    <w:rsid w:val="00622450"/>
    <w:rsid w:val="00626EAA"/>
    <w:rsid w:val="00636841"/>
    <w:rsid w:val="00636DF9"/>
    <w:rsid w:val="00644EE9"/>
    <w:rsid w:val="006A46DD"/>
    <w:rsid w:val="006B1740"/>
    <w:rsid w:val="006D161C"/>
    <w:rsid w:val="006E4AF5"/>
    <w:rsid w:val="006E7FBE"/>
    <w:rsid w:val="00714EFA"/>
    <w:rsid w:val="00743994"/>
    <w:rsid w:val="00743C43"/>
    <w:rsid w:val="00773B8A"/>
    <w:rsid w:val="007C0C6E"/>
    <w:rsid w:val="007C227D"/>
    <w:rsid w:val="007D0B0F"/>
    <w:rsid w:val="007E3BFB"/>
    <w:rsid w:val="00811DEB"/>
    <w:rsid w:val="008372F4"/>
    <w:rsid w:val="00846209"/>
    <w:rsid w:val="008D7D61"/>
    <w:rsid w:val="008E3481"/>
    <w:rsid w:val="008F79D3"/>
    <w:rsid w:val="009053D8"/>
    <w:rsid w:val="0098685E"/>
    <w:rsid w:val="009B3640"/>
    <w:rsid w:val="009B3FB3"/>
    <w:rsid w:val="009C69AE"/>
    <w:rsid w:val="009F494F"/>
    <w:rsid w:val="00A00896"/>
    <w:rsid w:val="00A258F4"/>
    <w:rsid w:val="00A50972"/>
    <w:rsid w:val="00A71958"/>
    <w:rsid w:val="00A85175"/>
    <w:rsid w:val="00A90503"/>
    <w:rsid w:val="00AB52E8"/>
    <w:rsid w:val="00AC011B"/>
    <w:rsid w:val="00AE16F4"/>
    <w:rsid w:val="00AF5939"/>
    <w:rsid w:val="00B16715"/>
    <w:rsid w:val="00B2591A"/>
    <w:rsid w:val="00B43673"/>
    <w:rsid w:val="00B700B7"/>
    <w:rsid w:val="00B717A8"/>
    <w:rsid w:val="00B83234"/>
    <w:rsid w:val="00B91207"/>
    <w:rsid w:val="00B975AF"/>
    <w:rsid w:val="00BB73B1"/>
    <w:rsid w:val="00BD0427"/>
    <w:rsid w:val="00BE0AD8"/>
    <w:rsid w:val="00BE1FDB"/>
    <w:rsid w:val="00BE2C50"/>
    <w:rsid w:val="00BE722C"/>
    <w:rsid w:val="00BF5971"/>
    <w:rsid w:val="00C0475E"/>
    <w:rsid w:val="00CA5B6E"/>
    <w:rsid w:val="00CB11C8"/>
    <w:rsid w:val="00CB3EDD"/>
    <w:rsid w:val="00CD1C14"/>
    <w:rsid w:val="00CF2879"/>
    <w:rsid w:val="00CF34E1"/>
    <w:rsid w:val="00CF7AE5"/>
    <w:rsid w:val="00D0081C"/>
    <w:rsid w:val="00D663CF"/>
    <w:rsid w:val="00D800CC"/>
    <w:rsid w:val="00DE003A"/>
    <w:rsid w:val="00DE428F"/>
    <w:rsid w:val="00DF2F23"/>
    <w:rsid w:val="00E00B21"/>
    <w:rsid w:val="00E35A1F"/>
    <w:rsid w:val="00EB543A"/>
    <w:rsid w:val="00EB59BD"/>
    <w:rsid w:val="00ED042D"/>
    <w:rsid w:val="00EF7935"/>
    <w:rsid w:val="00F501E0"/>
    <w:rsid w:val="00FA21A2"/>
    <w:rsid w:val="00FA7970"/>
    <w:rsid w:val="00FC2B34"/>
    <w:rsid w:val="00FC2D7A"/>
    <w:rsid w:val="00FD46C8"/>
    <w:rsid w:val="00FF35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A46DD"/>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6A46DD"/>
    <w:pPr>
      <w:tabs>
        <w:tab w:val="center" w:pos="4153"/>
        <w:tab w:val="right" w:pos="8306"/>
      </w:tabs>
    </w:pPr>
  </w:style>
  <w:style w:type="character" w:customStyle="1" w:styleId="KjeneRakstz">
    <w:name w:val="Kājene Rakstz."/>
    <w:basedOn w:val="Noklusjumarindkopasfonts"/>
    <w:link w:val="Kjene"/>
    <w:rsid w:val="006A46DD"/>
    <w:rPr>
      <w:rFonts w:ascii="Times New Roman" w:eastAsia="Calibri" w:hAnsi="Times New Roman" w:cs="Times New Roman"/>
      <w:sz w:val="24"/>
    </w:rPr>
  </w:style>
  <w:style w:type="character" w:styleId="Lappusesnumurs">
    <w:name w:val="page number"/>
    <w:basedOn w:val="Noklusjumarindkopasfonts"/>
    <w:rsid w:val="006A46DD"/>
  </w:style>
  <w:style w:type="paragraph" w:styleId="Galvene">
    <w:name w:val="header"/>
    <w:basedOn w:val="Parastais"/>
    <w:link w:val="GalveneRakstz"/>
    <w:uiPriority w:val="99"/>
    <w:unhideWhenUsed/>
    <w:rsid w:val="006A46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46DD"/>
    <w:rPr>
      <w:rFonts w:ascii="Times New Roman" w:eastAsia="Calibri" w:hAnsi="Times New Roman" w:cs="Times New Roman"/>
      <w:sz w:val="24"/>
    </w:rPr>
  </w:style>
  <w:style w:type="paragraph" w:customStyle="1" w:styleId="tv2132">
    <w:name w:val="tv2132"/>
    <w:basedOn w:val="Parastais"/>
    <w:rsid w:val="006A46DD"/>
    <w:pPr>
      <w:spacing w:after="0" w:line="360" w:lineRule="auto"/>
      <w:ind w:firstLine="300"/>
    </w:pPr>
    <w:rPr>
      <w:rFonts w:eastAsia="Times New Roman"/>
      <w:color w:val="414142"/>
      <w:sz w:val="20"/>
      <w:szCs w:val="20"/>
      <w:lang w:eastAsia="lv-LV"/>
    </w:rPr>
  </w:style>
  <w:style w:type="character" w:styleId="Hipersaite">
    <w:name w:val="Hyperlink"/>
    <w:unhideWhenUsed/>
    <w:rsid w:val="006A46DD"/>
    <w:rPr>
      <w:color w:val="0000FF"/>
      <w:u w:val="single"/>
    </w:rPr>
  </w:style>
  <w:style w:type="paragraph" w:styleId="Pamatteksts">
    <w:name w:val="Body Text"/>
    <w:basedOn w:val="Parastais"/>
    <w:link w:val="PamattekstsRakstz"/>
    <w:unhideWhenUsed/>
    <w:rsid w:val="006A46D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6A46DD"/>
    <w:rPr>
      <w:rFonts w:ascii="Times New Roman" w:eastAsia="Times New Roman" w:hAnsi="Times New Roman" w:cs="Times New Roman"/>
      <w:sz w:val="28"/>
      <w:szCs w:val="24"/>
    </w:rPr>
  </w:style>
  <w:style w:type="paragraph" w:customStyle="1" w:styleId="Default">
    <w:name w:val="Default"/>
    <w:rsid w:val="006A46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3530A9"/>
    <w:pPr>
      <w:widowControl w:val="0"/>
    </w:pPr>
    <w:rPr>
      <w:rFonts w:ascii="Calibri" w:eastAsia="Calibri" w:hAnsi="Calibri" w:cs="Calibri"/>
      <w:color w:val="000000"/>
      <w:lang w:val="en-US"/>
    </w:rPr>
  </w:style>
  <w:style w:type="paragraph" w:styleId="Balonteksts">
    <w:name w:val="Balloon Text"/>
    <w:basedOn w:val="Parastais"/>
    <w:link w:val="BalontekstsRakstz"/>
    <w:uiPriority w:val="99"/>
    <w:semiHidden/>
    <w:unhideWhenUsed/>
    <w:rsid w:val="005E40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409B"/>
    <w:rPr>
      <w:rFonts w:ascii="Tahoma" w:eastAsia="Calibri" w:hAnsi="Tahoma" w:cs="Tahoma"/>
      <w:sz w:val="16"/>
      <w:szCs w:val="16"/>
    </w:rPr>
  </w:style>
  <w:style w:type="character" w:styleId="Komentraatsauce">
    <w:name w:val="annotation reference"/>
    <w:basedOn w:val="Noklusjumarindkopasfonts"/>
    <w:uiPriority w:val="99"/>
    <w:semiHidden/>
    <w:unhideWhenUsed/>
    <w:rsid w:val="00574786"/>
    <w:rPr>
      <w:sz w:val="16"/>
      <w:szCs w:val="16"/>
    </w:rPr>
  </w:style>
  <w:style w:type="paragraph" w:styleId="Komentrateksts">
    <w:name w:val="annotation text"/>
    <w:basedOn w:val="Parastais"/>
    <w:link w:val="KomentratekstsRakstz"/>
    <w:uiPriority w:val="99"/>
    <w:semiHidden/>
    <w:unhideWhenUsed/>
    <w:rsid w:val="0057478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74786"/>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74786"/>
    <w:rPr>
      <w:b/>
      <w:bCs/>
    </w:rPr>
  </w:style>
  <w:style w:type="character" w:customStyle="1" w:styleId="KomentratmaRakstz">
    <w:name w:val="Komentāra tēma Rakstz."/>
    <w:basedOn w:val="KomentratekstsRakstz"/>
    <w:link w:val="Komentratma"/>
    <w:uiPriority w:val="99"/>
    <w:semiHidden/>
    <w:rsid w:val="00574786"/>
    <w:rPr>
      <w:rFonts w:ascii="Times New Roman" w:eastAsia="Calibri" w:hAnsi="Times New Roman" w:cs="Times New Roman"/>
      <w:b/>
      <w:bCs/>
      <w:sz w:val="20"/>
      <w:szCs w:val="20"/>
    </w:rPr>
  </w:style>
  <w:style w:type="table" w:styleId="Reatabula">
    <w:name w:val="Table Grid"/>
    <w:basedOn w:val="Parastatabula"/>
    <w:uiPriority w:val="59"/>
    <w:rsid w:val="0062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362B89"/>
    <w:rPr>
      <w:rFonts w:ascii="EUAlbertina" w:hAnsi="EUAlbertina" w:cstheme="minorBidi"/>
      <w:color w:val="auto"/>
    </w:rPr>
  </w:style>
  <w:style w:type="paragraph" w:customStyle="1" w:styleId="CM3">
    <w:name w:val="CM3"/>
    <w:basedOn w:val="Default"/>
    <w:next w:val="Default"/>
    <w:uiPriority w:val="99"/>
    <w:rsid w:val="00362B89"/>
    <w:rPr>
      <w:rFonts w:ascii="EUAlbertina" w:hAnsi="EUAlbertina" w:cstheme="minorBidi"/>
      <w:color w:val="auto"/>
    </w:rPr>
  </w:style>
</w:styles>
</file>

<file path=word/webSettings.xml><?xml version="1.0" encoding="utf-8"?>
<w:webSettings xmlns:r="http://schemas.openxmlformats.org/officeDocument/2006/relationships" xmlns:w="http://schemas.openxmlformats.org/wordprocessingml/2006/main">
  <w:divs>
    <w:div w:id="1346132471">
      <w:bodyDiv w:val="1"/>
      <w:marLeft w:val="0"/>
      <w:marRight w:val="0"/>
      <w:marTop w:val="0"/>
      <w:marBottom w:val="0"/>
      <w:divBdr>
        <w:top w:val="none" w:sz="0" w:space="0" w:color="auto"/>
        <w:left w:val="none" w:sz="0" w:space="0" w:color="auto"/>
        <w:bottom w:val="none" w:sz="0" w:space="0" w:color="auto"/>
        <w:right w:val="none" w:sz="0" w:space="0" w:color="auto"/>
      </w:divBdr>
    </w:div>
    <w:div w:id="18275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s.Katajs@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147385-konsolideto-gada-parskatu-likum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B736B-1610-4224-A8B5-B2E8AB72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8989</Words>
  <Characters>5124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„Rīgas cirks” peļņas daļu” sākotnējās ietekmes novērtējuma ziņojums (anotācija)</dc:title>
  <dc:subject>Anotācija</dc:subject>
  <dc:creator>Mārcis Katajs</dc:creator>
  <cp:keywords>KMAnot_251017_RC_dividendes</cp:keywords>
  <dc:description>67330327
Marcis.Katajs@km.gov.lv</dc:description>
  <cp:lastModifiedBy>Dzintra Rozīte</cp:lastModifiedBy>
  <cp:revision>7</cp:revision>
  <cp:lastPrinted>2017-10-05T09:13:00Z</cp:lastPrinted>
  <dcterms:created xsi:type="dcterms:W3CDTF">2017-10-18T12:28:00Z</dcterms:created>
  <dcterms:modified xsi:type="dcterms:W3CDTF">2017-10-26T07:42:00Z</dcterms:modified>
</cp:coreProperties>
</file>