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7E" w:rsidRPr="001F7166" w:rsidRDefault="00E00A3C" w:rsidP="0066477E">
      <w:pPr>
        <w:jc w:val="center"/>
        <w:rPr>
          <w:b/>
        </w:rPr>
      </w:pPr>
      <w:r w:rsidRPr="001F7166">
        <w:rPr>
          <w:b/>
        </w:rPr>
        <w:t>Noteikumu projekta „</w:t>
      </w:r>
      <w:r w:rsidR="007A267F" w:rsidRPr="001F7166">
        <w:rPr>
          <w:b/>
        </w:rPr>
        <w:t xml:space="preserve">Kārtība, </w:t>
      </w:r>
      <w:r w:rsidR="001F7166" w:rsidRPr="001F7166">
        <w:rPr>
          <w:b/>
        </w:rPr>
        <w:t>kādā piešķir un izmaksā atlīdzību par adoptējamā bērna aprūpi un piemaksu par vienlaikus vairāku adoptējamo bērnu aprūpi un uzraudzību</w:t>
      </w:r>
      <w:r w:rsidRPr="001F7166">
        <w:rPr>
          <w:b/>
        </w:rPr>
        <w:t>”</w:t>
      </w:r>
      <w:r w:rsidR="001F7166" w:rsidRPr="001F7166">
        <w:rPr>
          <w:b/>
        </w:rPr>
        <w:t xml:space="preserve"> </w:t>
      </w:r>
      <w:r w:rsidR="000D479A" w:rsidRPr="001F7166">
        <w:rPr>
          <w:b/>
        </w:rPr>
        <w:t xml:space="preserve">sākotnējās ietekmes novērtējuma </w:t>
      </w:r>
      <w:smartTag w:uri="schemas-tilde-lv/tildestengine" w:element="veidnes">
        <w:smartTagPr>
          <w:attr w:name="baseform" w:val="ziņojum|s"/>
          <w:attr w:name="id" w:val="-1"/>
          <w:attr w:name="text" w:val="ziņojums"/>
        </w:smartTagPr>
        <w:r w:rsidR="000D479A" w:rsidRPr="001F7166">
          <w:rPr>
            <w:b/>
          </w:rPr>
          <w:t>ziņojums</w:t>
        </w:r>
      </w:smartTag>
      <w:r w:rsidR="000D479A" w:rsidRPr="001F7166">
        <w:rPr>
          <w:b/>
        </w:rPr>
        <w:t xml:space="preserve"> (anotācija)</w:t>
      </w:r>
    </w:p>
    <w:tbl>
      <w:tblPr>
        <w:tblW w:w="51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25"/>
        <w:gridCol w:w="7365"/>
      </w:tblGrid>
      <w:tr w:rsidR="004D1833" w:rsidRPr="004D1833" w:rsidTr="00D13F3D">
        <w:tc>
          <w:tcPr>
            <w:tcW w:w="5000" w:type="pct"/>
            <w:gridSpan w:val="3"/>
            <w:shd w:val="clear" w:color="auto" w:fill="auto"/>
          </w:tcPr>
          <w:p w:rsidR="0066477E" w:rsidRPr="004D1833" w:rsidRDefault="0066477E" w:rsidP="002613E2">
            <w:pPr>
              <w:jc w:val="center"/>
              <w:rPr>
                <w:b/>
              </w:rPr>
            </w:pPr>
            <w:r w:rsidRPr="004D1833">
              <w:rPr>
                <w:b/>
              </w:rPr>
              <w:t xml:space="preserve">I. Tiesību </w:t>
            </w:r>
            <w:smartTag w:uri="schemas-tilde-lv/tildestengine" w:element="veidnes">
              <w:smartTagPr>
                <w:attr w:name="text" w:val="akta"/>
                <w:attr w:name="id" w:val="-1"/>
                <w:attr w:name="baseform" w:val="akt|s"/>
              </w:smartTagPr>
              <w:r w:rsidRPr="004D1833">
                <w:rPr>
                  <w:b/>
                </w:rPr>
                <w:t>akta</w:t>
              </w:r>
            </w:smartTag>
            <w:r w:rsidRPr="004D1833">
              <w:rPr>
                <w:b/>
              </w:rPr>
              <w:t xml:space="preserve"> projekta izstrādes nepieciešamība</w:t>
            </w:r>
          </w:p>
        </w:tc>
      </w:tr>
      <w:tr w:rsidR="004D1833" w:rsidRPr="004D1833" w:rsidTr="00D13F3D">
        <w:tc>
          <w:tcPr>
            <w:tcW w:w="297" w:type="pct"/>
            <w:shd w:val="clear" w:color="auto" w:fill="auto"/>
          </w:tcPr>
          <w:p w:rsidR="0066477E" w:rsidRPr="004D1833" w:rsidRDefault="0066477E" w:rsidP="002613E2">
            <w:r w:rsidRPr="004D1833">
              <w:t>1.</w:t>
            </w:r>
          </w:p>
        </w:tc>
        <w:tc>
          <w:tcPr>
            <w:tcW w:w="850" w:type="pct"/>
            <w:shd w:val="clear" w:color="auto" w:fill="auto"/>
          </w:tcPr>
          <w:p w:rsidR="0066477E" w:rsidRPr="004D1833" w:rsidRDefault="0066477E" w:rsidP="002613E2">
            <w:r w:rsidRPr="004D1833">
              <w:t>Pamatojums</w:t>
            </w:r>
          </w:p>
        </w:tc>
        <w:tc>
          <w:tcPr>
            <w:tcW w:w="3853" w:type="pct"/>
            <w:shd w:val="clear" w:color="auto" w:fill="auto"/>
          </w:tcPr>
          <w:p w:rsidR="00E2627B" w:rsidRPr="00DC734C" w:rsidRDefault="00E2627B" w:rsidP="00E2627B">
            <w:pPr>
              <w:jc w:val="both"/>
              <w:rPr>
                <w:color w:val="000000" w:themeColor="text1"/>
              </w:rPr>
            </w:pPr>
            <w:r w:rsidRPr="00DC734C">
              <w:rPr>
                <w:bCs/>
                <w:color w:val="000000" w:themeColor="text1"/>
              </w:rPr>
              <w:t xml:space="preserve">Ministru kabinets </w:t>
            </w:r>
            <w:r w:rsidRPr="00DC734C">
              <w:rPr>
                <w:color w:val="000000" w:themeColor="text1"/>
              </w:rPr>
              <w:t xml:space="preserve">(turpmāk – arī MK) </w:t>
            </w:r>
            <w:proofErr w:type="gramStart"/>
            <w:r w:rsidRPr="00DC734C">
              <w:rPr>
                <w:color w:val="000000" w:themeColor="text1"/>
              </w:rPr>
              <w:t>2015.gada</w:t>
            </w:r>
            <w:proofErr w:type="gramEnd"/>
            <w:r w:rsidRPr="00DC734C">
              <w:rPr>
                <w:color w:val="000000" w:themeColor="text1"/>
              </w:rPr>
              <w:t xml:space="preserve"> 9.martā ar </w:t>
            </w:r>
            <w:r w:rsidRPr="00DC734C">
              <w:rPr>
                <w:bCs/>
                <w:color w:val="000000" w:themeColor="text1"/>
              </w:rPr>
              <w:t xml:space="preserve">rīkojumu Nr.114 </w:t>
            </w:r>
            <w:r w:rsidRPr="00DC734C">
              <w:rPr>
                <w:color w:val="000000" w:themeColor="text1"/>
              </w:rPr>
              <w:t>atbalstīja k</w:t>
            </w:r>
            <w:r w:rsidRPr="00DC734C">
              <w:rPr>
                <w:bCs/>
                <w:color w:val="000000" w:themeColor="text1"/>
              </w:rPr>
              <w:t xml:space="preserve">oncepciju “Par adopcijas un ārpusģimenes aprūpes sistēmu pilnveidošanu” (turpmāk – Koncepcija). Saskaņā ar šā rīkojuma 3.punktu nolemts </w:t>
            </w:r>
            <w:r w:rsidRPr="00DC734C">
              <w:rPr>
                <w:color w:val="000000" w:themeColor="text1"/>
              </w:rPr>
              <w:t xml:space="preserve">jautājumu par papildu valsts budžeta līdzekļu piešķiršanu Labklājības ministrijai (turpmāk – Ministrija) adopcijas un ārpusģimenes aprūpes sistēmu pilnveidošanai izskatīt MK kopā ar visu ministriju un centrālo valsts iestāžu priekšlikumiem jaunajām politikas iniciatīvām likumprojekta “Par valsts budžetu </w:t>
            </w:r>
            <w:proofErr w:type="gramStart"/>
            <w:r w:rsidRPr="00DC734C">
              <w:rPr>
                <w:color w:val="000000" w:themeColor="text1"/>
              </w:rPr>
              <w:t>2016.gadam</w:t>
            </w:r>
            <w:proofErr w:type="gramEnd"/>
            <w:r w:rsidRPr="00DC734C">
              <w:rPr>
                <w:color w:val="000000" w:themeColor="text1"/>
              </w:rPr>
              <w:t>”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E2627B" w:rsidRPr="00DC734C" w:rsidRDefault="00E2627B" w:rsidP="00E2627B">
            <w:pPr>
              <w:jc w:val="both"/>
              <w:rPr>
                <w:bCs/>
                <w:iCs/>
                <w:color w:val="000000" w:themeColor="text1"/>
                <w:shd w:val="clear" w:color="auto" w:fill="FFFFFF"/>
              </w:rPr>
            </w:pPr>
            <w:r w:rsidRPr="00DC734C">
              <w:rPr>
                <w:color w:val="000000" w:themeColor="text1"/>
              </w:rPr>
              <w:t xml:space="preserve">Atbilstoši MK </w:t>
            </w:r>
            <w:proofErr w:type="gramStart"/>
            <w:r w:rsidRPr="00DC734C">
              <w:rPr>
                <w:color w:val="000000" w:themeColor="text1"/>
              </w:rPr>
              <w:t>2016.gada</w:t>
            </w:r>
            <w:proofErr w:type="gramEnd"/>
            <w:r w:rsidRPr="00DC734C">
              <w:rPr>
                <w:color w:val="000000" w:themeColor="text1"/>
              </w:rPr>
              <w:t xml:space="preserve"> 16.augusta sēdes protokollēmuma Nr.40 59.§ 2.punktam atbalstīts priekšlikums Ministrijas jaunajai politikas iniciatīvai „Alternatīvo ģimenes aprūpes formu attīstība”, proti, atbalstīta finansējuma piešķiršana K</w:t>
            </w:r>
            <w:r w:rsidRPr="00DC734C">
              <w:rPr>
                <w:bCs/>
                <w:iCs/>
                <w:color w:val="000000" w:themeColor="text1"/>
                <w:shd w:val="clear" w:color="auto" w:fill="FFFFFF"/>
              </w:rPr>
              <w:t>oncepcijā paredzēto pasākumu īstenošanai 2017.-2019.gad</w:t>
            </w:r>
            <w:r w:rsidR="002E20F3">
              <w:rPr>
                <w:bCs/>
                <w:iCs/>
                <w:color w:val="000000" w:themeColor="text1"/>
                <w:shd w:val="clear" w:color="auto" w:fill="FFFFFF"/>
              </w:rPr>
              <w:t xml:space="preserve">ā ik gadu 4 869 889 </w:t>
            </w:r>
            <w:proofErr w:type="spellStart"/>
            <w:r w:rsidR="002E20F3">
              <w:rPr>
                <w:bCs/>
                <w:iCs/>
                <w:color w:val="000000" w:themeColor="text1"/>
                <w:shd w:val="clear" w:color="auto" w:fill="FFFFFF"/>
              </w:rPr>
              <w:t>euro</w:t>
            </w:r>
            <w:proofErr w:type="spellEnd"/>
            <w:r w:rsidR="002E20F3">
              <w:rPr>
                <w:bCs/>
                <w:iCs/>
                <w:color w:val="000000" w:themeColor="text1"/>
                <w:shd w:val="clear" w:color="auto" w:fill="FFFFFF"/>
              </w:rPr>
              <w:t xml:space="preserve"> apmērā</w:t>
            </w:r>
            <w:r w:rsidRPr="00DC734C">
              <w:rPr>
                <w:bCs/>
                <w:iCs/>
                <w:color w:val="000000" w:themeColor="text1"/>
                <w:shd w:val="clear" w:color="auto" w:fill="FFFFFF"/>
              </w:rPr>
              <w:t>. Vienlaikus atbilstoši šā protokollēmuma 17.punktam paredzēts jautājumu par papildu finansējuma apjomu 2018.gadā un turpmākajos gados Ministrijai pasākumam „Alternatīvo ģimenes aprūpes formu attīstība” skatīt, sagatavojot likumprojektu „Par valsts budžetu 2018.gadam” un likumprojektu „Par vidēja termiņa budžeta ietvaru 2018., 2019. un 2020.gadam”.</w:t>
            </w:r>
          </w:p>
          <w:p w:rsidR="00530A11" w:rsidRDefault="00E2627B" w:rsidP="00530A11">
            <w:pPr>
              <w:jc w:val="both"/>
              <w:rPr>
                <w:rFonts w:eastAsia="Calibri"/>
                <w:color w:val="000000" w:themeColor="text1"/>
                <w:lang w:eastAsia="en-US"/>
              </w:rPr>
            </w:pPr>
            <w:r w:rsidRPr="00DC734C">
              <w:rPr>
                <w:color w:val="000000" w:themeColor="text1"/>
              </w:rPr>
              <w:t xml:space="preserve">Atbilstoši MK 08.09.2017. sēdes protokollēmuma Nr.44 1.§ “Informatīvais ziņojums par fiskālās telpas pasākumiem un izdevumiem prioritārajiem pasākumiem valsts budžetam </w:t>
            </w:r>
            <w:proofErr w:type="gramStart"/>
            <w:r w:rsidRPr="00DC734C">
              <w:rPr>
                <w:color w:val="000000" w:themeColor="text1"/>
              </w:rPr>
              <w:t>2018.gadam</w:t>
            </w:r>
            <w:proofErr w:type="gramEnd"/>
            <w:r w:rsidRPr="00DC734C">
              <w:rPr>
                <w:color w:val="000000" w:themeColor="text1"/>
              </w:rPr>
              <w:t xml:space="preserve"> un ietvaram 2018.-2020.gadam” atbalstīti priekšlikumi papildu finansējumam M</w:t>
            </w:r>
            <w:r>
              <w:rPr>
                <w:color w:val="000000" w:themeColor="text1"/>
              </w:rPr>
              <w:t>inistrijas prioritārā</w:t>
            </w:r>
            <w:r w:rsidRPr="00DC734C">
              <w:rPr>
                <w:color w:val="000000" w:themeColor="text1"/>
              </w:rPr>
              <w:t xml:space="preserve"> </w:t>
            </w:r>
            <w:r w:rsidRPr="00DC734C">
              <w:rPr>
                <w:rFonts w:eastAsia="Calibri"/>
                <w:color w:val="000000" w:themeColor="text1"/>
                <w:lang w:eastAsia="en-US"/>
              </w:rPr>
              <w:t xml:space="preserve">pasākuma „Alternatīvo ģimenes aprūpes formu attīstība” finansēšanai </w:t>
            </w:r>
            <w:r>
              <w:rPr>
                <w:rFonts w:eastAsia="Calibri"/>
                <w:color w:val="000000" w:themeColor="text1"/>
                <w:lang w:eastAsia="en-US"/>
              </w:rPr>
              <w:t xml:space="preserve">pavisam ik gadu 2 961 203 </w:t>
            </w:r>
            <w:proofErr w:type="spellStart"/>
            <w:r>
              <w:rPr>
                <w:rFonts w:eastAsia="Calibri"/>
                <w:color w:val="000000" w:themeColor="text1"/>
                <w:lang w:eastAsia="en-US"/>
              </w:rPr>
              <w:t>euro</w:t>
            </w:r>
            <w:proofErr w:type="spellEnd"/>
            <w:r>
              <w:rPr>
                <w:rFonts w:eastAsia="Calibri"/>
                <w:color w:val="000000" w:themeColor="text1"/>
                <w:lang w:eastAsia="en-US"/>
              </w:rPr>
              <w:t xml:space="preserve"> apmērā</w:t>
            </w:r>
            <w:r w:rsidRPr="00DC734C">
              <w:rPr>
                <w:rFonts w:eastAsia="Calibri"/>
                <w:color w:val="000000" w:themeColor="text1"/>
                <w:lang w:eastAsia="en-US"/>
              </w:rPr>
              <w:t>.</w:t>
            </w:r>
          </w:p>
          <w:p w:rsidR="00B0409A" w:rsidRPr="00B0409A" w:rsidRDefault="007D23CE" w:rsidP="00A30B0A">
            <w:pPr>
              <w:pStyle w:val="naisf"/>
              <w:spacing w:before="0" w:beforeAutospacing="0" w:after="0" w:afterAutospacing="0"/>
              <w:jc w:val="both"/>
              <w:rPr>
                <w:shd w:val="clear" w:color="auto" w:fill="FFFFFF"/>
              </w:rPr>
            </w:pPr>
            <w:proofErr w:type="gramStart"/>
            <w:r w:rsidRPr="007D23CE">
              <w:t>2017.gada</w:t>
            </w:r>
            <w:proofErr w:type="gramEnd"/>
            <w:r w:rsidRPr="007D23CE">
              <w:t xml:space="preserve"> 22.novembrī Saeimā 2.lasījumā pieņēma likumprojektu </w:t>
            </w:r>
            <w:r w:rsidRPr="007D23CE">
              <w:rPr>
                <w:shd w:val="clear" w:color="auto" w:fill="FFFFFF"/>
              </w:rPr>
              <w:t xml:space="preserve">“Grozījumi Valsts sociālo pabalstu likumā” </w:t>
            </w:r>
            <w:r w:rsidRPr="007D23CE">
              <w:t xml:space="preserve">(Saeimas reģ. Nr.1066/Lp12), izsakot jaunā redakcijā </w:t>
            </w:r>
            <w:r w:rsidRPr="007D23CE">
              <w:rPr>
                <w:bCs/>
              </w:rPr>
              <w:t>6.</w:t>
            </w:r>
            <w:r w:rsidRPr="007D23CE">
              <w:rPr>
                <w:bCs/>
                <w:vertAlign w:val="superscript"/>
              </w:rPr>
              <w:t>1 </w:t>
            </w:r>
            <w:r w:rsidRPr="007D23CE">
              <w:rPr>
                <w:bCs/>
              </w:rPr>
              <w:t xml:space="preserve">pantu par atlīdzību par adoptējamā bērna aprūpi. No </w:t>
            </w:r>
            <w:proofErr w:type="gramStart"/>
            <w:r w:rsidRPr="007D23CE">
              <w:rPr>
                <w:bCs/>
              </w:rPr>
              <w:t>2018.gada</w:t>
            </w:r>
            <w:proofErr w:type="gramEnd"/>
            <w:r w:rsidRPr="007D23CE">
              <w:rPr>
                <w:bCs/>
              </w:rPr>
              <w:t xml:space="preserve"> 1.janvāra paredzēts diferencēt atlīdzības par adoptējamā bērna aprūpi apmēru atkarībā no personas nodarbinātības statusa (ir vai nav sociāli apdrošināta persona) un bērna vecuma. Tāpat pieņemtie likuma grozījumi paredz gadījumā, j</w:t>
            </w:r>
            <w:r w:rsidRPr="007D23CE">
              <w:t>a adoptētāja aprūpē un uzraudzībā pirms adopcijas apstiprināšanas tiesā ar bāriņtiesas lēmumu vienlaikus ir nodoti vairāki adoptējamie bērni, par katru nākamo bērnu papildus piešķirt piemaksu. Vienlaikus likums paredz atlīdzību par adoptējamā bērna aprūpi nepiešķirt, ja par to pašu laikposmu ir piešķirts vecāku pabalsts.</w:t>
            </w:r>
            <w:r w:rsidR="00B0409A">
              <w:t xml:space="preserve"> Savukārt likuma pārejas noteikumu </w:t>
            </w:r>
            <w:r w:rsidR="00B0409A" w:rsidRPr="00B0409A">
              <w:t>21.punkts nosaka, ka adoptētājam, kura aprūpē un uzraudzībā pirms adopcijas apstiprināšanas tiesā ar bāriņtiesas lēmumu adoptējamais bērns nodots līdz 2017. gada 31. decembrim</w:t>
            </w:r>
            <w:proofErr w:type="gramStart"/>
            <w:r w:rsidR="00B0409A" w:rsidRPr="00B0409A">
              <w:t>, tai skaitā</w:t>
            </w:r>
            <w:proofErr w:type="gramEnd"/>
            <w:r w:rsidR="00B0409A" w:rsidRPr="00B0409A">
              <w:t xml:space="preserve">, ja adoptētājam vienlaikus ar vecāku pabalstu ir piešķirta atlīdzība par </w:t>
            </w:r>
            <w:r w:rsidR="00B0409A" w:rsidRPr="00B0409A">
              <w:lastRenderedPageBreak/>
              <w:t>adoptējamā bērna aprūpi, atlīdzības</w:t>
            </w:r>
            <w:r w:rsidR="00B0409A" w:rsidRPr="00B0409A">
              <w:rPr>
                <w:shd w:val="clear" w:color="auto" w:fill="FFFFFF"/>
              </w:rPr>
              <w:t xml:space="preserve"> izmaksu noteiktajā apmērā un kārtībā turpina līdz adopcijas apstiprināšanai tiesā atbilstoši noteikumiem, kas bija spēkā līdz 2017. gada 31. decembrim, ja vien persona, iesniedzot attiecīgu iesniegumu, nelūdz pārrēķināt atlīdzību atbilstoši noteikumiem, kas ir spēkā no 2018. gada 1. janvāra. Tiesības pieprasīt pārrēķinu ir personai, kuras </w:t>
            </w:r>
            <w:r w:rsidR="00B0409A" w:rsidRPr="00B0409A">
              <w:t xml:space="preserve">aprūpē un uzraudzībā </w:t>
            </w:r>
            <w:r w:rsidR="00B0409A" w:rsidRPr="00B0409A">
              <w:rPr>
                <w:shd w:val="clear" w:color="auto" w:fill="FFFFFF"/>
              </w:rPr>
              <w:t xml:space="preserve">uz pieprasījuma dienu </w:t>
            </w:r>
            <w:r w:rsidR="00B0409A" w:rsidRPr="00B0409A">
              <w:t>pirms adopcijas apstiprināšanas tiesā ar bāriņtiesas lēmumu atrodas adoptējamais bērns.</w:t>
            </w:r>
          </w:p>
          <w:p w:rsidR="00BB6573" w:rsidRDefault="00E2627B" w:rsidP="00530A11">
            <w:pPr>
              <w:jc w:val="both"/>
              <w:rPr>
                <w:color w:val="000000" w:themeColor="text1"/>
              </w:rPr>
            </w:pPr>
            <w:r w:rsidRPr="00DC734C">
              <w:rPr>
                <w:color w:val="000000" w:themeColor="text1"/>
              </w:rPr>
              <w:t xml:space="preserve">Lai nodrošinātu </w:t>
            </w:r>
            <w:r w:rsidR="00FA6361">
              <w:rPr>
                <w:color w:val="000000" w:themeColor="text1"/>
              </w:rPr>
              <w:t xml:space="preserve">Saeimas š.g. </w:t>
            </w:r>
            <w:proofErr w:type="gramStart"/>
            <w:r w:rsidR="00FA6361">
              <w:rPr>
                <w:color w:val="000000" w:themeColor="text1"/>
              </w:rPr>
              <w:t>22.novembrī</w:t>
            </w:r>
            <w:proofErr w:type="gramEnd"/>
            <w:r w:rsidR="00FA6361">
              <w:rPr>
                <w:color w:val="000000" w:themeColor="text1"/>
              </w:rPr>
              <w:t xml:space="preserve"> pieņemtās izmaiņas </w:t>
            </w:r>
            <w:r w:rsidR="00F80E51">
              <w:rPr>
                <w:color w:val="000000" w:themeColor="text1"/>
              </w:rPr>
              <w:t xml:space="preserve">Valsts sociālo pabalstu </w:t>
            </w:r>
            <w:r w:rsidR="00FA6361">
              <w:rPr>
                <w:color w:val="000000" w:themeColor="text1"/>
              </w:rPr>
              <w:t xml:space="preserve">likumā, </w:t>
            </w:r>
            <w:r w:rsidRPr="00DC734C">
              <w:rPr>
                <w:color w:val="000000" w:themeColor="text1"/>
              </w:rPr>
              <w:t>izstrādāts</w:t>
            </w:r>
            <w:r>
              <w:rPr>
                <w:color w:val="000000" w:themeColor="text1"/>
              </w:rPr>
              <w:t xml:space="preserve"> MK noteikumu projekts </w:t>
            </w:r>
            <w:r w:rsidRPr="00530A11">
              <w:rPr>
                <w:color w:val="000000" w:themeColor="text1"/>
              </w:rPr>
              <w:t>“</w:t>
            </w:r>
            <w:r w:rsidR="006901B0" w:rsidRPr="006901B0">
              <w:t>Kārtība, kādā piešķir un izmaksā atlīdzību par adoptējamā bērna aprūpi un piemaksu par vienlaikus vairāku adoptējamo bērnu aprūpi un uzraudzību</w:t>
            </w:r>
            <w:r w:rsidRPr="006901B0">
              <w:t>”</w:t>
            </w:r>
            <w:r w:rsidRPr="00530A11">
              <w:t xml:space="preserve"> </w:t>
            </w:r>
            <w:r w:rsidRPr="00530A11">
              <w:rPr>
                <w:color w:val="000000" w:themeColor="text1"/>
              </w:rPr>
              <w:t xml:space="preserve">(turpmāk – </w:t>
            </w:r>
            <w:r w:rsidR="002E20F3">
              <w:rPr>
                <w:color w:val="000000" w:themeColor="text1"/>
              </w:rPr>
              <w:t>noteikumu projekts</w:t>
            </w:r>
            <w:r w:rsidRPr="00530A11">
              <w:rPr>
                <w:color w:val="000000" w:themeColor="text1"/>
              </w:rPr>
              <w:t>).</w:t>
            </w:r>
          </w:p>
          <w:p w:rsidR="002E20F3" w:rsidRPr="00E2627B" w:rsidRDefault="002E20F3" w:rsidP="00CE272B">
            <w:pPr>
              <w:ind w:right="151"/>
              <w:jc w:val="both"/>
              <w:outlineLvl w:val="0"/>
              <w:rPr>
                <w:bCs/>
              </w:rPr>
            </w:pPr>
            <w:r>
              <w:t xml:space="preserve">Vienlaikus noteikumu projekts izstrādāts, ievērojot </w:t>
            </w:r>
            <w:r w:rsidRPr="00B40EB3">
              <w:t>Ministru kabineta 2016.</w:t>
            </w:r>
            <w:r>
              <w:t> </w:t>
            </w:r>
            <w:r w:rsidRPr="00B40EB3">
              <w:t>gada 5.</w:t>
            </w:r>
            <w:r>
              <w:t> </w:t>
            </w:r>
            <w:r w:rsidRPr="00B40EB3">
              <w:t xml:space="preserve">janvāra </w:t>
            </w:r>
            <w:r>
              <w:t xml:space="preserve">sēdes </w:t>
            </w:r>
            <w:r w:rsidRPr="00B40EB3">
              <w:t>protokol</w:t>
            </w:r>
            <w:r>
              <w:t>a</w:t>
            </w:r>
            <w:r w:rsidRPr="00B40EB3">
              <w:t xml:space="preserve"> Nr.</w:t>
            </w:r>
            <w:r>
              <w:t> </w:t>
            </w:r>
            <w:r w:rsidRPr="00B40EB3">
              <w:t>1 28.</w:t>
            </w:r>
            <w:r>
              <w:t> </w:t>
            </w:r>
            <w:r w:rsidRPr="00B40EB3">
              <w:t>§ 13.</w:t>
            </w:r>
            <w:r>
              <w:t> punktā doto uzdevumu saistībā ar oficiālās e-adreses ieviešanu.</w:t>
            </w:r>
          </w:p>
        </w:tc>
      </w:tr>
      <w:tr w:rsidR="004D1833" w:rsidRPr="004D1833" w:rsidTr="00D13F3D">
        <w:tc>
          <w:tcPr>
            <w:tcW w:w="297" w:type="pct"/>
            <w:shd w:val="clear" w:color="auto" w:fill="auto"/>
          </w:tcPr>
          <w:p w:rsidR="0066477E" w:rsidRPr="0049611B" w:rsidRDefault="0066477E" w:rsidP="00407A7A">
            <w:r w:rsidRPr="0049611B">
              <w:lastRenderedPageBreak/>
              <w:t xml:space="preserve">2. </w:t>
            </w:r>
          </w:p>
        </w:tc>
        <w:tc>
          <w:tcPr>
            <w:tcW w:w="850" w:type="pct"/>
            <w:shd w:val="clear" w:color="auto" w:fill="auto"/>
          </w:tcPr>
          <w:p w:rsidR="0066477E" w:rsidRPr="0049611B" w:rsidRDefault="0066477E" w:rsidP="00407A7A">
            <w:r w:rsidRPr="0049611B">
              <w:t>Pašreizējā situācija un problēmas, kuru risināšanai tiesību akta projekts izstrādāts, tiesiskā regulējuma mērķis un būtība</w:t>
            </w:r>
          </w:p>
        </w:tc>
        <w:tc>
          <w:tcPr>
            <w:tcW w:w="3853" w:type="pct"/>
            <w:shd w:val="clear" w:color="auto" w:fill="auto"/>
          </w:tcPr>
          <w:p w:rsidR="00836565" w:rsidRPr="003133E4" w:rsidRDefault="00836565" w:rsidP="00407A7A">
            <w:pPr>
              <w:pStyle w:val="NormalWeb"/>
              <w:shd w:val="clear" w:color="auto" w:fill="FFFFFF"/>
              <w:spacing w:before="0" w:beforeAutospacing="0" w:after="0" w:afterAutospacing="0"/>
              <w:jc w:val="both"/>
            </w:pPr>
            <w:r w:rsidRPr="003133E4">
              <w:t>Latvijā spēkā esošais vecāku un bērnu attiecību tiesiskais regulējums ir vērsts uz to, lai nodrošinātu bērnam ģimenes jeb vecāku aprūpi.</w:t>
            </w:r>
            <w:r w:rsidRPr="003133E4">
              <w:rPr>
                <w:rStyle w:val="apple-converted-space"/>
              </w:rPr>
              <w:t> </w:t>
            </w:r>
            <w:hyperlink r:id="rId8" w:tgtFrame="_blank" w:history="1">
              <w:r w:rsidRPr="003133E4">
                <w:rPr>
                  <w:rStyle w:val="Hyperlink"/>
                  <w:color w:val="auto"/>
                  <w:u w:val="none"/>
                </w:rPr>
                <w:t>Bērnu tiesību aizsardzības likuma</w:t>
              </w:r>
            </w:hyperlink>
            <w:r w:rsidRPr="003133E4">
              <w:rPr>
                <w:rStyle w:val="apple-converted-space"/>
              </w:rPr>
              <w:t> </w:t>
            </w:r>
            <w:hyperlink r:id="rId9" w:anchor="p26" w:tgtFrame="_blank" w:history="1">
              <w:r w:rsidRPr="003133E4">
                <w:rPr>
                  <w:rStyle w:val="Hyperlink"/>
                  <w:color w:val="auto"/>
                  <w:u w:val="none"/>
                </w:rPr>
                <w:t>26.panta</w:t>
              </w:r>
            </w:hyperlink>
            <w:r w:rsidRPr="003133E4">
              <w:rPr>
                <w:rStyle w:val="apple-converted-space"/>
              </w:rPr>
              <w:t> </w:t>
            </w:r>
            <w:r w:rsidRPr="003133E4">
              <w:t>pirmā daļa nosaka, ka ģimene ir dabiska bērna attīstības un augšanas vide, un katram bērnam ir neatņemamas tiesības uzaugt ģimenē. Latvijā alternatīva vecāku aprūpei (aprūpei ģimenē) līdz brīdim, kad bērns varēs atgriezties pie saviem vecākiem, tiks adoptēts vai sasniegs pilngadību, ir ārpusģimenes aprūpe, t.i., aprūpe pie aizbildņa, audžuģimenē vai bērnu aprūpes iestādē.</w:t>
            </w:r>
            <w:r w:rsidR="005C4BC2" w:rsidRPr="003133E4">
              <w:t xml:space="preserve"> Izvērtējot katru situāciju individuāli, tiek atbalstīta adopcija, jo šādā veidā tiek iegūta jauna un pastāvīga ģimene, proti, adoptētāji kļūst par bērna vecākiem.</w:t>
            </w:r>
          </w:p>
          <w:p w:rsidR="005C4BC2" w:rsidRPr="003133E4" w:rsidRDefault="005C4BC2" w:rsidP="00407A7A">
            <w:pPr>
              <w:pStyle w:val="NormalWeb"/>
              <w:shd w:val="clear" w:color="auto" w:fill="FFFFFF"/>
              <w:spacing w:before="0" w:beforeAutospacing="0" w:after="0" w:afterAutospacing="0"/>
              <w:jc w:val="both"/>
            </w:pPr>
            <w:r w:rsidRPr="003133E4">
              <w:t>Saskaņā ar</w:t>
            </w:r>
            <w:r w:rsidRPr="003133E4">
              <w:rPr>
                <w:rStyle w:val="apple-converted-space"/>
              </w:rPr>
              <w:t> </w:t>
            </w:r>
            <w:hyperlink r:id="rId10" w:tgtFrame="_blank" w:history="1">
              <w:r w:rsidRPr="003133E4">
                <w:rPr>
                  <w:rStyle w:val="Hyperlink"/>
                  <w:color w:val="auto"/>
                  <w:u w:val="none"/>
                </w:rPr>
                <w:t>Civillikuma</w:t>
              </w:r>
            </w:hyperlink>
            <w:r w:rsidRPr="003133E4">
              <w:rPr>
                <w:rStyle w:val="apple-converted-space"/>
              </w:rPr>
              <w:t> </w:t>
            </w:r>
            <w:hyperlink r:id="rId11" w:anchor="p162" w:tgtFrame="_blank" w:history="1">
              <w:r w:rsidRPr="003133E4">
                <w:rPr>
                  <w:rStyle w:val="Hyperlink"/>
                  <w:color w:val="auto"/>
                  <w:u w:val="none"/>
                </w:rPr>
                <w:t>162.panta</w:t>
              </w:r>
            </w:hyperlink>
            <w:r w:rsidRPr="003133E4">
              <w:rPr>
                <w:rStyle w:val="apple-converted-space"/>
              </w:rPr>
              <w:t> </w:t>
            </w:r>
            <w:r w:rsidRPr="003133E4">
              <w:t>otro daļu nepilngadīgu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bērna un vecāka attiecības.</w:t>
            </w:r>
            <w:r w:rsidR="00F573FF" w:rsidRPr="003133E4">
              <w:t xml:space="preserve"> </w:t>
            </w:r>
          </w:p>
          <w:p w:rsidR="00F573FF" w:rsidRPr="003133E4" w:rsidRDefault="00F573FF" w:rsidP="00407A7A">
            <w:pPr>
              <w:pStyle w:val="NormalWeb"/>
              <w:shd w:val="clear" w:color="auto" w:fill="FFFFFF"/>
              <w:spacing w:before="0" w:beforeAutospacing="0" w:after="0" w:afterAutospacing="0"/>
              <w:jc w:val="both"/>
            </w:pPr>
            <w:r w:rsidRPr="003133E4">
              <w:rPr>
                <w:shd w:val="clear" w:color="auto" w:fill="FFFFFF"/>
              </w:rPr>
              <w:t>Adoptējot bērnu, adoptētais bērns attiecībā pret adoptētāju un viņa radiniekiem iegūst laulībā dzimuša bērna tiesisko stāvokli kā personiskajās, tā mantiskajās attiecībās. Ja bērns tiek adoptēts, tad viņam atbalsts tiek nodrošināts arī pēc pilngadības sasniegšanas, jo vecāku pienākums rūpēties un gādāt par savu bērnu saglabājas līdz laikam, kad bērns pats var sevi apgādāt.</w:t>
            </w:r>
          </w:p>
          <w:p w:rsidR="005C4BC2" w:rsidRPr="003133E4" w:rsidRDefault="005C4BC2" w:rsidP="00407A7A">
            <w:pPr>
              <w:pStyle w:val="NormalWeb"/>
              <w:shd w:val="clear" w:color="auto" w:fill="FFFFFF"/>
              <w:spacing w:before="0" w:beforeAutospacing="0" w:after="0" w:afterAutospacing="0"/>
              <w:jc w:val="both"/>
            </w:pPr>
            <w:r w:rsidRPr="003133E4">
              <w:t xml:space="preserve">Atbilstoši </w:t>
            </w:r>
            <w:hyperlink r:id="rId12" w:tgtFrame="_blank" w:history="1">
              <w:r w:rsidRPr="003133E4">
                <w:rPr>
                  <w:rStyle w:val="Hyperlink"/>
                  <w:color w:val="auto"/>
                  <w:u w:val="none"/>
                </w:rPr>
                <w:t>Darba likuma</w:t>
              </w:r>
            </w:hyperlink>
            <w:r w:rsidRPr="003133E4">
              <w:rPr>
                <w:rStyle w:val="apple-converted-space"/>
              </w:rPr>
              <w:t> </w:t>
            </w:r>
            <w:hyperlink r:id="rId13" w:anchor="p153" w:tgtFrame="_blank" w:history="1">
              <w:r w:rsidRPr="003133E4">
                <w:rPr>
                  <w:rStyle w:val="Hyperlink"/>
                  <w:color w:val="auto"/>
                  <w:u w:val="none"/>
                </w:rPr>
                <w:t>153.panta</w:t>
              </w:r>
            </w:hyperlink>
            <w:r w:rsidRPr="003133E4">
              <w:rPr>
                <w:rStyle w:val="apple-converted-space"/>
              </w:rPr>
              <w:t> </w:t>
            </w:r>
            <w:r w:rsidRPr="003133E4">
              <w:t>pirmajai daļai darba devējs piešķir atvaļinājumu bez darba samaksas saglabāšanas, ja to pieprasa darbinieks, kura aprūpē un uzraudzībā pirms adopcijas apstiprināšanas tiesā ar bāriņtiesas lēmumu nodots adoptējamais bērns. Šādu atvaļinājumu piešķir uz laiku, kāds noteikts bāriņtiesas lēmumā par adoptējamā bērna aprūpi un uzraudzību. Ja bāriņtiesa pieņem lēmumu par aprūpes un uzraudzības termiņa pagarināšanu, atvaļinājumu pagarina līdz tiesas sprieduma par adopcijas apstiprināšanu spēkā stāšanās laikam.</w:t>
            </w:r>
          </w:p>
          <w:p w:rsidR="00745B16" w:rsidRPr="003133E4" w:rsidRDefault="009266E5" w:rsidP="00407A7A">
            <w:pPr>
              <w:pStyle w:val="NormalWeb"/>
              <w:shd w:val="clear" w:color="auto" w:fill="FFFFFF"/>
              <w:spacing w:before="0" w:beforeAutospacing="0" w:after="0" w:afterAutospacing="0"/>
              <w:jc w:val="both"/>
              <w:rPr>
                <w:shd w:val="clear" w:color="auto" w:fill="FFFFFF"/>
              </w:rPr>
            </w:pPr>
            <w:r w:rsidRPr="003133E4">
              <w:rPr>
                <w:shd w:val="clear" w:color="auto" w:fill="FFFFFF"/>
              </w:rPr>
              <w:t>Saskaņā ar</w:t>
            </w:r>
            <w:r w:rsidRPr="003133E4">
              <w:rPr>
                <w:rStyle w:val="apple-converted-space"/>
                <w:shd w:val="clear" w:color="auto" w:fill="FFFFFF"/>
              </w:rPr>
              <w:t> </w:t>
            </w:r>
            <w:r w:rsidR="009319C9">
              <w:rPr>
                <w:rStyle w:val="apple-converted-space"/>
                <w:shd w:val="clear" w:color="auto" w:fill="FFFFFF"/>
              </w:rPr>
              <w:t xml:space="preserve">šobrīd spēkā esošo tiesisko regulējumu - </w:t>
            </w:r>
            <w:hyperlink r:id="rId14" w:tgtFrame="_blank" w:history="1">
              <w:r w:rsidRPr="003133E4">
                <w:rPr>
                  <w:rStyle w:val="Hyperlink"/>
                  <w:color w:val="auto"/>
                  <w:u w:val="none"/>
                  <w:shd w:val="clear" w:color="auto" w:fill="FFFFFF"/>
                </w:rPr>
                <w:t>Valsts sociālo pabalstu likuma</w:t>
              </w:r>
            </w:hyperlink>
            <w:r w:rsidRPr="003133E4">
              <w:rPr>
                <w:rStyle w:val="apple-converted-space"/>
                <w:shd w:val="clear" w:color="auto" w:fill="FFFFFF"/>
              </w:rPr>
              <w:t> </w:t>
            </w:r>
            <w:r w:rsidRPr="003133E4">
              <w:rPr>
                <w:shd w:val="clear" w:color="auto" w:fill="FFFFFF"/>
              </w:rPr>
              <w:t>6.</w:t>
            </w:r>
            <w:proofErr w:type="gramStart"/>
            <w:r w:rsidRPr="003133E4">
              <w:rPr>
                <w:shd w:val="clear" w:color="auto" w:fill="FFFFFF"/>
                <w:vertAlign w:val="superscript"/>
              </w:rPr>
              <w:t>1</w:t>
            </w:r>
            <w:r w:rsidRPr="003133E4">
              <w:rPr>
                <w:shd w:val="clear" w:color="auto" w:fill="FFFFFF"/>
              </w:rPr>
              <w:t>pantu</w:t>
            </w:r>
            <w:proofErr w:type="gramEnd"/>
            <w:r w:rsidRPr="003133E4">
              <w:rPr>
                <w:shd w:val="clear" w:color="auto" w:fill="FFFFFF"/>
              </w:rPr>
              <w:t xml:space="preserve"> un Ministru kabineta noteikto </w:t>
            </w:r>
            <w:r w:rsidR="009319C9">
              <w:rPr>
                <w:shd w:val="clear" w:color="auto" w:fill="FFFFFF"/>
              </w:rPr>
              <w:t xml:space="preserve">- </w:t>
            </w:r>
            <w:r w:rsidRPr="003133E4">
              <w:rPr>
                <w:shd w:val="clear" w:color="auto" w:fill="FFFFFF"/>
              </w:rPr>
              <w:t>Valsts sociālās apdrošināšanas aģentūra (turpmāk – VSAA) no valsts budžeta līdzekļiem izmaksā</w:t>
            </w:r>
            <w:r w:rsidRPr="003133E4">
              <w:rPr>
                <w:rStyle w:val="apple-converted-space"/>
                <w:shd w:val="clear" w:color="auto" w:fill="FFFFFF"/>
              </w:rPr>
              <w:t> </w:t>
            </w:r>
            <w:r w:rsidRPr="003133E4">
              <w:rPr>
                <w:i/>
                <w:iCs/>
                <w:shd w:val="clear" w:color="auto" w:fill="FFFFFF"/>
              </w:rPr>
              <w:t>atlīdzību</w:t>
            </w:r>
            <w:r w:rsidRPr="003133E4">
              <w:rPr>
                <w:rStyle w:val="apple-converted-space"/>
                <w:shd w:val="clear" w:color="auto" w:fill="FFFFFF"/>
              </w:rPr>
              <w:t> </w:t>
            </w:r>
            <w:r w:rsidRPr="003133E4">
              <w:rPr>
                <w:i/>
                <w:iCs/>
                <w:shd w:val="clear" w:color="auto" w:fill="FFFFFF"/>
              </w:rPr>
              <w:t>par adoptējamā bērna aprūpi adoptētājam</w:t>
            </w:r>
            <w:r w:rsidRPr="003133E4">
              <w:rPr>
                <w:shd w:val="clear" w:color="auto" w:fill="FFFFFF"/>
              </w:rPr>
              <w:t xml:space="preserve">, kura aprūpē </w:t>
            </w:r>
            <w:r w:rsidRPr="003133E4">
              <w:rPr>
                <w:shd w:val="clear" w:color="auto" w:fill="FFFFFF"/>
              </w:rPr>
              <w:lastRenderedPageBreak/>
              <w:t>un uzraudzībā pirms adopcijas apstiprināšanas tiesā ar bāriņtiesas lēmumu nodots adoptējamais bērns, ja adoptētājs nav nodarbināts (nav uzskatāms par darba ņēmēju vai pašnodarbināto saskaņā ar likumu "</w:t>
            </w:r>
            <w:hyperlink r:id="rId15" w:tgtFrame="_blank" w:history="1">
              <w:r w:rsidRPr="003133E4">
                <w:rPr>
                  <w:rStyle w:val="Hyperlink"/>
                  <w:color w:val="auto"/>
                  <w:u w:val="none"/>
                  <w:shd w:val="clear" w:color="auto" w:fill="FFFFFF"/>
                </w:rPr>
                <w:t>Par valsts sociālo apdrošināšanu</w:t>
              </w:r>
            </w:hyperlink>
            <w:r w:rsidRPr="003133E4">
              <w:rPr>
                <w:shd w:val="clear" w:color="auto" w:fill="FFFFFF"/>
              </w:rPr>
              <w:t>") vai ir nodarbināts un atrodas ar bērna aprūpi saistītā atvaļinājumā, vai atbilstoši Ministru kabineta noteiktajai kārtībai strādā nepilnu darba laiku.</w:t>
            </w:r>
            <w:r w:rsidR="00F00FFD" w:rsidRPr="003133E4">
              <w:rPr>
                <w:shd w:val="clear" w:color="auto" w:fill="FFFFFF"/>
              </w:rPr>
              <w:t xml:space="preserve"> Atlīdzības apmērs nav atkarīgs no bērnu skaita. Atbilstoši</w:t>
            </w:r>
            <w:r w:rsidRPr="003133E4">
              <w:rPr>
                <w:shd w:val="clear" w:color="auto" w:fill="FFFFFF"/>
              </w:rPr>
              <w:t xml:space="preserve"> </w:t>
            </w:r>
            <w:r w:rsidR="00F00FFD" w:rsidRPr="003133E4">
              <w:t xml:space="preserve">Ministru kabineta 2009.gada 22.decembra noteikumu Nr.1534 “Kārtība, kādā piešķir un izmaksā atlīdzību par adoptējamā bērna aprūpi” </w:t>
            </w:r>
            <w:r w:rsidR="009C0E2C" w:rsidRPr="003133E4">
              <w:t xml:space="preserve">(turpmāk – noteikumi) </w:t>
            </w:r>
            <w:r w:rsidR="00F00FFD" w:rsidRPr="003133E4">
              <w:t xml:space="preserve">3.punktam </w:t>
            </w:r>
            <w:r w:rsidR="00B90562" w:rsidRPr="003133E4">
              <w:t xml:space="preserve">no 2017.gada 1.janvāra </w:t>
            </w:r>
            <w:r w:rsidR="00F00FFD" w:rsidRPr="003133E4">
              <w:t>a</w:t>
            </w:r>
            <w:r w:rsidRPr="003133E4">
              <w:rPr>
                <w:shd w:val="clear" w:color="auto" w:fill="FFFFFF"/>
              </w:rPr>
              <w:t xml:space="preserve">tlīdzības apmērs </w:t>
            </w:r>
            <w:r w:rsidR="00B90562" w:rsidRPr="003133E4">
              <w:rPr>
                <w:shd w:val="clear" w:color="auto" w:fill="FFFFFF"/>
              </w:rPr>
              <w:t xml:space="preserve">ir </w:t>
            </w:r>
            <w:r w:rsidR="00B90562" w:rsidRPr="003133E4">
              <w:rPr>
                <w:color w:val="000000" w:themeColor="text1"/>
                <w:shd w:val="clear" w:color="auto" w:fill="FFFFFF"/>
              </w:rPr>
              <w:t xml:space="preserve">naudas summa, kas vienāda ar bērna kopšanas pabalsta apmēru personai, kura kopj bērnu vecumā līdz pusotram gadam, jeb 171 </w:t>
            </w:r>
            <w:proofErr w:type="spellStart"/>
            <w:r w:rsidR="00B90562" w:rsidRPr="003133E4">
              <w:rPr>
                <w:color w:val="000000" w:themeColor="text1"/>
                <w:shd w:val="clear" w:color="auto" w:fill="FFFFFF"/>
              </w:rPr>
              <w:t>euro</w:t>
            </w:r>
            <w:proofErr w:type="spellEnd"/>
            <w:r w:rsidR="00B90562" w:rsidRPr="003133E4">
              <w:rPr>
                <w:color w:val="000000" w:themeColor="text1"/>
                <w:shd w:val="clear" w:color="auto" w:fill="FFFFFF"/>
              </w:rPr>
              <w:t xml:space="preserve"> mēnesī</w:t>
            </w:r>
            <w:r w:rsidR="00B90562" w:rsidRPr="003133E4">
              <w:rPr>
                <w:shd w:val="clear" w:color="auto" w:fill="FFFFFF"/>
              </w:rPr>
              <w:t xml:space="preserve"> (iepriekš – 49,80 </w:t>
            </w:r>
            <w:proofErr w:type="spellStart"/>
            <w:r w:rsidR="00B90562" w:rsidRPr="003133E4">
              <w:rPr>
                <w:shd w:val="clear" w:color="auto" w:fill="FFFFFF"/>
              </w:rPr>
              <w:t>euro</w:t>
            </w:r>
            <w:proofErr w:type="spellEnd"/>
            <w:r w:rsidR="00B90562" w:rsidRPr="003133E4">
              <w:rPr>
                <w:shd w:val="clear" w:color="auto" w:fill="FFFFFF"/>
              </w:rPr>
              <w:t>).</w:t>
            </w:r>
          </w:p>
          <w:p w:rsidR="00F00FFD" w:rsidRPr="003133E4" w:rsidRDefault="00F00FFD" w:rsidP="00407A7A">
            <w:pPr>
              <w:shd w:val="clear" w:color="auto" w:fill="FFFFFF"/>
              <w:jc w:val="both"/>
            </w:pPr>
            <w:r w:rsidRPr="003133E4">
              <w:t xml:space="preserve">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w:t>
            </w:r>
            <w:proofErr w:type="gramStart"/>
            <w:r w:rsidRPr="003133E4">
              <w:t>(</w:t>
            </w:r>
            <w:proofErr w:type="gramEnd"/>
            <w:r w:rsidRPr="003133E4">
              <w:t xml:space="preserve">ņemot vērā, ka Latvijas adoptētāji pārsvarā vēlas adoptēt jaunāka vecuma bērnus). Lai veicinātu bērnu uzaugšanu ģimenē un sekmētu bērnu ātrāku un veiksmīgāku integrāciju jaunajā ģimenē, ļaujot adoptētājam </w:t>
            </w:r>
            <w:proofErr w:type="spellStart"/>
            <w:r w:rsidRPr="003133E4">
              <w:t>pirmsadopcijas</w:t>
            </w:r>
            <w:proofErr w:type="spellEnd"/>
            <w:r w:rsidRPr="003133E4">
              <w:t xml:space="preserve"> aprūpes laikā atrasties atvaļinājumā un pilnvērtīgi veltīt laiku un uzmanību bērnam, kā arī lai nodrošinātu pabalstu izmaksu adoptētājiem pēc iespējas līdzvērtīgi bērnu bioloģiskajām ģimenēm, </w:t>
            </w:r>
            <w:r w:rsidR="00DA42A5" w:rsidRPr="003133E4">
              <w:t>atbilstoši Koncepcijā atbalstītajam risinājumam ir paredzēts</w:t>
            </w:r>
            <w:r w:rsidRPr="003133E4">
              <w:t xml:space="preserve"> pārskatīt esošo atbalsta sistēmu bērna </w:t>
            </w:r>
            <w:proofErr w:type="spellStart"/>
            <w:r w:rsidRPr="003133E4">
              <w:t>pirmsadopcijas</w:t>
            </w:r>
            <w:proofErr w:type="spellEnd"/>
            <w:r w:rsidRPr="003133E4">
              <w:t xml:space="preserve"> aprūpes laikā un sniegt lielāku atbalstu potenciālajam vecākam </w:t>
            </w:r>
            <w:proofErr w:type="spellStart"/>
            <w:r w:rsidRPr="003133E4">
              <w:t>pirmsadopcijas</w:t>
            </w:r>
            <w:proofErr w:type="spellEnd"/>
            <w:r w:rsidRPr="003133E4">
              <w:t xml:space="preserve"> aprūpes laikā, kad adoptētājs dodas atvaļinājumā </w:t>
            </w:r>
            <w:r w:rsidR="00DA42A5" w:rsidRPr="003133E4">
              <w:t>bez darba samaksas saglabāšanas, proti, palielināt atlīdzības par adoptējamā bērna aprūpi.</w:t>
            </w:r>
          </w:p>
          <w:p w:rsidR="00763491" w:rsidRPr="003133E4" w:rsidRDefault="00763491" w:rsidP="00763491">
            <w:pPr>
              <w:pStyle w:val="tv213"/>
              <w:shd w:val="clear" w:color="auto" w:fill="FFFFFF"/>
              <w:spacing w:before="0" w:beforeAutospacing="0" w:after="0" w:afterAutospacing="0"/>
              <w:jc w:val="both"/>
              <w:rPr>
                <w:bCs/>
                <w:iCs/>
                <w:color w:val="000000" w:themeColor="text1"/>
                <w:shd w:val="clear" w:color="auto" w:fill="FFFFFF"/>
              </w:rPr>
            </w:pPr>
            <w:r w:rsidRPr="003133E4">
              <w:rPr>
                <w:color w:val="000000" w:themeColor="text1"/>
              </w:rPr>
              <w:t xml:space="preserve">Tādējādi atbilstoši piešķirtajam papildus finansējumam </w:t>
            </w:r>
            <w:proofErr w:type="gramStart"/>
            <w:r w:rsidR="00F25DCE" w:rsidRPr="003133E4">
              <w:rPr>
                <w:color w:val="000000" w:themeColor="text1"/>
              </w:rPr>
              <w:t>2018.gada</w:t>
            </w:r>
            <w:proofErr w:type="gramEnd"/>
            <w:r w:rsidR="00F25DCE" w:rsidRPr="003133E4">
              <w:rPr>
                <w:color w:val="000000" w:themeColor="text1"/>
              </w:rPr>
              <w:t xml:space="preserve"> budžeta sagatavošanas procesā un </w:t>
            </w:r>
            <w:r w:rsidR="00F25DCE" w:rsidRPr="003133E4">
              <w:t>2017.gada 2</w:t>
            </w:r>
            <w:r w:rsidR="002233B4">
              <w:t>2</w:t>
            </w:r>
            <w:r w:rsidR="00F25DCE" w:rsidRPr="003133E4">
              <w:t>.</w:t>
            </w:r>
            <w:r w:rsidR="002233B4">
              <w:t>novem</w:t>
            </w:r>
            <w:r w:rsidR="00F25DCE" w:rsidRPr="003133E4">
              <w:t xml:space="preserve">brī Saeimā </w:t>
            </w:r>
            <w:r w:rsidR="002233B4">
              <w:t>2</w:t>
            </w:r>
            <w:r w:rsidR="00F25DCE" w:rsidRPr="003133E4">
              <w:t xml:space="preserve">.lasījumā pieņemtajam likumprojektam </w:t>
            </w:r>
            <w:r w:rsidR="00F25DCE" w:rsidRPr="003133E4">
              <w:rPr>
                <w:shd w:val="clear" w:color="auto" w:fill="FFFFFF"/>
              </w:rPr>
              <w:t xml:space="preserve">“Grozījumi Valsts sociālo pabalstu likumā” </w:t>
            </w:r>
            <w:r w:rsidR="00F25DCE" w:rsidRPr="003133E4">
              <w:t xml:space="preserve">(Saeimas reģ. Nr.1066/Lp12), noteikumu projekts paredz </w:t>
            </w:r>
            <w:r w:rsidR="00F25DCE" w:rsidRPr="003133E4">
              <w:rPr>
                <w:rFonts w:eastAsiaTheme="minorHAnsi"/>
                <w:color w:val="000000" w:themeColor="text1"/>
                <w:lang w:eastAsia="en-US"/>
              </w:rPr>
              <w:t xml:space="preserve">no </w:t>
            </w:r>
            <w:proofErr w:type="gramStart"/>
            <w:r w:rsidR="00F25DCE" w:rsidRPr="003133E4">
              <w:rPr>
                <w:rFonts w:eastAsiaTheme="minorHAnsi"/>
                <w:color w:val="000000" w:themeColor="text1"/>
                <w:lang w:eastAsia="en-US"/>
              </w:rPr>
              <w:t>2018.gada</w:t>
            </w:r>
            <w:proofErr w:type="gramEnd"/>
            <w:r w:rsidR="00F25DCE" w:rsidRPr="003133E4">
              <w:rPr>
                <w:rFonts w:eastAsiaTheme="minorHAnsi"/>
                <w:color w:val="000000" w:themeColor="text1"/>
                <w:lang w:eastAsia="en-US"/>
              </w:rPr>
              <w:t xml:space="preserve"> 1.janvāra </w:t>
            </w:r>
            <w:r w:rsidRPr="003133E4">
              <w:rPr>
                <w:color w:val="000000" w:themeColor="text1"/>
              </w:rPr>
              <w:t xml:space="preserve">palielināt </w:t>
            </w:r>
            <w:r w:rsidRPr="003133E4">
              <w:rPr>
                <w:bCs/>
                <w:iCs/>
                <w:color w:val="000000" w:themeColor="text1"/>
                <w:shd w:val="clear" w:color="auto" w:fill="FFFFFF"/>
              </w:rPr>
              <w:t>atlīdzību par adoptējamā bērna aprūpi, proti:</w:t>
            </w:r>
          </w:p>
          <w:p w:rsidR="00763491" w:rsidRPr="003133E4" w:rsidRDefault="00763491" w:rsidP="00763491">
            <w:pPr>
              <w:pStyle w:val="tv213"/>
              <w:shd w:val="clear" w:color="auto" w:fill="FFFFFF"/>
              <w:spacing w:before="0" w:beforeAutospacing="0" w:after="0" w:afterAutospacing="0"/>
              <w:jc w:val="both"/>
              <w:rPr>
                <w:rFonts w:eastAsiaTheme="minorHAnsi"/>
                <w:color w:val="000000" w:themeColor="text1"/>
                <w:lang w:eastAsia="en-US"/>
              </w:rPr>
            </w:pPr>
            <w:r w:rsidRPr="003133E4">
              <w:rPr>
                <w:bCs/>
                <w:iCs/>
                <w:color w:val="000000" w:themeColor="text1"/>
                <w:shd w:val="clear" w:color="auto" w:fill="FFFFFF"/>
              </w:rPr>
              <w:t>1)a</w:t>
            </w:r>
            <w:r w:rsidRPr="003133E4">
              <w:rPr>
                <w:rFonts w:eastAsiaTheme="minorHAnsi"/>
                <w:color w:val="000000" w:themeColor="text1"/>
                <w:lang w:eastAsia="en-US"/>
              </w:rPr>
              <w:t>tlīdzību par adoptējamā bērna līdz 8 gadu vecumam aprūpi nodarbinātām</w:t>
            </w:r>
            <w:r w:rsidR="002233B4">
              <w:rPr>
                <w:rFonts w:eastAsiaTheme="minorHAnsi"/>
                <w:color w:val="000000" w:themeColor="text1"/>
                <w:lang w:eastAsia="en-US"/>
              </w:rPr>
              <w:t xml:space="preserve"> jeb sociāli apdrošinātām</w:t>
            </w:r>
            <w:r w:rsidRPr="003133E4">
              <w:rPr>
                <w:rFonts w:eastAsiaTheme="minorHAnsi"/>
                <w:color w:val="000000" w:themeColor="text1"/>
                <w:lang w:eastAsia="en-US"/>
              </w:rPr>
              <w:t xml:space="preserve"> personām (kuras </w:t>
            </w:r>
            <w:r w:rsidRPr="003133E4">
              <w:rPr>
                <w:color w:val="000000" w:themeColor="text1"/>
              </w:rPr>
              <w:t>atrodas ar bērna aprūpi saistītā atvaļinājumā</w:t>
            </w:r>
            <w:r w:rsidRPr="003133E4">
              <w:rPr>
                <w:rFonts w:eastAsiaTheme="minorHAnsi"/>
                <w:color w:val="000000" w:themeColor="text1"/>
                <w:lang w:eastAsia="en-US"/>
              </w:rPr>
              <w:t xml:space="preserve"> vai šai laikā strādā nepilnu darba laiku) piešķirt 70% apmērā no valstī noteiktās vidējās apdrošināšanas iemaksu algas </w:t>
            </w:r>
            <w:proofErr w:type="gramStart"/>
            <w:r w:rsidRPr="003133E4">
              <w:rPr>
                <w:rFonts w:eastAsiaTheme="minorHAnsi"/>
                <w:color w:val="000000" w:themeColor="text1"/>
                <w:lang w:eastAsia="en-US"/>
              </w:rPr>
              <w:t>(</w:t>
            </w:r>
            <w:proofErr w:type="gramEnd"/>
            <w:r w:rsidRPr="003133E4">
              <w:rPr>
                <w:rFonts w:eastAsiaTheme="minorHAnsi"/>
                <w:color w:val="000000" w:themeColor="text1"/>
                <w:lang w:eastAsia="en-US"/>
              </w:rPr>
              <w:t xml:space="preserve">kalendāra gadā, kas beidzas gadu pirms tā gada, kurā tiek piešķirta atlīdzība par adoptējamā bērna aprūpi) (pašreiz - 171 </w:t>
            </w:r>
            <w:proofErr w:type="spellStart"/>
            <w:r w:rsidRPr="003133E4">
              <w:rPr>
                <w:rFonts w:eastAsiaTheme="minorHAnsi"/>
                <w:i/>
                <w:iCs/>
                <w:color w:val="000000" w:themeColor="text1"/>
                <w:lang w:eastAsia="en-US"/>
              </w:rPr>
              <w:t>euro</w:t>
            </w:r>
            <w:proofErr w:type="spellEnd"/>
            <w:r w:rsidRPr="003133E4">
              <w:rPr>
                <w:rFonts w:eastAsiaTheme="minorHAnsi"/>
                <w:i/>
                <w:iCs/>
                <w:color w:val="000000" w:themeColor="text1"/>
                <w:lang w:eastAsia="en-US"/>
              </w:rPr>
              <w:t>)</w:t>
            </w:r>
            <w:r w:rsidRPr="003133E4">
              <w:rPr>
                <w:rFonts w:eastAsiaTheme="minorHAnsi"/>
                <w:color w:val="000000" w:themeColor="text1"/>
                <w:lang w:eastAsia="en-US"/>
              </w:rPr>
              <w:t>;</w:t>
            </w:r>
          </w:p>
          <w:p w:rsidR="0065040E" w:rsidRPr="003133E4" w:rsidRDefault="00763491" w:rsidP="00763491">
            <w:pPr>
              <w:pStyle w:val="tv213"/>
              <w:shd w:val="clear" w:color="auto" w:fill="FFFFFF"/>
              <w:spacing w:before="0" w:beforeAutospacing="0" w:after="0" w:afterAutospacing="0"/>
              <w:jc w:val="both"/>
              <w:rPr>
                <w:rFonts w:eastAsiaTheme="minorHAnsi"/>
                <w:color w:val="000000" w:themeColor="text1"/>
                <w:lang w:eastAsia="en-US"/>
              </w:rPr>
            </w:pPr>
            <w:r w:rsidRPr="003133E4">
              <w:rPr>
                <w:rFonts w:eastAsiaTheme="minorHAnsi"/>
                <w:color w:val="000000" w:themeColor="text1"/>
                <w:lang w:eastAsia="en-US"/>
              </w:rPr>
              <w:t>2) adoptētājiem, kuri nav sociāli apdrošināti</w:t>
            </w:r>
            <w:r w:rsidR="002233B4">
              <w:rPr>
                <w:rFonts w:eastAsiaTheme="minorHAnsi"/>
                <w:color w:val="000000" w:themeColor="text1"/>
                <w:lang w:eastAsia="en-US"/>
              </w:rPr>
              <w:t xml:space="preserve"> </w:t>
            </w:r>
            <w:r w:rsidR="004D03C5">
              <w:rPr>
                <w:rFonts w:eastAsiaTheme="minorHAnsi"/>
                <w:color w:val="000000" w:themeColor="text1"/>
                <w:lang w:eastAsia="en-US"/>
              </w:rPr>
              <w:t>neatkarīgi no aprūpējamā bērna vecuma</w:t>
            </w:r>
            <w:r w:rsidRPr="003133E4">
              <w:rPr>
                <w:rFonts w:eastAsiaTheme="minorHAnsi"/>
                <w:color w:val="000000" w:themeColor="text1"/>
                <w:lang w:eastAsia="en-US"/>
              </w:rPr>
              <w:t xml:space="preserve">, kā arī </w:t>
            </w:r>
            <w:r w:rsidR="00CD09A8">
              <w:rPr>
                <w:rFonts w:eastAsiaTheme="minorHAnsi"/>
                <w:color w:val="000000" w:themeColor="text1"/>
                <w:lang w:eastAsia="en-US"/>
              </w:rPr>
              <w:t xml:space="preserve">sociāli apdrošinātām personām </w:t>
            </w:r>
            <w:r w:rsidRPr="003133E4">
              <w:rPr>
                <w:rFonts w:eastAsiaTheme="minorHAnsi"/>
                <w:color w:val="000000" w:themeColor="text1"/>
                <w:lang w:eastAsia="en-US"/>
              </w:rPr>
              <w:t>par bērna vecumā no 8-17 gadiem aprūpi</w:t>
            </w:r>
            <w:proofErr w:type="gramStart"/>
            <w:r w:rsidRPr="003133E4">
              <w:rPr>
                <w:rFonts w:eastAsiaTheme="minorHAnsi"/>
                <w:color w:val="000000" w:themeColor="text1"/>
                <w:lang w:eastAsia="en-US"/>
              </w:rPr>
              <w:t xml:space="preserve"> vai, ja adoptētājs neatradīsies kopšanas atvaļinājumā ar bērnu līdz 8 gadiem, atlīdzība </w:t>
            </w:r>
            <w:r w:rsidR="00F25DCE" w:rsidRPr="003133E4">
              <w:rPr>
                <w:rFonts w:eastAsiaTheme="minorHAnsi"/>
                <w:color w:val="000000" w:themeColor="text1"/>
                <w:lang w:eastAsia="en-US"/>
              </w:rPr>
              <w:t>tiks piešķirta 171</w:t>
            </w:r>
            <w:proofErr w:type="gramEnd"/>
            <w:r w:rsidR="00F25DCE" w:rsidRPr="003133E4">
              <w:rPr>
                <w:rFonts w:eastAsiaTheme="minorHAnsi"/>
                <w:color w:val="000000" w:themeColor="text1"/>
                <w:lang w:eastAsia="en-US"/>
              </w:rPr>
              <w:t xml:space="preserve"> </w:t>
            </w:r>
            <w:proofErr w:type="spellStart"/>
            <w:r w:rsidR="00F25DCE" w:rsidRPr="003133E4">
              <w:rPr>
                <w:rFonts w:eastAsiaTheme="minorHAnsi"/>
                <w:color w:val="000000" w:themeColor="text1"/>
                <w:lang w:eastAsia="en-US"/>
              </w:rPr>
              <w:t>euro</w:t>
            </w:r>
            <w:proofErr w:type="spellEnd"/>
            <w:r w:rsidR="00F25DCE" w:rsidRPr="003133E4">
              <w:rPr>
                <w:rFonts w:eastAsiaTheme="minorHAnsi"/>
                <w:color w:val="000000" w:themeColor="text1"/>
                <w:lang w:eastAsia="en-US"/>
              </w:rPr>
              <w:t xml:space="preserve"> (šobrīd spēkā esošajā) apmērā;</w:t>
            </w:r>
          </w:p>
          <w:p w:rsidR="004E3FC7" w:rsidRPr="003133E4" w:rsidRDefault="0065040E" w:rsidP="00763491">
            <w:pPr>
              <w:pStyle w:val="tv213"/>
              <w:shd w:val="clear" w:color="auto" w:fill="FFFFFF"/>
              <w:spacing w:before="0" w:beforeAutospacing="0" w:after="0" w:afterAutospacing="0"/>
              <w:jc w:val="both"/>
              <w:rPr>
                <w:bCs/>
                <w:shd w:val="clear" w:color="auto" w:fill="FFFFFF"/>
              </w:rPr>
            </w:pPr>
            <w:r w:rsidRPr="003133E4">
              <w:rPr>
                <w:rFonts w:eastAsiaTheme="minorHAnsi"/>
                <w:color w:val="000000" w:themeColor="text1"/>
                <w:lang w:eastAsia="en-US"/>
              </w:rPr>
              <w:t>3) j</w:t>
            </w:r>
            <w:r w:rsidR="00763491" w:rsidRPr="003133E4">
              <w:rPr>
                <w:rFonts w:eastAsiaTheme="minorHAnsi"/>
                <w:color w:val="000000" w:themeColor="text1"/>
                <w:lang w:eastAsia="en-US"/>
              </w:rPr>
              <w:t xml:space="preserve">a adoptētājs aprūpēs vienlaikus vairākus bērnus, par nākamo piešķirs piemaksu 171 </w:t>
            </w:r>
            <w:proofErr w:type="spellStart"/>
            <w:r w:rsidR="00763491" w:rsidRPr="003133E4">
              <w:rPr>
                <w:rFonts w:eastAsiaTheme="minorHAnsi"/>
                <w:color w:val="000000" w:themeColor="text1"/>
                <w:lang w:eastAsia="en-US"/>
              </w:rPr>
              <w:t>euro</w:t>
            </w:r>
            <w:proofErr w:type="spellEnd"/>
            <w:r w:rsidR="00763491" w:rsidRPr="003133E4">
              <w:rPr>
                <w:rFonts w:eastAsiaTheme="minorHAnsi"/>
                <w:color w:val="000000" w:themeColor="text1"/>
                <w:lang w:eastAsia="en-US"/>
              </w:rPr>
              <w:t xml:space="preserve"> a</w:t>
            </w:r>
            <w:r w:rsidR="00F25DCE" w:rsidRPr="003133E4">
              <w:rPr>
                <w:rFonts w:eastAsiaTheme="minorHAnsi"/>
                <w:color w:val="000000" w:themeColor="text1"/>
                <w:lang w:eastAsia="en-US"/>
              </w:rPr>
              <w:t>pmērā</w:t>
            </w:r>
            <w:r w:rsidR="00763491" w:rsidRPr="003133E4">
              <w:rPr>
                <w:rFonts w:eastAsiaTheme="minorHAnsi"/>
                <w:color w:val="000000" w:themeColor="text1"/>
                <w:lang w:eastAsia="en-US"/>
              </w:rPr>
              <w:t>.</w:t>
            </w:r>
            <w:r w:rsidR="00401F6F" w:rsidRPr="003133E4">
              <w:rPr>
                <w:bCs/>
                <w:shd w:val="clear" w:color="auto" w:fill="FFFFFF"/>
              </w:rPr>
              <w:t xml:space="preserve"> </w:t>
            </w:r>
          </w:p>
          <w:p w:rsidR="00506C88" w:rsidRPr="003133E4" w:rsidRDefault="0049611B" w:rsidP="00506C88">
            <w:pPr>
              <w:ind w:right="142"/>
              <w:jc w:val="both"/>
            </w:pPr>
            <w:r w:rsidRPr="003133E4">
              <w:t>Vienlaikus noteikumu p</w:t>
            </w:r>
            <w:r w:rsidR="00506C88" w:rsidRPr="003133E4">
              <w:t>rojektā</w:t>
            </w:r>
            <w:r w:rsidRPr="003133E4">
              <w:t xml:space="preserve"> paredzēt</w:t>
            </w:r>
            <w:r w:rsidR="0028442A" w:rsidRPr="003133E4">
              <w:t>a</w:t>
            </w:r>
            <w:r w:rsidRPr="003133E4">
              <w:t>s šādas izmaiņas</w:t>
            </w:r>
            <w:r w:rsidR="00506C88" w:rsidRPr="003133E4">
              <w:t>.</w:t>
            </w:r>
          </w:p>
          <w:p w:rsidR="0049611B" w:rsidRPr="003133E4" w:rsidRDefault="00506C88" w:rsidP="00506C88">
            <w:pPr>
              <w:ind w:right="142"/>
              <w:jc w:val="both"/>
            </w:pPr>
            <w:r w:rsidRPr="003133E4">
              <w:lastRenderedPageBreak/>
              <w:t>1.</w:t>
            </w:r>
            <w:r w:rsidR="0049611B" w:rsidRPr="003133E4">
              <w:t>Saskaņā ar Ministru kabineta 2016. gada 5. janvāra sēdes protokollēmuma (prot. Nr.1 28.§) “Likumprojekts “Oficiālās elektroniskās adreses likums”” 13. punktu, kas nosaka, ka visām ministrijām izvērtēt to kompetencē esošos tiesību aktus un līdz 2017. gada 1. jūlijam iesniegt noteiktā kārtībā Ministru kabinetā grozījumus tiesību aktos, paredzot iespēju saziņas nodrošināšanai starp iestādi un privātpersonu izmantot e-adresi – noteikumu projekts paplašina saziņas veidus, kurus atlīdzības pieprasītājs norāda savā pieprasījumā VSAA,  ar atlīdzības pieprasītāja oficiālo elektronisko adresi, ja personai ir aktivizēts oficiālās elektroniskas adreses konts.</w:t>
            </w:r>
          </w:p>
          <w:p w:rsidR="0049611B" w:rsidRPr="003133E4" w:rsidRDefault="0049611B" w:rsidP="00506C88">
            <w:pPr>
              <w:ind w:right="153"/>
              <w:jc w:val="both"/>
            </w:pPr>
            <w:r w:rsidRPr="003133E4">
              <w:t>Ņemot vērā apstākli, ka 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e-adresi izveido no 2018. gada 1. jūnija, tad attiecīgi Noteikumu projekta 3.punkts paredz, ka atlīdzības pieprasītāja norādītā oficiālā elektroniskā adrese kā saziņas veida izmantošana stājas spēkā no 2018. gada 1. jūnija</w:t>
            </w:r>
            <w:r w:rsidR="00506C88" w:rsidRPr="003133E4">
              <w:t>;</w:t>
            </w:r>
          </w:p>
          <w:p w:rsidR="0049611B" w:rsidRPr="004032C0" w:rsidRDefault="00BC203C" w:rsidP="0049611B">
            <w:pPr>
              <w:pStyle w:val="tv213"/>
              <w:shd w:val="clear" w:color="auto" w:fill="FFFFFF"/>
              <w:spacing w:before="0" w:beforeAutospacing="0" w:after="0" w:afterAutospacing="0"/>
              <w:jc w:val="both"/>
            </w:pPr>
            <w:r w:rsidRPr="003133E4">
              <w:rPr>
                <w:bCs/>
                <w:shd w:val="clear" w:color="auto" w:fill="FFFFFF"/>
              </w:rPr>
              <w:t>2. N</w:t>
            </w:r>
            <w:r w:rsidR="0049611B" w:rsidRPr="003133E4">
              <w:rPr>
                <w:bCs/>
                <w:shd w:val="clear" w:color="auto" w:fill="FFFFFF"/>
              </w:rPr>
              <w:t>oteikumu projektā tiek detalizēt</w:t>
            </w:r>
            <w:r w:rsidR="00910F73">
              <w:rPr>
                <w:bCs/>
                <w:shd w:val="clear" w:color="auto" w:fill="FFFFFF"/>
              </w:rPr>
              <w:t>i</w:t>
            </w:r>
            <w:r w:rsidR="0049611B" w:rsidRPr="003133E4">
              <w:rPr>
                <w:bCs/>
                <w:shd w:val="clear" w:color="auto" w:fill="FFFFFF"/>
              </w:rPr>
              <w:t xml:space="preserve"> atrunāta VSAA piešķirtās atlīdzības un piemaksas pārrēķinā</w:t>
            </w:r>
            <w:r w:rsidR="003133E4" w:rsidRPr="003133E4">
              <w:rPr>
                <w:bCs/>
                <w:shd w:val="clear" w:color="auto" w:fill="FFFFFF"/>
              </w:rPr>
              <w:t>šana, proti, j</w:t>
            </w:r>
            <w:r w:rsidR="003133E4" w:rsidRPr="003133E4">
              <w:t xml:space="preserve">a mainās faktiskie apstākļi un to rezultātā palielinās atlīdzības apmērs, tad atlīdzības apmēru pārskata ar dienu, kad notikusi faktisko apstākļu maiņa. Savukārt, ja faktisko apstākļu maiņas rezultātā samazinās atlīdzības apmērs, tad atlīdzības apmēru pārskata ar tā mēneša pirmo datumu, kas seko mēnesim, kad notikusi </w:t>
            </w:r>
            <w:r w:rsidR="003133E4" w:rsidRPr="004032C0">
              <w:t>faktisko apstākļu maiņa.</w:t>
            </w:r>
          </w:p>
          <w:p w:rsidR="004032C0" w:rsidRPr="001A0BDE" w:rsidRDefault="004032C0" w:rsidP="001A0BDE">
            <w:pPr>
              <w:pStyle w:val="CommentText"/>
              <w:jc w:val="both"/>
              <w:rPr>
                <w:sz w:val="24"/>
                <w:szCs w:val="24"/>
              </w:rPr>
            </w:pPr>
            <w:r w:rsidRPr="001A0BDE">
              <w:rPr>
                <w:sz w:val="28"/>
                <w:szCs w:val="28"/>
              </w:rPr>
              <w:t xml:space="preserve">3. </w:t>
            </w:r>
            <w:r w:rsidRPr="001A0BDE">
              <w:rPr>
                <w:sz w:val="24"/>
                <w:szCs w:val="24"/>
              </w:rPr>
              <w:t xml:space="preserve">Precizēta atsauce, uz kādu Valsts sociālo pabalstu likuma pantiem un to daļām, ir izdots noteikumu projekts. Atsauce uz </w:t>
            </w:r>
            <w:proofErr w:type="gramStart"/>
            <w:r w:rsidRPr="001A0BDE">
              <w:rPr>
                <w:sz w:val="24"/>
                <w:szCs w:val="24"/>
              </w:rPr>
              <w:t>16.panta</w:t>
            </w:r>
            <w:proofErr w:type="gramEnd"/>
            <w:r w:rsidRPr="001A0BDE">
              <w:rPr>
                <w:sz w:val="24"/>
                <w:szCs w:val="24"/>
              </w:rPr>
              <w:t xml:space="preserve"> sesto daļu ir izslēgta, jo Saeimas pieņemtie grozījumi Valsts sociālo pabalstu likumā 22.novembrī paredz izslēgt no likuma 16.panta sesto daļu, ņemot vērā, ka ar likuma grozījumiem 6.</w:t>
            </w:r>
            <w:r w:rsidRPr="001A0BDE">
              <w:rPr>
                <w:sz w:val="24"/>
                <w:szCs w:val="24"/>
                <w:vertAlign w:val="superscript"/>
              </w:rPr>
              <w:t>1</w:t>
            </w:r>
            <w:r w:rsidRPr="001A0BDE">
              <w:rPr>
                <w:sz w:val="24"/>
                <w:szCs w:val="24"/>
              </w:rPr>
              <w:t xml:space="preserve"> pants tika izteikts jaunā redakcijā un tajā pēc būtības tika iekļauta arī norma no izslēgtās 16.panta sestās daļas.</w:t>
            </w:r>
          </w:p>
          <w:p w:rsidR="00AF55FD" w:rsidRPr="003133E4" w:rsidRDefault="004032C0" w:rsidP="00763491">
            <w:pPr>
              <w:pStyle w:val="tv213"/>
              <w:shd w:val="clear" w:color="auto" w:fill="FFFFFF"/>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4</w:t>
            </w:r>
            <w:r w:rsidR="00BC203C" w:rsidRPr="003133E4">
              <w:rPr>
                <w:rFonts w:eastAsiaTheme="minorHAnsi"/>
                <w:color w:val="000000" w:themeColor="text1"/>
                <w:lang w:eastAsia="en-US"/>
              </w:rPr>
              <w:t xml:space="preserve">. </w:t>
            </w:r>
            <w:r w:rsidR="007A1269" w:rsidRPr="003133E4">
              <w:rPr>
                <w:rFonts w:eastAsiaTheme="minorHAnsi"/>
                <w:color w:val="000000" w:themeColor="text1"/>
                <w:lang w:eastAsia="en-US"/>
              </w:rPr>
              <w:t>Ņemot vērā ievērojamo grozījumu apjomu (ko pamatā veido redakcionāla rakstura izmaiņas sakarā ar piemaksas pie atlīdzības ieviešanu), noteikumi tiek izteikti jaunā redakcijā.</w:t>
            </w:r>
          </w:p>
        </w:tc>
      </w:tr>
      <w:tr w:rsidR="004D1833" w:rsidRPr="004D1833" w:rsidTr="00D13F3D">
        <w:tc>
          <w:tcPr>
            <w:tcW w:w="297" w:type="pct"/>
            <w:shd w:val="clear" w:color="auto" w:fill="auto"/>
          </w:tcPr>
          <w:p w:rsidR="0066477E" w:rsidRPr="004D1833" w:rsidRDefault="0066477E" w:rsidP="002613E2">
            <w:r w:rsidRPr="004D1833">
              <w:lastRenderedPageBreak/>
              <w:t>3.</w:t>
            </w:r>
          </w:p>
        </w:tc>
        <w:tc>
          <w:tcPr>
            <w:tcW w:w="850" w:type="pct"/>
            <w:shd w:val="clear" w:color="auto" w:fill="auto"/>
          </w:tcPr>
          <w:p w:rsidR="0066477E" w:rsidRPr="004D1833" w:rsidRDefault="0066477E" w:rsidP="002613E2">
            <w:r w:rsidRPr="004D1833">
              <w:t>Projekta izstrādē iesaistītās institūcijas</w:t>
            </w:r>
          </w:p>
        </w:tc>
        <w:tc>
          <w:tcPr>
            <w:tcW w:w="3853" w:type="pct"/>
            <w:shd w:val="clear" w:color="auto" w:fill="auto"/>
          </w:tcPr>
          <w:p w:rsidR="00C87710" w:rsidRPr="004D1833" w:rsidRDefault="002613E2" w:rsidP="0095756F">
            <w:pPr>
              <w:jc w:val="both"/>
              <w:rPr>
                <w:i/>
              </w:rPr>
            </w:pPr>
            <w:r w:rsidRPr="004D1833">
              <w:t>Noteikumu projekta</w:t>
            </w:r>
            <w:r w:rsidR="00C87710" w:rsidRPr="004D1833">
              <w:t xml:space="preserve"> izstrādes laikā notika konsultēšanās ar VSAA. </w:t>
            </w:r>
          </w:p>
        </w:tc>
      </w:tr>
      <w:tr w:rsidR="0066477E" w:rsidRPr="004D1833" w:rsidTr="00D13F3D">
        <w:tc>
          <w:tcPr>
            <w:tcW w:w="297" w:type="pct"/>
            <w:shd w:val="clear" w:color="auto" w:fill="auto"/>
          </w:tcPr>
          <w:p w:rsidR="0066477E" w:rsidRPr="004D1833" w:rsidRDefault="0066477E" w:rsidP="002613E2">
            <w:r w:rsidRPr="004D1833">
              <w:t xml:space="preserve">4. </w:t>
            </w:r>
          </w:p>
        </w:tc>
        <w:tc>
          <w:tcPr>
            <w:tcW w:w="850" w:type="pct"/>
            <w:shd w:val="clear" w:color="auto" w:fill="auto"/>
          </w:tcPr>
          <w:p w:rsidR="0066477E" w:rsidRPr="004D1833" w:rsidRDefault="0066477E" w:rsidP="002613E2">
            <w:r w:rsidRPr="004D1833">
              <w:t>Cita informācija</w:t>
            </w:r>
          </w:p>
        </w:tc>
        <w:tc>
          <w:tcPr>
            <w:tcW w:w="3853" w:type="pct"/>
            <w:shd w:val="clear" w:color="auto" w:fill="auto"/>
          </w:tcPr>
          <w:p w:rsidR="0066477E" w:rsidRPr="004D1833" w:rsidRDefault="00315F0B" w:rsidP="00AC77EC">
            <w:pPr>
              <w:shd w:val="clear" w:color="auto" w:fill="FFFFFF"/>
              <w:jc w:val="both"/>
              <w:rPr>
                <w:shd w:val="clear" w:color="auto" w:fill="FFFFFF"/>
              </w:rPr>
            </w:pPr>
            <w:r>
              <w:rPr>
                <w:shd w:val="clear" w:color="auto" w:fill="FFFFFF"/>
              </w:rPr>
              <w:t>Nav.</w:t>
            </w:r>
          </w:p>
        </w:tc>
      </w:tr>
    </w:tbl>
    <w:p w:rsidR="0066477E" w:rsidRPr="004D1833" w:rsidRDefault="0066477E" w:rsidP="0066477E">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518"/>
        <w:gridCol w:w="6355"/>
      </w:tblGrid>
      <w:tr w:rsidR="004D1833" w:rsidRPr="004D1833" w:rsidTr="00E87C1B">
        <w:tc>
          <w:tcPr>
            <w:tcW w:w="9558" w:type="dxa"/>
            <w:gridSpan w:val="3"/>
            <w:shd w:val="clear" w:color="auto" w:fill="auto"/>
          </w:tcPr>
          <w:p w:rsidR="0066477E" w:rsidRPr="004D1833" w:rsidRDefault="0066477E" w:rsidP="002613E2">
            <w:pPr>
              <w:pStyle w:val="naisnod"/>
              <w:spacing w:before="0" w:after="0"/>
              <w:ind w:left="57" w:right="57"/>
              <w:rPr>
                <w:b w:val="0"/>
              </w:rPr>
            </w:pPr>
            <w:r w:rsidRPr="004D1833">
              <w:t>II.</w:t>
            </w:r>
            <w:r w:rsidRPr="004D1833">
              <w:rPr>
                <w:b w:val="0"/>
              </w:rPr>
              <w:t xml:space="preserve"> </w:t>
            </w:r>
            <w:r w:rsidRPr="004D1833">
              <w:t>Tiesību akta projekta ietekme uz sabiedrību, tautsaimniecības attīstību</w:t>
            </w:r>
          </w:p>
          <w:p w:rsidR="0066477E" w:rsidRPr="004D1833" w:rsidRDefault="0066477E" w:rsidP="002613E2">
            <w:pPr>
              <w:jc w:val="center"/>
              <w:rPr>
                <w:b/>
              </w:rPr>
            </w:pPr>
            <w:r w:rsidRPr="004D1833">
              <w:rPr>
                <w:b/>
              </w:rPr>
              <w:t>un administratīvo slogu</w:t>
            </w:r>
          </w:p>
        </w:tc>
      </w:tr>
      <w:tr w:rsidR="004D1833" w:rsidRPr="004D1833" w:rsidTr="00E87C1B">
        <w:trPr>
          <w:trHeight w:val="1408"/>
        </w:trPr>
        <w:tc>
          <w:tcPr>
            <w:tcW w:w="685" w:type="dxa"/>
            <w:shd w:val="clear" w:color="auto" w:fill="auto"/>
          </w:tcPr>
          <w:p w:rsidR="0066477E" w:rsidRPr="004D1833" w:rsidRDefault="0066477E" w:rsidP="002613E2">
            <w:r w:rsidRPr="004D1833">
              <w:t>1.</w:t>
            </w:r>
          </w:p>
        </w:tc>
        <w:tc>
          <w:tcPr>
            <w:tcW w:w="2518" w:type="dxa"/>
            <w:shd w:val="clear" w:color="auto" w:fill="auto"/>
          </w:tcPr>
          <w:p w:rsidR="0066477E" w:rsidRPr="004D1833" w:rsidRDefault="0066477E" w:rsidP="002613E2">
            <w:r w:rsidRPr="004D1833">
              <w:t>Sabiedrības mērķgrupas, kuras tiesiskais regulējums ietekmē vai varētu ietekmēt</w:t>
            </w:r>
          </w:p>
        </w:tc>
        <w:tc>
          <w:tcPr>
            <w:tcW w:w="6355" w:type="dxa"/>
            <w:shd w:val="clear" w:color="auto" w:fill="auto"/>
          </w:tcPr>
          <w:p w:rsidR="00A66E21" w:rsidRPr="00DD479A" w:rsidRDefault="0022063E" w:rsidP="001A0BDE">
            <w:pPr>
              <w:jc w:val="both"/>
            </w:pPr>
            <w:r w:rsidRPr="00DD479A">
              <w:rPr>
                <w:iCs/>
              </w:rPr>
              <w:t>Noteikumu projekts</w:t>
            </w:r>
            <w:r w:rsidR="00F65D50" w:rsidRPr="00DD479A">
              <w:rPr>
                <w:iCs/>
              </w:rPr>
              <w:t xml:space="preserve"> tieši </w:t>
            </w:r>
            <w:r w:rsidR="004E4049">
              <w:rPr>
                <w:iCs/>
              </w:rPr>
              <w:t xml:space="preserve">attiecas uz </w:t>
            </w:r>
            <w:r w:rsidR="005A76AD">
              <w:t>VSAA</w:t>
            </w:r>
            <w:r w:rsidR="004E4049">
              <w:t xml:space="preserve"> un tieši ietekmē </w:t>
            </w:r>
            <w:r w:rsidR="002E7552" w:rsidRPr="00DD479A">
              <w:rPr>
                <w:iCs/>
              </w:rPr>
              <w:t xml:space="preserve">adoptētājus, kuru aprūpē un uzraudzībā pirms adopcijas apstiprināšanas tiesā ar bāriņtiesas lēmumu nodots adoptējamais bērns, un </w:t>
            </w:r>
            <w:r w:rsidRPr="00DD479A">
              <w:rPr>
                <w:iCs/>
              </w:rPr>
              <w:t>bērnus</w:t>
            </w:r>
            <w:r w:rsidR="00BF0475" w:rsidRPr="00DD479A">
              <w:rPr>
                <w:iCs/>
              </w:rPr>
              <w:t xml:space="preserve">, kuri atrodas </w:t>
            </w:r>
            <w:proofErr w:type="spellStart"/>
            <w:r w:rsidR="00BF0475" w:rsidRPr="00DD479A">
              <w:rPr>
                <w:iCs/>
              </w:rPr>
              <w:t>pirmsadopcijas</w:t>
            </w:r>
            <w:proofErr w:type="spellEnd"/>
            <w:r w:rsidR="00BF0475" w:rsidRPr="00DD479A">
              <w:rPr>
                <w:iCs/>
              </w:rPr>
              <w:t xml:space="preserve"> aprūpē</w:t>
            </w:r>
            <w:r w:rsidRPr="00DD479A">
              <w:rPr>
                <w:iCs/>
              </w:rPr>
              <w:t xml:space="preserve">. </w:t>
            </w:r>
            <w:r w:rsidR="00E16FB4" w:rsidRPr="00DD479A">
              <w:rPr>
                <w:color w:val="000000" w:themeColor="text1"/>
                <w:shd w:val="clear" w:color="auto" w:fill="FFFFFF"/>
              </w:rPr>
              <w:t xml:space="preserve">Pēc VSAA </w:t>
            </w:r>
            <w:r w:rsidR="00E16FB4" w:rsidRPr="00DD479A">
              <w:rPr>
                <w:color w:val="000000" w:themeColor="text1"/>
                <w:shd w:val="clear" w:color="auto" w:fill="FFFFFF"/>
              </w:rPr>
              <w:lastRenderedPageBreak/>
              <w:t xml:space="preserve">statistikas datiem š.g. </w:t>
            </w:r>
            <w:r w:rsidR="00CD09A8">
              <w:rPr>
                <w:color w:val="000000" w:themeColor="text1"/>
                <w:shd w:val="clear" w:color="auto" w:fill="FFFFFF"/>
              </w:rPr>
              <w:t>augustā</w:t>
            </w:r>
            <w:r w:rsidR="00E16FB4" w:rsidRPr="00DD479A">
              <w:rPr>
                <w:color w:val="000000" w:themeColor="text1"/>
                <w:shd w:val="clear" w:color="auto" w:fill="FFFFFF"/>
              </w:rPr>
              <w:t xml:space="preserve"> atlīdzība par adoptējamā bērna aprūpi izmaksāta 2</w:t>
            </w:r>
            <w:r w:rsidR="00CD09A8">
              <w:rPr>
                <w:color w:val="000000" w:themeColor="text1"/>
                <w:shd w:val="clear" w:color="auto" w:fill="FFFFFF"/>
              </w:rPr>
              <w:t>4</w:t>
            </w:r>
            <w:r w:rsidR="00E16FB4" w:rsidRPr="00DD479A">
              <w:rPr>
                <w:color w:val="000000" w:themeColor="text1"/>
                <w:shd w:val="clear" w:color="auto" w:fill="FFFFFF"/>
              </w:rPr>
              <w:t xml:space="preserve"> saņēmējiem</w:t>
            </w:r>
            <w:r w:rsidR="000A2EAF" w:rsidRPr="00DD479A">
              <w:rPr>
                <w:iCs/>
              </w:rPr>
              <w:t xml:space="preserve">. </w:t>
            </w:r>
          </w:p>
        </w:tc>
      </w:tr>
      <w:tr w:rsidR="004D1833" w:rsidRPr="004D1833" w:rsidTr="00E87C1B">
        <w:tc>
          <w:tcPr>
            <w:tcW w:w="685" w:type="dxa"/>
            <w:shd w:val="clear" w:color="auto" w:fill="auto"/>
          </w:tcPr>
          <w:p w:rsidR="0066477E" w:rsidRPr="004D1833" w:rsidRDefault="0066477E" w:rsidP="002613E2">
            <w:r w:rsidRPr="004D1833">
              <w:lastRenderedPageBreak/>
              <w:t xml:space="preserve">2. </w:t>
            </w:r>
          </w:p>
        </w:tc>
        <w:tc>
          <w:tcPr>
            <w:tcW w:w="2518" w:type="dxa"/>
            <w:shd w:val="clear" w:color="auto" w:fill="auto"/>
          </w:tcPr>
          <w:p w:rsidR="0066477E" w:rsidRPr="004D1833" w:rsidRDefault="0066477E" w:rsidP="002613E2">
            <w:r w:rsidRPr="004D1833">
              <w:t>Tiesiskā regulējuma ietekme uz tautsaimniecību un administratīvo slogu</w:t>
            </w:r>
          </w:p>
        </w:tc>
        <w:tc>
          <w:tcPr>
            <w:tcW w:w="6355" w:type="dxa"/>
            <w:shd w:val="clear" w:color="auto" w:fill="auto"/>
          </w:tcPr>
          <w:p w:rsidR="0066477E" w:rsidRDefault="00337E02" w:rsidP="00337E02">
            <w:pPr>
              <w:jc w:val="both"/>
            </w:pPr>
            <w:r w:rsidRPr="004D1833">
              <w:rPr>
                <w:iCs/>
              </w:rPr>
              <w:t xml:space="preserve">Noteikumu projekta </w:t>
            </w:r>
            <w:r w:rsidRPr="004D1833">
              <w:t xml:space="preserve">tiesiskais regulējums nemainīs </w:t>
            </w:r>
            <w:r w:rsidR="004E4049">
              <w:t xml:space="preserve">personu </w:t>
            </w:r>
            <w:r w:rsidRPr="004D1833">
              <w:t>tiesības un pienākumus</w:t>
            </w:r>
            <w:r w:rsidR="004E4049">
              <w:t xml:space="preserve"> un</w:t>
            </w:r>
            <w:proofErr w:type="gramStart"/>
            <w:r w:rsidR="004E4049">
              <w:t xml:space="preserve"> </w:t>
            </w:r>
            <w:r w:rsidRPr="004D1833">
              <w:t xml:space="preserve"> </w:t>
            </w:r>
            <w:proofErr w:type="gramEnd"/>
            <w:r w:rsidRPr="004D1833">
              <w:t xml:space="preserve">neietekmē </w:t>
            </w:r>
            <w:r w:rsidR="004E4049">
              <w:t xml:space="preserve">to </w:t>
            </w:r>
            <w:r w:rsidRPr="004D1833">
              <w:t>administratīvo slogu.</w:t>
            </w:r>
          </w:p>
          <w:p w:rsidR="004E4049" w:rsidRPr="004D1833" w:rsidRDefault="004E4049" w:rsidP="00337E02">
            <w:pPr>
              <w:jc w:val="both"/>
            </w:pPr>
          </w:p>
        </w:tc>
      </w:tr>
      <w:tr w:rsidR="004D1833" w:rsidRPr="004D1833" w:rsidTr="00E87C1B">
        <w:tc>
          <w:tcPr>
            <w:tcW w:w="685" w:type="dxa"/>
            <w:shd w:val="clear" w:color="auto" w:fill="auto"/>
          </w:tcPr>
          <w:p w:rsidR="0066477E" w:rsidRPr="004D1833" w:rsidRDefault="0066477E" w:rsidP="002613E2">
            <w:r w:rsidRPr="004D1833">
              <w:t>3.</w:t>
            </w:r>
          </w:p>
        </w:tc>
        <w:tc>
          <w:tcPr>
            <w:tcW w:w="2518" w:type="dxa"/>
            <w:shd w:val="clear" w:color="auto" w:fill="auto"/>
          </w:tcPr>
          <w:p w:rsidR="0066477E" w:rsidRPr="004D1833" w:rsidRDefault="0066477E" w:rsidP="002613E2">
            <w:r w:rsidRPr="004D1833">
              <w:t>Administratīvo izmaksu monetārs novērtējums</w:t>
            </w:r>
          </w:p>
        </w:tc>
        <w:tc>
          <w:tcPr>
            <w:tcW w:w="6355" w:type="dxa"/>
            <w:shd w:val="clear" w:color="auto" w:fill="auto"/>
          </w:tcPr>
          <w:p w:rsidR="0066477E" w:rsidRPr="004D1833" w:rsidRDefault="0022063E" w:rsidP="002613E2">
            <w:pPr>
              <w:jc w:val="both"/>
            </w:pPr>
            <w:r w:rsidRPr="004D1833">
              <w:rPr>
                <w:iCs/>
              </w:rPr>
              <w:t>Noteikumu projekts</w:t>
            </w:r>
            <w:r w:rsidR="008545C0" w:rsidRPr="004D1833">
              <w:rPr>
                <w:iCs/>
              </w:rPr>
              <w:t xml:space="preserve"> nerada papildus ietekmi uz administratīvajām izmaksām.</w:t>
            </w:r>
          </w:p>
        </w:tc>
      </w:tr>
      <w:tr w:rsidR="0066477E" w:rsidRPr="004D1833" w:rsidTr="00E87C1B">
        <w:tc>
          <w:tcPr>
            <w:tcW w:w="685" w:type="dxa"/>
            <w:shd w:val="clear" w:color="auto" w:fill="auto"/>
          </w:tcPr>
          <w:p w:rsidR="0066477E" w:rsidRPr="004D1833" w:rsidRDefault="0066477E" w:rsidP="002613E2">
            <w:r w:rsidRPr="004D1833">
              <w:t xml:space="preserve">4. </w:t>
            </w:r>
          </w:p>
        </w:tc>
        <w:tc>
          <w:tcPr>
            <w:tcW w:w="2518" w:type="dxa"/>
            <w:shd w:val="clear" w:color="auto" w:fill="auto"/>
          </w:tcPr>
          <w:p w:rsidR="0066477E" w:rsidRPr="004D1833" w:rsidRDefault="0066477E" w:rsidP="002613E2">
            <w:r w:rsidRPr="004D1833">
              <w:t>Cita informācija</w:t>
            </w:r>
          </w:p>
        </w:tc>
        <w:tc>
          <w:tcPr>
            <w:tcW w:w="6355" w:type="dxa"/>
            <w:shd w:val="clear" w:color="auto" w:fill="auto"/>
          </w:tcPr>
          <w:p w:rsidR="0066477E" w:rsidRPr="004D1833" w:rsidRDefault="00B26D56" w:rsidP="002613E2">
            <w:pPr>
              <w:jc w:val="both"/>
              <w:rPr>
                <w:iCs/>
              </w:rPr>
            </w:pPr>
            <w:r w:rsidRPr="004D1833">
              <w:rPr>
                <w:iCs/>
              </w:rPr>
              <w:t>Nav.</w:t>
            </w:r>
          </w:p>
        </w:tc>
      </w:tr>
    </w:tbl>
    <w:p w:rsidR="0066477E" w:rsidRPr="004D1833" w:rsidRDefault="0066477E" w:rsidP="0066477E"/>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00"/>
        <w:gridCol w:w="1206"/>
        <w:gridCol w:w="1121"/>
        <w:gridCol w:w="1450"/>
        <w:gridCol w:w="1450"/>
        <w:gridCol w:w="1450"/>
      </w:tblGrid>
      <w:tr w:rsidR="00246A12" w:rsidRPr="00DC734C" w:rsidTr="002335F2">
        <w:tc>
          <w:tcPr>
            <w:tcW w:w="9558" w:type="dxa"/>
            <w:gridSpan w:val="7"/>
            <w:shd w:val="clear" w:color="auto" w:fill="auto"/>
          </w:tcPr>
          <w:p w:rsidR="00246A12" w:rsidRPr="00DC734C" w:rsidRDefault="00246A12" w:rsidP="00B0409A">
            <w:pPr>
              <w:jc w:val="center"/>
              <w:rPr>
                <w:color w:val="000000" w:themeColor="text1"/>
              </w:rPr>
            </w:pPr>
            <w:r w:rsidRPr="00DC734C">
              <w:rPr>
                <w:color w:val="000000" w:themeColor="text1"/>
              </w:rPr>
              <w:br w:type="page"/>
            </w:r>
            <w:r w:rsidRPr="00DC734C">
              <w:rPr>
                <w:b/>
                <w:color w:val="000000" w:themeColor="text1"/>
              </w:rPr>
              <w:t>III.</w:t>
            </w:r>
            <w:r w:rsidRPr="00DC734C">
              <w:rPr>
                <w:color w:val="000000" w:themeColor="text1"/>
              </w:rPr>
              <w:t xml:space="preserve"> </w:t>
            </w:r>
            <w:r w:rsidRPr="00DC734C">
              <w:rPr>
                <w:b/>
                <w:bCs/>
                <w:color w:val="000000" w:themeColor="text1"/>
              </w:rPr>
              <w:t xml:space="preserve">Tiesību </w:t>
            </w:r>
            <w:smartTag w:uri="schemas-tilde-lv/tildestengine" w:element="veidnes">
              <w:smartTagPr>
                <w:attr w:name="text" w:val="akta"/>
                <w:attr w:name="id" w:val="-1"/>
                <w:attr w:name="baseform" w:val="akt|s"/>
              </w:smartTagPr>
              <w:r w:rsidRPr="00DC734C">
                <w:rPr>
                  <w:b/>
                  <w:bCs/>
                  <w:color w:val="000000" w:themeColor="text1"/>
                </w:rPr>
                <w:t>akta</w:t>
              </w:r>
            </w:smartTag>
            <w:r w:rsidRPr="00DC734C">
              <w:rPr>
                <w:b/>
                <w:bCs/>
                <w:color w:val="000000" w:themeColor="text1"/>
              </w:rPr>
              <w:t xml:space="preserve"> projekta ietekme uz valsts budžetu un pašvaldību budžetiem</w:t>
            </w:r>
          </w:p>
        </w:tc>
      </w:tr>
      <w:tr w:rsidR="00246A12" w:rsidRPr="00DC734C" w:rsidTr="002335F2">
        <w:trPr>
          <w:trHeight w:val="275"/>
        </w:trPr>
        <w:tc>
          <w:tcPr>
            <w:tcW w:w="2481" w:type="dxa"/>
            <w:vMerge w:val="restart"/>
            <w:shd w:val="clear" w:color="auto" w:fill="auto"/>
            <w:vAlign w:val="center"/>
          </w:tcPr>
          <w:p w:rsidR="00246A12" w:rsidRPr="00DC734C" w:rsidRDefault="00246A12" w:rsidP="00B0409A">
            <w:pPr>
              <w:jc w:val="center"/>
              <w:rPr>
                <w:color w:val="000000" w:themeColor="text1"/>
              </w:rPr>
            </w:pPr>
            <w:r w:rsidRPr="00DC734C">
              <w:rPr>
                <w:b/>
                <w:color w:val="000000" w:themeColor="text1"/>
                <w:sz w:val="22"/>
                <w:szCs w:val="22"/>
              </w:rPr>
              <w:t>Rādītāji</w:t>
            </w:r>
          </w:p>
        </w:tc>
        <w:tc>
          <w:tcPr>
            <w:tcW w:w="2727" w:type="dxa"/>
            <w:gridSpan w:val="3"/>
            <w:vMerge w:val="restart"/>
            <w:shd w:val="clear" w:color="auto" w:fill="auto"/>
            <w:vAlign w:val="center"/>
          </w:tcPr>
          <w:p w:rsidR="00246A12" w:rsidRPr="00DC734C" w:rsidRDefault="00246A12" w:rsidP="00B0409A">
            <w:pPr>
              <w:jc w:val="center"/>
              <w:rPr>
                <w:color w:val="000000" w:themeColor="text1"/>
              </w:rPr>
            </w:pPr>
            <w:r w:rsidRPr="00DC734C">
              <w:rPr>
                <w:b/>
                <w:color w:val="000000" w:themeColor="text1"/>
                <w:sz w:val="22"/>
                <w:szCs w:val="22"/>
              </w:rPr>
              <w:t>2017</w:t>
            </w:r>
          </w:p>
        </w:tc>
        <w:tc>
          <w:tcPr>
            <w:tcW w:w="4350" w:type="dxa"/>
            <w:gridSpan w:val="3"/>
            <w:shd w:val="clear" w:color="auto" w:fill="auto"/>
            <w:vAlign w:val="center"/>
          </w:tcPr>
          <w:p w:rsidR="00246A12" w:rsidRPr="00DC734C" w:rsidRDefault="00246A12" w:rsidP="00B0409A">
            <w:pPr>
              <w:jc w:val="center"/>
              <w:rPr>
                <w:color w:val="000000" w:themeColor="text1"/>
              </w:rPr>
            </w:pPr>
            <w:r w:rsidRPr="00DC734C">
              <w:rPr>
                <w:color w:val="000000" w:themeColor="text1"/>
                <w:sz w:val="22"/>
                <w:szCs w:val="22"/>
              </w:rPr>
              <w:t>Turpmākie trīs gadi (</w:t>
            </w:r>
            <w:proofErr w:type="spellStart"/>
            <w:r w:rsidRPr="00DC734C">
              <w:rPr>
                <w:i/>
                <w:color w:val="000000" w:themeColor="text1"/>
                <w:sz w:val="22"/>
                <w:szCs w:val="22"/>
              </w:rPr>
              <w:t>euro</w:t>
            </w:r>
            <w:proofErr w:type="spellEnd"/>
            <w:r w:rsidRPr="00DC734C">
              <w:rPr>
                <w:color w:val="000000" w:themeColor="text1"/>
                <w:sz w:val="22"/>
                <w:szCs w:val="22"/>
              </w:rPr>
              <w:t>)</w:t>
            </w:r>
          </w:p>
        </w:tc>
      </w:tr>
      <w:tr w:rsidR="00246A12" w:rsidRPr="00DC734C" w:rsidTr="002335F2">
        <w:tc>
          <w:tcPr>
            <w:tcW w:w="2481" w:type="dxa"/>
            <w:vMerge/>
            <w:shd w:val="clear" w:color="auto" w:fill="auto"/>
          </w:tcPr>
          <w:p w:rsidR="00246A12" w:rsidRPr="00DC734C" w:rsidRDefault="00246A12" w:rsidP="00B0409A">
            <w:pPr>
              <w:jc w:val="center"/>
              <w:rPr>
                <w:color w:val="000000" w:themeColor="text1"/>
              </w:rPr>
            </w:pPr>
          </w:p>
        </w:tc>
        <w:tc>
          <w:tcPr>
            <w:tcW w:w="2727" w:type="dxa"/>
            <w:gridSpan w:val="3"/>
            <w:vMerge/>
            <w:shd w:val="clear" w:color="auto" w:fill="auto"/>
          </w:tcPr>
          <w:p w:rsidR="00246A12" w:rsidRPr="00DC734C" w:rsidRDefault="00246A12" w:rsidP="00B0409A">
            <w:pPr>
              <w:jc w:val="center"/>
              <w:rPr>
                <w:b/>
                <w:color w:val="000000" w:themeColor="text1"/>
                <w:sz w:val="22"/>
                <w:szCs w:val="22"/>
              </w:rPr>
            </w:pPr>
          </w:p>
        </w:tc>
        <w:tc>
          <w:tcPr>
            <w:tcW w:w="1450" w:type="dxa"/>
            <w:shd w:val="clear" w:color="auto" w:fill="auto"/>
            <w:vAlign w:val="bottom"/>
          </w:tcPr>
          <w:p w:rsidR="00246A12" w:rsidRPr="00DC734C" w:rsidRDefault="00246A12" w:rsidP="00B0409A">
            <w:pPr>
              <w:pStyle w:val="naisf"/>
              <w:spacing w:before="0" w:after="0"/>
              <w:jc w:val="center"/>
              <w:rPr>
                <w:b/>
                <w:i/>
                <w:color w:val="000000" w:themeColor="text1"/>
                <w:sz w:val="22"/>
                <w:szCs w:val="22"/>
              </w:rPr>
            </w:pPr>
            <w:r w:rsidRPr="00DC734C">
              <w:rPr>
                <w:b/>
                <w:bCs/>
                <w:color w:val="000000" w:themeColor="text1"/>
                <w:sz w:val="22"/>
                <w:szCs w:val="22"/>
              </w:rPr>
              <w:t>2018</w:t>
            </w:r>
          </w:p>
        </w:tc>
        <w:tc>
          <w:tcPr>
            <w:tcW w:w="1450" w:type="dxa"/>
            <w:shd w:val="clear" w:color="auto" w:fill="auto"/>
            <w:vAlign w:val="bottom"/>
          </w:tcPr>
          <w:p w:rsidR="00246A12" w:rsidRPr="00DC734C" w:rsidRDefault="00246A12" w:rsidP="00B0409A">
            <w:pPr>
              <w:pStyle w:val="naisf"/>
              <w:spacing w:before="0" w:after="0"/>
              <w:jc w:val="center"/>
              <w:rPr>
                <w:b/>
                <w:i/>
                <w:color w:val="000000" w:themeColor="text1"/>
                <w:sz w:val="22"/>
                <w:szCs w:val="22"/>
              </w:rPr>
            </w:pPr>
            <w:r w:rsidRPr="00DC734C">
              <w:rPr>
                <w:b/>
                <w:bCs/>
                <w:color w:val="000000" w:themeColor="text1"/>
                <w:sz w:val="22"/>
                <w:szCs w:val="22"/>
              </w:rPr>
              <w:t>2019</w:t>
            </w:r>
          </w:p>
        </w:tc>
        <w:tc>
          <w:tcPr>
            <w:tcW w:w="1450" w:type="dxa"/>
            <w:shd w:val="clear" w:color="auto" w:fill="auto"/>
            <w:vAlign w:val="bottom"/>
          </w:tcPr>
          <w:p w:rsidR="00246A12" w:rsidRPr="00DC734C" w:rsidRDefault="00246A12" w:rsidP="00B0409A">
            <w:pPr>
              <w:pStyle w:val="naisf"/>
              <w:spacing w:before="0" w:after="0"/>
              <w:jc w:val="center"/>
              <w:rPr>
                <w:b/>
                <w:i/>
                <w:color w:val="000000" w:themeColor="text1"/>
                <w:sz w:val="22"/>
                <w:szCs w:val="22"/>
              </w:rPr>
            </w:pPr>
            <w:r w:rsidRPr="00DC734C">
              <w:rPr>
                <w:b/>
                <w:bCs/>
                <w:color w:val="000000" w:themeColor="text1"/>
                <w:sz w:val="22"/>
                <w:szCs w:val="22"/>
              </w:rPr>
              <w:t>2020</w:t>
            </w:r>
          </w:p>
        </w:tc>
      </w:tr>
      <w:tr w:rsidR="00246A12" w:rsidRPr="00DC734C" w:rsidTr="002335F2">
        <w:tc>
          <w:tcPr>
            <w:tcW w:w="2481" w:type="dxa"/>
            <w:vMerge/>
            <w:shd w:val="clear" w:color="auto" w:fill="auto"/>
            <w:vAlign w:val="bottom"/>
          </w:tcPr>
          <w:p w:rsidR="00246A12" w:rsidRPr="00DC734C" w:rsidRDefault="00246A12" w:rsidP="00B0409A">
            <w:pPr>
              <w:jc w:val="center"/>
              <w:rPr>
                <w:color w:val="000000" w:themeColor="text1"/>
                <w:sz w:val="22"/>
                <w:szCs w:val="22"/>
              </w:rPr>
            </w:pPr>
          </w:p>
        </w:tc>
        <w:tc>
          <w:tcPr>
            <w:tcW w:w="1606" w:type="dxa"/>
            <w:gridSpan w:val="2"/>
            <w:shd w:val="clear" w:color="auto" w:fill="auto"/>
          </w:tcPr>
          <w:p w:rsidR="00246A12" w:rsidRPr="00DC734C" w:rsidRDefault="00246A12" w:rsidP="00B0409A">
            <w:pPr>
              <w:jc w:val="center"/>
              <w:rPr>
                <w:color w:val="000000" w:themeColor="text1"/>
                <w:sz w:val="22"/>
                <w:szCs w:val="22"/>
              </w:rPr>
            </w:pPr>
            <w:r w:rsidRPr="00DC734C">
              <w:rPr>
                <w:color w:val="000000" w:themeColor="text1"/>
                <w:sz w:val="22"/>
                <w:szCs w:val="22"/>
              </w:rPr>
              <w:t>saskaņā ar valsts budžetu kārtējam gadam</w:t>
            </w:r>
          </w:p>
        </w:tc>
        <w:tc>
          <w:tcPr>
            <w:tcW w:w="1121" w:type="dxa"/>
            <w:shd w:val="clear" w:color="auto" w:fill="auto"/>
          </w:tcPr>
          <w:p w:rsidR="00246A12" w:rsidRPr="00DC734C" w:rsidRDefault="00246A12" w:rsidP="00B0409A">
            <w:pPr>
              <w:jc w:val="center"/>
              <w:rPr>
                <w:color w:val="000000" w:themeColor="text1"/>
                <w:sz w:val="22"/>
                <w:szCs w:val="22"/>
              </w:rPr>
            </w:pPr>
            <w:r w:rsidRPr="00DC734C">
              <w:rPr>
                <w:color w:val="000000" w:themeColor="text1"/>
                <w:sz w:val="22"/>
                <w:szCs w:val="22"/>
              </w:rPr>
              <w:t>izmaiņas kārtējā gadā salīdzinot ar valsts budžetu kārtējam gadam</w:t>
            </w:r>
          </w:p>
        </w:tc>
        <w:tc>
          <w:tcPr>
            <w:tcW w:w="1450" w:type="dxa"/>
            <w:shd w:val="clear" w:color="auto" w:fill="auto"/>
          </w:tcPr>
          <w:p w:rsidR="00246A12" w:rsidRPr="00DC734C" w:rsidRDefault="00246A12" w:rsidP="00B0409A">
            <w:pPr>
              <w:jc w:val="center"/>
              <w:rPr>
                <w:color w:val="000000" w:themeColor="text1"/>
                <w:sz w:val="22"/>
                <w:szCs w:val="22"/>
              </w:rPr>
            </w:pPr>
            <w:r w:rsidRPr="00DC734C">
              <w:rPr>
                <w:color w:val="000000" w:themeColor="text1"/>
                <w:sz w:val="22"/>
                <w:szCs w:val="22"/>
              </w:rPr>
              <w:t>izmaiņas salīdzinot ar kārtējo gadu</w:t>
            </w:r>
          </w:p>
        </w:tc>
        <w:tc>
          <w:tcPr>
            <w:tcW w:w="1450" w:type="dxa"/>
            <w:shd w:val="clear" w:color="auto" w:fill="auto"/>
          </w:tcPr>
          <w:p w:rsidR="00246A12" w:rsidRPr="00DC734C" w:rsidRDefault="00246A12" w:rsidP="00B0409A">
            <w:pPr>
              <w:jc w:val="center"/>
              <w:rPr>
                <w:color w:val="000000" w:themeColor="text1"/>
                <w:sz w:val="22"/>
                <w:szCs w:val="22"/>
              </w:rPr>
            </w:pPr>
            <w:r w:rsidRPr="00DC734C">
              <w:rPr>
                <w:color w:val="000000" w:themeColor="text1"/>
                <w:sz w:val="22"/>
                <w:szCs w:val="22"/>
              </w:rPr>
              <w:t>izmaiņas salīdzinot ar kārtējo gadu</w:t>
            </w:r>
          </w:p>
        </w:tc>
        <w:tc>
          <w:tcPr>
            <w:tcW w:w="1450" w:type="dxa"/>
            <w:shd w:val="clear" w:color="auto" w:fill="auto"/>
          </w:tcPr>
          <w:p w:rsidR="00246A12" w:rsidRPr="00DC734C" w:rsidRDefault="00246A12" w:rsidP="00B0409A">
            <w:pPr>
              <w:jc w:val="center"/>
              <w:rPr>
                <w:color w:val="000000" w:themeColor="text1"/>
                <w:sz w:val="22"/>
                <w:szCs w:val="22"/>
              </w:rPr>
            </w:pPr>
            <w:r w:rsidRPr="00DC734C">
              <w:rPr>
                <w:color w:val="000000" w:themeColor="text1"/>
                <w:sz w:val="22"/>
                <w:szCs w:val="22"/>
              </w:rPr>
              <w:t>izmaiņas salīdzinot ar kārtējo gadu</w:t>
            </w:r>
          </w:p>
        </w:tc>
      </w:tr>
      <w:tr w:rsidR="00246A12" w:rsidRPr="00DC734C" w:rsidTr="002335F2">
        <w:tc>
          <w:tcPr>
            <w:tcW w:w="2481" w:type="dxa"/>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1</w:t>
            </w:r>
          </w:p>
        </w:tc>
        <w:tc>
          <w:tcPr>
            <w:tcW w:w="1606" w:type="dxa"/>
            <w:gridSpan w:val="2"/>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2</w:t>
            </w:r>
          </w:p>
        </w:tc>
        <w:tc>
          <w:tcPr>
            <w:tcW w:w="1121" w:type="dxa"/>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3</w:t>
            </w: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4</w:t>
            </w: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5</w:t>
            </w: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r w:rsidRPr="00DC734C">
              <w:rPr>
                <w:b/>
                <w:color w:val="000000" w:themeColor="text1"/>
                <w:sz w:val="22"/>
                <w:szCs w:val="22"/>
              </w:rPr>
              <w:t>6</w:t>
            </w:r>
          </w:p>
        </w:tc>
      </w:tr>
      <w:tr w:rsidR="00246A12" w:rsidRPr="00DC734C" w:rsidTr="002335F2">
        <w:tc>
          <w:tcPr>
            <w:tcW w:w="2481" w:type="dxa"/>
            <w:shd w:val="clear" w:color="auto" w:fill="auto"/>
          </w:tcPr>
          <w:p w:rsidR="00246A12" w:rsidRPr="00DC734C" w:rsidRDefault="00246A12" w:rsidP="00B0409A">
            <w:pPr>
              <w:pStyle w:val="naisf"/>
              <w:spacing w:before="0" w:after="0"/>
              <w:jc w:val="center"/>
              <w:rPr>
                <w:b/>
                <w:color w:val="000000" w:themeColor="text1"/>
                <w:sz w:val="22"/>
                <w:szCs w:val="22"/>
              </w:rPr>
            </w:pPr>
          </w:p>
        </w:tc>
        <w:tc>
          <w:tcPr>
            <w:tcW w:w="1606" w:type="dxa"/>
            <w:gridSpan w:val="2"/>
            <w:shd w:val="clear" w:color="auto" w:fill="auto"/>
          </w:tcPr>
          <w:p w:rsidR="00246A12" w:rsidRPr="00DC734C" w:rsidRDefault="00246A12" w:rsidP="00B0409A">
            <w:pPr>
              <w:pStyle w:val="naisf"/>
              <w:spacing w:before="0" w:after="0"/>
              <w:jc w:val="center"/>
              <w:rPr>
                <w:b/>
                <w:color w:val="000000" w:themeColor="text1"/>
                <w:sz w:val="22"/>
                <w:szCs w:val="22"/>
              </w:rPr>
            </w:pPr>
          </w:p>
        </w:tc>
        <w:tc>
          <w:tcPr>
            <w:tcW w:w="1121" w:type="dxa"/>
            <w:shd w:val="clear" w:color="auto" w:fill="auto"/>
          </w:tcPr>
          <w:p w:rsidR="00246A12" w:rsidRPr="00DC734C" w:rsidRDefault="00246A12" w:rsidP="00B0409A">
            <w:pPr>
              <w:pStyle w:val="naisf"/>
              <w:spacing w:before="0" w:after="0"/>
              <w:jc w:val="center"/>
              <w:rPr>
                <w:b/>
                <w:color w:val="000000" w:themeColor="text1"/>
                <w:sz w:val="22"/>
                <w:szCs w:val="22"/>
              </w:rPr>
            </w:pP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p>
        </w:tc>
        <w:tc>
          <w:tcPr>
            <w:tcW w:w="1450" w:type="dxa"/>
            <w:shd w:val="clear" w:color="auto" w:fill="auto"/>
          </w:tcPr>
          <w:p w:rsidR="00246A12" w:rsidRPr="00DC734C" w:rsidRDefault="00246A12" w:rsidP="00B0409A">
            <w:pPr>
              <w:pStyle w:val="naisf"/>
              <w:spacing w:before="0" w:after="0"/>
              <w:jc w:val="center"/>
              <w:rPr>
                <w:b/>
                <w:color w:val="000000" w:themeColor="text1"/>
                <w:sz w:val="22"/>
                <w:szCs w:val="22"/>
              </w:rPr>
            </w:pP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 Budžeta ieņēmumi: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2 710 631 484</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1.1. valsts pamatbudžets, tai skaitā ieņēmumi no maksas pakalpojumiem un citi pašu ieņēmumi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287 214 157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04.00.00 "Valsts atbalsts sociālajai apdrošināšanai" vispārējā kārtībā sadalāmā dotācija no vispārējiem ieņēmumiem (EKK 21710)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27 867 970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20.01.00 „Valsts sociālie pabalsti”</w:t>
            </w:r>
            <w:proofErr w:type="gramStart"/>
            <w:r w:rsidRPr="00DC734C">
              <w:rPr>
                <w:color w:val="000000" w:themeColor="text1"/>
                <w:sz w:val="22"/>
                <w:szCs w:val="22"/>
              </w:rPr>
              <w:t xml:space="preserve">  </w:t>
            </w:r>
            <w:proofErr w:type="gramEnd"/>
            <w:r w:rsidRPr="00DC734C">
              <w:rPr>
                <w:color w:val="000000" w:themeColor="text1"/>
                <w:sz w:val="22"/>
                <w:szCs w:val="22"/>
              </w:rPr>
              <w:t>vispārējā kārtībā sadalāmā dotācija no vispārējiem ieņēmumiem (EKK 21710)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259 346 187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1.2. valsts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rPr>
              <w:t>2 486 205 154</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6 419</w:t>
            </w:r>
            <w:r w:rsidRPr="00DC734C">
              <w:rPr>
                <w:color w:val="000000" w:themeColor="text1"/>
                <w:sz w:val="22"/>
                <w:szCs w:val="22"/>
              </w:rPr>
              <w:t xml:space="preserve"> </w:t>
            </w:r>
            <w:r w:rsidRPr="00DC734C">
              <w:rPr>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7 407 </w:t>
            </w:r>
            <w:r w:rsidRPr="00DC734C">
              <w:rPr>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7 407 </w:t>
            </w:r>
            <w:r w:rsidRPr="00DC734C">
              <w:rPr>
                <w:color w:val="000000" w:themeColor="text1"/>
                <w:sz w:val="20"/>
                <w:szCs w:val="20"/>
              </w:rPr>
              <w:t>(konsolidējamā pozīcija – transferts no PB)</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lastRenderedPageBreak/>
              <w:t>04.01.00. "Valsts pensiju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1 859 407 187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5 335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6 156</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6 156</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proofErr w:type="spellStart"/>
            <w:r w:rsidRPr="00DC734C">
              <w:rPr>
                <w:i/>
                <w:color w:val="000000" w:themeColor="text1"/>
                <w:sz w:val="22"/>
                <w:szCs w:val="22"/>
              </w:rPr>
              <w:t>t.sk.,Valsts</w:t>
            </w:r>
            <w:proofErr w:type="spellEnd"/>
            <w:r w:rsidRPr="00DC734C">
              <w:rPr>
                <w:i/>
                <w:color w:val="000000" w:themeColor="text1"/>
                <w:sz w:val="22"/>
                <w:szCs w:val="22"/>
              </w:rPr>
              <w:t xml:space="preserve"> speciālajā budžetā saņemtie transferti no valsts pamatbudžeta (EKK18200)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172 386 927 </w:t>
            </w:r>
            <w:r w:rsidRPr="00DC734C">
              <w:rPr>
                <w:i/>
                <w:color w:val="000000" w:themeColor="text1"/>
                <w:sz w:val="20"/>
                <w:szCs w:val="20"/>
              </w:rPr>
              <w:t>(konsolidējamā pozīcija – transferts no PB)</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5 335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6 156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6 156 </w:t>
            </w:r>
            <w:r w:rsidRPr="00DC734C">
              <w:rPr>
                <w:i/>
                <w:color w:val="000000" w:themeColor="text1"/>
                <w:sz w:val="20"/>
                <w:szCs w:val="20"/>
              </w:rPr>
              <w:t>(konsolidējamā pozīcija – transferts no PB)</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04.02.00. "Nodarbinātības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150 486 972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490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566</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566</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t.sk., valsts speciālajā budžetā saņemtie transferti no valsts pamatbudžeta (EKK 18200)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261 635 </w:t>
            </w:r>
            <w:r w:rsidRPr="00DC734C">
              <w:rPr>
                <w:i/>
                <w:color w:val="000000" w:themeColor="text1"/>
                <w:sz w:val="20"/>
                <w:szCs w:val="20"/>
              </w:rPr>
              <w:t>(konsolidējamā pozīcija – transferts no PB)</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490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566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566 </w:t>
            </w:r>
            <w:r w:rsidRPr="00DC734C">
              <w:rPr>
                <w:i/>
                <w:color w:val="000000" w:themeColor="text1"/>
                <w:sz w:val="20"/>
                <w:szCs w:val="20"/>
              </w:rPr>
              <w:t>(konsolidējamā pozīcija – transferts no PB)</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04.04.00. "Invaliditātes, maternitātes un slimības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577 985 646</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594</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685</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685</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t.sk., valsts speciālajā budžetā saņemtie transferti no valsts pamatbudžeta (EKK 18200)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5 897 832 </w:t>
            </w:r>
            <w:r w:rsidRPr="00DC734C">
              <w:rPr>
                <w:i/>
                <w:color w:val="000000" w:themeColor="text1"/>
                <w:sz w:val="20"/>
                <w:szCs w:val="20"/>
              </w:rPr>
              <w:t>(konsolidējamā pozīcija – transferts no PB)</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594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685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 xml:space="preserve">685 </w:t>
            </w:r>
            <w:r w:rsidRPr="00DC734C">
              <w:rPr>
                <w:i/>
                <w:color w:val="000000" w:themeColor="text1"/>
                <w:sz w:val="20"/>
                <w:szCs w:val="20"/>
              </w:rPr>
              <w:t>(konsolidējamā pozīcija – transferts no PB)</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1.3. pašvaldību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 Budžeta izdevumi: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2 710 631 484</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131 231</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2.1. valsts pamatbudžets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287 214 157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131 231</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04.00.00 "Valsts atbalsts sociālajai apdrošināšanai"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27 867 970 </w:t>
            </w:r>
            <w:r w:rsidRPr="00DC734C">
              <w:rPr>
                <w:color w:val="000000" w:themeColor="text1"/>
                <w:sz w:val="20"/>
                <w:szCs w:val="20"/>
              </w:rPr>
              <w:t>(konsolidējamā pozīcija – transferts uz</w:t>
            </w:r>
            <w:proofErr w:type="gramStart"/>
            <w:r w:rsidRPr="00DC734C">
              <w:rPr>
                <w:color w:val="000000" w:themeColor="text1"/>
                <w:sz w:val="20"/>
                <w:szCs w:val="20"/>
              </w:rPr>
              <w:t xml:space="preserve">  </w:t>
            </w:r>
            <w:proofErr w:type="gramEnd"/>
            <w:r w:rsidRPr="00DC734C">
              <w:rPr>
                <w:color w:val="000000" w:themeColor="text1"/>
                <w:sz w:val="20"/>
                <w:szCs w:val="20"/>
              </w:rPr>
              <w:t>SB)</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6 419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7 407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7 407 </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 xml:space="preserve">20.01.00 „Valsts sociālie pabalsti”, t.sk. </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259 346 187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atlīdzība par adoptējamā bērna aprūpi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57 671</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i/>
                <w:color w:val="000000" w:themeColor="text1"/>
                <w:sz w:val="22"/>
                <w:szCs w:val="22"/>
              </w:rPr>
            </w:pPr>
            <w:r w:rsidRPr="00DC734C">
              <w:rPr>
                <w:i/>
                <w:color w:val="000000" w:themeColor="text1"/>
                <w:sz w:val="22"/>
                <w:szCs w:val="22"/>
              </w:rPr>
              <w:t>124 812</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2.2. valsts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2 420 910 292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2.3. pašvaldību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3. Finansiālā ietekme: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65 294 862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-131 231</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w:t>
            </w:r>
            <w:r>
              <w:rPr>
                <w:color w:val="000000" w:themeColor="text1"/>
                <w:sz w:val="22"/>
                <w:szCs w:val="22"/>
              </w:rPr>
              <w:t>131 219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w:t>
            </w:r>
            <w:r>
              <w:rPr>
                <w:color w:val="000000" w:themeColor="text1"/>
                <w:sz w:val="22"/>
                <w:szCs w:val="22"/>
              </w:rPr>
              <w:t>131 219</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3.1. valsts pamatbudžets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-131 231</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-132 219</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3.2.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65 294 862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3.3. pašvaldību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Pr>
                <w:color w:val="000000" w:themeColor="text1"/>
                <w:sz w:val="22"/>
                <w:szCs w:val="22"/>
              </w:rPr>
              <w:t>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4. Finanšu līdzekļi papildu izdevumu finansēšanai (kompensējošu izdevumu samazinājumu norāda ar "+" zīmi)*</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x</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 Precizēta finansiālā ietekme:</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x</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5.1. valsts pamatbudžets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5.2. speciālais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DC734C" w:rsidTr="002335F2">
        <w:tc>
          <w:tcPr>
            <w:tcW w:w="248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lastRenderedPageBreak/>
              <w:t>5.3. pašvaldību budžets</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46A12" w:rsidRPr="00DC734C" w:rsidRDefault="00246A12" w:rsidP="00B0409A">
            <w:pPr>
              <w:pStyle w:val="naisf"/>
              <w:rPr>
                <w:color w:val="000000" w:themeColor="text1"/>
                <w:sz w:val="22"/>
                <w:szCs w:val="22"/>
              </w:rPr>
            </w:pPr>
            <w:r w:rsidRPr="00DC734C">
              <w:rPr>
                <w:color w:val="000000" w:themeColor="text1"/>
                <w:sz w:val="22"/>
                <w:szCs w:val="22"/>
              </w:rPr>
              <w:t>0</w:t>
            </w:r>
          </w:p>
        </w:tc>
      </w:tr>
      <w:tr w:rsidR="00246A12" w:rsidRPr="004D1833" w:rsidTr="002335F2">
        <w:tc>
          <w:tcPr>
            <w:tcW w:w="9558" w:type="dxa"/>
            <w:gridSpan w:val="7"/>
            <w:shd w:val="clear" w:color="auto" w:fill="auto"/>
          </w:tcPr>
          <w:p w:rsidR="00246A12" w:rsidRPr="004D1833" w:rsidRDefault="00246A12" w:rsidP="00B0409A">
            <w:r w:rsidRPr="004D1833">
              <w:rPr>
                <w:sz w:val="22"/>
                <w:szCs w:val="22"/>
              </w:rPr>
              <w:t>6. Detalizēts ieņēmumu un izdevumu aprēķins (ja nepieciešams, detalizētu ieņēmumu un izdevumu aprēķinu var pievienot anotācijas pielikumā):</w:t>
            </w:r>
          </w:p>
        </w:tc>
      </w:tr>
      <w:tr w:rsidR="00246A12" w:rsidRPr="00307C75" w:rsidTr="002335F2">
        <w:tc>
          <w:tcPr>
            <w:tcW w:w="2881" w:type="dxa"/>
            <w:gridSpan w:val="2"/>
            <w:shd w:val="clear" w:color="auto" w:fill="auto"/>
          </w:tcPr>
          <w:p w:rsidR="00246A12" w:rsidRPr="004D1833" w:rsidRDefault="00246A12" w:rsidP="00B0409A">
            <w:pPr>
              <w:rPr>
                <w:sz w:val="22"/>
                <w:szCs w:val="22"/>
              </w:rPr>
            </w:pPr>
            <w:r w:rsidRPr="004D1833">
              <w:rPr>
                <w:sz w:val="22"/>
                <w:szCs w:val="22"/>
              </w:rPr>
              <w:t>6.1. Detalizēts ieņēmumu aprēķins</w:t>
            </w:r>
          </w:p>
        </w:tc>
        <w:tc>
          <w:tcPr>
            <w:tcW w:w="6677" w:type="dxa"/>
            <w:gridSpan w:val="5"/>
            <w:vMerge w:val="restart"/>
            <w:shd w:val="clear" w:color="auto" w:fill="auto"/>
            <w:vAlign w:val="center"/>
          </w:tcPr>
          <w:p w:rsidR="00246A12" w:rsidRPr="008045CD" w:rsidRDefault="00246A12" w:rsidP="00B0409A">
            <w:pPr>
              <w:jc w:val="both"/>
              <w:rPr>
                <w:rFonts w:eastAsia="Calibri"/>
                <w:lang w:eastAsia="en-US"/>
              </w:rPr>
            </w:pPr>
            <w:r w:rsidRPr="00307C75">
              <w:rPr>
                <w:rFonts w:eastAsia="Calibri"/>
                <w:color w:val="000000" w:themeColor="text1"/>
                <w:lang w:eastAsia="en-US"/>
              </w:rPr>
              <w:t xml:space="preserve">* </w:t>
            </w:r>
            <w:r w:rsidRPr="00307C75">
              <w:rPr>
                <w:color w:val="000000" w:themeColor="text1"/>
              </w:rPr>
              <w:t xml:space="preserve">Atbilstoši MK 08.09.2017. sēdes protokollēmuma Nr.44 1.§ “Informatīvais ziņojums par fiskālās telpas pasākumiem un izdevumiem prioritārajiem pasākumiem valsts budžetam </w:t>
            </w:r>
            <w:proofErr w:type="gramStart"/>
            <w:r w:rsidRPr="00307C75">
              <w:rPr>
                <w:color w:val="000000" w:themeColor="text1"/>
              </w:rPr>
              <w:t>2018.gadam</w:t>
            </w:r>
            <w:proofErr w:type="gramEnd"/>
            <w:r w:rsidRPr="00307C75">
              <w:rPr>
                <w:color w:val="000000" w:themeColor="text1"/>
              </w:rPr>
              <w:t xml:space="preserve"> un ietvaram 2018.-2020.gadam” atbalstīti priekšlikumi papildu finansējumam Labklājības ministrijas prioritārajam pasākumam “</w:t>
            </w:r>
            <w:r w:rsidRPr="00307C75">
              <w:rPr>
                <w:rFonts w:eastAsia="Calibri"/>
                <w:color w:val="000000" w:themeColor="text1"/>
                <w:lang w:eastAsia="en-US"/>
              </w:rPr>
              <w:t xml:space="preserve">Alternatīvo ģimenes aprūpes formu attīstība” finansēšanai ik gadu 2 961 203 </w:t>
            </w:r>
            <w:proofErr w:type="spellStart"/>
            <w:r w:rsidRPr="00307C75">
              <w:rPr>
                <w:rFonts w:eastAsia="Calibri"/>
                <w:color w:val="000000" w:themeColor="text1"/>
                <w:lang w:eastAsia="en-US"/>
              </w:rPr>
              <w:t>euro</w:t>
            </w:r>
            <w:proofErr w:type="spellEnd"/>
            <w:r w:rsidRPr="00307C75">
              <w:rPr>
                <w:rFonts w:eastAsia="Calibri"/>
                <w:color w:val="000000" w:themeColor="text1"/>
                <w:lang w:eastAsia="en-US"/>
              </w:rPr>
              <w:t xml:space="preserve"> apmērā, tajā skaitā attiecībā uz šo noteikumu projektu 2018.gadā </w:t>
            </w:r>
            <w:r w:rsidRPr="008045CD">
              <w:rPr>
                <w:rFonts w:eastAsia="Calibri"/>
                <w:lang w:eastAsia="en-US"/>
              </w:rPr>
              <w:t xml:space="preserve">131 231 </w:t>
            </w:r>
            <w:proofErr w:type="spellStart"/>
            <w:r w:rsidRPr="008045CD">
              <w:rPr>
                <w:rFonts w:eastAsia="Calibri"/>
                <w:lang w:eastAsia="en-US"/>
              </w:rPr>
              <w:t>euro</w:t>
            </w:r>
            <w:proofErr w:type="spellEnd"/>
            <w:r w:rsidRPr="008045CD">
              <w:rPr>
                <w:rFonts w:eastAsia="Calibri"/>
                <w:lang w:eastAsia="en-US"/>
              </w:rPr>
              <w:t xml:space="preserve"> apmērā un 2019.gadā un turpmāk ik gadu 132 219 </w:t>
            </w:r>
            <w:proofErr w:type="spellStart"/>
            <w:r w:rsidRPr="008045CD">
              <w:rPr>
                <w:rFonts w:eastAsia="Calibri"/>
                <w:lang w:eastAsia="en-US"/>
              </w:rPr>
              <w:t>euro</w:t>
            </w:r>
            <w:proofErr w:type="spellEnd"/>
            <w:r w:rsidRPr="008045CD">
              <w:rPr>
                <w:rFonts w:eastAsia="Calibri"/>
                <w:lang w:eastAsia="en-US"/>
              </w:rPr>
              <w:t xml:space="preserve"> apmērā</w:t>
            </w:r>
            <w:r w:rsidR="008045CD">
              <w:rPr>
                <w:rFonts w:eastAsia="Calibri"/>
                <w:lang w:eastAsia="en-US"/>
              </w:rPr>
              <w:t>.</w:t>
            </w:r>
          </w:p>
          <w:p w:rsidR="00246A12" w:rsidRPr="00307C75" w:rsidRDefault="00246A12" w:rsidP="00B0409A">
            <w:pPr>
              <w:jc w:val="both"/>
              <w:rPr>
                <w:color w:val="000000" w:themeColor="text1"/>
              </w:rPr>
            </w:pPr>
            <w:r w:rsidRPr="00307C75">
              <w:rPr>
                <w:color w:val="000000" w:themeColor="text1"/>
              </w:rPr>
              <w:t xml:space="preserve">Finansējums iekļauts Labklājības ministrijas pamatbudžeta maksimāli pieļaujamos valsts budžeta izdevumu kopējos apjomos 2018., 2019. un </w:t>
            </w:r>
            <w:proofErr w:type="gramStart"/>
            <w:r w:rsidRPr="00307C75">
              <w:rPr>
                <w:color w:val="000000" w:themeColor="text1"/>
              </w:rPr>
              <w:t>2020.gadam</w:t>
            </w:r>
            <w:proofErr w:type="gramEnd"/>
            <w:r w:rsidRPr="00307C75">
              <w:rPr>
                <w:color w:val="000000" w:themeColor="text1"/>
              </w:rPr>
              <w:t xml:space="preserve"> un attiecīgi ir iekļauts likumprojektā “Par valsts budžetu 2018.gadam” </w:t>
            </w:r>
            <w:r>
              <w:rPr>
                <w:color w:val="000000" w:themeColor="text1"/>
              </w:rPr>
              <w:t>u</w:t>
            </w:r>
            <w:r w:rsidRPr="00307C75">
              <w:rPr>
                <w:color w:val="000000" w:themeColor="text1"/>
              </w:rPr>
              <w:t>n likumprojektā “Par vidēja termina budžeta ietvaru 2018.,  2019. un 2020.gadam”.</w:t>
            </w:r>
          </w:p>
          <w:p w:rsidR="00246A12" w:rsidRPr="00307C75" w:rsidRDefault="00246A12" w:rsidP="00B0409A">
            <w:pPr>
              <w:jc w:val="both"/>
              <w:rPr>
                <w:color w:val="000000" w:themeColor="text1"/>
              </w:rPr>
            </w:pPr>
            <w:r w:rsidRPr="00307C75">
              <w:rPr>
                <w:color w:val="000000" w:themeColor="text1"/>
              </w:rPr>
              <w:t xml:space="preserve">Atlīdzību par adoptējamā bērna līdz 8 gadu vecumam aprūpi sociāli apdrošinātām personām no </w:t>
            </w:r>
            <w:proofErr w:type="gramStart"/>
            <w:r w:rsidRPr="00307C75">
              <w:rPr>
                <w:color w:val="000000" w:themeColor="text1"/>
              </w:rPr>
              <w:t>2018.gada</w:t>
            </w:r>
            <w:proofErr w:type="gramEnd"/>
            <w:r w:rsidRPr="00307C75">
              <w:rPr>
                <w:color w:val="000000" w:themeColor="text1"/>
              </w:rPr>
              <w:t xml:space="preserve"> 1.janvāra paredzēts rēķināt </w:t>
            </w:r>
            <w:r w:rsidRPr="00307C75">
              <w:rPr>
                <w:rFonts w:eastAsiaTheme="minorHAnsi"/>
                <w:color w:val="000000" w:themeColor="text1"/>
                <w:lang w:eastAsia="en-US"/>
              </w:rPr>
              <w:t xml:space="preserve">70% no </w:t>
            </w:r>
            <w:r w:rsidRPr="00307C75">
              <w:rPr>
                <w:rFonts w:eastAsiaTheme="minorHAnsi"/>
                <w:bCs/>
                <w:color w:val="000000" w:themeColor="text1"/>
                <w:lang w:eastAsia="en-US"/>
              </w:rPr>
              <w:t>valstī noteiktās vidējās apdrošināšanas iemaksu algas (kalendāra gadā, kas beidzas gadu pirms tā gada, kurā tiek piešķirta atlīdzība par adoptējamā bērna aprūpi)</w:t>
            </w:r>
            <w:r w:rsidRPr="00307C75">
              <w:rPr>
                <w:color w:val="000000" w:themeColor="text1"/>
              </w:rPr>
              <w:t xml:space="preserve"> (pašreiz - 171</w:t>
            </w:r>
            <w:r w:rsidRPr="00307C75">
              <w:rPr>
                <w:rStyle w:val="apple-converted-space"/>
                <w:color w:val="000000" w:themeColor="text1"/>
              </w:rPr>
              <w:t> </w:t>
            </w:r>
            <w:proofErr w:type="spellStart"/>
            <w:r w:rsidRPr="00307C75">
              <w:rPr>
                <w:i/>
                <w:color w:val="000000" w:themeColor="text1"/>
              </w:rPr>
              <w:t>euro</w:t>
            </w:r>
            <w:proofErr w:type="spellEnd"/>
            <w:r w:rsidRPr="00307C75">
              <w:rPr>
                <w:rStyle w:val="Emphasis"/>
                <w:color w:val="000000" w:themeColor="text1"/>
              </w:rPr>
              <w:t>)</w:t>
            </w:r>
            <w:r w:rsidRPr="00307C75">
              <w:rPr>
                <w:color w:val="000000" w:themeColor="text1"/>
              </w:rPr>
              <w:t>. A</w:t>
            </w:r>
            <w:r w:rsidRPr="00307C75">
              <w:rPr>
                <w:iCs/>
                <w:color w:val="000000" w:themeColor="text1"/>
              </w:rPr>
              <w:t>doptētājiem, kuri nav sociāli apdrošināti, kā arī par bērnu vecumā no 8-17 gadiem aprūpi,</w:t>
            </w:r>
            <w:r w:rsidRPr="00307C75">
              <w:rPr>
                <w:color w:val="000000" w:themeColor="text1"/>
              </w:rPr>
              <w:t> </w:t>
            </w:r>
            <w:r w:rsidRPr="00307C75">
              <w:rPr>
                <w:iCs/>
                <w:color w:val="000000" w:themeColor="text1"/>
              </w:rPr>
              <w:t xml:space="preserve">adoptējamā bērna aprūpes pabalsts tiek maksāts 171 </w:t>
            </w:r>
            <w:proofErr w:type="spellStart"/>
            <w:r w:rsidRPr="00307C75">
              <w:rPr>
                <w:iCs/>
                <w:color w:val="000000" w:themeColor="text1"/>
              </w:rPr>
              <w:t>euro</w:t>
            </w:r>
            <w:proofErr w:type="spellEnd"/>
            <w:r w:rsidRPr="00307C75">
              <w:rPr>
                <w:iCs/>
                <w:color w:val="000000" w:themeColor="text1"/>
              </w:rPr>
              <w:t xml:space="preserve">. Ja adoptētājs aprūpētu vienlaikus vairākus bērnus, par nākamo būtu piemaksa 171 </w:t>
            </w:r>
            <w:proofErr w:type="spellStart"/>
            <w:r w:rsidRPr="00307C75">
              <w:rPr>
                <w:iCs/>
                <w:color w:val="000000" w:themeColor="text1"/>
              </w:rPr>
              <w:t>euro</w:t>
            </w:r>
            <w:proofErr w:type="spellEnd"/>
            <w:r w:rsidRPr="00307C75">
              <w:rPr>
                <w:iCs/>
                <w:color w:val="000000" w:themeColor="text1"/>
              </w:rPr>
              <w:t xml:space="preserve"> apmērā. Tādēļ turpmākais aprēķins veikts, pieņemot, ka visi adoptētāji saņemtu pabalstu 70% atkarībā no valstī vidējās iemaksu algas.</w:t>
            </w:r>
          </w:p>
          <w:p w:rsidR="00246A12" w:rsidRPr="00307C75" w:rsidRDefault="00246A12" w:rsidP="00B0409A">
            <w:pPr>
              <w:jc w:val="both"/>
              <w:rPr>
                <w:color w:val="000000" w:themeColor="text1"/>
              </w:rPr>
            </w:pPr>
            <w:r w:rsidRPr="00307C75">
              <w:rPr>
                <w:color w:val="000000" w:themeColor="text1"/>
              </w:rPr>
              <w:t>V</w:t>
            </w:r>
            <w:r w:rsidRPr="00307C75">
              <w:rPr>
                <w:rFonts w:eastAsiaTheme="minorHAnsi"/>
                <w:color w:val="000000" w:themeColor="text1"/>
                <w:lang w:eastAsia="en-US"/>
              </w:rPr>
              <w:t xml:space="preserve">idējā sociālās apdrošināšanas iemaksu alga valstī </w:t>
            </w:r>
            <w:proofErr w:type="gramStart"/>
            <w:r w:rsidRPr="00307C75">
              <w:rPr>
                <w:rFonts w:eastAsiaTheme="minorHAnsi"/>
                <w:color w:val="000000" w:themeColor="text1"/>
                <w:lang w:eastAsia="en-US"/>
              </w:rPr>
              <w:t>2016.gadā</w:t>
            </w:r>
            <w:proofErr w:type="gramEnd"/>
            <w:r w:rsidRPr="00307C75">
              <w:rPr>
                <w:rFonts w:eastAsiaTheme="minorHAnsi"/>
                <w:color w:val="000000" w:themeColor="text1"/>
                <w:lang w:eastAsia="en-US"/>
              </w:rPr>
              <w:t xml:space="preserve"> – 698,64 </w:t>
            </w:r>
            <w:proofErr w:type="spellStart"/>
            <w:r w:rsidRPr="00307C75">
              <w:rPr>
                <w:rFonts w:eastAsiaTheme="minorHAnsi"/>
                <w:color w:val="000000" w:themeColor="text1"/>
                <w:lang w:eastAsia="en-US"/>
              </w:rPr>
              <w:t>euro</w:t>
            </w:r>
            <w:proofErr w:type="spellEnd"/>
            <w:r w:rsidRPr="00307C75">
              <w:rPr>
                <w:rFonts w:eastAsiaTheme="minorHAnsi"/>
                <w:color w:val="000000" w:themeColor="text1"/>
                <w:lang w:eastAsia="en-US"/>
              </w:rPr>
              <w:t xml:space="preserve"> (70%=489 </w:t>
            </w:r>
            <w:proofErr w:type="spellStart"/>
            <w:r w:rsidRPr="00307C75">
              <w:rPr>
                <w:rFonts w:eastAsiaTheme="minorHAnsi"/>
                <w:color w:val="000000" w:themeColor="text1"/>
                <w:lang w:eastAsia="en-US"/>
              </w:rPr>
              <w:t>euro</w:t>
            </w:r>
            <w:proofErr w:type="spellEnd"/>
            <w:r w:rsidRPr="00307C75">
              <w:rPr>
                <w:rFonts w:eastAsiaTheme="minorHAnsi"/>
                <w:color w:val="000000" w:themeColor="text1"/>
                <w:lang w:eastAsia="en-US"/>
              </w:rPr>
              <w:t>).</w:t>
            </w:r>
          </w:p>
          <w:p w:rsidR="00246A12" w:rsidRPr="00307C75" w:rsidRDefault="00246A12" w:rsidP="00B0409A">
            <w:pPr>
              <w:jc w:val="both"/>
              <w:rPr>
                <w:color w:val="000000" w:themeColor="text1"/>
              </w:rPr>
            </w:pPr>
            <w:r w:rsidRPr="00307C75">
              <w:rPr>
                <w:color w:val="000000" w:themeColor="text1"/>
              </w:rPr>
              <w:t xml:space="preserve">Saskaņā ar LM pamatbudžeta programmas “20.01.00 “Valsts sociālie pabalstu” bāzes projektu </w:t>
            </w:r>
            <w:proofErr w:type="gramStart"/>
            <w:r w:rsidRPr="00307C75">
              <w:rPr>
                <w:color w:val="000000" w:themeColor="text1"/>
              </w:rPr>
              <w:t>2018.gadam</w:t>
            </w:r>
            <w:proofErr w:type="gramEnd"/>
            <w:r w:rsidRPr="00307C75">
              <w:rPr>
                <w:color w:val="000000" w:themeColor="text1"/>
              </w:rPr>
              <w:t xml:space="preserve"> atlīdzības saņēmēju skaits tiek plānots 31 personas vidēji mēnesī. Tiek pieņemts, ka kontingents palielināsies par 5%, un </w:t>
            </w:r>
            <w:proofErr w:type="gramStart"/>
            <w:r w:rsidRPr="00307C75">
              <w:rPr>
                <w:color w:val="000000" w:themeColor="text1"/>
              </w:rPr>
              <w:t>2018.gadā</w:t>
            </w:r>
            <w:proofErr w:type="gramEnd"/>
            <w:r w:rsidRPr="00307C75">
              <w:rPr>
                <w:color w:val="000000" w:themeColor="text1"/>
              </w:rPr>
              <w:t xml:space="preserve"> būs 33 saņēmēji vidēji mēnesī.</w:t>
            </w:r>
          </w:p>
          <w:p w:rsidR="00246A12" w:rsidRPr="00307C75" w:rsidRDefault="00246A12" w:rsidP="00B0409A">
            <w:pPr>
              <w:jc w:val="both"/>
              <w:rPr>
                <w:color w:val="000000" w:themeColor="text1"/>
              </w:rPr>
            </w:pPr>
            <w:r w:rsidRPr="00307C75">
              <w:rPr>
                <w:color w:val="000000" w:themeColor="text1"/>
              </w:rPr>
              <w:t xml:space="preserve">Plānots, ka atlīdzības palielināšanas rezultātā vidējais atlīdzības apmērs uz kopējo kontingentu pieaugs par 315,18 </w:t>
            </w:r>
            <w:proofErr w:type="spellStart"/>
            <w:r w:rsidRPr="00307C75">
              <w:rPr>
                <w:i/>
                <w:color w:val="000000" w:themeColor="text1"/>
              </w:rPr>
              <w:t>euro</w:t>
            </w:r>
            <w:proofErr w:type="spellEnd"/>
            <w:r w:rsidRPr="00307C75">
              <w:rPr>
                <w:color w:val="000000" w:themeColor="text1"/>
              </w:rPr>
              <w:t>.</w:t>
            </w:r>
          </w:p>
          <w:p w:rsidR="00246A12" w:rsidRPr="00307C75" w:rsidRDefault="00246A12" w:rsidP="00B0409A">
            <w:pPr>
              <w:jc w:val="both"/>
              <w:rPr>
                <w:color w:val="000000" w:themeColor="text1"/>
              </w:rPr>
            </w:pPr>
          </w:p>
          <w:p w:rsidR="00246A12" w:rsidRPr="00307C75" w:rsidRDefault="00246A12" w:rsidP="00B0409A">
            <w:pPr>
              <w:jc w:val="both"/>
              <w:rPr>
                <w:color w:val="000000" w:themeColor="text1"/>
              </w:rPr>
            </w:pPr>
            <w:r w:rsidRPr="00307C75">
              <w:rPr>
                <w:color w:val="000000" w:themeColor="text1"/>
                <w:u w:val="single"/>
              </w:rPr>
              <w:t xml:space="preserve">Papildus nepieciešamais finansējums </w:t>
            </w:r>
            <w:proofErr w:type="gramStart"/>
            <w:r w:rsidRPr="00307C75">
              <w:rPr>
                <w:color w:val="000000" w:themeColor="text1"/>
                <w:u w:val="single"/>
              </w:rPr>
              <w:t>2018.gadā</w:t>
            </w:r>
            <w:proofErr w:type="gramEnd"/>
            <w:r w:rsidRPr="00307C75">
              <w:rPr>
                <w:color w:val="000000" w:themeColor="text1"/>
              </w:rPr>
              <w:t>:</w:t>
            </w:r>
          </w:p>
          <w:p w:rsidR="00246A12" w:rsidRPr="00307C75" w:rsidRDefault="00246A12" w:rsidP="00B0409A">
            <w:pPr>
              <w:jc w:val="both"/>
              <w:rPr>
                <w:color w:val="000000" w:themeColor="text1"/>
              </w:rPr>
            </w:pPr>
            <w:r w:rsidRPr="00307C75">
              <w:rPr>
                <w:color w:val="000000" w:themeColor="text1"/>
              </w:rPr>
              <w:t xml:space="preserve">33 x 315,18 </w:t>
            </w:r>
            <w:proofErr w:type="spellStart"/>
            <w:r w:rsidRPr="00307C75">
              <w:rPr>
                <w:i/>
                <w:color w:val="000000" w:themeColor="text1"/>
              </w:rPr>
              <w:t>euro</w:t>
            </w:r>
            <w:proofErr w:type="spellEnd"/>
            <w:r w:rsidRPr="00307C75">
              <w:rPr>
                <w:color w:val="000000" w:themeColor="text1"/>
              </w:rPr>
              <w:t xml:space="preserve"> x 12 mēneši = 124 811,28</w:t>
            </w:r>
            <w:r w:rsidRPr="00307C75">
              <w:rPr>
                <w:b/>
                <w:i/>
                <w:color w:val="000000" w:themeColor="text1"/>
              </w:rPr>
              <w:t xml:space="preserve"> </w:t>
            </w:r>
            <w:proofErr w:type="spellStart"/>
            <w:r w:rsidRPr="00307C75">
              <w:rPr>
                <w:color w:val="000000" w:themeColor="text1"/>
              </w:rPr>
              <w:t>euro</w:t>
            </w:r>
            <w:proofErr w:type="spellEnd"/>
            <w:r w:rsidRPr="00307C75">
              <w:rPr>
                <w:color w:val="000000" w:themeColor="text1"/>
              </w:rPr>
              <w:t xml:space="preserve"> (noapaļojot līdz 124 812 </w:t>
            </w:r>
            <w:proofErr w:type="spellStart"/>
            <w:r w:rsidRPr="00307C75">
              <w:rPr>
                <w:color w:val="000000" w:themeColor="text1"/>
              </w:rPr>
              <w:t>euro</w:t>
            </w:r>
            <w:proofErr w:type="spellEnd"/>
            <w:r w:rsidRPr="00307C75">
              <w:rPr>
                <w:color w:val="000000" w:themeColor="text1"/>
              </w:rPr>
              <w:t>).</w:t>
            </w:r>
          </w:p>
          <w:p w:rsidR="00246A12" w:rsidRPr="00307C75" w:rsidRDefault="00246A12" w:rsidP="00B0409A">
            <w:pPr>
              <w:rPr>
                <w:color w:val="000000" w:themeColor="text1"/>
              </w:rPr>
            </w:pPr>
          </w:p>
          <w:p w:rsidR="00246A12" w:rsidRPr="00307C75" w:rsidRDefault="00246A12" w:rsidP="00B0409A">
            <w:pPr>
              <w:jc w:val="both"/>
              <w:rPr>
                <w:color w:val="000000" w:themeColor="text1"/>
              </w:rPr>
            </w:pPr>
            <w:r w:rsidRPr="00307C75">
              <w:rPr>
                <w:color w:val="000000" w:themeColor="text1"/>
              </w:rPr>
              <w:t xml:space="preserve">Šobrīd tiek pieņemts, ka 2019. un </w:t>
            </w:r>
            <w:proofErr w:type="gramStart"/>
            <w:r w:rsidRPr="00307C75">
              <w:rPr>
                <w:color w:val="000000" w:themeColor="text1"/>
              </w:rPr>
              <w:t>2020.gadam</w:t>
            </w:r>
            <w:proofErr w:type="gramEnd"/>
            <w:r w:rsidRPr="00307C75">
              <w:rPr>
                <w:color w:val="000000" w:themeColor="text1"/>
              </w:rPr>
              <w:t xml:space="preserve"> papildus nepieciešamie izdevumi saglabājas 2018.gadam piešķirtajā apmērā jeb 124 812 </w:t>
            </w:r>
            <w:proofErr w:type="spellStart"/>
            <w:r w:rsidRPr="00307C75">
              <w:rPr>
                <w:i/>
                <w:color w:val="000000" w:themeColor="text1"/>
              </w:rPr>
              <w:t>euro</w:t>
            </w:r>
            <w:proofErr w:type="spellEnd"/>
            <w:r w:rsidRPr="00307C75">
              <w:rPr>
                <w:color w:val="000000" w:themeColor="text1"/>
              </w:rPr>
              <w:t xml:space="preserve"> ik gadus.</w:t>
            </w:r>
          </w:p>
          <w:p w:rsidR="00246A12" w:rsidRPr="00307C75" w:rsidRDefault="00246A12" w:rsidP="00B0409A">
            <w:pPr>
              <w:jc w:val="both"/>
              <w:rPr>
                <w:color w:val="000000" w:themeColor="text1"/>
              </w:rPr>
            </w:pPr>
          </w:p>
          <w:p w:rsidR="00246A12" w:rsidRPr="00307C75" w:rsidRDefault="00246A12" w:rsidP="00B0409A">
            <w:pPr>
              <w:jc w:val="both"/>
              <w:rPr>
                <w:color w:val="000000" w:themeColor="text1"/>
              </w:rPr>
            </w:pPr>
            <w:r w:rsidRPr="00307C75">
              <w:rPr>
                <w:color w:val="000000" w:themeColor="text1"/>
              </w:rPr>
              <w:t xml:space="preserve">Sakarā ar personu, kuras saņem atlīdzību par adoptējamā bērna aprūpi, skaita palielinājumu, par kurām tiktu veiktas iemaksas </w:t>
            </w:r>
            <w:r w:rsidRPr="00307C75">
              <w:rPr>
                <w:color w:val="000000" w:themeColor="text1"/>
              </w:rPr>
              <w:lastRenderedPageBreak/>
              <w:t>(atbilstoši budžeta bāzes projektam – 20 personas vidēji mēnesī 2018.-</w:t>
            </w:r>
            <w:proofErr w:type="gramStart"/>
            <w:r w:rsidRPr="00307C75">
              <w:rPr>
                <w:color w:val="000000" w:themeColor="text1"/>
              </w:rPr>
              <w:t>2020.gadā</w:t>
            </w:r>
            <w:proofErr w:type="gramEnd"/>
            <w:r w:rsidRPr="00307C75">
              <w:rPr>
                <w:color w:val="000000" w:themeColor="text1"/>
              </w:rPr>
              <w:t xml:space="preserve">) tiek plānots arī izdevumu palielinājums sociālajām iemaksām pensiju apdrošināšanai, apdrošināšanai pret bezdarbu un invaliditātes apdrošināšanai 2018.gadā par 6 419 </w:t>
            </w:r>
            <w:proofErr w:type="spellStart"/>
            <w:r w:rsidRPr="00307C75">
              <w:rPr>
                <w:color w:val="000000" w:themeColor="text1"/>
              </w:rPr>
              <w:t>euro</w:t>
            </w:r>
            <w:proofErr w:type="spellEnd"/>
            <w:r w:rsidRPr="00307C75">
              <w:rPr>
                <w:color w:val="000000" w:themeColor="text1"/>
              </w:rPr>
              <w:t xml:space="preserve">, bet 2019.-2020.gadā – par 7 407 </w:t>
            </w:r>
            <w:proofErr w:type="spellStart"/>
            <w:r w:rsidRPr="00307C75">
              <w:rPr>
                <w:color w:val="000000" w:themeColor="text1"/>
              </w:rPr>
              <w:t>euro</w:t>
            </w:r>
            <w:proofErr w:type="spellEnd"/>
            <w:r w:rsidRPr="00307C75">
              <w:rPr>
                <w:color w:val="000000" w:themeColor="text1"/>
              </w:rPr>
              <w:t>.</w:t>
            </w:r>
          </w:p>
          <w:tbl>
            <w:tblPr>
              <w:tblStyle w:val="TableGrid"/>
              <w:tblW w:w="0" w:type="auto"/>
              <w:tblLook w:val="04A0" w:firstRow="1" w:lastRow="0" w:firstColumn="1" w:lastColumn="0" w:noHBand="0" w:noVBand="1"/>
            </w:tblPr>
            <w:tblGrid>
              <w:gridCol w:w="2819"/>
              <w:gridCol w:w="1281"/>
              <w:gridCol w:w="1281"/>
              <w:gridCol w:w="1070"/>
            </w:tblGrid>
            <w:tr w:rsidR="00246A12" w:rsidRPr="00307C75" w:rsidTr="00B0409A">
              <w:tc>
                <w:tcPr>
                  <w:tcW w:w="3006" w:type="dxa"/>
                </w:tcPr>
                <w:p w:rsidR="00246A12" w:rsidRPr="00FD7FC8" w:rsidRDefault="00246A12" w:rsidP="00B0409A">
                  <w:pPr>
                    <w:rPr>
                      <w:color w:val="000000" w:themeColor="text1"/>
                      <w:sz w:val="22"/>
                      <w:szCs w:val="22"/>
                    </w:rPr>
                  </w:pPr>
                </w:p>
              </w:tc>
              <w:tc>
                <w:tcPr>
                  <w:tcW w:w="1366" w:type="dxa"/>
                </w:tcPr>
                <w:p w:rsidR="00246A12" w:rsidRPr="00FD7FC8" w:rsidRDefault="00246A12" w:rsidP="00B0409A">
                  <w:pPr>
                    <w:jc w:val="center"/>
                    <w:rPr>
                      <w:b/>
                      <w:color w:val="000000" w:themeColor="text1"/>
                      <w:sz w:val="22"/>
                      <w:szCs w:val="22"/>
                    </w:rPr>
                  </w:pPr>
                  <w:r w:rsidRPr="00FD7FC8">
                    <w:rPr>
                      <w:b/>
                      <w:color w:val="000000" w:themeColor="text1"/>
                      <w:sz w:val="22"/>
                      <w:szCs w:val="22"/>
                    </w:rPr>
                    <w:t>2017</w:t>
                  </w:r>
                </w:p>
              </w:tc>
              <w:tc>
                <w:tcPr>
                  <w:tcW w:w="1366" w:type="dxa"/>
                </w:tcPr>
                <w:p w:rsidR="00246A12" w:rsidRPr="00FD7FC8" w:rsidRDefault="00246A12" w:rsidP="00B0409A">
                  <w:pPr>
                    <w:jc w:val="center"/>
                    <w:rPr>
                      <w:b/>
                      <w:color w:val="000000" w:themeColor="text1"/>
                      <w:sz w:val="22"/>
                      <w:szCs w:val="22"/>
                    </w:rPr>
                  </w:pPr>
                  <w:r w:rsidRPr="00FD7FC8">
                    <w:rPr>
                      <w:b/>
                      <w:color w:val="000000" w:themeColor="text1"/>
                      <w:sz w:val="22"/>
                      <w:szCs w:val="22"/>
                    </w:rPr>
                    <w:t>2018</w:t>
                  </w:r>
                </w:p>
              </w:tc>
              <w:tc>
                <w:tcPr>
                  <w:tcW w:w="1124" w:type="dxa"/>
                </w:tcPr>
                <w:p w:rsidR="00246A12" w:rsidRPr="00FD7FC8" w:rsidRDefault="00246A12" w:rsidP="00B0409A">
                  <w:pPr>
                    <w:jc w:val="center"/>
                    <w:rPr>
                      <w:b/>
                      <w:color w:val="000000" w:themeColor="text1"/>
                      <w:sz w:val="22"/>
                      <w:szCs w:val="22"/>
                    </w:rPr>
                  </w:pPr>
                  <w:r w:rsidRPr="00FD7FC8">
                    <w:rPr>
                      <w:b/>
                      <w:color w:val="000000" w:themeColor="text1"/>
                      <w:sz w:val="22"/>
                      <w:szCs w:val="22"/>
                    </w:rPr>
                    <w:t>2019</w:t>
                  </w:r>
                </w:p>
              </w:tc>
            </w:tr>
            <w:tr w:rsidR="00246A12" w:rsidRPr="00307C75" w:rsidTr="00B0409A">
              <w:tc>
                <w:tcPr>
                  <w:tcW w:w="3006" w:type="dxa"/>
                </w:tcPr>
                <w:p w:rsidR="00246A12" w:rsidRPr="00FD7FC8" w:rsidRDefault="00246A12" w:rsidP="00B0409A">
                  <w:pPr>
                    <w:rPr>
                      <w:color w:val="000000" w:themeColor="text1"/>
                      <w:sz w:val="22"/>
                      <w:szCs w:val="22"/>
                    </w:rPr>
                  </w:pPr>
                  <w:r w:rsidRPr="00FD7FC8">
                    <w:rPr>
                      <w:color w:val="000000" w:themeColor="text1"/>
                      <w:sz w:val="22"/>
                      <w:szCs w:val="22"/>
                    </w:rPr>
                    <w:t>Kontingenta palielinājums*</w:t>
                  </w:r>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13</w:t>
                  </w:r>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15</w:t>
                  </w:r>
                </w:p>
              </w:tc>
              <w:tc>
                <w:tcPr>
                  <w:tcW w:w="1124" w:type="dxa"/>
                </w:tcPr>
                <w:p w:rsidR="00246A12" w:rsidRPr="00FD7FC8" w:rsidRDefault="00246A12" w:rsidP="00B0409A">
                  <w:pPr>
                    <w:jc w:val="right"/>
                    <w:rPr>
                      <w:color w:val="000000" w:themeColor="text1"/>
                      <w:sz w:val="22"/>
                      <w:szCs w:val="22"/>
                    </w:rPr>
                  </w:pPr>
                  <w:r w:rsidRPr="00FD7FC8">
                    <w:rPr>
                      <w:color w:val="000000" w:themeColor="text1"/>
                      <w:sz w:val="22"/>
                      <w:szCs w:val="22"/>
                    </w:rPr>
                    <w:t>15</w:t>
                  </w:r>
                </w:p>
              </w:tc>
            </w:tr>
            <w:tr w:rsidR="00246A12" w:rsidRPr="00307C75" w:rsidTr="00B0409A">
              <w:tc>
                <w:tcPr>
                  <w:tcW w:w="3006" w:type="dxa"/>
                </w:tcPr>
                <w:p w:rsidR="00246A12" w:rsidRPr="00FD7FC8" w:rsidRDefault="00246A12" w:rsidP="00B0409A">
                  <w:pPr>
                    <w:rPr>
                      <w:color w:val="000000" w:themeColor="text1"/>
                      <w:sz w:val="22"/>
                      <w:szCs w:val="22"/>
                    </w:rPr>
                  </w:pPr>
                  <w:r w:rsidRPr="00FD7FC8">
                    <w:rPr>
                      <w:color w:val="000000" w:themeColor="text1"/>
                      <w:sz w:val="22"/>
                      <w:szCs w:val="22"/>
                    </w:rPr>
                    <w:t xml:space="preserve">Iemaksu apmērs pensiju apdrošināšanai, </w:t>
                  </w:r>
                  <w:proofErr w:type="spellStart"/>
                  <w:r w:rsidRPr="00FD7FC8">
                    <w:rPr>
                      <w:color w:val="000000" w:themeColor="text1"/>
                      <w:sz w:val="22"/>
                      <w:szCs w:val="22"/>
                    </w:rPr>
                    <w:t>euro</w:t>
                  </w:r>
                  <w:proofErr w:type="spellEnd"/>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34.20</w:t>
                  </w:r>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34.20</w:t>
                  </w:r>
                </w:p>
              </w:tc>
              <w:tc>
                <w:tcPr>
                  <w:tcW w:w="1124" w:type="dxa"/>
                </w:tcPr>
                <w:p w:rsidR="00246A12" w:rsidRPr="00FD7FC8" w:rsidRDefault="00246A12" w:rsidP="00B0409A">
                  <w:pPr>
                    <w:jc w:val="right"/>
                    <w:rPr>
                      <w:color w:val="000000" w:themeColor="text1"/>
                      <w:sz w:val="22"/>
                      <w:szCs w:val="22"/>
                    </w:rPr>
                  </w:pPr>
                  <w:r w:rsidRPr="00FD7FC8">
                    <w:rPr>
                      <w:color w:val="000000" w:themeColor="text1"/>
                      <w:sz w:val="22"/>
                      <w:szCs w:val="22"/>
                    </w:rPr>
                    <w:t>34.20</w:t>
                  </w:r>
                </w:p>
              </w:tc>
            </w:tr>
            <w:tr w:rsidR="00246A12" w:rsidRPr="00307C75" w:rsidTr="00B0409A">
              <w:tc>
                <w:tcPr>
                  <w:tcW w:w="3006" w:type="dxa"/>
                </w:tcPr>
                <w:p w:rsidR="00246A12" w:rsidRPr="00FD7FC8" w:rsidRDefault="00246A12" w:rsidP="00B0409A">
                  <w:pPr>
                    <w:rPr>
                      <w:color w:val="000000" w:themeColor="text1"/>
                      <w:sz w:val="22"/>
                      <w:szCs w:val="22"/>
                    </w:rPr>
                  </w:pPr>
                  <w:r w:rsidRPr="00FD7FC8">
                    <w:rPr>
                      <w:color w:val="000000" w:themeColor="text1"/>
                      <w:sz w:val="22"/>
                      <w:szCs w:val="22"/>
                    </w:rPr>
                    <w:t xml:space="preserve">Iemaksu apmērs bezdarba apdrošināšanai, </w:t>
                  </w:r>
                  <w:proofErr w:type="spellStart"/>
                  <w:r w:rsidRPr="00FD7FC8">
                    <w:rPr>
                      <w:color w:val="000000" w:themeColor="text1"/>
                      <w:sz w:val="22"/>
                      <w:szCs w:val="22"/>
                    </w:rPr>
                    <w:t>euro</w:t>
                  </w:r>
                  <w:proofErr w:type="spellEnd"/>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3.14</w:t>
                  </w:r>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3.14</w:t>
                  </w:r>
                </w:p>
              </w:tc>
              <w:tc>
                <w:tcPr>
                  <w:tcW w:w="1124" w:type="dxa"/>
                </w:tcPr>
                <w:p w:rsidR="00246A12" w:rsidRPr="00FD7FC8" w:rsidRDefault="00246A12" w:rsidP="00B0409A">
                  <w:pPr>
                    <w:jc w:val="right"/>
                    <w:rPr>
                      <w:color w:val="000000" w:themeColor="text1"/>
                      <w:sz w:val="22"/>
                      <w:szCs w:val="22"/>
                    </w:rPr>
                  </w:pPr>
                  <w:r w:rsidRPr="00FD7FC8">
                    <w:rPr>
                      <w:color w:val="000000" w:themeColor="text1"/>
                      <w:sz w:val="22"/>
                      <w:szCs w:val="22"/>
                    </w:rPr>
                    <w:t>3.14</w:t>
                  </w:r>
                </w:p>
              </w:tc>
            </w:tr>
            <w:tr w:rsidR="00246A12" w:rsidRPr="00307C75" w:rsidTr="00B0409A">
              <w:tc>
                <w:tcPr>
                  <w:tcW w:w="3006" w:type="dxa"/>
                </w:tcPr>
                <w:p w:rsidR="00246A12" w:rsidRPr="00FD7FC8" w:rsidRDefault="00246A12" w:rsidP="00B0409A">
                  <w:pPr>
                    <w:rPr>
                      <w:color w:val="000000" w:themeColor="text1"/>
                      <w:sz w:val="22"/>
                      <w:szCs w:val="22"/>
                    </w:rPr>
                  </w:pPr>
                  <w:r w:rsidRPr="00FD7FC8">
                    <w:rPr>
                      <w:color w:val="000000" w:themeColor="text1"/>
                      <w:sz w:val="22"/>
                      <w:szCs w:val="22"/>
                    </w:rPr>
                    <w:t xml:space="preserve">Iemaksu apmērs invaliditātes apdrošināšanai, </w:t>
                  </w:r>
                  <w:proofErr w:type="spellStart"/>
                  <w:r w:rsidRPr="00FD7FC8">
                    <w:rPr>
                      <w:color w:val="000000" w:themeColor="text1"/>
                      <w:sz w:val="22"/>
                      <w:szCs w:val="22"/>
                    </w:rPr>
                    <w:t>euro</w:t>
                  </w:r>
                  <w:proofErr w:type="spellEnd"/>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3.81</w:t>
                  </w:r>
                </w:p>
              </w:tc>
              <w:tc>
                <w:tcPr>
                  <w:tcW w:w="1366" w:type="dxa"/>
                </w:tcPr>
                <w:p w:rsidR="00246A12" w:rsidRPr="00FD7FC8" w:rsidRDefault="00246A12" w:rsidP="00B0409A">
                  <w:pPr>
                    <w:jc w:val="right"/>
                    <w:rPr>
                      <w:color w:val="000000" w:themeColor="text1"/>
                      <w:sz w:val="22"/>
                      <w:szCs w:val="22"/>
                    </w:rPr>
                  </w:pPr>
                  <w:r w:rsidRPr="00FD7FC8">
                    <w:rPr>
                      <w:color w:val="000000" w:themeColor="text1"/>
                      <w:sz w:val="22"/>
                      <w:szCs w:val="22"/>
                    </w:rPr>
                    <w:t>3.81</w:t>
                  </w:r>
                </w:p>
              </w:tc>
              <w:tc>
                <w:tcPr>
                  <w:tcW w:w="1124" w:type="dxa"/>
                </w:tcPr>
                <w:p w:rsidR="00246A12" w:rsidRPr="00FD7FC8" w:rsidRDefault="00246A12" w:rsidP="00B0409A">
                  <w:pPr>
                    <w:jc w:val="right"/>
                    <w:rPr>
                      <w:color w:val="000000" w:themeColor="text1"/>
                      <w:sz w:val="22"/>
                      <w:szCs w:val="22"/>
                    </w:rPr>
                  </w:pPr>
                  <w:r w:rsidRPr="00FD7FC8">
                    <w:rPr>
                      <w:color w:val="000000" w:themeColor="text1"/>
                      <w:sz w:val="22"/>
                      <w:szCs w:val="22"/>
                    </w:rPr>
                    <w:t>3.81</w:t>
                  </w:r>
                </w:p>
              </w:tc>
            </w:tr>
            <w:tr w:rsidR="00246A12" w:rsidRPr="00307C75" w:rsidTr="00B0409A">
              <w:tc>
                <w:tcPr>
                  <w:tcW w:w="3006" w:type="dxa"/>
                </w:tcPr>
                <w:p w:rsidR="00246A12" w:rsidRPr="00FD7FC8" w:rsidRDefault="00246A12" w:rsidP="00B0409A">
                  <w:pPr>
                    <w:rPr>
                      <w:b/>
                      <w:color w:val="000000" w:themeColor="text1"/>
                      <w:sz w:val="22"/>
                      <w:szCs w:val="22"/>
                    </w:rPr>
                  </w:pPr>
                  <w:r w:rsidRPr="00FD7FC8">
                    <w:rPr>
                      <w:b/>
                      <w:color w:val="000000" w:themeColor="text1"/>
                      <w:sz w:val="22"/>
                      <w:szCs w:val="22"/>
                    </w:rPr>
                    <w:t xml:space="preserve">Izdevumu palielinājums, </w:t>
                  </w:r>
                  <w:proofErr w:type="spellStart"/>
                  <w:r w:rsidRPr="00FD7FC8">
                    <w:rPr>
                      <w:b/>
                      <w:color w:val="000000" w:themeColor="text1"/>
                      <w:sz w:val="22"/>
                      <w:szCs w:val="22"/>
                    </w:rPr>
                    <w:t>euro</w:t>
                  </w:r>
                  <w:proofErr w:type="spellEnd"/>
                </w:p>
              </w:tc>
              <w:tc>
                <w:tcPr>
                  <w:tcW w:w="1366" w:type="dxa"/>
                </w:tcPr>
                <w:p w:rsidR="00246A12" w:rsidRPr="00FD7FC8" w:rsidRDefault="00246A12" w:rsidP="00B0409A">
                  <w:pPr>
                    <w:jc w:val="right"/>
                    <w:rPr>
                      <w:b/>
                      <w:color w:val="000000" w:themeColor="text1"/>
                      <w:sz w:val="22"/>
                      <w:szCs w:val="22"/>
                    </w:rPr>
                  </w:pPr>
                  <w:r w:rsidRPr="00FD7FC8">
                    <w:rPr>
                      <w:b/>
                      <w:color w:val="000000" w:themeColor="text1"/>
                      <w:sz w:val="22"/>
                      <w:szCs w:val="22"/>
                    </w:rPr>
                    <w:t>6 419</w:t>
                  </w:r>
                </w:p>
              </w:tc>
              <w:tc>
                <w:tcPr>
                  <w:tcW w:w="1366" w:type="dxa"/>
                </w:tcPr>
                <w:p w:rsidR="00246A12" w:rsidRPr="00FD7FC8" w:rsidRDefault="00246A12" w:rsidP="00B0409A">
                  <w:pPr>
                    <w:jc w:val="right"/>
                    <w:rPr>
                      <w:b/>
                      <w:color w:val="000000" w:themeColor="text1"/>
                      <w:sz w:val="22"/>
                      <w:szCs w:val="22"/>
                    </w:rPr>
                  </w:pPr>
                  <w:r w:rsidRPr="00FD7FC8">
                    <w:rPr>
                      <w:b/>
                      <w:color w:val="000000" w:themeColor="text1"/>
                      <w:sz w:val="22"/>
                      <w:szCs w:val="22"/>
                    </w:rPr>
                    <w:t>7 407</w:t>
                  </w:r>
                </w:p>
              </w:tc>
              <w:tc>
                <w:tcPr>
                  <w:tcW w:w="1124" w:type="dxa"/>
                </w:tcPr>
                <w:p w:rsidR="00246A12" w:rsidRPr="00FD7FC8" w:rsidRDefault="00246A12" w:rsidP="00B0409A">
                  <w:pPr>
                    <w:jc w:val="right"/>
                    <w:rPr>
                      <w:b/>
                      <w:color w:val="000000" w:themeColor="text1"/>
                      <w:sz w:val="22"/>
                      <w:szCs w:val="22"/>
                    </w:rPr>
                  </w:pPr>
                  <w:r w:rsidRPr="00FD7FC8">
                    <w:rPr>
                      <w:b/>
                      <w:color w:val="000000" w:themeColor="text1"/>
                      <w:sz w:val="22"/>
                      <w:szCs w:val="22"/>
                    </w:rPr>
                    <w:t>7 407</w:t>
                  </w:r>
                </w:p>
              </w:tc>
            </w:tr>
            <w:tr w:rsidR="00246A12" w:rsidRPr="00307C75" w:rsidTr="00B0409A">
              <w:tc>
                <w:tcPr>
                  <w:tcW w:w="3006" w:type="dxa"/>
                </w:tcPr>
                <w:p w:rsidR="00246A12" w:rsidRPr="00307C75" w:rsidRDefault="00246A12" w:rsidP="00B0409A">
                  <w:pPr>
                    <w:rPr>
                      <w:i/>
                      <w:color w:val="000000" w:themeColor="text1"/>
                    </w:rPr>
                  </w:pPr>
                  <w:r w:rsidRPr="00307C75">
                    <w:rPr>
                      <w:i/>
                      <w:color w:val="000000" w:themeColor="text1"/>
                    </w:rPr>
                    <w:t>*Prognozes</w:t>
                  </w:r>
                </w:p>
              </w:tc>
              <w:tc>
                <w:tcPr>
                  <w:tcW w:w="1366" w:type="dxa"/>
                </w:tcPr>
                <w:p w:rsidR="00246A12" w:rsidRPr="00307C75" w:rsidRDefault="00246A12" w:rsidP="00B0409A">
                  <w:pPr>
                    <w:rPr>
                      <w:b/>
                      <w:color w:val="000000" w:themeColor="text1"/>
                    </w:rPr>
                  </w:pPr>
                </w:p>
              </w:tc>
              <w:tc>
                <w:tcPr>
                  <w:tcW w:w="1366" w:type="dxa"/>
                </w:tcPr>
                <w:p w:rsidR="00246A12" w:rsidRPr="00307C75" w:rsidRDefault="00246A12" w:rsidP="00B0409A">
                  <w:pPr>
                    <w:rPr>
                      <w:b/>
                      <w:color w:val="000000" w:themeColor="text1"/>
                    </w:rPr>
                  </w:pPr>
                </w:p>
              </w:tc>
              <w:tc>
                <w:tcPr>
                  <w:tcW w:w="1124" w:type="dxa"/>
                </w:tcPr>
                <w:p w:rsidR="00246A12" w:rsidRPr="00307C75" w:rsidRDefault="00246A12" w:rsidP="00B0409A">
                  <w:pPr>
                    <w:rPr>
                      <w:b/>
                      <w:color w:val="000000" w:themeColor="text1"/>
                    </w:rPr>
                  </w:pPr>
                </w:p>
              </w:tc>
            </w:tr>
          </w:tbl>
          <w:p w:rsidR="00246A12" w:rsidRPr="00307C75" w:rsidRDefault="00246A12" w:rsidP="00B0409A">
            <w:pPr>
              <w:jc w:val="both"/>
            </w:pPr>
          </w:p>
        </w:tc>
      </w:tr>
      <w:tr w:rsidR="00246A12" w:rsidRPr="004D1833" w:rsidTr="002335F2">
        <w:tc>
          <w:tcPr>
            <w:tcW w:w="2881" w:type="dxa"/>
            <w:gridSpan w:val="2"/>
            <w:shd w:val="clear" w:color="auto" w:fill="auto"/>
          </w:tcPr>
          <w:p w:rsidR="00246A12" w:rsidRPr="004D1833" w:rsidRDefault="00246A12" w:rsidP="00B0409A">
            <w:pPr>
              <w:rPr>
                <w:sz w:val="22"/>
                <w:szCs w:val="22"/>
              </w:rPr>
            </w:pPr>
            <w:r w:rsidRPr="004D1833">
              <w:rPr>
                <w:sz w:val="22"/>
                <w:szCs w:val="22"/>
              </w:rPr>
              <w:t>6.2. Detalizēts izdevumu aprēķins</w:t>
            </w:r>
          </w:p>
        </w:tc>
        <w:tc>
          <w:tcPr>
            <w:tcW w:w="6677" w:type="dxa"/>
            <w:gridSpan w:val="5"/>
            <w:vMerge/>
            <w:shd w:val="clear" w:color="auto" w:fill="auto"/>
          </w:tcPr>
          <w:p w:rsidR="00246A12" w:rsidRPr="004D1833" w:rsidRDefault="00246A12" w:rsidP="00B0409A">
            <w:pPr>
              <w:jc w:val="both"/>
            </w:pPr>
          </w:p>
        </w:tc>
      </w:tr>
      <w:tr w:rsidR="00246A12" w:rsidRPr="008643B6" w:rsidTr="002335F2">
        <w:tc>
          <w:tcPr>
            <w:tcW w:w="2881" w:type="dxa"/>
            <w:gridSpan w:val="2"/>
            <w:shd w:val="clear" w:color="auto" w:fill="auto"/>
          </w:tcPr>
          <w:p w:rsidR="00246A12" w:rsidRPr="004D1833" w:rsidRDefault="00246A12" w:rsidP="00B0409A">
            <w:pPr>
              <w:jc w:val="both"/>
              <w:rPr>
                <w:sz w:val="22"/>
                <w:szCs w:val="22"/>
              </w:rPr>
            </w:pPr>
            <w:r w:rsidRPr="004D1833">
              <w:rPr>
                <w:sz w:val="22"/>
                <w:szCs w:val="22"/>
              </w:rPr>
              <w:t>7. Cita informācija</w:t>
            </w:r>
          </w:p>
        </w:tc>
        <w:tc>
          <w:tcPr>
            <w:tcW w:w="6677" w:type="dxa"/>
            <w:gridSpan w:val="5"/>
            <w:shd w:val="clear" w:color="auto" w:fill="auto"/>
          </w:tcPr>
          <w:p w:rsidR="00246A12" w:rsidRPr="00DC734C" w:rsidRDefault="00246A12" w:rsidP="00B0409A">
            <w:pPr>
              <w:jc w:val="both"/>
              <w:rPr>
                <w:rFonts w:eastAsia="Calibri"/>
                <w:color w:val="000000" w:themeColor="text1"/>
                <w:lang w:eastAsia="en-US"/>
              </w:rPr>
            </w:pPr>
            <w:r w:rsidRPr="00DC734C">
              <w:rPr>
                <w:color w:val="000000" w:themeColor="text1"/>
              </w:rPr>
              <w:t xml:space="preserve">Atbilstoši MK 08.09.2017. sēdes protokollēmuma Nr.44 1.§ “Informatīvais ziņojums par fiskālās telpas pasākumiem un izdevumiem prioritārajiem pasākumiem valsts budžetam </w:t>
            </w:r>
            <w:proofErr w:type="gramStart"/>
            <w:r w:rsidRPr="00DC734C">
              <w:rPr>
                <w:color w:val="000000" w:themeColor="text1"/>
              </w:rPr>
              <w:t>2018.gadam</w:t>
            </w:r>
            <w:proofErr w:type="gramEnd"/>
            <w:r w:rsidRPr="00DC734C">
              <w:rPr>
                <w:color w:val="000000" w:themeColor="text1"/>
              </w:rPr>
              <w:t xml:space="preserve"> un ietvaram 2018.-2020.gadam” atbalstīti priekšlikumi papildu finansējumam Labklājības ministrijas prioritārajiem pasākumiem:  demogrāfijas pasākumu īstenošanai (</w:t>
            </w:r>
            <w:r w:rsidRPr="00DC734C">
              <w:rPr>
                <w:rFonts w:eastAsia="Calibri"/>
                <w:color w:val="000000" w:themeColor="text1"/>
                <w:lang w:eastAsia="en-US"/>
              </w:rPr>
              <w:t xml:space="preserve">„Ģimenes valsts pabalsta apmēra palielināšana”) </w:t>
            </w:r>
            <w:r w:rsidRPr="00DC734C">
              <w:rPr>
                <w:color w:val="000000" w:themeColor="text1"/>
              </w:rPr>
              <w:t xml:space="preserve"> – 2018.gadam 28,24 milj. </w:t>
            </w:r>
            <w:proofErr w:type="spellStart"/>
            <w:r w:rsidRPr="00DC734C">
              <w:rPr>
                <w:i/>
                <w:color w:val="000000" w:themeColor="text1"/>
              </w:rPr>
              <w:t>euro</w:t>
            </w:r>
            <w:proofErr w:type="spellEnd"/>
            <w:r w:rsidRPr="00DC734C">
              <w:rPr>
                <w:color w:val="000000" w:themeColor="text1"/>
              </w:rPr>
              <w:t xml:space="preserve"> apmērā, 2019.gadam un turpmāk ik gadu 32,45 milj. </w:t>
            </w:r>
            <w:proofErr w:type="spellStart"/>
            <w:r w:rsidRPr="00DC734C">
              <w:rPr>
                <w:color w:val="000000" w:themeColor="text1"/>
              </w:rPr>
              <w:t>euro</w:t>
            </w:r>
            <w:proofErr w:type="spellEnd"/>
            <w:r w:rsidRPr="00DC734C">
              <w:rPr>
                <w:color w:val="000000" w:themeColor="text1"/>
              </w:rPr>
              <w:t xml:space="preserve"> apmērā; kā arī </w:t>
            </w:r>
            <w:r w:rsidRPr="00DC734C">
              <w:rPr>
                <w:rFonts w:eastAsia="Calibri"/>
                <w:color w:val="000000" w:themeColor="text1"/>
                <w:lang w:eastAsia="en-US"/>
              </w:rPr>
              <w:t xml:space="preserve">„Alternatīvo ģimenes aprūpes formu attīstība” finansēšanai ik gadu 2,96 milj. </w:t>
            </w:r>
            <w:proofErr w:type="spellStart"/>
            <w:r w:rsidRPr="00DC734C">
              <w:rPr>
                <w:rFonts w:eastAsia="Calibri"/>
                <w:color w:val="000000" w:themeColor="text1"/>
                <w:lang w:eastAsia="en-US"/>
              </w:rPr>
              <w:t>euro</w:t>
            </w:r>
            <w:proofErr w:type="spellEnd"/>
            <w:r w:rsidRPr="00DC734C">
              <w:rPr>
                <w:rFonts w:eastAsia="Calibri"/>
                <w:color w:val="000000" w:themeColor="text1"/>
                <w:lang w:eastAsia="en-US"/>
              </w:rPr>
              <w:t xml:space="preserve"> apmērā.</w:t>
            </w:r>
          </w:p>
          <w:p w:rsidR="00246A12" w:rsidRPr="006676F0" w:rsidRDefault="00246A12" w:rsidP="00B0409A">
            <w:pPr>
              <w:jc w:val="both"/>
              <w:rPr>
                <w:color w:val="000000" w:themeColor="text1"/>
              </w:rPr>
            </w:pPr>
            <w:r w:rsidRPr="00DC734C">
              <w:rPr>
                <w:color w:val="000000" w:themeColor="text1"/>
              </w:rPr>
              <w:t>Minēto papildu finansējumu Labklājības ministrija ir iestrādājusi pamatbudžeta un speciālā budžeta maksimāli pieļaujamo izdevumu kopapjomā 2018.-</w:t>
            </w:r>
            <w:proofErr w:type="gramStart"/>
            <w:r w:rsidRPr="00DC734C">
              <w:rPr>
                <w:color w:val="000000" w:themeColor="text1"/>
              </w:rPr>
              <w:t>2020.gadam</w:t>
            </w:r>
            <w:proofErr w:type="gramEnd"/>
            <w:r w:rsidRPr="003A2A8C">
              <w:rPr>
                <w:color w:val="000000" w:themeColor="text1"/>
              </w:rPr>
              <w:t xml:space="preserve">, </w:t>
            </w:r>
            <w:r w:rsidRPr="006676F0">
              <w:rPr>
                <w:color w:val="000000" w:themeColor="text1"/>
              </w:rPr>
              <w:t>un tas attiecīgi ir iekļauts likumprojektā “Par valsts budžetu 2018.gadam”  un likumprojektā “Par vidēja termina budžeta ietvaru 2018.,  2019. un 2020.gadam”.</w:t>
            </w:r>
          </w:p>
          <w:p w:rsidR="00246A12" w:rsidRPr="008643B6" w:rsidRDefault="00246A12" w:rsidP="00B0409A">
            <w:pPr>
              <w:jc w:val="both"/>
              <w:rPr>
                <w:rFonts w:eastAsiaTheme="minorHAnsi"/>
                <w:highlight w:val="yellow"/>
              </w:rPr>
            </w:pPr>
            <w:r w:rsidRPr="00DC734C">
              <w:rPr>
                <w:rFonts w:eastAsiaTheme="minorHAnsi"/>
                <w:color w:val="000000" w:themeColor="text1"/>
              </w:rPr>
              <w:t xml:space="preserve">Labklājības ministrija, sagatavojot pamatbudžeta un speciālā budžeta </w:t>
            </w:r>
            <w:proofErr w:type="gramStart"/>
            <w:r w:rsidRPr="00DC734C">
              <w:rPr>
                <w:rFonts w:eastAsiaTheme="minorHAnsi"/>
                <w:color w:val="000000" w:themeColor="text1"/>
              </w:rPr>
              <w:t>2019.gada</w:t>
            </w:r>
            <w:proofErr w:type="gramEnd"/>
            <w:r w:rsidRPr="00DC734C">
              <w:rPr>
                <w:rFonts w:eastAsiaTheme="minorHAnsi"/>
                <w:color w:val="000000" w:themeColor="text1"/>
              </w:rPr>
              <w:t xml:space="preserve"> - 2021.gada bāzes prognozes, pastiprināti izvērtēs visus minēto pasākumu finansējuma ietekmējošos faktorus un, nepieciešamības gadījumā sniegs priekšlikumus bāzes izdevumu izmaiņām.</w:t>
            </w:r>
          </w:p>
        </w:tc>
      </w:tr>
    </w:tbl>
    <w:p w:rsidR="00246A12" w:rsidRPr="004D1833" w:rsidRDefault="00246A12" w:rsidP="0066477E">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61"/>
        <w:gridCol w:w="6612"/>
      </w:tblGrid>
      <w:tr w:rsidR="004D1833" w:rsidRPr="004D1833" w:rsidTr="0028066A">
        <w:tc>
          <w:tcPr>
            <w:tcW w:w="9558" w:type="dxa"/>
            <w:gridSpan w:val="3"/>
            <w:shd w:val="clear" w:color="auto" w:fill="auto"/>
          </w:tcPr>
          <w:p w:rsidR="0066477E" w:rsidRPr="004D1833" w:rsidRDefault="0066477E" w:rsidP="002613E2">
            <w:pPr>
              <w:jc w:val="center"/>
              <w:rPr>
                <w:b/>
              </w:rPr>
            </w:pPr>
            <w:r w:rsidRPr="004D1833">
              <w:rPr>
                <w:b/>
              </w:rPr>
              <w:t>IV. Tiesību akta projekta ietekme uz spēkā esošo tiesību normu sistēmu</w:t>
            </w:r>
          </w:p>
        </w:tc>
      </w:tr>
      <w:tr w:rsidR="004D1833" w:rsidRPr="004D1833" w:rsidTr="0028066A">
        <w:tc>
          <w:tcPr>
            <w:tcW w:w="685" w:type="dxa"/>
            <w:shd w:val="clear" w:color="auto" w:fill="auto"/>
          </w:tcPr>
          <w:p w:rsidR="0066477E" w:rsidRPr="00C04771" w:rsidRDefault="0066477E" w:rsidP="002613E2">
            <w:r w:rsidRPr="00C04771">
              <w:t>1.</w:t>
            </w:r>
          </w:p>
        </w:tc>
        <w:tc>
          <w:tcPr>
            <w:tcW w:w="2261" w:type="dxa"/>
            <w:shd w:val="clear" w:color="auto" w:fill="auto"/>
          </w:tcPr>
          <w:p w:rsidR="0066477E" w:rsidRPr="00C04771" w:rsidRDefault="0066477E" w:rsidP="002613E2">
            <w:r w:rsidRPr="00C04771">
              <w:t>Nepieciešamie saistītie tiesību aktu projekti</w:t>
            </w:r>
          </w:p>
        </w:tc>
        <w:tc>
          <w:tcPr>
            <w:tcW w:w="6612" w:type="dxa"/>
            <w:shd w:val="clear" w:color="auto" w:fill="auto"/>
          </w:tcPr>
          <w:p w:rsidR="00A7384C" w:rsidRPr="00C04771" w:rsidRDefault="00EC1E3F" w:rsidP="008045CD">
            <w:pPr>
              <w:jc w:val="both"/>
            </w:pPr>
            <w:r w:rsidRPr="00C04771">
              <w:t>Noteikumu projekta virzība ir tieši saistīta tikai ar valsts budžeta likumprojektu, un Noteikumu projekts neprasa veikt izmaiņas citos spēkā esošajos tiesību aktos.</w:t>
            </w:r>
          </w:p>
        </w:tc>
      </w:tr>
      <w:tr w:rsidR="004D1833" w:rsidRPr="004D1833" w:rsidTr="0028066A">
        <w:tc>
          <w:tcPr>
            <w:tcW w:w="685" w:type="dxa"/>
            <w:shd w:val="clear" w:color="auto" w:fill="auto"/>
          </w:tcPr>
          <w:p w:rsidR="0066477E" w:rsidRPr="004D1833" w:rsidRDefault="0066477E" w:rsidP="002613E2">
            <w:r w:rsidRPr="004D1833">
              <w:t>2.</w:t>
            </w:r>
          </w:p>
        </w:tc>
        <w:tc>
          <w:tcPr>
            <w:tcW w:w="2261" w:type="dxa"/>
            <w:shd w:val="clear" w:color="auto" w:fill="auto"/>
          </w:tcPr>
          <w:p w:rsidR="0066477E" w:rsidRPr="004D1833" w:rsidRDefault="0066477E" w:rsidP="002613E2">
            <w:pPr>
              <w:pStyle w:val="naiskr"/>
              <w:tabs>
                <w:tab w:val="left" w:pos="2628"/>
              </w:tabs>
              <w:spacing w:before="0" w:after="0"/>
              <w:jc w:val="both"/>
            </w:pPr>
            <w:r w:rsidRPr="004D1833">
              <w:t>Atbildīgā institūcija</w:t>
            </w:r>
          </w:p>
        </w:tc>
        <w:tc>
          <w:tcPr>
            <w:tcW w:w="6612" w:type="dxa"/>
            <w:shd w:val="clear" w:color="auto" w:fill="auto"/>
          </w:tcPr>
          <w:p w:rsidR="0066477E" w:rsidRPr="004D1833" w:rsidRDefault="000D5B72" w:rsidP="002613E2">
            <w:pPr>
              <w:pStyle w:val="naiskr"/>
              <w:tabs>
                <w:tab w:val="left" w:pos="2628"/>
              </w:tabs>
              <w:spacing w:before="0" w:after="0"/>
              <w:jc w:val="both"/>
              <w:rPr>
                <w:iCs/>
              </w:rPr>
            </w:pPr>
            <w:r w:rsidRPr="004D1833">
              <w:rPr>
                <w:iCs/>
              </w:rPr>
              <w:t>Labklājības ministrija</w:t>
            </w:r>
          </w:p>
        </w:tc>
      </w:tr>
      <w:tr w:rsidR="0066477E" w:rsidRPr="004D1833" w:rsidTr="0028066A">
        <w:tc>
          <w:tcPr>
            <w:tcW w:w="685" w:type="dxa"/>
            <w:shd w:val="clear" w:color="auto" w:fill="auto"/>
          </w:tcPr>
          <w:p w:rsidR="0066477E" w:rsidRPr="004D1833" w:rsidRDefault="0066477E" w:rsidP="002613E2">
            <w:r w:rsidRPr="004D1833">
              <w:t>3.</w:t>
            </w:r>
          </w:p>
        </w:tc>
        <w:tc>
          <w:tcPr>
            <w:tcW w:w="2261" w:type="dxa"/>
            <w:shd w:val="clear" w:color="auto" w:fill="auto"/>
          </w:tcPr>
          <w:p w:rsidR="0066477E" w:rsidRPr="004D1833" w:rsidRDefault="0066477E" w:rsidP="002613E2">
            <w:r w:rsidRPr="004D1833">
              <w:t>Cita informācija</w:t>
            </w:r>
          </w:p>
        </w:tc>
        <w:tc>
          <w:tcPr>
            <w:tcW w:w="6612" w:type="dxa"/>
            <w:shd w:val="clear" w:color="auto" w:fill="auto"/>
          </w:tcPr>
          <w:p w:rsidR="0066477E" w:rsidRPr="004D1833" w:rsidRDefault="000D5B72" w:rsidP="002613E2">
            <w:pPr>
              <w:jc w:val="both"/>
            </w:pPr>
            <w:r w:rsidRPr="004D1833">
              <w:t>Nav.</w:t>
            </w:r>
          </w:p>
        </w:tc>
      </w:tr>
    </w:tbl>
    <w:p w:rsidR="0066477E" w:rsidRPr="004D1833" w:rsidRDefault="0066477E" w:rsidP="0066477E">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827"/>
        <w:gridCol w:w="6046"/>
      </w:tblGrid>
      <w:tr w:rsidR="004D1833" w:rsidRPr="004D1833" w:rsidTr="0028066A">
        <w:tc>
          <w:tcPr>
            <w:tcW w:w="9558" w:type="dxa"/>
            <w:gridSpan w:val="3"/>
            <w:shd w:val="clear" w:color="auto" w:fill="auto"/>
          </w:tcPr>
          <w:p w:rsidR="0066477E" w:rsidRPr="004D1833" w:rsidRDefault="0066477E" w:rsidP="002613E2">
            <w:pPr>
              <w:jc w:val="center"/>
              <w:rPr>
                <w:b/>
              </w:rPr>
            </w:pPr>
            <w:r w:rsidRPr="004D1833">
              <w:rPr>
                <w:b/>
              </w:rPr>
              <w:t>VI. Sabiedrības līdzdalība un komunikācijas aktivitātes</w:t>
            </w:r>
          </w:p>
        </w:tc>
      </w:tr>
      <w:tr w:rsidR="004D1833" w:rsidRPr="004D1833" w:rsidTr="0028066A">
        <w:tc>
          <w:tcPr>
            <w:tcW w:w="685" w:type="dxa"/>
            <w:shd w:val="clear" w:color="auto" w:fill="auto"/>
          </w:tcPr>
          <w:p w:rsidR="00974281" w:rsidRPr="00C04771" w:rsidRDefault="00974281" w:rsidP="002613E2">
            <w:r w:rsidRPr="00C04771">
              <w:t xml:space="preserve">1. </w:t>
            </w:r>
          </w:p>
        </w:tc>
        <w:tc>
          <w:tcPr>
            <w:tcW w:w="2827" w:type="dxa"/>
            <w:shd w:val="clear" w:color="auto" w:fill="auto"/>
          </w:tcPr>
          <w:p w:rsidR="00974281" w:rsidRPr="00C04771" w:rsidRDefault="00974281" w:rsidP="002613E2">
            <w:pPr>
              <w:pStyle w:val="naiskr"/>
              <w:spacing w:before="0" w:after="0"/>
              <w:ind w:left="57" w:right="57"/>
            </w:pPr>
            <w:r w:rsidRPr="00C04771">
              <w:t xml:space="preserve">Plānotās sabiedrības līdzdalības un </w:t>
            </w:r>
            <w:r w:rsidRPr="00C04771">
              <w:lastRenderedPageBreak/>
              <w:t>komunikācijas aktivitātes saistībā ar projektu</w:t>
            </w:r>
          </w:p>
        </w:tc>
        <w:tc>
          <w:tcPr>
            <w:tcW w:w="6046" w:type="dxa"/>
            <w:vMerge w:val="restart"/>
            <w:shd w:val="clear" w:color="auto" w:fill="auto"/>
          </w:tcPr>
          <w:p w:rsidR="004F072F" w:rsidRDefault="00C04771" w:rsidP="00974281">
            <w:pPr>
              <w:jc w:val="both"/>
            </w:pPr>
            <w:r w:rsidRPr="00C04771">
              <w:lastRenderedPageBreak/>
              <w:t>Noteikumu projekta virzība ir tieši saistīta tikai ar valsts budžeta likumprojektu, tādēļ atsevišķas komuni</w:t>
            </w:r>
            <w:r w:rsidR="008045CD">
              <w:t>kācijas aktivitātes nav veiktas.</w:t>
            </w:r>
          </w:p>
          <w:p w:rsidR="008045CD" w:rsidRDefault="008045CD" w:rsidP="00974281">
            <w:pPr>
              <w:jc w:val="both"/>
            </w:pPr>
          </w:p>
          <w:p w:rsidR="008045CD" w:rsidRPr="00C04771" w:rsidRDefault="008045CD" w:rsidP="008045CD">
            <w:pPr>
              <w:ind w:right="147"/>
              <w:jc w:val="both"/>
            </w:pPr>
            <w:r>
              <w:t xml:space="preserve">Savukārt attiecībā uz </w:t>
            </w:r>
            <w:r w:rsidRPr="00656760">
              <w:t xml:space="preserve">e-adreses ieviešanu </w:t>
            </w:r>
            <w:r>
              <w:t xml:space="preserve">sabiedrības līdzdalība </w:t>
            </w:r>
            <w:r w:rsidRPr="00656760">
              <w:t xml:space="preserve">tika nodrošināta Oficiālās elektroniskās adreses likuma izstrādes laikā, līdz ar to </w:t>
            </w:r>
            <w:r>
              <w:t>šā p</w:t>
            </w:r>
            <w:r w:rsidRPr="00656760">
              <w:t xml:space="preserve">rojekta izstrādē </w:t>
            </w:r>
            <w:r>
              <w:t xml:space="preserve">tā </w:t>
            </w:r>
            <w:r w:rsidRPr="00656760">
              <w:t>nav nepieciešama.</w:t>
            </w:r>
          </w:p>
        </w:tc>
      </w:tr>
      <w:tr w:rsidR="004D1833" w:rsidRPr="004D1833" w:rsidTr="0028066A">
        <w:tc>
          <w:tcPr>
            <w:tcW w:w="685" w:type="dxa"/>
            <w:shd w:val="clear" w:color="auto" w:fill="auto"/>
          </w:tcPr>
          <w:p w:rsidR="00974281" w:rsidRPr="004D1833" w:rsidRDefault="00974281" w:rsidP="002613E2">
            <w:r w:rsidRPr="004D1833">
              <w:t xml:space="preserve">2. </w:t>
            </w:r>
          </w:p>
        </w:tc>
        <w:tc>
          <w:tcPr>
            <w:tcW w:w="2827" w:type="dxa"/>
            <w:shd w:val="clear" w:color="auto" w:fill="auto"/>
          </w:tcPr>
          <w:p w:rsidR="00974281" w:rsidRPr="004D1833" w:rsidRDefault="00974281" w:rsidP="002613E2">
            <w:pPr>
              <w:pStyle w:val="naiskr"/>
              <w:spacing w:before="0" w:after="0"/>
              <w:ind w:left="57" w:right="57"/>
            </w:pPr>
            <w:r w:rsidRPr="004D1833">
              <w:t xml:space="preserve">Sabiedrības līdzdalība projekta izstrādē </w:t>
            </w:r>
          </w:p>
        </w:tc>
        <w:tc>
          <w:tcPr>
            <w:tcW w:w="6046" w:type="dxa"/>
            <w:vMerge/>
            <w:shd w:val="clear" w:color="auto" w:fill="auto"/>
          </w:tcPr>
          <w:p w:rsidR="00974281" w:rsidRPr="004D1833" w:rsidRDefault="00974281" w:rsidP="002613E2">
            <w:pPr>
              <w:jc w:val="both"/>
            </w:pPr>
          </w:p>
        </w:tc>
      </w:tr>
      <w:tr w:rsidR="004D1833" w:rsidRPr="004D1833" w:rsidTr="0028066A">
        <w:tc>
          <w:tcPr>
            <w:tcW w:w="685" w:type="dxa"/>
            <w:shd w:val="clear" w:color="auto" w:fill="auto"/>
          </w:tcPr>
          <w:p w:rsidR="00974281" w:rsidRPr="004D1833" w:rsidRDefault="00974281" w:rsidP="002613E2">
            <w:r w:rsidRPr="004D1833">
              <w:t>3.</w:t>
            </w:r>
          </w:p>
        </w:tc>
        <w:tc>
          <w:tcPr>
            <w:tcW w:w="2827" w:type="dxa"/>
            <w:shd w:val="clear" w:color="auto" w:fill="auto"/>
          </w:tcPr>
          <w:p w:rsidR="00974281" w:rsidRPr="004D1833" w:rsidRDefault="00974281" w:rsidP="002613E2">
            <w:pPr>
              <w:pStyle w:val="naiskr"/>
              <w:spacing w:before="0" w:after="0"/>
              <w:ind w:left="57" w:right="57"/>
            </w:pPr>
            <w:r w:rsidRPr="004D1833">
              <w:t xml:space="preserve">Sabiedrības līdzdalības rezultāti </w:t>
            </w:r>
          </w:p>
        </w:tc>
        <w:tc>
          <w:tcPr>
            <w:tcW w:w="6046" w:type="dxa"/>
            <w:vMerge/>
            <w:shd w:val="clear" w:color="auto" w:fill="auto"/>
          </w:tcPr>
          <w:p w:rsidR="00974281" w:rsidRPr="004D1833" w:rsidRDefault="00974281" w:rsidP="002613E2">
            <w:pPr>
              <w:jc w:val="both"/>
            </w:pPr>
          </w:p>
        </w:tc>
      </w:tr>
      <w:tr w:rsidR="0066477E" w:rsidRPr="004D1833" w:rsidTr="0028066A">
        <w:tc>
          <w:tcPr>
            <w:tcW w:w="685" w:type="dxa"/>
            <w:shd w:val="clear" w:color="auto" w:fill="auto"/>
          </w:tcPr>
          <w:p w:rsidR="0066477E" w:rsidRPr="004D1833" w:rsidRDefault="0066477E" w:rsidP="002613E2">
            <w:r w:rsidRPr="004D1833">
              <w:t>4.</w:t>
            </w:r>
          </w:p>
        </w:tc>
        <w:tc>
          <w:tcPr>
            <w:tcW w:w="2827" w:type="dxa"/>
            <w:shd w:val="clear" w:color="auto" w:fill="auto"/>
          </w:tcPr>
          <w:p w:rsidR="0066477E" w:rsidRPr="004D1833" w:rsidRDefault="0066477E" w:rsidP="002613E2">
            <w:pPr>
              <w:pStyle w:val="naiskr"/>
              <w:spacing w:before="0" w:after="0"/>
              <w:ind w:left="57" w:right="57"/>
            </w:pPr>
            <w:r w:rsidRPr="004D1833">
              <w:t>Cita informācija</w:t>
            </w:r>
          </w:p>
          <w:p w:rsidR="0066477E" w:rsidRPr="004D1833" w:rsidRDefault="0066477E" w:rsidP="002613E2">
            <w:pPr>
              <w:pStyle w:val="naiskr"/>
              <w:spacing w:before="0" w:after="0"/>
              <w:ind w:left="57" w:right="57"/>
            </w:pPr>
          </w:p>
        </w:tc>
        <w:tc>
          <w:tcPr>
            <w:tcW w:w="6046" w:type="dxa"/>
            <w:shd w:val="clear" w:color="auto" w:fill="auto"/>
          </w:tcPr>
          <w:p w:rsidR="0066477E" w:rsidRPr="004D1833" w:rsidRDefault="00A82E54" w:rsidP="002613E2">
            <w:pPr>
              <w:jc w:val="both"/>
            </w:pPr>
            <w:r w:rsidRPr="004D1833">
              <w:t>Nav.</w:t>
            </w:r>
          </w:p>
        </w:tc>
      </w:tr>
    </w:tbl>
    <w:p w:rsidR="0066477E" w:rsidRPr="004D1833" w:rsidRDefault="0066477E" w:rsidP="0066477E">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817"/>
        <w:gridCol w:w="5056"/>
      </w:tblGrid>
      <w:tr w:rsidR="004D1833" w:rsidRPr="004D1833" w:rsidTr="0028066A">
        <w:tc>
          <w:tcPr>
            <w:tcW w:w="9558" w:type="dxa"/>
            <w:gridSpan w:val="3"/>
            <w:shd w:val="clear" w:color="auto" w:fill="auto"/>
          </w:tcPr>
          <w:p w:rsidR="0066477E" w:rsidRPr="004D1833" w:rsidRDefault="0066477E" w:rsidP="002613E2">
            <w:pPr>
              <w:jc w:val="center"/>
              <w:rPr>
                <w:b/>
              </w:rPr>
            </w:pPr>
            <w:r w:rsidRPr="004D1833">
              <w:rPr>
                <w:b/>
              </w:rPr>
              <w:t>VII. Tiesību akta projekta izpildes nodrošināšana un tās ietekme uz institūcijām</w:t>
            </w:r>
          </w:p>
        </w:tc>
      </w:tr>
      <w:tr w:rsidR="004D1833" w:rsidRPr="004D1833" w:rsidTr="0028066A">
        <w:tc>
          <w:tcPr>
            <w:tcW w:w="685" w:type="dxa"/>
            <w:shd w:val="clear" w:color="auto" w:fill="auto"/>
          </w:tcPr>
          <w:p w:rsidR="004343DB" w:rsidRPr="004D1833" w:rsidRDefault="004343DB" w:rsidP="002613E2">
            <w:r w:rsidRPr="004D1833">
              <w:t xml:space="preserve">1. </w:t>
            </w:r>
          </w:p>
        </w:tc>
        <w:tc>
          <w:tcPr>
            <w:tcW w:w="3817" w:type="dxa"/>
            <w:shd w:val="clear" w:color="auto" w:fill="auto"/>
          </w:tcPr>
          <w:p w:rsidR="004343DB" w:rsidRPr="004D1833" w:rsidRDefault="004343DB" w:rsidP="002613E2">
            <w:r w:rsidRPr="004D1833">
              <w:t>Projekta izpildē iesaistītās institūcijas</w:t>
            </w:r>
          </w:p>
        </w:tc>
        <w:tc>
          <w:tcPr>
            <w:tcW w:w="5056" w:type="dxa"/>
            <w:shd w:val="clear" w:color="auto" w:fill="auto"/>
          </w:tcPr>
          <w:p w:rsidR="004343DB" w:rsidRPr="004D1833" w:rsidRDefault="004343DB" w:rsidP="002613E2">
            <w:pPr>
              <w:spacing w:before="100" w:beforeAutospacing="1" w:after="100" w:afterAutospacing="1"/>
              <w:jc w:val="both"/>
            </w:pPr>
            <w:r w:rsidRPr="004D1833">
              <w:t>VSAA.</w:t>
            </w:r>
          </w:p>
        </w:tc>
      </w:tr>
      <w:tr w:rsidR="004D1833" w:rsidRPr="004D1833" w:rsidTr="0028066A">
        <w:tc>
          <w:tcPr>
            <w:tcW w:w="685" w:type="dxa"/>
            <w:shd w:val="clear" w:color="auto" w:fill="auto"/>
          </w:tcPr>
          <w:p w:rsidR="004343DB" w:rsidRPr="004D1833" w:rsidRDefault="004343DB" w:rsidP="002613E2">
            <w:r w:rsidRPr="004D1833">
              <w:t xml:space="preserve">2. </w:t>
            </w:r>
          </w:p>
        </w:tc>
        <w:tc>
          <w:tcPr>
            <w:tcW w:w="3817" w:type="dxa"/>
            <w:shd w:val="clear" w:color="auto" w:fill="auto"/>
          </w:tcPr>
          <w:p w:rsidR="004343DB" w:rsidRPr="004D1833" w:rsidRDefault="004343DB" w:rsidP="002613E2">
            <w:r w:rsidRPr="004D1833">
              <w:t>Projekta izpildes ietekme uz pār</w:t>
            </w:r>
            <w:r w:rsidRPr="004D1833">
              <w:softHyphen/>
              <w:t>valdes funkcijām un institucionālo struktūru.</w:t>
            </w:r>
          </w:p>
          <w:p w:rsidR="004343DB" w:rsidRPr="004D1833" w:rsidRDefault="004343DB" w:rsidP="002613E2">
            <w:r w:rsidRPr="004D1833">
              <w:t>Jaunu institūciju izveide, esošu institūciju likvidācija vai reorga</w:t>
            </w:r>
            <w:r w:rsidRPr="004D1833">
              <w:softHyphen/>
              <w:t>nizācija, to ietekme uz institūcijas cilvēkresursiem</w:t>
            </w:r>
          </w:p>
        </w:tc>
        <w:tc>
          <w:tcPr>
            <w:tcW w:w="5056" w:type="dxa"/>
            <w:shd w:val="clear" w:color="auto" w:fill="auto"/>
          </w:tcPr>
          <w:p w:rsidR="004343DB" w:rsidRPr="004D1833" w:rsidRDefault="00BE5731" w:rsidP="00BE5731">
            <w:pPr>
              <w:jc w:val="both"/>
            </w:pPr>
            <w:r w:rsidRPr="004D1833">
              <w:t>Atlīdzības</w:t>
            </w:r>
            <w:r w:rsidR="004343DB" w:rsidRPr="004D1833">
              <w:t xml:space="preserve"> piešķiršanu un izmaksu nodrošinās VSAA esošo funkciju ietvaros.</w:t>
            </w:r>
          </w:p>
        </w:tc>
      </w:tr>
      <w:tr w:rsidR="004D1833" w:rsidRPr="004D1833" w:rsidTr="0028066A">
        <w:tc>
          <w:tcPr>
            <w:tcW w:w="685" w:type="dxa"/>
            <w:shd w:val="clear" w:color="auto" w:fill="auto"/>
          </w:tcPr>
          <w:p w:rsidR="004343DB" w:rsidRPr="004D1833" w:rsidRDefault="004343DB" w:rsidP="002613E2">
            <w:r w:rsidRPr="004D1833">
              <w:t xml:space="preserve">3. </w:t>
            </w:r>
          </w:p>
        </w:tc>
        <w:tc>
          <w:tcPr>
            <w:tcW w:w="3817" w:type="dxa"/>
            <w:shd w:val="clear" w:color="auto" w:fill="auto"/>
          </w:tcPr>
          <w:p w:rsidR="004343DB" w:rsidRPr="004D1833" w:rsidRDefault="004343DB" w:rsidP="002613E2">
            <w:r w:rsidRPr="004D1833">
              <w:t>Cita informācija</w:t>
            </w:r>
          </w:p>
        </w:tc>
        <w:tc>
          <w:tcPr>
            <w:tcW w:w="5056" w:type="dxa"/>
            <w:shd w:val="clear" w:color="auto" w:fill="auto"/>
          </w:tcPr>
          <w:p w:rsidR="004343DB" w:rsidRPr="004D1833" w:rsidRDefault="004343DB" w:rsidP="002613E2">
            <w:pPr>
              <w:jc w:val="both"/>
            </w:pPr>
            <w:r w:rsidRPr="004D1833">
              <w:t>Nav.</w:t>
            </w:r>
          </w:p>
        </w:tc>
      </w:tr>
    </w:tbl>
    <w:p w:rsidR="0066477E" w:rsidRPr="004D1833" w:rsidRDefault="001928DA" w:rsidP="007C6D35">
      <w:r w:rsidRPr="004D1833">
        <w:rPr>
          <w:i/>
          <w:iCs/>
        </w:rPr>
        <w:t>Anotācijas V sadaļa – noteikumu projekts šo jomu neskar.</w:t>
      </w:r>
    </w:p>
    <w:p w:rsidR="0066477E" w:rsidRDefault="0066477E" w:rsidP="0066477E">
      <w:pPr>
        <w:jc w:val="center"/>
      </w:pPr>
    </w:p>
    <w:p w:rsidR="00EA198C" w:rsidRDefault="00EA198C" w:rsidP="0066477E">
      <w:pPr>
        <w:jc w:val="center"/>
      </w:pPr>
    </w:p>
    <w:p w:rsidR="00C740B9" w:rsidRDefault="00C740B9" w:rsidP="0066477E">
      <w:pPr>
        <w:jc w:val="center"/>
      </w:pPr>
    </w:p>
    <w:p w:rsidR="00C740B9" w:rsidRDefault="00C740B9" w:rsidP="0066477E">
      <w:pPr>
        <w:jc w:val="center"/>
      </w:pPr>
    </w:p>
    <w:p w:rsidR="0066477E" w:rsidRPr="004D1833" w:rsidRDefault="0066477E" w:rsidP="0066477E">
      <w:r w:rsidRPr="004D1833">
        <w:t>Labklājības ministr</w:t>
      </w:r>
      <w:r w:rsidR="0023703D" w:rsidRPr="004D1833">
        <w:t>s</w:t>
      </w:r>
      <w:proofErr w:type="gramStart"/>
      <w:r w:rsidR="0023703D" w:rsidRPr="004D1833">
        <w:t xml:space="preserve"> </w:t>
      </w:r>
      <w:r w:rsidRPr="004D1833">
        <w:t xml:space="preserve">           </w:t>
      </w:r>
      <w:proofErr w:type="gramEnd"/>
      <w:r w:rsidR="0023703D" w:rsidRPr="004D1833">
        <w:tab/>
      </w:r>
      <w:r w:rsidR="0023703D" w:rsidRPr="004D1833">
        <w:tab/>
      </w:r>
      <w:r w:rsidR="0023703D" w:rsidRPr="004D1833">
        <w:tab/>
      </w:r>
      <w:r w:rsidR="0023703D" w:rsidRPr="004D1833">
        <w:tab/>
      </w:r>
      <w:r w:rsidR="0023703D" w:rsidRPr="004D1833">
        <w:tab/>
      </w:r>
      <w:r w:rsidR="0028489B">
        <w:tab/>
      </w:r>
      <w:r w:rsidR="0023703D" w:rsidRPr="004D1833">
        <w:tab/>
      </w:r>
      <w:r w:rsidR="0023703D" w:rsidRPr="004D1833">
        <w:tab/>
        <w:t>J.Reirs</w:t>
      </w:r>
    </w:p>
    <w:p w:rsidR="002678A4" w:rsidRDefault="002678A4" w:rsidP="0066477E">
      <w:pPr>
        <w:rPr>
          <w:sz w:val="20"/>
          <w:szCs w:val="20"/>
        </w:rPr>
      </w:pPr>
    </w:p>
    <w:p w:rsidR="00EA198C" w:rsidRDefault="00EA198C" w:rsidP="0066477E">
      <w:pPr>
        <w:rPr>
          <w:sz w:val="20"/>
          <w:szCs w:val="20"/>
        </w:rPr>
      </w:pPr>
    </w:p>
    <w:p w:rsidR="00450BAE" w:rsidRPr="00C869CF" w:rsidRDefault="00450BAE" w:rsidP="00450BAE">
      <w:pPr>
        <w:tabs>
          <w:tab w:val="left" w:pos="6237"/>
        </w:tabs>
        <w:jc w:val="both"/>
      </w:pPr>
      <w:r w:rsidRPr="00C869CF">
        <w:t>Vīza: valsts sekretārs</w:t>
      </w:r>
      <w:r w:rsidRPr="00C869CF">
        <w:tab/>
      </w:r>
      <w:proofErr w:type="gramStart"/>
      <w:r w:rsidRPr="00C869CF">
        <w:t xml:space="preserve">      </w:t>
      </w:r>
      <w:proofErr w:type="gramEnd"/>
      <w:r w:rsidR="0028489B">
        <w:tab/>
      </w:r>
      <w:r w:rsidR="005F001B">
        <w:tab/>
      </w:r>
      <w:proofErr w:type="spellStart"/>
      <w:r w:rsidRPr="00C869CF">
        <w:t>I.Alliks</w:t>
      </w:r>
      <w:proofErr w:type="spellEnd"/>
    </w:p>
    <w:p w:rsidR="00D35FB3" w:rsidRDefault="00D35FB3" w:rsidP="0066477E">
      <w:pPr>
        <w:rPr>
          <w:sz w:val="20"/>
          <w:szCs w:val="20"/>
        </w:rPr>
      </w:pPr>
    </w:p>
    <w:p w:rsidR="007A7EB9" w:rsidRDefault="007A7EB9" w:rsidP="0066477E">
      <w:pPr>
        <w:rPr>
          <w:sz w:val="20"/>
          <w:szCs w:val="20"/>
        </w:rPr>
      </w:pPr>
    </w:p>
    <w:p w:rsidR="00E115DB" w:rsidRDefault="00E115DB" w:rsidP="0066477E">
      <w:pPr>
        <w:rPr>
          <w:sz w:val="20"/>
          <w:szCs w:val="20"/>
        </w:rPr>
      </w:pPr>
    </w:p>
    <w:p w:rsidR="00E115DB" w:rsidRDefault="00E115DB" w:rsidP="0066477E">
      <w:pPr>
        <w:rPr>
          <w:sz w:val="20"/>
          <w:szCs w:val="20"/>
        </w:rPr>
      </w:pPr>
    </w:p>
    <w:p w:rsidR="00E115DB" w:rsidRDefault="00E115DB" w:rsidP="0066477E">
      <w:pPr>
        <w:rPr>
          <w:sz w:val="20"/>
          <w:szCs w:val="20"/>
        </w:rPr>
      </w:pPr>
    </w:p>
    <w:p w:rsidR="00E115DB" w:rsidRDefault="00E115DB" w:rsidP="0066477E">
      <w:pPr>
        <w:rPr>
          <w:sz w:val="20"/>
          <w:szCs w:val="20"/>
        </w:rPr>
      </w:pPr>
    </w:p>
    <w:p w:rsidR="00E115DB" w:rsidRPr="004D1833" w:rsidRDefault="00E115DB" w:rsidP="0066477E">
      <w:pPr>
        <w:rPr>
          <w:sz w:val="20"/>
          <w:szCs w:val="20"/>
        </w:rPr>
      </w:pPr>
    </w:p>
    <w:p w:rsidR="0066477E" w:rsidRPr="004D1833" w:rsidRDefault="0066477E" w:rsidP="0066477E">
      <w:pPr>
        <w:rPr>
          <w:sz w:val="20"/>
          <w:szCs w:val="20"/>
        </w:rPr>
      </w:pPr>
      <w:r w:rsidRPr="004D1833">
        <w:rPr>
          <w:sz w:val="20"/>
          <w:szCs w:val="20"/>
        </w:rPr>
        <w:t>201</w:t>
      </w:r>
      <w:r w:rsidR="00E86FAB">
        <w:rPr>
          <w:sz w:val="20"/>
          <w:szCs w:val="20"/>
        </w:rPr>
        <w:t>7</w:t>
      </w:r>
      <w:r w:rsidR="00EB33BF" w:rsidRPr="004D1833">
        <w:rPr>
          <w:sz w:val="20"/>
          <w:szCs w:val="20"/>
        </w:rPr>
        <w:t>.1</w:t>
      </w:r>
      <w:r w:rsidR="004C0902">
        <w:rPr>
          <w:sz w:val="20"/>
          <w:szCs w:val="20"/>
        </w:rPr>
        <w:t>2</w:t>
      </w:r>
      <w:r w:rsidR="00EB33BF" w:rsidRPr="004D1833">
        <w:rPr>
          <w:sz w:val="20"/>
          <w:szCs w:val="20"/>
        </w:rPr>
        <w:t>.</w:t>
      </w:r>
      <w:r w:rsidR="004C0902">
        <w:rPr>
          <w:sz w:val="20"/>
          <w:szCs w:val="20"/>
        </w:rPr>
        <w:t>01</w:t>
      </w:r>
      <w:r w:rsidR="00DD7CCA" w:rsidRPr="004D1833">
        <w:rPr>
          <w:sz w:val="20"/>
          <w:szCs w:val="20"/>
        </w:rPr>
        <w:t xml:space="preserve">. </w:t>
      </w:r>
      <w:r w:rsidR="00E3437F">
        <w:rPr>
          <w:sz w:val="20"/>
          <w:szCs w:val="20"/>
        </w:rPr>
        <w:t>15:18</w:t>
      </w:r>
      <w:bookmarkStart w:id="0" w:name="_GoBack"/>
      <w:bookmarkEnd w:id="0"/>
    </w:p>
    <w:p w:rsidR="0066477E" w:rsidRPr="004D1833" w:rsidRDefault="009F7A20" w:rsidP="0066477E">
      <w:pPr>
        <w:rPr>
          <w:sz w:val="20"/>
          <w:szCs w:val="20"/>
        </w:rPr>
      </w:pPr>
      <w:r>
        <w:rPr>
          <w:sz w:val="20"/>
          <w:szCs w:val="20"/>
        </w:rPr>
        <w:t>2</w:t>
      </w:r>
      <w:r w:rsidR="000F2FF2">
        <w:rPr>
          <w:sz w:val="20"/>
          <w:szCs w:val="20"/>
        </w:rPr>
        <w:t>920</w:t>
      </w:r>
    </w:p>
    <w:p w:rsidR="0066477E" w:rsidRPr="004D1833" w:rsidRDefault="0011109E" w:rsidP="0066477E">
      <w:pPr>
        <w:rPr>
          <w:sz w:val="20"/>
          <w:szCs w:val="20"/>
        </w:rPr>
      </w:pPr>
      <w:r w:rsidRPr="004D1833">
        <w:rPr>
          <w:sz w:val="20"/>
          <w:szCs w:val="20"/>
        </w:rPr>
        <w:t>Liepa</w:t>
      </w:r>
      <w:r w:rsidR="0066477E" w:rsidRPr="004D1833">
        <w:rPr>
          <w:sz w:val="20"/>
          <w:szCs w:val="20"/>
        </w:rPr>
        <w:t xml:space="preserve"> 67021</w:t>
      </w:r>
      <w:r w:rsidRPr="004D1833">
        <w:rPr>
          <w:sz w:val="20"/>
          <w:szCs w:val="20"/>
        </w:rPr>
        <w:t>632</w:t>
      </w:r>
    </w:p>
    <w:p w:rsidR="00E41984" w:rsidRPr="004D1833" w:rsidRDefault="0032771C" w:rsidP="0066477E">
      <w:pPr>
        <w:rPr>
          <w:sz w:val="20"/>
          <w:szCs w:val="20"/>
        </w:rPr>
      </w:pPr>
      <w:hyperlink r:id="rId16" w:history="1">
        <w:r w:rsidR="00605C98" w:rsidRPr="004D1833">
          <w:rPr>
            <w:rStyle w:val="Hyperlink"/>
            <w:color w:val="auto"/>
            <w:sz w:val="20"/>
            <w:szCs w:val="20"/>
          </w:rPr>
          <w:t>Linda.Liepa@lm.gov.lv</w:t>
        </w:r>
      </w:hyperlink>
      <w:r w:rsidR="0066477E" w:rsidRPr="004D1833">
        <w:rPr>
          <w:sz w:val="20"/>
          <w:szCs w:val="20"/>
        </w:rPr>
        <w:t xml:space="preserve"> </w:t>
      </w:r>
    </w:p>
    <w:sectPr w:rsidR="00E41984" w:rsidRPr="004D1833" w:rsidSect="002613E2">
      <w:headerReference w:type="even" r:id="rId17"/>
      <w:headerReference w:type="default" r:id="rId18"/>
      <w:footerReference w:type="default" r:id="rId19"/>
      <w:footerReference w:type="first" r:id="rId20"/>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71C" w:rsidRDefault="0032771C" w:rsidP="00980EF3">
      <w:r>
        <w:separator/>
      </w:r>
    </w:p>
  </w:endnote>
  <w:endnote w:type="continuationSeparator" w:id="0">
    <w:p w:rsidR="0032771C" w:rsidRDefault="0032771C"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A" w:rsidRPr="00C86996" w:rsidRDefault="00B0409A" w:rsidP="00C86996">
    <w:pPr>
      <w:pStyle w:val="Footer"/>
      <w:jc w:val="both"/>
      <w:rPr>
        <w:sz w:val="20"/>
        <w:szCs w:val="20"/>
      </w:rPr>
    </w:pPr>
    <w:r w:rsidRPr="00C86996">
      <w:rPr>
        <w:sz w:val="20"/>
        <w:szCs w:val="20"/>
      </w:rPr>
      <w:t>LManot_</w:t>
    </w:r>
    <w:r w:rsidR="009A724C">
      <w:rPr>
        <w:sz w:val="20"/>
        <w:szCs w:val="20"/>
      </w:rPr>
      <w:t>0112</w:t>
    </w:r>
    <w:r w:rsidRPr="00C86996">
      <w:rPr>
        <w:sz w:val="20"/>
        <w:szCs w:val="20"/>
      </w:rPr>
      <w:t>17; Kārtība, kādā piešķir un izmaksā atlīdzību par adoptējamā bērna aprūpi un piemaksu par vienlaikus vairāku adoptējamo bērnu aprūpi un uzraudzību</w:t>
    </w:r>
  </w:p>
  <w:p w:rsidR="00B0409A" w:rsidRPr="00546494" w:rsidRDefault="00B0409A" w:rsidP="00546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A" w:rsidRPr="00C86996" w:rsidRDefault="00B0409A" w:rsidP="00C0373A">
    <w:pPr>
      <w:pStyle w:val="Footer"/>
      <w:jc w:val="both"/>
      <w:rPr>
        <w:sz w:val="20"/>
        <w:szCs w:val="20"/>
      </w:rPr>
    </w:pPr>
    <w:r w:rsidRPr="00C86996">
      <w:rPr>
        <w:sz w:val="20"/>
        <w:szCs w:val="20"/>
      </w:rPr>
      <w:t>LManot_</w:t>
    </w:r>
    <w:r w:rsidR="007C1210">
      <w:rPr>
        <w:sz w:val="20"/>
        <w:szCs w:val="20"/>
      </w:rPr>
      <w:t>01</w:t>
    </w:r>
    <w:r w:rsidRPr="00C86996">
      <w:rPr>
        <w:sz w:val="20"/>
        <w:szCs w:val="20"/>
      </w:rPr>
      <w:t>1</w:t>
    </w:r>
    <w:r w:rsidR="007C1210">
      <w:rPr>
        <w:sz w:val="20"/>
        <w:szCs w:val="20"/>
      </w:rPr>
      <w:t>2</w:t>
    </w:r>
    <w:r w:rsidRPr="00C86996">
      <w:rPr>
        <w:sz w:val="20"/>
        <w:szCs w:val="20"/>
      </w:rPr>
      <w:t>17; Kārtība, kādā piešķir un izmaksā atlīdzību par adoptējamā bērna aprūpi un piemaksu par vienlaikus vairāku adoptējamo bērnu aprūpi un uzraudzību</w:t>
    </w:r>
  </w:p>
  <w:p w:rsidR="00B0409A" w:rsidRPr="00A00A95" w:rsidRDefault="00B0409A" w:rsidP="00A0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71C" w:rsidRDefault="0032771C" w:rsidP="00980EF3">
      <w:r>
        <w:separator/>
      </w:r>
    </w:p>
  </w:footnote>
  <w:footnote w:type="continuationSeparator" w:id="0">
    <w:p w:rsidR="0032771C" w:rsidRDefault="0032771C" w:rsidP="0098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A" w:rsidRDefault="00B040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09A" w:rsidRDefault="00B0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A" w:rsidRDefault="00B040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37F">
      <w:rPr>
        <w:rStyle w:val="PageNumber"/>
        <w:noProof/>
      </w:rPr>
      <w:t>8</w:t>
    </w:r>
    <w:r>
      <w:rPr>
        <w:rStyle w:val="PageNumber"/>
      </w:rPr>
      <w:fldChar w:fldCharType="end"/>
    </w:r>
  </w:p>
  <w:p w:rsidR="00B0409A" w:rsidRDefault="00B0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F79B8"/>
    <w:multiLevelType w:val="hybridMultilevel"/>
    <w:tmpl w:val="ABDC9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6" w15:restartNumberingAfterBreak="0">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7697282"/>
    <w:multiLevelType w:val="hybridMultilevel"/>
    <w:tmpl w:val="A176C672"/>
    <w:lvl w:ilvl="0" w:tplc="7E8644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E41250"/>
    <w:multiLevelType w:val="hybridMultilevel"/>
    <w:tmpl w:val="971238DC"/>
    <w:lvl w:ilvl="0" w:tplc="14844EDA">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8" w15:restartNumberingAfterBreak="0">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15:restartNumberingAfterBreak="0">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378C8"/>
    <w:multiLevelType w:val="hybridMultilevel"/>
    <w:tmpl w:val="277E6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7" w15:restartNumberingAfterBreak="0">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1"/>
  </w:num>
  <w:num w:numId="4">
    <w:abstractNumId w:val="6"/>
  </w:num>
  <w:num w:numId="5">
    <w:abstractNumId w:val="2"/>
  </w:num>
  <w:num w:numId="6">
    <w:abstractNumId w:val="25"/>
  </w:num>
  <w:num w:numId="7">
    <w:abstractNumId w:val="17"/>
  </w:num>
  <w:num w:numId="8">
    <w:abstractNumId w:val="21"/>
  </w:num>
  <w:num w:numId="9">
    <w:abstractNumId w:val="0"/>
  </w:num>
  <w:num w:numId="10">
    <w:abstractNumId w:val="12"/>
  </w:num>
  <w:num w:numId="11">
    <w:abstractNumId w:val="8"/>
  </w:num>
  <w:num w:numId="12">
    <w:abstractNumId w:val="29"/>
  </w:num>
  <w:num w:numId="13">
    <w:abstractNumId w:val="5"/>
  </w:num>
  <w:num w:numId="14">
    <w:abstractNumId w:val="27"/>
  </w:num>
  <w:num w:numId="15">
    <w:abstractNumId w:val="26"/>
  </w:num>
  <w:num w:numId="16">
    <w:abstractNumId w:val="32"/>
  </w:num>
  <w:num w:numId="17">
    <w:abstractNumId w:val="28"/>
  </w:num>
  <w:num w:numId="18">
    <w:abstractNumId w:val="23"/>
  </w:num>
  <w:num w:numId="19">
    <w:abstractNumId w:val="9"/>
  </w:num>
  <w:num w:numId="20">
    <w:abstractNumId w:val="7"/>
  </w:num>
  <w:num w:numId="21">
    <w:abstractNumId w:val="19"/>
  </w:num>
  <w:num w:numId="22">
    <w:abstractNumId w:val="14"/>
  </w:num>
  <w:num w:numId="23">
    <w:abstractNumId w:val="13"/>
  </w:num>
  <w:num w:numId="24">
    <w:abstractNumId w:val="18"/>
  </w:num>
  <w:num w:numId="25">
    <w:abstractNumId w:val="4"/>
  </w:num>
  <w:num w:numId="26">
    <w:abstractNumId w:val="31"/>
  </w:num>
  <w:num w:numId="27">
    <w:abstractNumId w:val="30"/>
  </w:num>
  <w:num w:numId="28">
    <w:abstractNumId w:val="10"/>
  </w:num>
  <w:num w:numId="29">
    <w:abstractNumId w:val="3"/>
  </w:num>
  <w:num w:numId="30">
    <w:abstractNumId w:val="20"/>
  </w:num>
  <w:num w:numId="31">
    <w:abstractNumId w:val="15"/>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F3"/>
    <w:rsid w:val="00000F26"/>
    <w:rsid w:val="0000580A"/>
    <w:rsid w:val="00010A71"/>
    <w:rsid w:val="00010C5A"/>
    <w:rsid w:val="000123C8"/>
    <w:rsid w:val="00012C7E"/>
    <w:rsid w:val="00015A30"/>
    <w:rsid w:val="00015D2A"/>
    <w:rsid w:val="00016573"/>
    <w:rsid w:val="00017A46"/>
    <w:rsid w:val="0002173D"/>
    <w:rsid w:val="00024573"/>
    <w:rsid w:val="00027458"/>
    <w:rsid w:val="0003109D"/>
    <w:rsid w:val="000339A0"/>
    <w:rsid w:val="0004018D"/>
    <w:rsid w:val="00045AAA"/>
    <w:rsid w:val="00047ED0"/>
    <w:rsid w:val="00050442"/>
    <w:rsid w:val="00050CF1"/>
    <w:rsid w:val="000529DE"/>
    <w:rsid w:val="00052D8B"/>
    <w:rsid w:val="000537AC"/>
    <w:rsid w:val="00055F7E"/>
    <w:rsid w:val="00057E02"/>
    <w:rsid w:val="00065FC4"/>
    <w:rsid w:val="00066289"/>
    <w:rsid w:val="00070D90"/>
    <w:rsid w:val="00077C24"/>
    <w:rsid w:val="00085A50"/>
    <w:rsid w:val="00086EC9"/>
    <w:rsid w:val="00090237"/>
    <w:rsid w:val="000951AE"/>
    <w:rsid w:val="000A15DC"/>
    <w:rsid w:val="000A2EAF"/>
    <w:rsid w:val="000A3DBE"/>
    <w:rsid w:val="000A6AA7"/>
    <w:rsid w:val="000B1BF2"/>
    <w:rsid w:val="000B25B7"/>
    <w:rsid w:val="000B39BF"/>
    <w:rsid w:val="000B67E9"/>
    <w:rsid w:val="000B7480"/>
    <w:rsid w:val="000C6010"/>
    <w:rsid w:val="000C60BD"/>
    <w:rsid w:val="000C6686"/>
    <w:rsid w:val="000D117C"/>
    <w:rsid w:val="000D16B1"/>
    <w:rsid w:val="000D1721"/>
    <w:rsid w:val="000D479A"/>
    <w:rsid w:val="000D5B72"/>
    <w:rsid w:val="000D5ED9"/>
    <w:rsid w:val="000E092B"/>
    <w:rsid w:val="000E5C15"/>
    <w:rsid w:val="000E634D"/>
    <w:rsid w:val="000F0A69"/>
    <w:rsid w:val="000F2FF2"/>
    <w:rsid w:val="000F5224"/>
    <w:rsid w:val="000F573D"/>
    <w:rsid w:val="000F7035"/>
    <w:rsid w:val="00102271"/>
    <w:rsid w:val="0010499F"/>
    <w:rsid w:val="00106108"/>
    <w:rsid w:val="00107FE9"/>
    <w:rsid w:val="001105A5"/>
    <w:rsid w:val="0011109E"/>
    <w:rsid w:val="001117F1"/>
    <w:rsid w:val="0011384C"/>
    <w:rsid w:val="00114EA5"/>
    <w:rsid w:val="0011767A"/>
    <w:rsid w:val="0012248B"/>
    <w:rsid w:val="001253F1"/>
    <w:rsid w:val="001360BD"/>
    <w:rsid w:val="00156FBC"/>
    <w:rsid w:val="00160A29"/>
    <w:rsid w:val="001645A2"/>
    <w:rsid w:val="00171D2A"/>
    <w:rsid w:val="0018405A"/>
    <w:rsid w:val="00185FBA"/>
    <w:rsid w:val="0018783F"/>
    <w:rsid w:val="001928DA"/>
    <w:rsid w:val="00193F4F"/>
    <w:rsid w:val="00194290"/>
    <w:rsid w:val="00194FAC"/>
    <w:rsid w:val="00196AE7"/>
    <w:rsid w:val="001A0BDE"/>
    <w:rsid w:val="001A223E"/>
    <w:rsid w:val="001A2AA6"/>
    <w:rsid w:val="001A5C83"/>
    <w:rsid w:val="001A5F12"/>
    <w:rsid w:val="001B59D1"/>
    <w:rsid w:val="001C6A71"/>
    <w:rsid w:val="001E065E"/>
    <w:rsid w:val="001E2716"/>
    <w:rsid w:val="001E529B"/>
    <w:rsid w:val="001F031C"/>
    <w:rsid w:val="001F56E4"/>
    <w:rsid w:val="001F57C9"/>
    <w:rsid w:val="001F70ED"/>
    <w:rsid w:val="001F7166"/>
    <w:rsid w:val="00200381"/>
    <w:rsid w:val="00200CBE"/>
    <w:rsid w:val="002038FC"/>
    <w:rsid w:val="00203E03"/>
    <w:rsid w:val="00204837"/>
    <w:rsid w:val="0021226A"/>
    <w:rsid w:val="00212778"/>
    <w:rsid w:val="0021465E"/>
    <w:rsid w:val="0021743C"/>
    <w:rsid w:val="0022063E"/>
    <w:rsid w:val="002233B4"/>
    <w:rsid w:val="00223DDD"/>
    <w:rsid w:val="00230D08"/>
    <w:rsid w:val="00232ED0"/>
    <w:rsid w:val="002335F2"/>
    <w:rsid w:val="00236C49"/>
    <w:rsid w:val="0023703D"/>
    <w:rsid w:val="00246A12"/>
    <w:rsid w:val="00252989"/>
    <w:rsid w:val="0025312A"/>
    <w:rsid w:val="002613E2"/>
    <w:rsid w:val="00266000"/>
    <w:rsid w:val="002678A4"/>
    <w:rsid w:val="002678E3"/>
    <w:rsid w:val="00271658"/>
    <w:rsid w:val="00272FD3"/>
    <w:rsid w:val="002756D7"/>
    <w:rsid w:val="00276519"/>
    <w:rsid w:val="0027687F"/>
    <w:rsid w:val="00276F7E"/>
    <w:rsid w:val="0028066A"/>
    <w:rsid w:val="002822B3"/>
    <w:rsid w:val="00282CE2"/>
    <w:rsid w:val="0028442A"/>
    <w:rsid w:val="0028489B"/>
    <w:rsid w:val="0029103A"/>
    <w:rsid w:val="00293FF2"/>
    <w:rsid w:val="00295199"/>
    <w:rsid w:val="00296447"/>
    <w:rsid w:val="00297370"/>
    <w:rsid w:val="002B2B6A"/>
    <w:rsid w:val="002C02F7"/>
    <w:rsid w:val="002C50B3"/>
    <w:rsid w:val="002C6433"/>
    <w:rsid w:val="002D1BE6"/>
    <w:rsid w:val="002D20A8"/>
    <w:rsid w:val="002D5363"/>
    <w:rsid w:val="002D744A"/>
    <w:rsid w:val="002E0E67"/>
    <w:rsid w:val="002E20F3"/>
    <w:rsid w:val="002E5C35"/>
    <w:rsid w:val="002E7552"/>
    <w:rsid w:val="002F202F"/>
    <w:rsid w:val="002F5FD0"/>
    <w:rsid w:val="002F7CCF"/>
    <w:rsid w:val="0030650D"/>
    <w:rsid w:val="00307C75"/>
    <w:rsid w:val="003133E4"/>
    <w:rsid w:val="00313607"/>
    <w:rsid w:val="00313FAC"/>
    <w:rsid w:val="0031518C"/>
    <w:rsid w:val="00315F0B"/>
    <w:rsid w:val="00316F4E"/>
    <w:rsid w:val="003219FF"/>
    <w:rsid w:val="00324F54"/>
    <w:rsid w:val="00325E12"/>
    <w:rsid w:val="0032771C"/>
    <w:rsid w:val="0033049A"/>
    <w:rsid w:val="00337E02"/>
    <w:rsid w:val="00342AC1"/>
    <w:rsid w:val="00346818"/>
    <w:rsid w:val="0034687B"/>
    <w:rsid w:val="00347918"/>
    <w:rsid w:val="003513BC"/>
    <w:rsid w:val="00354BEB"/>
    <w:rsid w:val="003564AA"/>
    <w:rsid w:val="0035672C"/>
    <w:rsid w:val="00357790"/>
    <w:rsid w:val="0036115E"/>
    <w:rsid w:val="0036173F"/>
    <w:rsid w:val="00362128"/>
    <w:rsid w:val="00363702"/>
    <w:rsid w:val="00363B4B"/>
    <w:rsid w:val="00364011"/>
    <w:rsid w:val="00370C82"/>
    <w:rsid w:val="003744FA"/>
    <w:rsid w:val="003750A0"/>
    <w:rsid w:val="00380206"/>
    <w:rsid w:val="00380C18"/>
    <w:rsid w:val="0038384B"/>
    <w:rsid w:val="00385024"/>
    <w:rsid w:val="003902E1"/>
    <w:rsid w:val="003905AF"/>
    <w:rsid w:val="00391268"/>
    <w:rsid w:val="00394C84"/>
    <w:rsid w:val="003A53DD"/>
    <w:rsid w:val="003B2C4A"/>
    <w:rsid w:val="003B2FFF"/>
    <w:rsid w:val="003B4613"/>
    <w:rsid w:val="003B784B"/>
    <w:rsid w:val="003C0BD5"/>
    <w:rsid w:val="003C29FF"/>
    <w:rsid w:val="003C4461"/>
    <w:rsid w:val="003D0E4D"/>
    <w:rsid w:val="003D1231"/>
    <w:rsid w:val="003D1649"/>
    <w:rsid w:val="003E374C"/>
    <w:rsid w:val="003E4EE5"/>
    <w:rsid w:val="003F2095"/>
    <w:rsid w:val="003F26F6"/>
    <w:rsid w:val="003F2896"/>
    <w:rsid w:val="003F422A"/>
    <w:rsid w:val="003F7FF7"/>
    <w:rsid w:val="00401F6F"/>
    <w:rsid w:val="004032C0"/>
    <w:rsid w:val="00403627"/>
    <w:rsid w:val="00407A7A"/>
    <w:rsid w:val="00407D0B"/>
    <w:rsid w:val="00430E57"/>
    <w:rsid w:val="004343DB"/>
    <w:rsid w:val="00437739"/>
    <w:rsid w:val="0044272D"/>
    <w:rsid w:val="00442745"/>
    <w:rsid w:val="004433E0"/>
    <w:rsid w:val="00445995"/>
    <w:rsid w:val="004506E1"/>
    <w:rsid w:val="00450BAE"/>
    <w:rsid w:val="004604AE"/>
    <w:rsid w:val="0046059F"/>
    <w:rsid w:val="00463B2F"/>
    <w:rsid w:val="00463EA7"/>
    <w:rsid w:val="00464945"/>
    <w:rsid w:val="00470B7F"/>
    <w:rsid w:val="00472A6F"/>
    <w:rsid w:val="0047432A"/>
    <w:rsid w:val="00477A99"/>
    <w:rsid w:val="0048175D"/>
    <w:rsid w:val="00486C56"/>
    <w:rsid w:val="0049046D"/>
    <w:rsid w:val="00495107"/>
    <w:rsid w:val="0049611B"/>
    <w:rsid w:val="004A0A16"/>
    <w:rsid w:val="004A1BFB"/>
    <w:rsid w:val="004A278F"/>
    <w:rsid w:val="004A6107"/>
    <w:rsid w:val="004B1DAF"/>
    <w:rsid w:val="004B30A4"/>
    <w:rsid w:val="004B4AE6"/>
    <w:rsid w:val="004B5DD7"/>
    <w:rsid w:val="004B6019"/>
    <w:rsid w:val="004B7C46"/>
    <w:rsid w:val="004C0902"/>
    <w:rsid w:val="004C202C"/>
    <w:rsid w:val="004C37CE"/>
    <w:rsid w:val="004D03C5"/>
    <w:rsid w:val="004D1833"/>
    <w:rsid w:val="004D1A51"/>
    <w:rsid w:val="004D58AA"/>
    <w:rsid w:val="004E3FC7"/>
    <w:rsid w:val="004E4049"/>
    <w:rsid w:val="004E6DCD"/>
    <w:rsid w:val="004F072F"/>
    <w:rsid w:val="004F6148"/>
    <w:rsid w:val="005024BA"/>
    <w:rsid w:val="00503533"/>
    <w:rsid w:val="00505B2E"/>
    <w:rsid w:val="00506C88"/>
    <w:rsid w:val="00510074"/>
    <w:rsid w:val="005114B4"/>
    <w:rsid w:val="00512566"/>
    <w:rsid w:val="005137B6"/>
    <w:rsid w:val="00516E96"/>
    <w:rsid w:val="0053046A"/>
    <w:rsid w:val="00530A11"/>
    <w:rsid w:val="00532635"/>
    <w:rsid w:val="0053264B"/>
    <w:rsid w:val="00532C8C"/>
    <w:rsid w:val="0054151C"/>
    <w:rsid w:val="00543786"/>
    <w:rsid w:val="00546494"/>
    <w:rsid w:val="0055085C"/>
    <w:rsid w:val="00557B8A"/>
    <w:rsid w:val="005714AA"/>
    <w:rsid w:val="00572E0C"/>
    <w:rsid w:val="00573CA7"/>
    <w:rsid w:val="005750F9"/>
    <w:rsid w:val="005931B2"/>
    <w:rsid w:val="00595F0B"/>
    <w:rsid w:val="005A34E6"/>
    <w:rsid w:val="005A4163"/>
    <w:rsid w:val="005A490C"/>
    <w:rsid w:val="005A76AD"/>
    <w:rsid w:val="005B3533"/>
    <w:rsid w:val="005B7477"/>
    <w:rsid w:val="005B7798"/>
    <w:rsid w:val="005C4BC2"/>
    <w:rsid w:val="005D4418"/>
    <w:rsid w:val="005D6029"/>
    <w:rsid w:val="005D7BE7"/>
    <w:rsid w:val="005E3D70"/>
    <w:rsid w:val="005F001B"/>
    <w:rsid w:val="005F2D73"/>
    <w:rsid w:val="005F3118"/>
    <w:rsid w:val="005F39E0"/>
    <w:rsid w:val="005F7942"/>
    <w:rsid w:val="00605B68"/>
    <w:rsid w:val="00605C98"/>
    <w:rsid w:val="00606E33"/>
    <w:rsid w:val="00610DED"/>
    <w:rsid w:val="00615ED9"/>
    <w:rsid w:val="00634D9A"/>
    <w:rsid w:val="00635AA4"/>
    <w:rsid w:val="00640F2D"/>
    <w:rsid w:val="00643BC2"/>
    <w:rsid w:val="00645816"/>
    <w:rsid w:val="00650046"/>
    <w:rsid w:val="0065040E"/>
    <w:rsid w:val="0065161B"/>
    <w:rsid w:val="00654F43"/>
    <w:rsid w:val="0066477E"/>
    <w:rsid w:val="00666BF3"/>
    <w:rsid w:val="006901B0"/>
    <w:rsid w:val="00697CDC"/>
    <w:rsid w:val="006A23F7"/>
    <w:rsid w:val="006A4409"/>
    <w:rsid w:val="006A4A82"/>
    <w:rsid w:val="006A4FC7"/>
    <w:rsid w:val="006A6687"/>
    <w:rsid w:val="006A6702"/>
    <w:rsid w:val="006B157E"/>
    <w:rsid w:val="006C2208"/>
    <w:rsid w:val="006C6C3B"/>
    <w:rsid w:val="006D4045"/>
    <w:rsid w:val="006D49AB"/>
    <w:rsid w:val="006D4F80"/>
    <w:rsid w:val="006E15F4"/>
    <w:rsid w:val="006E6EA0"/>
    <w:rsid w:val="006F044A"/>
    <w:rsid w:val="006F43D5"/>
    <w:rsid w:val="006F5A6B"/>
    <w:rsid w:val="006F77CF"/>
    <w:rsid w:val="0070223E"/>
    <w:rsid w:val="00702280"/>
    <w:rsid w:val="0070520F"/>
    <w:rsid w:val="00711197"/>
    <w:rsid w:val="00711701"/>
    <w:rsid w:val="0071561A"/>
    <w:rsid w:val="00717B5E"/>
    <w:rsid w:val="00727D29"/>
    <w:rsid w:val="00732F4F"/>
    <w:rsid w:val="00732FAB"/>
    <w:rsid w:val="00733468"/>
    <w:rsid w:val="00745088"/>
    <w:rsid w:val="00745B16"/>
    <w:rsid w:val="007534DC"/>
    <w:rsid w:val="00754D9D"/>
    <w:rsid w:val="007550FE"/>
    <w:rsid w:val="00755178"/>
    <w:rsid w:val="00755316"/>
    <w:rsid w:val="0075641E"/>
    <w:rsid w:val="00756EC8"/>
    <w:rsid w:val="007623D5"/>
    <w:rsid w:val="00763491"/>
    <w:rsid w:val="00764CF1"/>
    <w:rsid w:val="00765ED5"/>
    <w:rsid w:val="00774D4A"/>
    <w:rsid w:val="00777FE6"/>
    <w:rsid w:val="00781053"/>
    <w:rsid w:val="00783E17"/>
    <w:rsid w:val="007937D0"/>
    <w:rsid w:val="00793C8C"/>
    <w:rsid w:val="00796892"/>
    <w:rsid w:val="007A1269"/>
    <w:rsid w:val="007A267F"/>
    <w:rsid w:val="007A5F13"/>
    <w:rsid w:val="007A70AC"/>
    <w:rsid w:val="007A7EB9"/>
    <w:rsid w:val="007B68DC"/>
    <w:rsid w:val="007B6D78"/>
    <w:rsid w:val="007B7D3D"/>
    <w:rsid w:val="007C1210"/>
    <w:rsid w:val="007C6D35"/>
    <w:rsid w:val="007D23CE"/>
    <w:rsid w:val="007D362D"/>
    <w:rsid w:val="007D4278"/>
    <w:rsid w:val="007D44C6"/>
    <w:rsid w:val="007D6415"/>
    <w:rsid w:val="007D7D9B"/>
    <w:rsid w:val="007E30A2"/>
    <w:rsid w:val="007E733B"/>
    <w:rsid w:val="007F3281"/>
    <w:rsid w:val="007F7DC5"/>
    <w:rsid w:val="00801391"/>
    <w:rsid w:val="008045CD"/>
    <w:rsid w:val="00804D4A"/>
    <w:rsid w:val="00812F0D"/>
    <w:rsid w:val="00816717"/>
    <w:rsid w:val="00831B7A"/>
    <w:rsid w:val="00836565"/>
    <w:rsid w:val="008408EC"/>
    <w:rsid w:val="00842735"/>
    <w:rsid w:val="00843545"/>
    <w:rsid w:val="008545C0"/>
    <w:rsid w:val="00857D68"/>
    <w:rsid w:val="00862626"/>
    <w:rsid w:val="008643B6"/>
    <w:rsid w:val="00872371"/>
    <w:rsid w:val="00873EA7"/>
    <w:rsid w:val="008774A7"/>
    <w:rsid w:val="0088453F"/>
    <w:rsid w:val="00890F70"/>
    <w:rsid w:val="00897671"/>
    <w:rsid w:val="008A2B27"/>
    <w:rsid w:val="008A3CE4"/>
    <w:rsid w:val="008A6FAE"/>
    <w:rsid w:val="008B3887"/>
    <w:rsid w:val="008B48EF"/>
    <w:rsid w:val="008B60D2"/>
    <w:rsid w:val="008C6643"/>
    <w:rsid w:val="008D16A3"/>
    <w:rsid w:val="008D1A00"/>
    <w:rsid w:val="008D2573"/>
    <w:rsid w:val="008D6089"/>
    <w:rsid w:val="008E3D33"/>
    <w:rsid w:val="008E5B8A"/>
    <w:rsid w:val="008E72BD"/>
    <w:rsid w:val="008F1A93"/>
    <w:rsid w:val="008F496D"/>
    <w:rsid w:val="00903B79"/>
    <w:rsid w:val="00910914"/>
    <w:rsid w:val="00910F73"/>
    <w:rsid w:val="0091226B"/>
    <w:rsid w:val="0092484A"/>
    <w:rsid w:val="009266E5"/>
    <w:rsid w:val="00930360"/>
    <w:rsid w:val="009319C9"/>
    <w:rsid w:val="009339A7"/>
    <w:rsid w:val="0094239F"/>
    <w:rsid w:val="00946E4A"/>
    <w:rsid w:val="00950FCA"/>
    <w:rsid w:val="0095170E"/>
    <w:rsid w:val="009551D9"/>
    <w:rsid w:val="0095756F"/>
    <w:rsid w:val="00961B0F"/>
    <w:rsid w:val="00974281"/>
    <w:rsid w:val="00976B89"/>
    <w:rsid w:val="00980EF3"/>
    <w:rsid w:val="00980FE2"/>
    <w:rsid w:val="0098152E"/>
    <w:rsid w:val="0098154B"/>
    <w:rsid w:val="00986F71"/>
    <w:rsid w:val="00992510"/>
    <w:rsid w:val="0099678F"/>
    <w:rsid w:val="009A0A94"/>
    <w:rsid w:val="009A724C"/>
    <w:rsid w:val="009B00F5"/>
    <w:rsid w:val="009B080B"/>
    <w:rsid w:val="009C0366"/>
    <w:rsid w:val="009C0E2C"/>
    <w:rsid w:val="009C4105"/>
    <w:rsid w:val="009C61C0"/>
    <w:rsid w:val="009C66D5"/>
    <w:rsid w:val="009D119C"/>
    <w:rsid w:val="009D5333"/>
    <w:rsid w:val="009D5AFA"/>
    <w:rsid w:val="009D5C9B"/>
    <w:rsid w:val="009D6665"/>
    <w:rsid w:val="009D6EC9"/>
    <w:rsid w:val="009E47AA"/>
    <w:rsid w:val="009E5F96"/>
    <w:rsid w:val="009F1EA0"/>
    <w:rsid w:val="009F6292"/>
    <w:rsid w:val="009F7A20"/>
    <w:rsid w:val="00A00A95"/>
    <w:rsid w:val="00A0334C"/>
    <w:rsid w:val="00A0615C"/>
    <w:rsid w:val="00A06700"/>
    <w:rsid w:val="00A071C0"/>
    <w:rsid w:val="00A1025E"/>
    <w:rsid w:val="00A14367"/>
    <w:rsid w:val="00A151E4"/>
    <w:rsid w:val="00A218CA"/>
    <w:rsid w:val="00A30B0A"/>
    <w:rsid w:val="00A33427"/>
    <w:rsid w:val="00A33AF0"/>
    <w:rsid w:val="00A35ACA"/>
    <w:rsid w:val="00A3657C"/>
    <w:rsid w:val="00A4239D"/>
    <w:rsid w:val="00A43CF5"/>
    <w:rsid w:val="00A52A6E"/>
    <w:rsid w:val="00A56BB6"/>
    <w:rsid w:val="00A57DED"/>
    <w:rsid w:val="00A669F7"/>
    <w:rsid w:val="00A66E21"/>
    <w:rsid w:val="00A716CC"/>
    <w:rsid w:val="00A7384C"/>
    <w:rsid w:val="00A73E67"/>
    <w:rsid w:val="00A75341"/>
    <w:rsid w:val="00A81A07"/>
    <w:rsid w:val="00A824D8"/>
    <w:rsid w:val="00A82E54"/>
    <w:rsid w:val="00AA362C"/>
    <w:rsid w:val="00AA3D89"/>
    <w:rsid w:val="00AA7E26"/>
    <w:rsid w:val="00AB1968"/>
    <w:rsid w:val="00AB1ACA"/>
    <w:rsid w:val="00AB245E"/>
    <w:rsid w:val="00AB5C60"/>
    <w:rsid w:val="00AC2334"/>
    <w:rsid w:val="00AC7053"/>
    <w:rsid w:val="00AC77EC"/>
    <w:rsid w:val="00AD06DC"/>
    <w:rsid w:val="00AD6A06"/>
    <w:rsid w:val="00AF55FD"/>
    <w:rsid w:val="00B012C6"/>
    <w:rsid w:val="00B0409A"/>
    <w:rsid w:val="00B06292"/>
    <w:rsid w:val="00B115FA"/>
    <w:rsid w:val="00B12381"/>
    <w:rsid w:val="00B12ECE"/>
    <w:rsid w:val="00B14151"/>
    <w:rsid w:val="00B145E8"/>
    <w:rsid w:val="00B23963"/>
    <w:rsid w:val="00B25694"/>
    <w:rsid w:val="00B26D56"/>
    <w:rsid w:val="00B278E7"/>
    <w:rsid w:val="00B31131"/>
    <w:rsid w:val="00B31D36"/>
    <w:rsid w:val="00B331B8"/>
    <w:rsid w:val="00B35409"/>
    <w:rsid w:val="00B40B90"/>
    <w:rsid w:val="00B40D99"/>
    <w:rsid w:val="00B414B2"/>
    <w:rsid w:val="00B56477"/>
    <w:rsid w:val="00B62C3E"/>
    <w:rsid w:val="00B637F0"/>
    <w:rsid w:val="00B70127"/>
    <w:rsid w:val="00B74845"/>
    <w:rsid w:val="00B76B23"/>
    <w:rsid w:val="00B843F9"/>
    <w:rsid w:val="00B844A4"/>
    <w:rsid w:val="00B84653"/>
    <w:rsid w:val="00B8591D"/>
    <w:rsid w:val="00B86C16"/>
    <w:rsid w:val="00B90562"/>
    <w:rsid w:val="00BA0979"/>
    <w:rsid w:val="00BA115E"/>
    <w:rsid w:val="00BA53CA"/>
    <w:rsid w:val="00BB6573"/>
    <w:rsid w:val="00BC1024"/>
    <w:rsid w:val="00BC203C"/>
    <w:rsid w:val="00BD4C15"/>
    <w:rsid w:val="00BE5731"/>
    <w:rsid w:val="00BF0475"/>
    <w:rsid w:val="00BF2670"/>
    <w:rsid w:val="00BF3018"/>
    <w:rsid w:val="00BF3954"/>
    <w:rsid w:val="00BF53F6"/>
    <w:rsid w:val="00BF5EB3"/>
    <w:rsid w:val="00BF7F9B"/>
    <w:rsid w:val="00C0053F"/>
    <w:rsid w:val="00C0373A"/>
    <w:rsid w:val="00C04771"/>
    <w:rsid w:val="00C07393"/>
    <w:rsid w:val="00C07B1A"/>
    <w:rsid w:val="00C11673"/>
    <w:rsid w:val="00C149C7"/>
    <w:rsid w:val="00C20677"/>
    <w:rsid w:val="00C25233"/>
    <w:rsid w:val="00C26103"/>
    <w:rsid w:val="00C278E9"/>
    <w:rsid w:val="00C4055B"/>
    <w:rsid w:val="00C44CF6"/>
    <w:rsid w:val="00C464E9"/>
    <w:rsid w:val="00C50510"/>
    <w:rsid w:val="00C55E13"/>
    <w:rsid w:val="00C7398D"/>
    <w:rsid w:val="00C740B9"/>
    <w:rsid w:val="00C74204"/>
    <w:rsid w:val="00C83E28"/>
    <w:rsid w:val="00C86164"/>
    <w:rsid w:val="00C86996"/>
    <w:rsid w:val="00C87710"/>
    <w:rsid w:val="00C906EF"/>
    <w:rsid w:val="00C913A8"/>
    <w:rsid w:val="00C91B89"/>
    <w:rsid w:val="00C94D22"/>
    <w:rsid w:val="00CA29D6"/>
    <w:rsid w:val="00CA32AF"/>
    <w:rsid w:val="00CA367F"/>
    <w:rsid w:val="00CB5549"/>
    <w:rsid w:val="00CB7270"/>
    <w:rsid w:val="00CC2AA8"/>
    <w:rsid w:val="00CC3661"/>
    <w:rsid w:val="00CC562F"/>
    <w:rsid w:val="00CC7531"/>
    <w:rsid w:val="00CD09A8"/>
    <w:rsid w:val="00CD13B6"/>
    <w:rsid w:val="00CD2FF9"/>
    <w:rsid w:val="00CD412C"/>
    <w:rsid w:val="00CD5BB3"/>
    <w:rsid w:val="00CE272B"/>
    <w:rsid w:val="00CE6346"/>
    <w:rsid w:val="00CF046A"/>
    <w:rsid w:val="00CF2F75"/>
    <w:rsid w:val="00CF5D4E"/>
    <w:rsid w:val="00D01439"/>
    <w:rsid w:val="00D03E40"/>
    <w:rsid w:val="00D04DA1"/>
    <w:rsid w:val="00D116A7"/>
    <w:rsid w:val="00D12703"/>
    <w:rsid w:val="00D131ED"/>
    <w:rsid w:val="00D13F3D"/>
    <w:rsid w:val="00D17DD8"/>
    <w:rsid w:val="00D25A2C"/>
    <w:rsid w:val="00D32154"/>
    <w:rsid w:val="00D33657"/>
    <w:rsid w:val="00D35FB3"/>
    <w:rsid w:val="00D5064A"/>
    <w:rsid w:val="00D5327C"/>
    <w:rsid w:val="00D53FDD"/>
    <w:rsid w:val="00D54C68"/>
    <w:rsid w:val="00D570AD"/>
    <w:rsid w:val="00D625A7"/>
    <w:rsid w:val="00D62807"/>
    <w:rsid w:val="00D72386"/>
    <w:rsid w:val="00D846E1"/>
    <w:rsid w:val="00D87422"/>
    <w:rsid w:val="00D9165E"/>
    <w:rsid w:val="00D92283"/>
    <w:rsid w:val="00D95EFE"/>
    <w:rsid w:val="00D96F19"/>
    <w:rsid w:val="00DA05B2"/>
    <w:rsid w:val="00DA0C44"/>
    <w:rsid w:val="00DA12E1"/>
    <w:rsid w:val="00DA42A5"/>
    <w:rsid w:val="00DA7237"/>
    <w:rsid w:val="00DC3931"/>
    <w:rsid w:val="00DC3C0F"/>
    <w:rsid w:val="00DD18FC"/>
    <w:rsid w:val="00DD2341"/>
    <w:rsid w:val="00DD479A"/>
    <w:rsid w:val="00DD6546"/>
    <w:rsid w:val="00DD7CCA"/>
    <w:rsid w:val="00DE0B09"/>
    <w:rsid w:val="00DE2043"/>
    <w:rsid w:val="00DF08B3"/>
    <w:rsid w:val="00DF2480"/>
    <w:rsid w:val="00DF2ADE"/>
    <w:rsid w:val="00DF45AF"/>
    <w:rsid w:val="00DF61B3"/>
    <w:rsid w:val="00DF74D5"/>
    <w:rsid w:val="00E00A3C"/>
    <w:rsid w:val="00E027F4"/>
    <w:rsid w:val="00E03D91"/>
    <w:rsid w:val="00E03D95"/>
    <w:rsid w:val="00E04736"/>
    <w:rsid w:val="00E0722B"/>
    <w:rsid w:val="00E115DB"/>
    <w:rsid w:val="00E14F21"/>
    <w:rsid w:val="00E16FB4"/>
    <w:rsid w:val="00E23E9F"/>
    <w:rsid w:val="00E2446A"/>
    <w:rsid w:val="00E2627B"/>
    <w:rsid w:val="00E27FD2"/>
    <w:rsid w:val="00E30BF0"/>
    <w:rsid w:val="00E3116C"/>
    <w:rsid w:val="00E3437F"/>
    <w:rsid w:val="00E3647F"/>
    <w:rsid w:val="00E41173"/>
    <w:rsid w:val="00E41984"/>
    <w:rsid w:val="00E459F3"/>
    <w:rsid w:val="00E506A7"/>
    <w:rsid w:val="00E52FA0"/>
    <w:rsid w:val="00E61C82"/>
    <w:rsid w:val="00E65842"/>
    <w:rsid w:val="00E65D9C"/>
    <w:rsid w:val="00E66BAE"/>
    <w:rsid w:val="00E755B4"/>
    <w:rsid w:val="00E76048"/>
    <w:rsid w:val="00E80602"/>
    <w:rsid w:val="00E86CB3"/>
    <w:rsid w:val="00E86FAB"/>
    <w:rsid w:val="00E87C1B"/>
    <w:rsid w:val="00EA0BE9"/>
    <w:rsid w:val="00EA16DA"/>
    <w:rsid w:val="00EA198C"/>
    <w:rsid w:val="00EB33BF"/>
    <w:rsid w:val="00EB7358"/>
    <w:rsid w:val="00EC1E3F"/>
    <w:rsid w:val="00EC60B1"/>
    <w:rsid w:val="00EC77AD"/>
    <w:rsid w:val="00ED157A"/>
    <w:rsid w:val="00ED65E0"/>
    <w:rsid w:val="00ED698E"/>
    <w:rsid w:val="00EE5214"/>
    <w:rsid w:val="00EE6BB4"/>
    <w:rsid w:val="00EE7B54"/>
    <w:rsid w:val="00EF0CB4"/>
    <w:rsid w:val="00EF33D0"/>
    <w:rsid w:val="00F00FFD"/>
    <w:rsid w:val="00F03363"/>
    <w:rsid w:val="00F04DB8"/>
    <w:rsid w:val="00F15184"/>
    <w:rsid w:val="00F17756"/>
    <w:rsid w:val="00F21D3F"/>
    <w:rsid w:val="00F22D21"/>
    <w:rsid w:val="00F24526"/>
    <w:rsid w:val="00F25DCE"/>
    <w:rsid w:val="00F31309"/>
    <w:rsid w:val="00F33C83"/>
    <w:rsid w:val="00F40818"/>
    <w:rsid w:val="00F41F6B"/>
    <w:rsid w:val="00F42F5A"/>
    <w:rsid w:val="00F460C2"/>
    <w:rsid w:val="00F573FF"/>
    <w:rsid w:val="00F60D1C"/>
    <w:rsid w:val="00F636D5"/>
    <w:rsid w:val="00F6592E"/>
    <w:rsid w:val="00F65D50"/>
    <w:rsid w:val="00F67450"/>
    <w:rsid w:val="00F67FC2"/>
    <w:rsid w:val="00F7423E"/>
    <w:rsid w:val="00F761C7"/>
    <w:rsid w:val="00F76206"/>
    <w:rsid w:val="00F80E51"/>
    <w:rsid w:val="00F822AC"/>
    <w:rsid w:val="00F82613"/>
    <w:rsid w:val="00F82B41"/>
    <w:rsid w:val="00F855AE"/>
    <w:rsid w:val="00F86F34"/>
    <w:rsid w:val="00F91B78"/>
    <w:rsid w:val="00F91F91"/>
    <w:rsid w:val="00F97491"/>
    <w:rsid w:val="00FA0490"/>
    <w:rsid w:val="00FA1970"/>
    <w:rsid w:val="00FA30EF"/>
    <w:rsid w:val="00FA473E"/>
    <w:rsid w:val="00FA6361"/>
    <w:rsid w:val="00FB3CAA"/>
    <w:rsid w:val="00FB67B3"/>
    <w:rsid w:val="00FC1B61"/>
    <w:rsid w:val="00FC7093"/>
    <w:rsid w:val="00FD29A2"/>
    <w:rsid w:val="00FD40B9"/>
    <w:rsid w:val="00FD7FC8"/>
    <w:rsid w:val="00FE3E59"/>
    <w:rsid w:val="00FE4B7D"/>
    <w:rsid w:val="00FE6F97"/>
    <w:rsid w:val="00FF0DE9"/>
    <w:rsid w:val="00FF3A55"/>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789C40A"/>
  <w15:docId w15:val="{663C31B3-12B5-4693-9BE6-71E1BB9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D336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99"/>
    <w:qFormat/>
    <w:rsid w:val="00980EF3"/>
    <w:pPr>
      <w:ind w:left="720"/>
      <w:contextualSpacing/>
    </w:pPr>
  </w:style>
  <w:style w:type="paragraph" w:styleId="CommentText">
    <w:name w:val="annotation text"/>
    <w:basedOn w:val="Normal"/>
    <w:link w:val="CommentTextChar"/>
    <w:uiPriority w:val="99"/>
    <w:semiHidden/>
    <w:rsid w:val="0066477E"/>
    <w:rPr>
      <w:sz w:val="20"/>
      <w:szCs w:val="20"/>
    </w:rPr>
  </w:style>
  <w:style w:type="character" w:customStyle="1" w:styleId="CommentTextChar">
    <w:name w:val="Comment Text Char"/>
    <w:basedOn w:val="DefaultParagraphFont"/>
    <w:link w:val="CommentText"/>
    <w:uiPriority w:val="99"/>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99"/>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labojumupamats">
    <w:name w:val="labojumu_pamats"/>
    <w:basedOn w:val="Normal"/>
    <w:rsid w:val="002F7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4239F"/>
    <w:rPr>
      <w:b/>
      <w:bCs/>
    </w:rPr>
  </w:style>
  <w:style w:type="character" w:customStyle="1" w:styleId="CommentSubjectChar">
    <w:name w:val="Comment Subject Char"/>
    <w:basedOn w:val="CommentTextChar"/>
    <w:link w:val="CommentSubject"/>
    <w:uiPriority w:val="99"/>
    <w:semiHidden/>
    <w:rsid w:val="0094239F"/>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D33657"/>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860">
      <w:bodyDiv w:val="1"/>
      <w:marLeft w:val="0"/>
      <w:marRight w:val="0"/>
      <w:marTop w:val="0"/>
      <w:marBottom w:val="0"/>
      <w:divBdr>
        <w:top w:val="none" w:sz="0" w:space="0" w:color="auto"/>
        <w:left w:val="none" w:sz="0" w:space="0" w:color="auto"/>
        <w:bottom w:val="none" w:sz="0" w:space="0" w:color="auto"/>
        <w:right w:val="none" w:sz="0" w:space="0" w:color="auto"/>
      </w:divBdr>
    </w:div>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246234345">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360715065">
      <w:bodyDiv w:val="1"/>
      <w:marLeft w:val="0"/>
      <w:marRight w:val="0"/>
      <w:marTop w:val="0"/>
      <w:marBottom w:val="0"/>
      <w:divBdr>
        <w:top w:val="none" w:sz="0" w:space="0" w:color="auto"/>
        <w:left w:val="none" w:sz="0" w:space="0" w:color="auto"/>
        <w:bottom w:val="none" w:sz="0" w:space="0" w:color="auto"/>
        <w:right w:val="none" w:sz="0" w:space="0" w:color="auto"/>
      </w:divBdr>
    </w:div>
    <w:div w:id="372003150">
      <w:bodyDiv w:val="1"/>
      <w:marLeft w:val="0"/>
      <w:marRight w:val="0"/>
      <w:marTop w:val="0"/>
      <w:marBottom w:val="0"/>
      <w:divBdr>
        <w:top w:val="none" w:sz="0" w:space="0" w:color="auto"/>
        <w:left w:val="none" w:sz="0" w:space="0" w:color="auto"/>
        <w:bottom w:val="none" w:sz="0" w:space="0" w:color="auto"/>
        <w:right w:val="none" w:sz="0" w:space="0" w:color="auto"/>
      </w:divBdr>
    </w:div>
    <w:div w:id="439222745">
      <w:bodyDiv w:val="1"/>
      <w:marLeft w:val="0"/>
      <w:marRight w:val="0"/>
      <w:marTop w:val="0"/>
      <w:marBottom w:val="0"/>
      <w:divBdr>
        <w:top w:val="none" w:sz="0" w:space="0" w:color="auto"/>
        <w:left w:val="none" w:sz="0" w:space="0" w:color="auto"/>
        <w:bottom w:val="none" w:sz="0" w:space="0" w:color="auto"/>
        <w:right w:val="none" w:sz="0" w:space="0" w:color="auto"/>
      </w:divBdr>
    </w:div>
    <w:div w:id="447897950">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687561436">
      <w:bodyDiv w:val="1"/>
      <w:marLeft w:val="0"/>
      <w:marRight w:val="0"/>
      <w:marTop w:val="0"/>
      <w:marBottom w:val="0"/>
      <w:divBdr>
        <w:top w:val="none" w:sz="0" w:space="0" w:color="auto"/>
        <w:left w:val="none" w:sz="0" w:space="0" w:color="auto"/>
        <w:bottom w:val="none" w:sz="0" w:space="0" w:color="auto"/>
        <w:right w:val="none" w:sz="0" w:space="0" w:color="auto"/>
      </w:divBdr>
      <w:divsChild>
        <w:div w:id="1205370205">
          <w:marLeft w:val="0"/>
          <w:marRight w:val="0"/>
          <w:marTop w:val="0"/>
          <w:marBottom w:val="0"/>
          <w:divBdr>
            <w:top w:val="none" w:sz="0" w:space="0" w:color="auto"/>
            <w:left w:val="none" w:sz="0" w:space="0" w:color="auto"/>
            <w:bottom w:val="none" w:sz="0" w:space="0" w:color="auto"/>
            <w:right w:val="none" w:sz="0" w:space="0" w:color="auto"/>
          </w:divBdr>
        </w:div>
        <w:div w:id="262418957">
          <w:marLeft w:val="0"/>
          <w:marRight w:val="0"/>
          <w:marTop w:val="0"/>
          <w:marBottom w:val="0"/>
          <w:divBdr>
            <w:top w:val="none" w:sz="0" w:space="0" w:color="auto"/>
            <w:left w:val="none" w:sz="0" w:space="0" w:color="auto"/>
            <w:bottom w:val="none" w:sz="0" w:space="0" w:color="auto"/>
            <w:right w:val="none" w:sz="0" w:space="0" w:color="auto"/>
          </w:divBdr>
        </w:div>
      </w:divsChild>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864294826">
      <w:bodyDiv w:val="1"/>
      <w:marLeft w:val="0"/>
      <w:marRight w:val="0"/>
      <w:marTop w:val="0"/>
      <w:marBottom w:val="0"/>
      <w:divBdr>
        <w:top w:val="none" w:sz="0" w:space="0" w:color="auto"/>
        <w:left w:val="none" w:sz="0" w:space="0" w:color="auto"/>
        <w:bottom w:val="none" w:sz="0" w:space="0" w:color="auto"/>
        <w:right w:val="none" w:sz="0" w:space="0" w:color="auto"/>
      </w:divBdr>
    </w:div>
    <w:div w:id="878707227">
      <w:bodyDiv w:val="1"/>
      <w:marLeft w:val="0"/>
      <w:marRight w:val="0"/>
      <w:marTop w:val="0"/>
      <w:marBottom w:val="0"/>
      <w:divBdr>
        <w:top w:val="none" w:sz="0" w:space="0" w:color="auto"/>
        <w:left w:val="none" w:sz="0" w:space="0" w:color="auto"/>
        <w:bottom w:val="none" w:sz="0" w:space="0" w:color="auto"/>
        <w:right w:val="none" w:sz="0" w:space="0" w:color="auto"/>
      </w:divBdr>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292175662">
      <w:bodyDiv w:val="1"/>
      <w:marLeft w:val="0"/>
      <w:marRight w:val="0"/>
      <w:marTop w:val="0"/>
      <w:marBottom w:val="0"/>
      <w:divBdr>
        <w:top w:val="none" w:sz="0" w:space="0" w:color="auto"/>
        <w:left w:val="none" w:sz="0" w:space="0" w:color="auto"/>
        <w:bottom w:val="none" w:sz="0" w:space="0" w:color="auto"/>
        <w:right w:val="none" w:sz="0" w:space="0" w:color="auto"/>
      </w:divBdr>
    </w:div>
    <w:div w:id="1332220319">
      <w:bodyDiv w:val="1"/>
      <w:marLeft w:val="0"/>
      <w:marRight w:val="0"/>
      <w:marTop w:val="0"/>
      <w:marBottom w:val="0"/>
      <w:divBdr>
        <w:top w:val="none" w:sz="0" w:space="0" w:color="auto"/>
        <w:left w:val="none" w:sz="0" w:space="0" w:color="auto"/>
        <w:bottom w:val="none" w:sz="0" w:space="0" w:color="auto"/>
        <w:right w:val="none" w:sz="0" w:space="0" w:color="auto"/>
      </w:divBdr>
    </w:div>
    <w:div w:id="1477794969">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 w:id="16909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9096-bernu-tiesibu-aizsardzibas-likums" TargetMode="External"/><Relationship Id="rId13" Type="http://schemas.openxmlformats.org/officeDocument/2006/relationships/hyperlink" Target="http://likumi.lv/ta/id/26019-darba-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26019-darba-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nda.Liepa@l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25418-civillikums" TargetMode="External"/><Relationship Id="rId5" Type="http://schemas.openxmlformats.org/officeDocument/2006/relationships/webSettings" Target="webSettings.xml"/><Relationship Id="rId15" Type="http://schemas.openxmlformats.org/officeDocument/2006/relationships/hyperlink" Target="http://likumi.lv/ta/id/45466-par-valsts-socialo-apdrosinasanu" TargetMode="External"/><Relationship Id="rId10" Type="http://schemas.openxmlformats.org/officeDocument/2006/relationships/hyperlink" Target="http://likumi.lv/ta/id/225418-civil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49096-bernu-tiesibu-aizsardzibas-likums" TargetMode="External"/><Relationship Id="rId14" Type="http://schemas.openxmlformats.org/officeDocument/2006/relationships/hyperlink" Target="http://likumi.lv/ta/id/68483-valsts-socialo-pabalst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2A63-132E-435D-A502-31DEF1EA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14583</Words>
  <Characters>8313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Kārtība, kādā piešķir un izmaksā atlīdzību par adoptējamā bērna aprūpi un piemaksu par vienlaikus vairāku adoptējamo bērnu aprūpi un uzraudzību</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un izmaksā atlīdzību par adoptējamā bērna aprūpi un piemaksu par vienlaikus vairāku adoptējamo bērnu aprūpi un uzraudzību</dc:title>
  <dc:creator>Linda Liepa</dc:creator>
  <cp:keywords>Anotācija</cp:keywords>
  <dc:description>Linda.Liepa@lm.gov.lv, 67021632</dc:description>
  <cp:lastModifiedBy>Linda Liepa</cp:lastModifiedBy>
  <cp:revision>114</cp:revision>
  <cp:lastPrinted>2017-11-23T07:36:00Z</cp:lastPrinted>
  <dcterms:created xsi:type="dcterms:W3CDTF">2017-11-01T12:55:00Z</dcterms:created>
  <dcterms:modified xsi:type="dcterms:W3CDTF">2017-12-01T13:18:00Z</dcterms:modified>
</cp:coreProperties>
</file>