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91480" w:rsidRPr="00691480" w:rsidP="00691480">
      <w:pPr>
        <w:spacing w:after="0" w:line="240" w:lineRule="auto"/>
        <w:jc w:val="right"/>
        <w:rPr>
          <w:rFonts w:ascii="Times New Roman" w:hAnsi="Times New Roman"/>
          <w:i/>
          <w:sz w:val="27"/>
          <w:szCs w:val="27"/>
          <w:lang w:val="lv-LV"/>
        </w:rPr>
      </w:pPr>
      <w:r w:rsidRPr="00691480">
        <w:rPr>
          <w:rFonts w:ascii="Times New Roman" w:hAnsi="Times New Roman"/>
          <w:i/>
          <w:sz w:val="27"/>
          <w:szCs w:val="27"/>
          <w:lang w:val="lv-LV"/>
        </w:rPr>
        <w:t>Projekts</w:t>
      </w:r>
    </w:p>
    <w:p w:rsidR="003909F6" w:rsidRPr="00691480" w:rsidP="003909F6">
      <w:pPr>
        <w:spacing w:after="0" w:line="240" w:lineRule="auto"/>
        <w:jc w:val="center"/>
        <w:rPr>
          <w:rFonts w:ascii="Times New Roman" w:hAnsi="Times New Roman"/>
          <w:sz w:val="27"/>
          <w:szCs w:val="27"/>
          <w:lang w:val="lv-LV"/>
        </w:rPr>
      </w:pPr>
      <w:r w:rsidRPr="00691480">
        <w:rPr>
          <w:rFonts w:ascii="Times New Roman" w:hAnsi="Times New Roman"/>
          <w:sz w:val="27"/>
          <w:szCs w:val="27"/>
          <w:lang w:val="lv-LV"/>
        </w:rPr>
        <w:t>Rīgā</w:t>
      </w:r>
    </w:p>
    <w:p w:rsidR="003909F6" w:rsidRPr="00691480" w:rsidP="003909F6">
      <w:pPr>
        <w:spacing w:after="0" w:line="240" w:lineRule="auto"/>
        <w:rPr>
          <w:rFonts w:ascii="Times New Roman" w:hAnsi="Times New Roman"/>
          <w:sz w:val="27"/>
          <w:szCs w:val="27"/>
          <w:lang w:val="lv-LV"/>
        </w:rPr>
      </w:pPr>
    </w:p>
    <w:p w:rsidR="003909F6" w:rsidRPr="00691480" w:rsidP="003909F6">
      <w:pPr>
        <w:spacing w:after="0" w:line="240" w:lineRule="auto"/>
        <w:rPr>
          <w:rFonts w:ascii="Times New Roman" w:hAnsi="Times New Roman"/>
          <w:sz w:val="27"/>
          <w:szCs w:val="27"/>
          <w:lang w:val="lv-LV"/>
        </w:rPr>
      </w:pPr>
      <w:r w:rsidRPr="00691480">
        <w:rPr>
          <w:rFonts w:ascii="Times New Roman" w:hAnsi="Times New Roman"/>
          <w:sz w:val="27"/>
          <w:szCs w:val="27"/>
          <w:lang w:val="lv-LV"/>
        </w:rPr>
        <w:t xml:space="preserve">   ___________ Nr. __________</w:t>
      </w:r>
    </w:p>
    <w:p w:rsidR="003909F6" w:rsidRPr="00691480" w:rsidP="00542243">
      <w:pPr>
        <w:spacing w:after="0" w:line="240" w:lineRule="auto"/>
        <w:rPr>
          <w:rFonts w:ascii="Times New Roman" w:hAnsi="Times New Roman"/>
          <w:sz w:val="27"/>
          <w:szCs w:val="27"/>
          <w:lang w:val="lv-LV"/>
        </w:rPr>
      </w:pPr>
      <w:r w:rsidRPr="00691480">
        <w:rPr>
          <w:rFonts w:ascii="Times New Roman" w:hAnsi="Times New Roman"/>
          <w:sz w:val="27"/>
          <w:szCs w:val="27"/>
          <w:lang w:val="lv-LV"/>
        </w:rPr>
        <w:t xml:space="preserve">Uz </w:t>
      </w:r>
      <w:r w:rsidRPr="00691480" w:rsidR="00790462">
        <w:rPr>
          <w:rFonts w:ascii="Times New Roman" w:hAnsi="Times New Roman"/>
          <w:sz w:val="27"/>
          <w:szCs w:val="27"/>
          <w:lang w:val="lv-LV"/>
        </w:rPr>
        <w:t>19.10</w:t>
      </w:r>
      <w:r w:rsidRPr="00691480">
        <w:rPr>
          <w:rFonts w:ascii="Times New Roman" w:hAnsi="Times New Roman"/>
          <w:sz w:val="27"/>
          <w:szCs w:val="27"/>
          <w:lang w:val="lv-LV"/>
        </w:rPr>
        <w:t>.2017. Nr. </w:t>
      </w:r>
      <w:r w:rsidRPr="00691480" w:rsidR="00790462">
        <w:rPr>
          <w:rFonts w:ascii="Times New Roman" w:hAnsi="Times New Roman"/>
          <w:sz w:val="27"/>
          <w:szCs w:val="27"/>
          <w:lang w:val="lv-LV"/>
        </w:rPr>
        <w:t>142.9/9-68</w:t>
      </w:r>
      <w:r w:rsidRPr="00691480">
        <w:rPr>
          <w:rFonts w:ascii="Times New Roman" w:hAnsi="Times New Roman"/>
          <w:sz w:val="27"/>
          <w:szCs w:val="27"/>
          <w:lang w:val="lv-LV"/>
        </w:rPr>
        <w:t>-12/17</w:t>
      </w:r>
    </w:p>
    <w:p w:rsidR="00691480" w:rsidRPr="00691480" w:rsidP="00691480">
      <w:pPr>
        <w:spacing w:after="0" w:line="240" w:lineRule="auto"/>
        <w:rPr>
          <w:rFonts w:ascii="Times New Roman" w:hAnsi="Times New Roman"/>
          <w:b/>
          <w:sz w:val="27"/>
          <w:szCs w:val="27"/>
          <w:lang w:val="lv-LV"/>
        </w:rPr>
      </w:pPr>
    </w:p>
    <w:p w:rsidR="003909F6" w:rsidRPr="00691480" w:rsidP="003909F6">
      <w:pPr>
        <w:spacing w:after="0" w:line="240" w:lineRule="auto"/>
        <w:jc w:val="right"/>
        <w:rPr>
          <w:rFonts w:ascii="Times New Roman" w:hAnsi="Times New Roman"/>
          <w:b/>
          <w:sz w:val="27"/>
          <w:szCs w:val="27"/>
          <w:lang w:val="lv-LV"/>
        </w:rPr>
      </w:pPr>
      <w:r w:rsidRPr="00691480">
        <w:rPr>
          <w:rFonts w:ascii="Times New Roman" w:hAnsi="Times New Roman"/>
          <w:b/>
          <w:sz w:val="27"/>
          <w:szCs w:val="27"/>
          <w:lang w:val="lv-LV"/>
        </w:rPr>
        <w:t xml:space="preserve">Latvijas Republikas Saeimas  </w:t>
      </w:r>
    </w:p>
    <w:p w:rsidR="00AA5F95" w:rsidRPr="00691480" w:rsidP="003909F6">
      <w:pPr>
        <w:widowControl/>
        <w:spacing w:after="0" w:line="240" w:lineRule="auto"/>
        <w:ind w:firstLine="720"/>
        <w:jc w:val="right"/>
        <w:rPr>
          <w:rFonts w:ascii="Times New Roman" w:hAnsi="Times New Roman"/>
          <w:b/>
          <w:sz w:val="27"/>
          <w:szCs w:val="27"/>
          <w:lang w:val="lv-LV"/>
        </w:rPr>
      </w:pPr>
      <w:r w:rsidRPr="00691480">
        <w:rPr>
          <w:rFonts w:ascii="Times New Roman" w:hAnsi="Times New Roman"/>
          <w:b/>
          <w:sz w:val="27"/>
          <w:szCs w:val="27"/>
          <w:lang w:val="lv-LV"/>
        </w:rPr>
        <w:t>Sociālo un darba lietu komisija</w:t>
      </w:r>
      <w:r w:rsidRPr="00691480" w:rsidR="00790462">
        <w:rPr>
          <w:rFonts w:ascii="Times New Roman" w:hAnsi="Times New Roman"/>
          <w:b/>
          <w:sz w:val="27"/>
          <w:szCs w:val="27"/>
          <w:lang w:val="lv-LV"/>
        </w:rPr>
        <w:t>i</w:t>
      </w:r>
    </w:p>
    <w:p w:rsidR="00691480" w:rsidRPr="00691480" w:rsidP="00542243">
      <w:pPr>
        <w:widowControl/>
        <w:spacing w:after="0" w:line="240" w:lineRule="auto"/>
        <w:jc w:val="both"/>
        <w:rPr>
          <w:rFonts w:ascii="Times New Roman" w:hAnsi="Times New Roman"/>
          <w:sz w:val="27"/>
          <w:szCs w:val="27"/>
          <w:lang w:val="lv-LV"/>
        </w:rPr>
      </w:pPr>
    </w:p>
    <w:p w:rsidR="00790462" w:rsidRPr="00691480" w:rsidP="00542243">
      <w:pPr>
        <w:widowControl/>
        <w:spacing w:after="0" w:line="240" w:lineRule="auto"/>
        <w:ind w:firstLine="720"/>
        <w:jc w:val="both"/>
        <w:rPr>
          <w:rFonts w:ascii="Times New Roman" w:hAnsi="Times New Roman"/>
          <w:sz w:val="27"/>
          <w:szCs w:val="27"/>
          <w:lang w:val="lv-LV"/>
        </w:rPr>
      </w:pPr>
      <w:r w:rsidRPr="00691480">
        <w:rPr>
          <w:rFonts w:ascii="Times New Roman" w:hAnsi="Times New Roman"/>
          <w:sz w:val="27"/>
          <w:szCs w:val="27"/>
          <w:lang w:val="lv-LV"/>
        </w:rPr>
        <w:t xml:space="preserve">Ministru kabinetā ir saņemta Saeimas Sociālo un darba lietu komisijas </w:t>
      </w:r>
      <w:r w:rsidRPr="00691480">
        <w:rPr>
          <w:rFonts w:ascii="Times New Roman" w:hAnsi="Times New Roman"/>
          <w:sz w:val="27"/>
          <w:szCs w:val="27"/>
          <w:lang w:val="lv-LV"/>
        </w:rPr>
        <w:t>2017</w:t>
      </w:r>
      <w:r w:rsidRPr="00691480">
        <w:rPr>
          <w:rFonts w:ascii="Times New Roman" w:hAnsi="Times New Roman"/>
          <w:sz w:val="27"/>
          <w:szCs w:val="27"/>
          <w:lang w:val="lv-LV"/>
        </w:rPr>
        <w:t xml:space="preserve">.gada </w:t>
      </w:r>
      <w:r w:rsidRPr="00691480">
        <w:rPr>
          <w:rFonts w:ascii="Times New Roman" w:hAnsi="Times New Roman"/>
          <w:sz w:val="27"/>
          <w:szCs w:val="27"/>
          <w:lang w:val="lv-LV"/>
        </w:rPr>
        <w:t>19.oktobr</w:t>
      </w:r>
      <w:r w:rsidRPr="00691480">
        <w:rPr>
          <w:rFonts w:ascii="Times New Roman" w:hAnsi="Times New Roman"/>
          <w:sz w:val="27"/>
          <w:szCs w:val="27"/>
          <w:lang w:val="lv-LV"/>
        </w:rPr>
        <w:t>a vēstule Nr.142.9/</w:t>
      </w:r>
      <w:r w:rsidRPr="00691480">
        <w:rPr>
          <w:rFonts w:ascii="Times New Roman" w:hAnsi="Times New Roman"/>
          <w:sz w:val="27"/>
          <w:szCs w:val="27"/>
          <w:lang w:val="lv-LV"/>
        </w:rPr>
        <w:t>9-68</w:t>
      </w:r>
      <w:r w:rsidRPr="00691480">
        <w:rPr>
          <w:rFonts w:ascii="Times New Roman" w:hAnsi="Times New Roman"/>
          <w:sz w:val="27"/>
          <w:szCs w:val="27"/>
          <w:lang w:val="lv-LV"/>
        </w:rPr>
        <w:t>-12/17, kurā aktualizēts jautājums par</w:t>
      </w:r>
      <w:r w:rsidRPr="00691480">
        <w:rPr>
          <w:rFonts w:ascii="Times New Roman" w:hAnsi="Times New Roman"/>
          <w:sz w:val="27"/>
          <w:szCs w:val="27"/>
          <w:lang w:val="lv-LV"/>
        </w:rPr>
        <w:t xml:space="preserve"> vienota dzimumšūnu donoru reģistra izveidi. </w:t>
      </w:r>
      <w:r w:rsidRPr="00691480">
        <w:rPr>
          <w:rFonts w:ascii="Times New Roman" w:hAnsi="Times New Roman"/>
          <w:sz w:val="27"/>
          <w:szCs w:val="27"/>
          <w:lang w:val="lv-LV"/>
        </w:rPr>
        <w:t xml:space="preserve"> </w:t>
      </w:r>
    </w:p>
    <w:p w:rsidR="00790462" w:rsidRPr="00691480" w:rsidP="00790462">
      <w:pPr>
        <w:tabs>
          <w:tab w:val="center" w:pos="4678"/>
          <w:tab w:val="right" w:pos="9072"/>
        </w:tabs>
        <w:spacing w:after="0" w:line="240" w:lineRule="auto"/>
        <w:ind w:firstLine="720"/>
        <w:jc w:val="both"/>
        <w:rPr>
          <w:rFonts w:ascii="Times New Roman" w:hAnsi="Times New Roman"/>
          <w:sz w:val="27"/>
          <w:szCs w:val="27"/>
          <w:lang w:val="lv-LV"/>
        </w:rPr>
      </w:pPr>
      <w:r w:rsidRPr="00691480">
        <w:rPr>
          <w:rFonts w:ascii="Times New Roman" w:hAnsi="Times New Roman"/>
          <w:sz w:val="27"/>
          <w:szCs w:val="27"/>
          <w:lang w:val="lv-LV"/>
        </w:rPr>
        <w:t xml:space="preserve">Seksuālās un reproduktīvās veselības likuma 5.panta trešā daļā ir dots deleģējums Ministru kabinetam noteikt kārtību neauglīgo ģimeņu reģistra, medicīniskās apaugļošanas reģistra un dzimumšūnu donoru reģistra, kā arī donoru dzimumšūnu banku izveidei. </w:t>
      </w:r>
      <w:r w:rsidRPr="00691480">
        <w:rPr>
          <w:rFonts w:ascii="Times New Roman" w:eastAsia="Times New Roman" w:hAnsi="Times New Roman"/>
          <w:sz w:val="27"/>
          <w:szCs w:val="27"/>
          <w:lang w:val="lv-LV"/>
        </w:rPr>
        <w:t xml:space="preserve">Lai to īstenotu, ir izdoti </w:t>
      </w:r>
      <w:r w:rsidRPr="00691480">
        <w:rPr>
          <w:rFonts w:ascii="Times New Roman" w:eastAsia="Times New Roman" w:hAnsi="Times New Roman"/>
          <w:iCs/>
          <w:sz w:val="27"/>
          <w:szCs w:val="27"/>
          <w:lang w:val="lv-LV"/>
        </w:rPr>
        <w:t xml:space="preserve">Ministru kabineta 2003. gada 16. decembra noteikumi Nr.716 „Medicīniskās apaugļošanas organizatoriskā kārtība un neauglīgo ģimeņu reģistra, medicīniskās apaugļošanas reģistra, dzimumšūnu donoru reģistra un donoru dzimumšūnu banku izveidošanas kārtība” (turpmāk – Noteikumi Nr.716), nosakot, ka </w:t>
      </w:r>
      <w:r w:rsidRPr="00691480">
        <w:rPr>
          <w:rFonts w:ascii="Times New Roman" w:eastAsia="Times New Roman" w:hAnsi="Times New Roman"/>
          <w:sz w:val="27"/>
          <w:szCs w:val="27"/>
          <w:lang w:val="lv-LV"/>
        </w:rPr>
        <w:t xml:space="preserve">neauglīgo ģimeņu reģistru, medicīniskās apaugļošanas reģistru un dzimumšūnu donoru reģistru (turpmāk — reģistri) veido, uztur un aktualizē veselības aprūpes jomu regulējošajos normatīvajos aktos noteiktajā kārtībā izvērtētās un obligātajām prasībām </w:t>
      </w:r>
      <w:r w:rsidRPr="00691480" w:rsidR="00220271">
        <w:rPr>
          <w:rFonts w:ascii="Times New Roman" w:eastAsia="Times New Roman" w:hAnsi="Times New Roman"/>
          <w:sz w:val="27"/>
          <w:szCs w:val="27"/>
          <w:lang w:val="lv-LV"/>
        </w:rPr>
        <w:t>atbilstošās ārstniecības iestādes, kura</w:t>
      </w:r>
      <w:r w:rsidRPr="00691480">
        <w:rPr>
          <w:rFonts w:ascii="Times New Roman" w:eastAsia="Times New Roman" w:hAnsi="Times New Roman"/>
          <w:sz w:val="27"/>
          <w:szCs w:val="27"/>
          <w:lang w:val="lv-LV"/>
        </w:rPr>
        <w:t xml:space="preserve">s veic medicīnisko apaugļošanu un uztur dzimumšūnu donoru banku un kuras ir reģistrējušas minētās datu apstrādes sistēmas </w:t>
      </w:r>
      <w:r>
        <w:fldChar w:fldCharType="begin"/>
      </w:r>
      <w:r>
        <w:instrText xml:space="preserve"> HYPERLINK "http://likumi.lv/ta/id/4042-fizisko-personu-datu-aizsardzibas-likums" \t "_blank" </w:instrText>
      </w:r>
      <w:r>
        <w:fldChar w:fldCharType="separate"/>
      </w:r>
      <w:r w:rsidRPr="00691480">
        <w:rPr>
          <w:rFonts w:ascii="Times New Roman" w:eastAsia="Times New Roman" w:hAnsi="Times New Roman"/>
          <w:sz w:val="27"/>
          <w:szCs w:val="27"/>
          <w:lang w:val="lv-LV"/>
        </w:rPr>
        <w:t>Fizisko personu datu aizsardzības likumā</w:t>
      </w:r>
      <w:r>
        <w:fldChar w:fldCharType="end"/>
      </w:r>
      <w:r w:rsidRPr="00691480">
        <w:rPr>
          <w:rFonts w:ascii="Times New Roman" w:eastAsia="Times New Roman" w:hAnsi="Times New Roman"/>
          <w:sz w:val="27"/>
          <w:szCs w:val="27"/>
          <w:lang w:val="lv-LV"/>
        </w:rPr>
        <w:t xml:space="preserve"> paredzētajā kārtībā.</w:t>
      </w:r>
    </w:p>
    <w:p w:rsidR="00790462" w:rsidRPr="00691480" w:rsidP="00790462">
      <w:pPr>
        <w:spacing w:after="0" w:line="240" w:lineRule="auto"/>
        <w:ind w:firstLine="720"/>
        <w:jc w:val="both"/>
        <w:rPr>
          <w:rFonts w:ascii="Times New Roman" w:eastAsia="Times New Roman" w:hAnsi="Times New Roman"/>
          <w:sz w:val="27"/>
          <w:szCs w:val="27"/>
          <w:lang w:val="lv-LV"/>
        </w:rPr>
      </w:pPr>
      <w:r w:rsidRPr="00691480">
        <w:rPr>
          <w:rFonts w:ascii="Times New Roman" w:eastAsia="Times New Roman" w:hAnsi="Times New Roman"/>
          <w:sz w:val="27"/>
          <w:szCs w:val="27"/>
          <w:lang w:val="lv-LV"/>
        </w:rPr>
        <w:t xml:space="preserve">Šo reģistru galvenie uzdevumi ir izveidot neauglīgo ģimeņu, medicīniskās apaugļošanas un dzimumšūnu donoru datu bāzi; analizēt galvenos epidemioloģiskos rādītājus; identificēt riska faktorus reproduktīvās veselības jomā. </w:t>
      </w:r>
      <w:r w:rsidRPr="00691480">
        <w:rPr>
          <w:rFonts w:ascii="Times New Roman" w:hAnsi="Times New Roman"/>
          <w:sz w:val="27"/>
          <w:szCs w:val="27"/>
          <w:lang w:val="lv-LV"/>
        </w:rPr>
        <w:t>Personas datu apstrāde ir nepieciešama ārstniecības vajadzībām, veselības aprūpes pakalpojumu sniegšanai un to administrēšanai</w:t>
      </w:r>
      <w:r w:rsidRPr="00691480">
        <w:rPr>
          <w:rFonts w:ascii="Arial" w:hAnsi="Arial" w:cs="Arial"/>
          <w:sz w:val="27"/>
          <w:szCs w:val="27"/>
          <w:lang w:val="lv-LV"/>
        </w:rPr>
        <w:t xml:space="preserve">, </w:t>
      </w:r>
      <w:r w:rsidRPr="00691480">
        <w:rPr>
          <w:rFonts w:ascii="Times New Roman" w:hAnsi="Times New Roman"/>
          <w:sz w:val="27"/>
          <w:szCs w:val="27"/>
          <w:lang w:val="lv-LV"/>
        </w:rPr>
        <w:t xml:space="preserve">lai nodrošinātu kvalitatīvu donora dzimumšūnu izmantošanu </w:t>
      </w:r>
      <w:r w:rsidRPr="00691480">
        <w:rPr>
          <w:rFonts w:ascii="Times New Roman" w:eastAsia="Times New Roman" w:hAnsi="Times New Roman"/>
          <w:sz w:val="27"/>
          <w:szCs w:val="27"/>
          <w:lang w:val="lv-LV"/>
        </w:rPr>
        <w:t xml:space="preserve">medicīniskās apaugļošanas pakalpojumos un aizsargātu gan dzimumšūnu donora, gan recipienta veselību. Šobrīd ārstniecības iestādes rīcībā ir informācija tikai par savu iestādi, bet nav informācijas par citā iestādē ziedotā un izmantotā dzimumšūnu donora materiālu un rezultātiem. Līdz ar to ārstniecības iestāde šobrīd nevar pārbaudīt vai potenciālā dzimumšūnu donora materiālam ir vai nav izmantošanas ierobežojumi, piemēram, donors ziedojis dzimumšūnas citā iestādē un tās ir izmantotas medicīniskās apaugļošanas procedūrā, kā rezultātā iestājusies grūtniecība un piedzimis bērns. </w:t>
      </w:r>
    </w:p>
    <w:p w:rsidR="00790462" w:rsidRPr="00691480" w:rsidP="00542243">
      <w:pPr>
        <w:spacing w:after="0" w:line="240" w:lineRule="auto"/>
        <w:ind w:firstLine="720"/>
        <w:jc w:val="both"/>
        <w:rPr>
          <w:rFonts w:ascii="Times New Roman" w:hAnsi="Times New Roman"/>
          <w:sz w:val="27"/>
          <w:szCs w:val="27"/>
          <w:lang w:val="lv-LV"/>
        </w:rPr>
      </w:pPr>
      <w:r w:rsidRPr="00691480">
        <w:rPr>
          <w:rFonts w:ascii="Times New Roman" w:eastAsia="Times New Roman" w:hAnsi="Times New Roman"/>
          <w:sz w:val="27"/>
          <w:szCs w:val="27"/>
          <w:lang w:val="lv-LV"/>
        </w:rPr>
        <w:t>Ņemot vērā minēto</w:t>
      </w:r>
      <w:r w:rsidRPr="00691480" w:rsidR="00594D17">
        <w:rPr>
          <w:rFonts w:ascii="Times New Roman" w:eastAsia="Times New Roman" w:hAnsi="Times New Roman"/>
          <w:sz w:val="27"/>
          <w:szCs w:val="27"/>
          <w:lang w:val="lv-LV"/>
        </w:rPr>
        <w:t>, Veselības ministrija</w:t>
      </w:r>
      <w:r w:rsidRPr="00691480" w:rsidR="00220271">
        <w:rPr>
          <w:rFonts w:ascii="Times New Roman" w:eastAsia="Times New Roman" w:hAnsi="Times New Roman"/>
          <w:sz w:val="27"/>
          <w:szCs w:val="27"/>
          <w:lang w:val="lv-LV"/>
        </w:rPr>
        <w:t xml:space="preserve"> pašlaik</w:t>
      </w:r>
      <w:r w:rsidRPr="00691480" w:rsidR="00594D17">
        <w:rPr>
          <w:rFonts w:ascii="Times New Roman" w:eastAsia="Times New Roman" w:hAnsi="Times New Roman"/>
          <w:sz w:val="27"/>
          <w:szCs w:val="27"/>
          <w:lang w:val="lv-LV"/>
        </w:rPr>
        <w:t xml:space="preserve"> gatavo grozījumus</w:t>
      </w:r>
      <w:r w:rsidRPr="00691480">
        <w:rPr>
          <w:rFonts w:ascii="Times New Roman" w:eastAsia="Times New Roman" w:hAnsi="Times New Roman"/>
          <w:sz w:val="27"/>
          <w:szCs w:val="27"/>
          <w:lang w:val="lv-LV"/>
        </w:rPr>
        <w:t xml:space="preserve"> </w:t>
      </w:r>
      <w:r w:rsidRPr="00691480" w:rsidR="00594D17">
        <w:rPr>
          <w:rFonts w:ascii="Times New Roman" w:eastAsia="Times New Roman" w:hAnsi="Times New Roman"/>
          <w:bCs/>
          <w:sz w:val="27"/>
          <w:szCs w:val="27"/>
          <w:lang w:val="lv-LV"/>
        </w:rPr>
        <w:t>Noteikumos Nr. 716</w:t>
      </w:r>
      <w:r w:rsidRPr="00691480" w:rsidR="00594D17">
        <w:rPr>
          <w:rFonts w:ascii="Times New Roman" w:eastAsia="Times New Roman" w:hAnsi="Times New Roman"/>
          <w:sz w:val="27"/>
          <w:szCs w:val="27"/>
          <w:lang w:val="lv-LV"/>
        </w:rPr>
        <w:t xml:space="preserve"> </w:t>
      </w:r>
      <w:r w:rsidRPr="00691480">
        <w:rPr>
          <w:rFonts w:ascii="Times New Roman" w:eastAsia="Times New Roman" w:hAnsi="Times New Roman"/>
          <w:sz w:val="27"/>
          <w:szCs w:val="27"/>
          <w:lang w:val="lv-LV"/>
        </w:rPr>
        <w:t xml:space="preserve">un </w:t>
      </w:r>
      <w:r w:rsidRPr="00691480" w:rsidR="00594D17">
        <w:rPr>
          <w:rFonts w:ascii="Times New Roman" w:eastAsia="Times New Roman" w:hAnsi="Times New Roman"/>
          <w:bCs/>
          <w:sz w:val="27"/>
          <w:szCs w:val="27"/>
          <w:lang w:val="lv-LV"/>
        </w:rPr>
        <w:t>Ministru kabineta 2014.gada 11.</w:t>
      </w:r>
      <w:r w:rsidRPr="00691480">
        <w:rPr>
          <w:rFonts w:ascii="Times New Roman" w:eastAsia="Times New Roman" w:hAnsi="Times New Roman"/>
          <w:bCs/>
          <w:sz w:val="27"/>
          <w:szCs w:val="27"/>
          <w:lang w:val="lv-LV"/>
        </w:rPr>
        <w:t xml:space="preserve">marta noteikumos Nr.134 „Noteikumi par </w:t>
      </w:r>
      <w:bookmarkStart w:id="0" w:name="_Hlk498508147"/>
      <w:r w:rsidRPr="00691480">
        <w:rPr>
          <w:rFonts w:ascii="Times New Roman" w:eastAsia="Times New Roman" w:hAnsi="Times New Roman"/>
          <w:bCs/>
          <w:sz w:val="27"/>
          <w:szCs w:val="27"/>
          <w:lang w:val="lv-LV"/>
        </w:rPr>
        <w:t>vienoto veselības nozares elektronisko informācijas sistēmu</w:t>
      </w:r>
      <w:bookmarkEnd w:id="0"/>
      <w:r w:rsidRPr="00691480">
        <w:rPr>
          <w:rFonts w:ascii="Times New Roman" w:eastAsia="Times New Roman" w:hAnsi="Times New Roman"/>
          <w:bCs/>
          <w:sz w:val="27"/>
          <w:szCs w:val="27"/>
          <w:lang w:val="lv-LV"/>
        </w:rPr>
        <w:t xml:space="preserve">” (turpmāk – Noteikumi Nr. 134), paredzot, ka </w:t>
      </w:r>
      <w:r w:rsidRPr="00691480">
        <w:rPr>
          <w:rFonts w:ascii="Times New Roman" w:eastAsia="Times New Roman" w:hAnsi="Times New Roman"/>
          <w:sz w:val="27"/>
          <w:szCs w:val="27"/>
          <w:lang w:val="lv-LV"/>
        </w:rPr>
        <w:t>vienotā veselības nozares elektroniskā informācijas sistēma nodrošina centralizētu personas</w:t>
      </w:r>
      <w:r w:rsidRPr="00691480">
        <w:rPr>
          <w:rFonts w:ascii="Arial" w:eastAsia="Times New Roman" w:hAnsi="Arial" w:cs="Arial"/>
          <w:b/>
          <w:color w:val="FF0000"/>
          <w:sz w:val="27"/>
          <w:szCs w:val="27"/>
          <w:lang w:val="lv-LV"/>
        </w:rPr>
        <w:t xml:space="preserve"> </w:t>
      </w:r>
      <w:r w:rsidRPr="00691480">
        <w:rPr>
          <w:rFonts w:ascii="Times New Roman" w:eastAsia="Times New Roman" w:hAnsi="Times New Roman"/>
          <w:sz w:val="27"/>
          <w:szCs w:val="27"/>
          <w:lang w:val="lv-LV"/>
        </w:rPr>
        <w:t>datu par dzimumšūnu zied</w:t>
      </w:r>
      <w:r w:rsidRPr="00691480" w:rsidR="00220271">
        <w:rPr>
          <w:rFonts w:ascii="Times New Roman" w:eastAsia="Times New Roman" w:hAnsi="Times New Roman"/>
          <w:sz w:val="27"/>
          <w:szCs w:val="27"/>
          <w:lang w:val="lv-LV"/>
        </w:rPr>
        <w:t>ošanu apstrādi, kas nepieciešama</w:t>
      </w:r>
      <w:r w:rsidRPr="00691480">
        <w:rPr>
          <w:rFonts w:ascii="Times New Roman" w:eastAsia="Times New Roman" w:hAnsi="Times New Roman"/>
          <w:sz w:val="27"/>
          <w:szCs w:val="27"/>
          <w:lang w:val="lv-LV"/>
        </w:rPr>
        <w:t xml:space="preserve"> ārstniecības iestādēm, kas sniedz medicīniskās apaugļošanas pakalpojumus, lai nodrošinātu </w:t>
      </w:r>
      <w:r w:rsidRPr="00691480">
        <w:rPr>
          <w:rFonts w:ascii="Times New Roman" w:hAnsi="Times New Roman"/>
          <w:sz w:val="27"/>
          <w:szCs w:val="27"/>
          <w:lang w:val="lv-LV"/>
        </w:rPr>
        <w:t xml:space="preserve">informācijas apmaiņu par </w:t>
      </w:r>
      <w:r w:rsidRPr="00691480">
        <w:rPr>
          <w:rFonts w:ascii="Times New Roman" w:hAnsi="Times New Roman"/>
          <w:sz w:val="27"/>
          <w:szCs w:val="27"/>
          <w:lang w:val="lv-LV"/>
        </w:rPr>
        <w:t xml:space="preserve">dzimumšūnu donora dzimumšūnu izmantošanu. Personas datu apstrādes </w:t>
      </w:r>
      <w:r w:rsidRPr="00691480">
        <w:rPr>
          <w:rFonts w:ascii="Times New Roman" w:eastAsia="Times New Roman" w:hAnsi="Times New Roman"/>
          <w:sz w:val="27"/>
          <w:szCs w:val="27"/>
          <w:lang w:val="lv-LV"/>
        </w:rPr>
        <w:t>mērķis ir apkopot informāciju, kas nepieciešama izmantošanai ārstniecībā, kvalitatīva medicīniskās apaugļošanas pakalpojuma nodrošināšanai.</w:t>
      </w:r>
      <w:r w:rsidRPr="00691480" w:rsidR="00EA519C">
        <w:rPr>
          <w:rFonts w:ascii="Times New Roman" w:eastAsia="Times New Roman" w:hAnsi="Times New Roman"/>
          <w:sz w:val="27"/>
          <w:szCs w:val="27"/>
          <w:lang w:val="lv-LV"/>
        </w:rPr>
        <w:t xml:space="preserve"> Papildus medicīniskai informācijai par dzimumšūnu </w:t>
      </w:r>
      <w:r w:rsidRPr="00691480" w:rsidR="00542243">
        <w:rPr>
          <w:rFonts w:ascii="Times New Roman" w:eastAsia="Times New Roman" w:hAnsi="Times New Roman"/>
          <w:sz w:val="27"/>
          <w:szCs w:val="27"/>
          <w:lang w:val="lv-LV"/>
        </w:rPr>
        <w:t>donoru</w:t>
      </w:r>
      <w:r w:rsidRPr="00691480" w:rsidR="00EA519C">
        <w:rPr>
          <w:rFonts w:ascii="Times New Roman" w:eastAsia="Times New Roman" w:hAnsi="Times New Roman"/>
          <w:sz w:val="27"/>
          <w:szCs w:val="27"/>
          <w:lang w:val="lv-LV"/>
        </w:rPr>
        <w:t xml:space="preserve"> vienotā </w:t>
      </w:r>
      <w:r w:rsidRPr="00691480" w:rsidR="00542243">
        <w:rPr>
          <w:rFonts w:ascii="Times New Roman" w:eastAsia="Times New Roman" w:hAnsi="Times New Roman"/>
          <w:sz w:val="27"/>
          <w:szCs w:val="27"/>
          <w:lang w:val="lv-LV"/>
        </w:rPr>
        <w:t xml:space="preserve">veselības nozares elektroniskā informācijas sistēmā būs pieejama arī informācija par </w:t>
      </w:r>
      <w:r w:rsidRPr="00691480">
        <w:rPr>
          <w:rFonts w:ascii="Times New Roman" w:eastAsia="Times New Roman" w:hAnsi="Times New Roman"/>
          <w:sz w:val="27"/>
          <w:szCs w:val="27"/>
          <w:lang w:val="lv-LV" w:eastAsia="lv-LV"/>
        </w:rPr>
        <w:t>dzimumšūnu donora ziedoto</w:t>
      </w:r>
      <w:r w:rsidRPr="00691480" w:rsidR="00542243">
        <w:rPr>
          <w:rFonts w:ascii="Times New Roman" w:eastAsia="Times New Roman" w:hAnsi="Times New Roman"/>
          <w:sz w:val="27"/>
          <w:szCs w:val="27"/>
          <w:lang w:val="lv-LV" w:eastAsia="lv-LV"/>
        </w:rPr>
        <w:t xml:space="preserve"> dzimumšūnu izmantošanas statusu</w:t>
      </w:r>
      <w:r w:rsidRPr="00691480">
        <w:rPr>
          <w:rFonts w:ascii="Times New Roman" w:eastAsia="Times New Roman" w:hAnsi="Times New Roman"/>
          <w:sz w:val="27"/>
          <w:szCs w:val="27"/>
          <w:lang w:val="lv-LV" w:eastAsia="lv-LV"/>
        </w:rPr>
        <w:t xml:space="preserve"> Latvijā </w:t>
      </w:r>
      <w:bookmarkStart w:id="1" w:name="_Hlk496089450"/>
      <w:r w:rsidRPr="00691480">
        <w:rPr>
          <w:rFonts w:ascii="Times New Roman" w:eastAsia="Times New Roman" w:hAnsi="Times New Roman"/>
          <w:sz w:val="27"/>
          <w:szCs w:val="27"/>
          <w:lang w:val="lv-LV" w:eastAsia="lv-LV"/>
        </w:rPr>
        <w:t xml:space="preserve">(daļēji bloķēts </w:t>
      </w:r>
      <w:bookmarkEnd w:id="1"/>
      <w:r w:rsidRPr="00691480">
        <w:rPr>
          <w:rFonts w:ascii="Times New Roman" w:eastAsia="Times New Roman" w:hAnsi="Times New Roman"/>
          <w:sz w:val="27"/>
          <w:szCs w:val="27"/>
          <w:lang w:val="lv-LV" w:eastAsia="lv-LV"/>
        </w:rPr>
        <w:t>(donora dzimumšūnas izmantotas 3 medicīniskās apaugļošanas procedūrās); daļēji bloķēts (izmantojot donora dzimumšūnas iestājušās 3 grūtniecības); bloķēts neatgriezeniski (</w:t>
      </w:r>
      <w:r w:rsidRPr="00691480">
        <w:rPr>
          <w:rFonts w:ascii="Times New Roman" w:eastAsia="Times New Roman" w:hAnsi="Times New Roman"/>
          <w:bCs/>
          <w:sz w:val="27"/>
          <w:szCs w:val="27"/>
          <w:lang w:val="lv-LV"/>
        </w:rPr>
        <w:t>dzimuši bērni 3 grūtniecībās);</w:t>
      </w:r>
      <w:r w:rsidRPr="00691480">
        <w:rPr>
          <w:rFonts w:ascii="Times New Roman" w:eastAsia="Times New Roman" w:hAnsi="Times New Roman"/>
          <w:sz w:val="27"/>
          <w:szCs w:val="27"/>
          <w:lang w:val="lv-LV" w:eastAsia="lv-LV"/>
        </w:rPr>
        <w:t xml:space="preserve"> bloķēts neatgriezeniski (</w:t>
      </w:r>
      <w:r w:rsidRPr="00691480">
        <w:rPr>
          <w:rFonts w:ascii="Times New Roman" w:eastAsia="Times New Roman" w:hAnsi="Times New Roman"/>
          <w:bCs/>
          <w:sz w:val="27"/>
          <w:szCs w:val="27"/>
          <w:lang w:val="lv-LV"/>
        </w:rPr>
        <w:t xml:space="preserve">pēcnācējs (bērns, auglis) ar iedzimtu anomāliju vai ģenētisku slimību - norāda SSK-10 un </w:t>
      </w:r>
      <w:r w:rsidRPr="00691480">
        <w:rPr>
          <w:rFonts w:ascii="Times New Roman" w:eastAsia="Times New Roman" w:hAnsi="Times New Roman"/>
          <w:sz w:val="27"/>
          <w:szCs w:val="27"/>
          <w:lang w:val="lv-LV"/>
        </w:rPr>
        <w:t>ORPHA kodu);</w:t>
      </w:r>
      <w:r w:rsidRPr="00691480">
        <w:rPr>
          <w:rFonts w:ascii="Times New Roman" w:eastAsia="Times New Roman" w:hAnsi="Times New Roman"/>
          <w:sz w:val="27"/>
          <w:szCs w:val="27"/>
          <w:lang w:val="lv-LV" w:eastAsia="lv-LV"/>
        </w:rPr>
        <w:t xml:space="preserve"> bloķēts neatgriezeniski </w:t>
      </w:r>
      <w:r w:rsidRPr="00691480">
        <w:rPr>
          <w:rFonts w:ascii="Times New Roman" w:eastAsia="Times New Roman" w:hAnsi="Times New Roman"/>
          <w:bCs/>
          <w:sz w:val="27"/>
          <w:szCs w:val="27"/>
          <w:lang w:val="lv-LV"/>
        </w:rPr>
        <w:t>(veselības stāvokļa dēļ)</w:t>
      </w:r>
      <w:r w:rsidRPr="00691480" w:rsidR="00542243">
        <w:rPr>
          <w:rFonts w:ascii="Times New Roman" w:eastAsia="Times New Roman" w:hAnsi="Times New Roman"/>
          <w:bCs/>
          <w:sz w:val="27"/>
          <w:szCs w:val="27"/>
          <w:lang w:val="lv-LV"/>
        </w:rPr>
        <w:t>)</w:t>
      </w:r>
      <w:r w:rsidRPr="00691480">
        <w:rPr>
          <w:rFonts w:ascii="Times New Roman" w:eastAsia="Times New Roman" w:hAnsi="Times New Roman"/>
          <w:bCs/>
          <w:sz w:val="27"/>
          <w:szCs w:val="27"/>
          <w:lang w:val="lv-LV"/>
        </w:rPr>
        <w:t>.</w:t>
      </w:r>
    </w:p>
    <w:p w:rsidR="00790462" w:rsidRPr="00691480" w:rsidP="00542243">
      <w:pPr>
        <w:tabs>
          <w:tab w:val="center" w:pos="4678"/>
          <w:tab w:val="right" w:pos="9072"/>
        </w:tabs>
        <w:spacing w:after="0" w:line="240" w:lineRule="auto"/>
        <w:ind w:firstLine="720"/>
        <w:jc w:val="both"/>
        <w:rPr>
          <w:rFonts w:ascii="Times New Roman" w:hAnsi="Times New Roman"/>
          <w:sz w:val="27"/>
          <w:szCs w:val="27"/>
          <w:lang w:val="lv-LV"/>
        </w:rPr>
      </w:pPr>
      <w:r w:rsidRPr="00691480">
        <w:rPr>
          <w:rFonts w:ascii="Times New Roman" w:hAnsi="Times New Roman"/>
          <w:sz w:val="27"/>
          <w:szCs w:val="27"/>
          <w:shd w:val="clear" w:color="auto" w:fill="FFFFFF"/>
          <w:lang w:val="lv-LV"/>
        </w:rPr>
        <w:t>Tāpat Noteikumu Nr.134 grozījumu projektā ir noteikts papildus ierobežojums, ka minētajai informācijai var piekļūt tikai ārstniecības iestādes, kas sniedz medicīniskās ap</w:t>
      </w:r>
      <w:r w:rsidRPr="00691480" w:rsidR="00542243">
        <w:rPr>
          <w:rFonts w:ascii="Times New Roman" w:hAnsi="Times New Roman"/>
          <w:sz w:val="27"/>
          <w:szCs w:val="27"/>
          <w:shd w:val="clear" w:color="auto" w:fill="FFFFFF"/>
          <w:lang w:val="lv-LV"/>
        </w:rPr>
        <w:t>augļošanas pakalpojumus un kas ir noslēgusi</w:t>
      </w:r>
      <w:r w:rsidRPr="00691480">
        <w:rPr>
          <w:rFonts w:ascii="Times New Roman" w:hAnsi="Times New Roman"/>
          <w:sz w:val="27"/>
          <w:szCs w:val="27"/>
          <w:shd w:val="clear" w:color="auto" w:fill="FFFFFF"/>
          <w:lang w:val="lv-LV"/>
        </w:rPr>
        <w:t xml:space="preserve"> līgum</w:t>
      </w:r>
      <w:r w:rsidRPr="00691480" w:rsidR="00542243">
        <w:rPr>
          <w:rFonts w:ascii="Times New Roman" w:hAnsi="Times New Roman"/>
          <w:sz w:val="27"/>
          <w:szCs w:val="27"/>
          <w:shd w:val="clear" w:color="auto" w:fill="FFFFFF"/>
          <w:lang w:val="lv-LV"/>
        </w:rPr>
        <w:t>u</w:t>
      </w:r>
      <w:r w:rsidRPr="00691480">
        <w:rPr>
          <w:rFonts w:ascii="Times New Roman" w:hAnsi="Times New Roman"/>
          <w:sz w:val="27"/>
          <w:szCs w:val="27"/>
          <w:shd w:val="clear" w:color="auto" w:fill="FFFFFF"/>
          <w:lang w:val="lv-LV"/>
        </w:rPr>
        <w:t xml:space="preserve"> ar Nacionālo veselības dienestu par </w:t>
      </w:r>
      <w:r w:rsidRPr="00691480" w:rsidR="00542243">
        <w:rPr>
          <w:rFonts w:ascii="Times New Roman" w:hAnsi="Times New Roman"/>
          <w:sz w:val="27"/>
          <w:szCs w:val="27"/>
          <w:shd w:val="clear" w:color="auto" w:fill="FFFFFF"/>
          <w:lang w:val="lv-LV"/>
        </w:rPr>
        <w:t>vienotās</w:t>
      </w:r>
      <w:r w:rsidRPr="00691480" w:rsidR="00EA519C">
        <w:rPr>
          <w:rFonts w:ascii="Times New Roman" w:hAnsi="Times New Roman"/>
          <w:sz w:val="27"/>
          <w:szCs w:val="27"/>
          <w:shd w:val="clear" w:color="auto" w:fill="FFFFFF"/>
          <w:lang w:val="lv-LV"/>
        </w:rPr>
        <w:t xml:space="preserve"> </w:t>
      </w:r>
      <w:r w:rsidRPr="00691480">
        <w:rPr>
          <w:rFonts w:ascii="Times New Roman" w:hAnsi="Times New Roman"/>
          <w:sz w:val="27"/>
          <w:szCs w:val="27"/>
          <w:shd w:val="clear" w:color="auto" w:fill="FFFFFF"/>
          <w:lang w:val="lv-LV"/>
        </w:rPr>
        <w:t xml:space="preserve">veselības </w:t>
      </w:r>
      <w:r w:rsidRPr="00691480" w:rsidR="00EA519C">
        <w:rPr>
          <w:rFonts w:ascii="Times New Roman" w:hAnsi="Times New Roman"/>
          <w:sz w:val="27"/>
          <w:szCs w:val="27"/>
          <w:shd w:val="clear" w:color="auto" w:fill="FFFFFF"/>
          <w:lang w:val="lv-LV"/>
        </w:rPr>
        <w:t xml:space="preserve">nozares elektroniskās </w:t>
      </w:r>
      <w:r w:rsidRPr="00691480">
        <w:rPr>
          <w:rFonts w:ascii="Times New Roman" w:hAnsi="Times New Roman"/>
          <w:sz w:val="27"/>
          <w:szCs w:val="27"/>
          <w:shd w:val="clear" w:color="auto" w:fill="FFFFFF"/>
          <w:lang w:val="lv-LV"/>
        </w:rPr>
        <w:t>in</w:t>
      </w:r>
      <w:r w:rsidRPr="00691480" w:rsidR="00542243">
        <w:rPr>
          <w:rFonts w:ascii="Times New Roman" w:hAnsi="Times New Roman"/>
          <w:sz w:val="27"/>
          <w:szCs w:val="27"/>
          <w:shd w:val="clear" w:color="auto" w:fill="FFFFFF"/>
          <w:lang w:val="lv-LV"/>
        </w:rPr>
        <w:t>formācijas sistēmas izmantošanu</w:t>
      </w:r>
      <w:r w:rsidRPr="00691480">
        <w:rPr>
          <w:rFonts w:ascii="Times New Roman" w:hAnsi="Times New Roman"/>
          <w:sz w:val="27"/>
          <w:szCs w:val="27"/>
          <w:shd w:val="clear" w:color="auto" w:fill="FFFFFF"/>
          <w:lang w:val="lv-LV"/>
        </w:rPr>
        <w:t xml:space="preserve"> atbilstoši Noteikumu Nr.134 prasībām. </w:t>
      </w:r>
      <w:r w:rsidRPr="00691480" w:rsidR="00EA519C">
        <w:rPr>
          <w:rFonts w:ascii="Times New Roman" w:hAnsi="Times New Roman"/>
          <w:sz w:val="27"/>
          <w:szCs w:val="27"/>
          <w:shd w:val="clear" w:color="auto" w:fill="FFFFFF"/>
          <w:lang w:val="lv-LV"/>
        </w:rPr>
        <w:t xml:space="preserve">Informācija par dzimumšūnu donoru </w:t>
      </w:r>
      <w:r w:rsidRPr="00691480">
        <w:rPr>
          <w:rFonts w:ascii="Times New Roman" w:hAnsi="Times New Roman"/>
          <w:sz w:val="27"/>
          <w:szCs w:val="27"/>
          <w:shd w:val="clear" w:color="auto" w:fill="FFFFFF"/>
          <w:lang w:val="lv-LV"/>
        </w:rPr>
        <w:t>(Dzimumšūnu donora karte)</w:t>
      </w:r>
      <w:r w:rsidRPr="00691480" w:rsidR="00EA519C">
        <w:rPr>
          <w:rFonts w:ascii="Times New Roman" w:hAnsi="Times New Roman"/>
          <w:sz w:val="27"/>
          <w:szCs w:val="27"/>
          <w:shd w:val="clear" w:color="auto" w:fill="FFFFFF"/>
          <w:lang w:val="lv-LV"/>
        </w:rPr>
        <w:t xml:space="preserve"> vienotā veselības nozares elektroniskā informācijas sistēma tiks uzglabāta</w:t>
      </w:r>
      <w:r w:rsidRPr="00691480">
        <w:rPr>
          <w:rFonts w:ascii="Times New Roman" w:hAnsi="Times New Roman"/>
          <w:sz w:val="27"/>
          <w:szCs w:val="27"/>
          <w:shd w:val="clear" w:color="auto" w:fill="FFFFFF"/>
          <w:lang w:val="lv-LV"/>
        </w:rPr>
        <w:t xml:space="preserve"> un </w:t>
      </w:r>
      <w:r w:rsidRPr="00691480" w:rsidR="00EA519C">
        <w:rPr>
          <w:rFonts w:ascii="Times New Roman" w:hAnsi="Times New Roman"/>
          <w:sz w:val="27"/>
          <w:szCs w:val="27"/>
          <w:shd w:val="clear" w:color="auto" w:fill="FFFFFF"/>
          <w:lang w:val="lv-LV"/>
        </w:rPr>
        <w:t xml:space="preserve">būs pieejama </w:t>
      </w:r>
      <w:r w:rsidRPr="00691480">
        <w:rPr>
          <w:rFonts w:ascii="Times New Roman" w:hAnsi="Times New Roman"/>
          <w:sz w:val="27"/>
          <w:szCs w:val="27"/>
          <w:shd w:val="clear" w:color="auto" w:fill="FFFFFF"/>
          <w:lang w:val="lv-LV"/>
        </w:rPr>
        <w:t xml:space="preserve">25 gadus pēc pēdējā ieraksta.     </w:t>
      </w:r>
      <w:r w:rsidRPr="00691480">
        <w:rPr>
          <w:rFonts w:ascii="Times New Roman" w:hAnsi="Times New Roman"/>
          <w:sz w:val="27"/>
          <w:szCs w:val="27"/>
          <w:lang w:val="lv-LV"/>
        </w:rPr>
        <w:tab/>
      </w:r>
    </w:p>
    <w:p w:rsidR="00412449" w:rsidRPr="00691480" w:rsidP="00412449">
      <w:pPr>
        <w:tabs>
          <w:tab w:val="center" w:pos="4678"/>
          <w:tab w:val="right" w:pos="9072"/>
        </w:tabs>
        <w:spacing w:after="0" w:line="240" w:lineRule="auto"/>
        <w:ind w:firstLine="720"/>
        <w:jc w:val="both"/>
        <w:rPr>
          <w:rFonts w:ascii="Times New Roman" w:eastAsia="Times New Roman" w:hAnsi="Times New Roman"/>
          <w:bCs/>
          <w:sz w:val="27"/>
          <w:szCs w:val="27"/>
          <w:lang w:val="lv-LV"/>
        </w:rPr>
      </w:pPr>
      <w:r w:rsidRPr="00691480">
        <w:rPr>
          <w:rFonts w:ascii="Times New Roman" w:hAnsi="Times New Roman"/>
          <w:sz w:val="27"/>
          <w:szCs w:val="27"/>
          <w:lang w:val="lv-LV"/>
        </w:rPr>
        <w:t>Atsaucoties uz Latvijas Republikas Saeimas Sociālo un darba lietu komisijas 2017.gada 17.oktobra sēdē, kurā izskatīja likumprojektu “Grozījumi Seksuālās un reproduktīvās veselības likumā” (25/Lp12, 3.lasījums), aktualizēto jautājumu par vienota dzimumšūnu donoru reģistra</w:t>
      </w:r>
      <w:bookmarkStart w:id="2" w:name="_Hlk496782356"/>
      <w:r w:rsidRPr="00691480">
        <w:rPr>
          <w:rFonts w:ascii="Times New Roman" w:hAnsi="Times New Roman"/>
          <w:sz w:val="27"/>
          <w:szCs w:val="27"/>
          <w:lang w:val="lv-LV"/>
        </w:rPr>
        <w:t xml:space="preserve"> izveidi un doto uzdevumu Veselības ministrijai sadarbībā ar Datu valsts inspekciju sniegt viedokli par datu apstrādes atbilstību normatīvajam regulējumam, Veselības ministrija</w:t>
      </w:r>
      <w:r w:rsidRPr="00691480" w:rsidR="00594D17">
        <w:rPr>
          <w:rFonts w:ascii="Times New Roman" w:hAnsi="Times New Roman"/>
          <w:sz w:val="27"/>
          <w:szCs w:val="27"/>
          <w:lang w:val="lv-LV"/>
        </w:rPr>
        <w:t xml:space="preserve"> lūdza Datu valsts inspekciju sniegt viedokli par vienota dzimumšūnu donoru reģistra izveidi un Veselības ministrijas plānotajiem grozījumiem normatīvajā regulējumā </w:t>
      </w:r>
      <w:r w:rsidRPr="00691480">
        <w:rPr>
          <w:rFonts w:ascii="Times New Roman" w:eastAsia="Times New Roman" w:hAnsi="Times New Roman"/>
          <w:sz w:val="27"/>
          <w:szCs w:val="27"/>
          <w:lang w:val="lv-LV"/>
        </w:rPr>
        <w:t>par centralizētu personas</w:t>
      </w:r>
      <w:r w:rsidRPr="00691480">
        <w:rPr>
          <w:rFonts w:ascii="Arial" w:eastAsia="Times New Roman" w:hAnsi="Arial" w:cs="Arial"/>
          <w:b/>
          <w:color w:val="FF0000"/>
          <w:sz w:val="27"/>
          <w:szCs w:val="27"/>
          <w:lang w:val="lv-LV"/>
        </w:rPr>
        <w:t xml:space="preserve"> </w:t>
      </w:r>
      <w:r w:rsidRPr="00691480">
        <w:rPr>
          <w:rFonts w:ascii="Times New Roman" w:eastAsia="Times New Roman" w:hAnsi="Times New Roman"/>
          <w:sz w:val="27"/>
          <w:szCs w:val="27"/>
          <w:lang w:val="lv-LV"/>
        </w:rPr>
        <w:t xml:space="preserve">datu par dzimumšūnu ziedošanu apstrādi </w:t>
      </w:r>
      <w:r w:rsidRPr="00691480">
        <w:rPr>
          <w:rFonts w:ascii="Times New Roman" w:eastAsia="Times New Roman" w:hAnsi="Times New Roman"/>
          <w:i/>
          <w:sz w:val="27"/>
          <w:szCs w:val="27"/>
          <w:lang w:val="lv-LV"/>
        </w:rPr>
        <w:t>(dzimumšūnu donoru reģistrs)</w:t>
      </w:r>
      <w:r w:rsidRPr="00691480">
        <w:rPr>
          <w:rFonts w:ascii="Times New Roman" w:eastAsia="Times New Roman" w:hAnsi="Times New Roman"/>
          <w:sz w:val="27"/>
          <w:szCs w:val="27"/>
          <w:lang w:val="lv-LV"/>
        </w:rPr>
        <w:t xml:space="preserve"> </w:t>
      </w:r>
      <w:r w:rsidRPr="00691480">
        <w:rPr>
          <w:rFonts w:ascii="Times New Roman" w:eastAsia="Times New Roman" w:hAnsi="Times New Roman"/>
          <w:bCs/>
          <w:sz w:val="27"/>
          <w:szCs w:val="27"/>
          <w:lang w:val="lv-LV"/>
        </w:rPr>
        <w:t>vienotajā veselības nozares elektroniskās informācijas sistēmā.</w:t>
      </w:r>
    </w:p>
    <w:p w:rsidR="00930AD9" w:rsidRPr="00691480" w:rsidP="00412449">
      <w:pPr>
        <w:tabs>
          <w:tab w:val="center" w:pos="4678"/>
          <w:tab w:val="right" w:pos="9072"/>
        </w:tabs>
        <w:spacing w:after="0" w:line="240" w:lineRule="auto"/>
        <w:ind w:firstLine="720"/>
        <w:jc w:val="both"/>
        <w:rPr>
          <w:rFonts w:ascii="Times New Roman" w:hAnsi="Times New Roman"/>
          <w:sz w:val="27"/>
          <w:szCs w:val="27"/>
          <w:lang w:val="lv-LV"/>
        </w:rPr>
      </w:pPr>
      <w:r w:rsidRPr="00691480">
        <w:rPr>
          <w:rFonts w:ascii="Times New Roman" w:hAnsi="Times New Roman"/>
          <w:sz w:val="27"/>
          <w:szCs w:val="27"/>
          <w:lang w:val="lv-LV"/>
        </w:rPr>
        <w:t xml:space="preserve"> </w:t>
      </w:r>
      <w:bookmarkEnd w:id="2"/>
      <w:r w:rsidRPr="00691480">
        <w:rPr>
          <w:rFonts w:ascii="Times New Roman" w:hAnsi="Times New Roman"/>
          <w:sz w:val="27"/>
          <w:szCs w:val="27"/>
          <w:lang w:val="lv-LV"/>
        </w:rPr>
        <w:t>Datu valsts inspekcija ir iepazinusies ar Veselības ministrijas plānotajiem grozījumiem normatīvajā regulējumā minētā reģistra ieviešanai</w:t>
      </w:r>
      <w:r w:rsidRPr="00691480" w:rsidR="00412449">
        <w:rPr>
          <w:rFonts w:ascii="Times New Roman" w:hAnsi="Times New Roman"/>
          <w:sz w:val="27"/>
          <w:szCs w:val="27"/>
          <w:lang w:val="lv-LV"/>
        </w:rPr>
        <w:t xml:space="preserve"> un </w:t>
      </w:r>
      <w:r w:rsidRPr="00691480">
        <w:rPr>
          <w:rFonts w:ascii="Times New Roman" w:hAnsi="Times New Roman"/>
          <w:sz w:val="27"/>
          <w:szCs w:val="27"/>
          <w:lang w:val="lv-LV"/>
        </w:rPr>
        <w:t xml:space="preserve">konceptuāli atbalsta Veselības ministrijas piedāvāto risinājumu, nodrošinot to, ka vienkopus ir pieejama informācija no jau šobrīd esošajiem dzimumšūnu reģistriem, kurus uztur ārstniecības iestādes. </w:t>
      </w:r>
    </w:p>
    <w:p w:rsidR="00A81228" w:rsidRPr="00691480" w:rsidP="00542243">
      <w:pPr>
        <w:spacing w:line="240" w:lineRule="auto"/>
        <w:jc w:val="both"/>
        <w:rPr>
          <w:rFonts w:ascii="Times New Roman" w:hAnsi="Times New Roman"/>
          <w:sz w:val="27"/>
          <w:szCs w:val="27"/>
          <w:highlight w:val="yellow"/>
          <w:lang w:val="lv-LV"/>
        </w:rPr>
      </w:pPr>
    </w:p>
    <w:p w:rsidR="00A81228" w:rsidRPr="00691480" w:rsidP="00A81228">
      <w:pPr>
        <w:tabs>
          <w:tab w:val="right" w:pos="8306"/>
        </w:tabs>
        <w:spacing w:line="240" w:lineRule="auto"/>
        <w:ind w:firstLine="720"/>
        <w:jc w:val="both"/>
        <w:rPr>
          <w:rFonts w:ascii="Times New Roman" w:hAnsi="Times New Roman"/>
          <w:sz w:val="27"/>
          <w:szCs w:val="27"/>
          <w:lang w:val="lv-LV"/>
        </w:rPr>
      </w:pPr>
      <w:r w:rsidRPr="00691480">
        <w:rPr>
          <w:rFonts w:ascii="Times New Roman" w:hAnsi="Times New Roman"/>
          <w:sz w:val="27"/>
          <w:szCs w:val="27"/>
          <w:lang w:val="lv-LV"/>
        </w:rPr>
        <w:t>Ministru prezidents</w:t>
      </w:r>
      <w:r w:rsidRPr="00691480">
        <w:rPr>
          <w:rFonts w:ascii="Times New Roman" w:hAnsi="Times New Roman"/>
          <w:sz w:val="27"/>
          <w:szCs w:val="27"/>
          <w:lang w:val="lv-LV"/>
        </w:rPr>
        <w:tab/>
        <w:t>Māris Kučinskis</w:t>
      </w:r>
    </w:p>
    <w:p w:rsidR="00A81228" w:rsidRPr="00691480" w:rsidP="00542243">
      <w:pPr>
        <w:spacing w:line="240" w:lineRule="auto"/>
        <w:ind w:firstLine="720"/>
        <w:jc w:val="both"/>
        <w:rPr>
          <w:rFonts w:ascii="Times New Roman" w:hAnsi="Times New Roman"/>
          <w:sz w:val="27"/>
          <w:szCs w:val="27"/>
          <w:lang w:val="lv-LV"/>
        </w:rPr>
      </w:pPr>
      <w:r w:rsidRPr="00691480">
        <w:rPr>
          <w:rFonts w:ascii="Times New Roman" w:hAnsi="Times New Roman"/>
          <w:sz w:val="27"/>
          <w:szCs w:val="27"/>
          <w:lang w:val="lv-LV"/>
        </w:rPr>
        <w:t>Iesniedzējs:</w:t>
      </w:r>
    </w:p>
    <w:p w:rsidR="00412449" w:rsidRPr="00691480" w:rsidP="00691480">
      <w:pPr>
        <w:spacing w:line="240" w:lineRule="auto"/>
        <w:ind w:firstLine="720"/>
        <w:jc w:val="both"/>
        <w:rPr>
          <w:rFonts w:ascii="Times New Roman" w:hAnsi="Times New Roman"/>
          <w:sz w:val="27"/>
          <w:szCs w:val="27"/>
          <w:lang w:val="lv-LV"/>
        </w:rPr>
      </w:pPr>
      <w:r w:rsidRPr="00691480">
        <w:rPr>
          <w:rFonts w:ascii="Times New Roman" w:hAnsi="Times New Roman"/>
          <w:sz w:val="27"/>
          <w:szCs w:val="27"/>
          <w:lang w:val="lv-LV"/>
        </w:rPr>
        <w:t>Veselības ministre</w:t>
      </w:r>
      <w:r w:rsidRPr="00691480" w:rsidR="00A81228">
        <w:rPr>
          <w:rFonts w:ascii="Times New Roman" w:hAnsi="Times New Roman"/>
          <w:sz w:val="27"/>
          <w:szCs w:val="27"/>
          <w:lang w:val="lv-LV"/>
        </w:rPr>
        <w:tab/>
      </w:r>
      <w:r w:rsidRPr="00691480" w:rsidR="00A81228">
        <w:rPr>
          <w:rFonts w:ascii="Times New Roman" w:hAnsi="Times New Roman"/>
          <w:sz w:val="27"/>
          <w:szCs w:val="27"/>
          <w:lang w:val="lv-LV"/>
        </w:rPr>
        <w:tab/>
      </w:r>
      <w:r w:rsidRPr="00691480" w:rsidR="00A81228">
        <w:rPr>
          <w:rFonts w:ascii="Times New Roman" w:hAnsi="Times New Roman"/>
          <w:sz w:val="27"/>
          <w:szCs w:val="27"/>
          <w:lang w:val="lv-LV"/>
        </w:rPr>
        <w:tab/>
      </w:r>
      <w:r w:rsidRPr="00691480" w:rsidR="00A81228">
        <w:rPr>
          <w:rFonts w:ascii="Times New Roman" w:hAnsi="Times New Roman"/>
          <w:sz w:val="27"/>
          <w:szCs w:val="27"/>
          <w:lang w:val="lv-LV"/>
        </w:rPr>
        <w:tab/>
      </w:r>
      <w:r w:rsidRPr="00691480" w:rsidR="00A81228">
        <w:rPr>
          <w:rFonts w:ascii="Times New Roman" w:hAnsi="Times New Roman"/>
          <w:sz w:val="27"/>
          <w:szCs w:val="27"/>
          <w:lang w:val="lv-LV"/>
        </w:rPr>
        <w:tab/>
      </w:r>
      <w:r w:rsidRPr="00691480">
        <w:rPr>
          <w:rFonts w:ascii="Times New Roman" w:hAnsi="Times New Roman"/>
          <w:sz w:val="27"/>
          <w:szCs w:val="27"/>
          <w:lang w:val="lv-LV"/>
        </w:rPr>
        <w:tab/>
        <w:t xml:space="preserve">   A.Čakša</w:t>
      </w:r>
    </w:p>
    <w:p w:rsidR="00412449" w:rsidP="005473C2">
      <w:pPr>
        <w:spacing w:line="240" w:lineRule="auto"/>
        <w:rPr>
          <w:rFonts w:ascii="Times New Roman" w:hAnsi="Times New Roman"/>
          <w:b/>
          <w:sz w:val="32"/>
          <w:szCs w:val="32"/>
          <w:lang w:val="lv-LV"/>
        </w:rPr>
      </w:pPr>
    </w:p>
    <w:p w:rsidR="00691480" w:rsidP="005473C2">
      <w:pPr>
        <w:spacing w:line="240" w:lineRule="auto"/>
        <w:rPr>
          <w:rFonts w:ascii="Times New Roman" w:hAnsi="Times New Roman"/>
          <w:b/>
          <w:sz w:val="32"/>
          <w:szCs w:val="32"/>
          <w:lang w:val="lv-LV"/>
        </w:rPr>
      </w:pPr>
    </w:p>
    <w:p w:rsidR="00B33BCD" w:rsidRPr="00720293" w:rsidP="005473C2">
      <w:pPr>
        <w:spacing w:after="0" w:line="240" w:lineRule="auto"/>
        <w:rPr>
          <w:rFonts w:ascii="Times New Roman" w:hAnsi="Times New Roman"/>
          <w:sz w:val="20"/>
          <w:szCs w:val="24"/>
          <w:lang w:val="lv-LV"/>
        </w:rPr>
      </w:pPr>
      <w:r>
        <w:rPr>
          <w:rFonts w:ascii="Times New Roman" w:hAnsi="Times New Roman"/>
          <w:sz w:val="20"/>
          <w:szCs w:val="24"/>
          <w:lang w:val="lv-LV"/>
        </w:rPr>
        <w:t>Timena, 67876165</w:t>
      </w:r>
    </w:p>
    <w:p w:rsidR="00B33BCD" w:rsidRPr="002520BD" w:rsidP="005473C2">
      <w:pPr>
        <w:spacing w:after="0" w:line="240" w:lineRule="auto"/>
        <w:rPr>
          <w:rFonts w:ascii="Times New Roman" w:hAnsi="Times New Roman"/>
          <w:sz w:val="20"/>
          <w:szCs w:val="24"/>
          <w:lang w:val="lv-LV"/>
        </w:rPr>
      </w:pPr>
      <w:r>
        <w:rPr>
          <w:rFonts w:ascii="Times New Roman" w:hAnsi="Times New Roman"/>
          <w:sz w:val="20"/>
          <w:szCs w:val="24"/>
        </w:rPr>
        <w:t>inese.timena</w:t>
      </w:r>
      <w:r>
        <w:rPr>
          <w:rFonts w:ascii="Times New Roman" w:hAnsi="Times New Roman"/>
          <w:sz w:val="20"/>
          <w:szCs w:val="24"/>
        </w:rPr>
        <w:t>@vm.gov.lv</w:t>
      </w:r>
      <w:bookmarkStart w:id="3" w:name="_GoBack"/>
      <w:bookmarkEnd w:id="3"/>
    </w:p>
    <w:sectPr w:rsidSect="00FD13C8">
      <w:headerReference w:type="default" r:id="rId5"/>
      <w:type w:val="continuous"/>
      <w:pgSz w:w="11920" w:h="16840"/>
      <w:pgMar w:top="1418" w:right="1134"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5862" w:rsidRPr="00EF5862">
    <w:pPr>
      <w:pStyle w:val="Header"/>
      <w:jc w:val="center"/>
      <w:rPr>
        <w:rFonts w:ascii="Times New Roman" w:hAnsi="Times New Roman"/>
      </w:rPr>
    </w:pPr>
    <w:r w:rsidRPr="00EF5862">
      <w:rPr>
        <w:rFonts w:ascii="Times New Roman" w:hAnsi="Times New Roman"/>
      </w:rPr>
      <w:fldChar w:fldCharType="begin"/>
    </w:r>
    <w:r w:rsidRPr="00EF5862">
      <w:rPr>
        <w:rFonts w:ascii="Times New Roman" w:hAnsi="Times New Roman"/>
      </w:rPr>
      <w:instrText xml:space="preserve"> PAGE   \* MERGEFORMAT </w:instrText>
    </w:r>
    <w:r w:rsidRPr="00EF5862">
      <w:rPr>
        <w:rFonts w:ascii="Times New Roman" w:hAnsi="Times New Roman"/>
      </w:rPr>
      <w:fldChar w:fldCharType="separate"/>
    </w:r>
    <w:r w:rsidR="00691480">
      <w:rPr>
        <w:rFonts w:ascii="Times New Roman" w:hAnsi="Times New Roman"/>
        <w:noProof/>
      </w:rPr>
      <w:t>2</w:t>
    </w:r>
    <w:r w:rsidRPr="00EF5862">
      <w:rPr>
        <w:rFonts w:ascii="Times New Roman" w:hAnsi="Times New Roman"/>
        <w:noProof/>
      </w:rPr>
      <w:fldChar w:fldCharType="end"/>
    </w:r>
  </w:p>
  <w:p w:rsidR="00EF5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BD141F24"/>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1BD56404"/>
    <w:multiLevelType w:val="hybridMultilevel"/>
    <w:tmpl w:val="0A3275B4"/>
    <w:lvl w:ilvl="0">
      <w:start w:val="14"/>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5BD0"/>
    <w:rsid w:val="00024CBF"/>
    <w:rsid w:val="00081003"/>
    <w:rsid w:val="00131EDF"/>
    <w:rsid w:val="00220271"/>
    <w:rsid w:val="002520BD"/>
    <w:rsid w:val="002E1474"/>
    <w:rsid w:val="00317F1D"/>
    <w:rsid w:val="003909F6"/>
    <w:rsid w:val="003A2B48"/>
    <w:rsid w:val="003B38CD"/>
    <w:rsid w:val="00412449"/>
    <w:rsid w:val="004133DA"/>
    <w:rsid w:val="00454F73"/>
    <w:rsid w:val="004D5377"/>
    <w:rsid w:val="005065D0"/>
    <w:rsid w:val="00513120"/>
    <w:rsid w:val="00521F64"/>
    <w:rsid w:val="00542243"/>
    <w:rsid w:val="005473C2"/>
    <w:rsid w:val="00594D17"/>
    <w:rsid w:val="005B76D1"/>
    <w:rsid w:val="005C417E"/>
    <w:rsid w:val="005D1F4D"/>
    <w:rsid w:val="00661205"/>
    <w:rsid w:val="00691480"/>
    <w:rsid w:val="006E7946"/>
    <w:rsid w:val="006F1DA4"/>
    <w:rsid w:val="006F5C8D"/>
    <w:rsid w:val="00720293"/>
    <w:rsid w:val="00762211"/>
    <w:rsid w:val="00777F7F"/>
    <w:rsid w:val="00790462"/>
    <w:rsid w:val="00815277"/>
    <w:rsid w:val="00866554"/>
    <w:rsid w:val="008A1BE6"/>
    <w:rsid w:val="008A642F"/>
    <w:rsid w:val="00913445"/>
    <w:rsid w:val="00930AD9"/>
    <w:rsid w:val="009824A8"/>
    <w:rsid w:val="009A4FD8"/>
    <w:rsid w:val="009D7638"/>
    <w:rsid w:val="009E48A9"/>
    <w:rsid w:val="00A81228"/>
    <w:rsid w:val="00A9065A"/>
    <w:rsid w:val="00AA5F95"/>
    <w:rsid w:val="00B33BCD"/>
    <w:rsid w:val="00B3788E"/>
    <w:rsid w:val="00BD01DB"/>
    <w:rsid w:val="00BE42AC"/>
    <w:rsid w:val="00C23073"/>
    <w:rsid w:val="00C90696"/>
    <w:rsid w:val="00C9360A"/>
    <w:rsid w:val="00CD240F"/>
    <w:rsid w:val="00CE26CD"/>
    <w:rsid w:val="00CF717E"/>
    <w:rsid w:val="00D16564"/>
    <w:rsid w:val="00DD1F1B"/>
    <w:rsid w:val="00EA519C"/>
    <w:rsid w:val="00EB3125"/>
    <w:rsid w:val="00EF5862"/>
    <w:rsid w:val="00F02BAA"/>
    <w:rsid w:val="00F02EB5"/>
    <w:rsid w:val="00F164D9"/>
    <w:rsid w:val="00F77CDB"/>
    <w:rsid w:val="00FD13C8"/>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987801A9-B015-4323-AFB8-85D1D8C0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styleId="Hyperlink">
    <w:name w:val="Hyperlink"/>
    <w:uiPriority w:val="99"/>
    <w:unhideWhenUsed/>
    <w:rsid w:val="003A2B48"/>
    <w:rPr>
      <w:color w:val="0000FF"/>
      <w:u w:val="single"/>
    </w:rPr>
  </w:style>
  <w:style w:type="paragraph" w:styleId="FootnoteText">
    <w:name w:val="footnote text"/>
    <w:basedOn w:val="Normal"/>
    <w:link w:val="FootnoteTextChar"/>
    <w:uiPriority w:val="99"/>
    <w:semiHidden/>
    <w:unhideWhenUsed/>
    <w:rsid w:val="00AA5F95"/>
    <w:pPr>
      <w:spacing w:after="0" w:line="240" w:lineRule="auto"/>
    </w:pPr>
    <w:rPr>
      <w:sz w:val="20"/>
      <w:szCs w:val="20"/>
      <w:lang w:val="lv-LV"/>
    </w:rPr>
  </w:style>
  <w:style w:type="character" w:customStyle="1" w:styleId="FootnoteTextChar">
    <w:name w:val="Footnote Text Char"/>
    <w:link w:val="FootnoteText"/>
    <w:uiPriority w:val="99"/>
    <w:semiHidden/>
    <w:rsid w:val="00AA5F95"/>
    <w:rPr>
      <w:lang w:eastAsia="en-US"/>
    </w:rPr>
  </w:style>
  <w:style w:type="character" w:styleId="FootnoteReference">
    <w:name w:val="footnote reference"/>
    <w:aliases w:val="BVI fnr,EN Footnote Reference,Exposant 3 Point,Footnote Reference Number,Footnote Reference Superscript,Footnote reference number,Footnote symbol,Ref,SUPERS,Times 10 Point,de nota al pie,fr,ftref,note TESI"/>
    <w:unhideWhenUsed/>
    <w:rsid w:val="00AA5F95"/>
    <w:rPr>
      <w:vertAlign w:val="superscript"/>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790462"/>
    <w:pPr>
      <w:ind w:left="720"/>
      <w:contextualSpacing/>
    </w:pPr>
    <w:rPr>
      <w:lang w:val="lv-LV"/>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790462"/>
    <w:rPr>
      <w:sz w:val="22"/>
      <w:szCs w:val="22"/>
      <w:lang w:eastAsia="en-US"/>
    </w:rPr>
  </w:style>
  <w:style w:type="character" w:customStyle="1" w:styleId="Noklusjumarindkopasfonts1">
    <w:name w:val="Noklusējuma rindkopas fonts1"/>
    <w:rsid w:val="00930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47490-6BA3-4F0D-A09B-0F81E0BF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3576</Words>
  <Characters>2039</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Inese Arzova</cp:lastModifiedBy>
  <cp:revision>3</cp:revision>
  <dcterms:created xsi:type="dcterms:W3CDTF">2017-11-24T11:11:00Z</dcterms:created>
  <dcterms:modified xsi:type="dcterms:W3CDTF">2017-11-24T11:55:00Z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